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D8A35" w14:textId="7C55117F" w:rsidR="00AD6166" w:rsidRPr="009311C4" w:rsidRDefault="00AD6166" w:rsidP="009311C4">
      <w:pPr>
        <w:spacing w:line="240" w:lineRule="auto"/>
        <w:ind w:left="360"/>
        <w:jc w:val="both"/>
        <w:rPr>
          <w:rFonts w:ascii="Verdana" w:hAnsi="Verdana"/>
          <w:b/>
          <w:bCs/>
          <w:sz w:val="26"/>
          <w:szCs w:val="26"/>
          <w:lang w:val="en-US"/>
        </w:rPr>
      </w:pPr>
      <w:r w:rsidRPr="009311C4">
        <w:rPr>
          <w:rFonts w:ascii="Verdana" w:hAnsi="Verdana"/>
          <w:b/>
          <w:bCs/>
          <w:sz w:val="26"/>
          <w:szCs w:val="26"/>
          <w:lang w:val="en-US"/>
        </w:rPr>
        <w:t>In the quest for territorial justice</w:t>
      </w:r>
    </w:p>
    <w:p w14:paraId="306BCEF9" w14:textId="69A879B6" w:rsidR="00AD6166" w:rsidRDefault="00AD6166" w:rsidP="009311C4">
      <w:pPr>
        <w:pBdr>
          <w:bottom w:val="single" w:sz="4" w:space="1" w:color="auto"/>
        </w:pBdr>
        <w:spacing w:line="240" w:lineRule="auto"/>
        <w:ind w:left="360"/>
        <w:jc w:val="both"/>
        <w:rPr>
          <w:rFonts w:ascii="Verdana" w:hAnsi="Verdana"/>
          <w:b/>
          <w:bCs/>
          <w:sz w:val="26"/>
          <w:szCs w:val="26"/>
          <w:lang w:val="en-US"/>
        </w:rPr>
      </w:pPr>
      <w:r w:rsidRPr="009311C4">
        <w:rPr>
          <w:rFonts w:ascii="Verdana" w:hAnsi="Verdana"/>
          <w:b/>
          <w:bCs/>
          <w:sz w:val="26"/>
          <w:szCs w:val="26"/>
          <w:lang w:val="en-US"/>
        </w:rPr>
        <w:t>Towards consensual relocation</w:t>
      </w:r>
      <w:r w:rsidR="00AC42F7">
        <w:rPr>
          <w:rFonts w:ascii="Verdana" w:hAnsi="Verdana"/>
          <w:b/>
          <w:bCs/>
          <w:sz w:val="26"/>
          <w:szCs w:val="26"/>
          <w:lang w:val="en-US"/>
        </w:rPr>
        <w:t>s</w:t>
      </w:r>
      <w:r w:rsidRPr="009311C4">
        <w:rPr>
          <w:rFonts w:ascii="Verdana" w:hAnsi="Verdana"/>
          <w:b/>
          <w:bCs/>
          <w:sz w:val="26"/>
          <w:szCs w:val="26"/>
          <w:lang w:val="en-US"/>
        </w:rPr>
        <w:t xml:space="preserve"> in Latin America</w:t>
      </w:r>
      <w:r w:rsidR="00C21B85">
        <w:rPr>
          <w:rFonts w:ascii="Verdana" w:hAnsi="Verdana"/>
          <w:b/>
          <w:bCs/>
          <w:sz w:val="26"/>
          <w:szCs w:val="26"/>
          <w:lang w:val="en-US"/>
        </w:rPr>
        <w:t xml:space="preserve"> and the Caribbean (LAC)</w:t>
      </w:r>
    </w:p>
    <w:p w14:paraId="574758BE" w14:textId="31FD6EDF" w:rsidR="003208B5" w:rsidRPr="009311C4" w:rsidRDefault="003208B5" w:rsidP="009311C4">
      <w:pPr>
        <w:pBdr>
          <w:bottom w:val="single" w:sz="4" w:space="1" w:color="auto"/>
        </w:pBdr>
        <w:spacing w:line="240" w:lineRule="auto"/>
        <w:ind w:left="360"/>
        <w:jc w:val="both"/>
        <w:rPr>
          <w:rFonts w:ascii="Verdana" w:hAnsi="Verdana"/>
          <w:b/>
          <w:bCs/>
          <w:sz w:val="26"/>
          <w:szCs w:val="26"/>
          <w:lang w:val="en-US"/>
        </w:rPr>
      </w:pPr>
      <w:r>
        <w:rPr>
          <w:rFonts w:ascii="Verdana" w:hAnsi="Verdana"/>
          <w:b/>
          <w:bCs/>
          <w:sz w:val="26"/>
          <w:szCs w:val="26"/>
          <w:lang w:val="en-US"/>
        </w:rPr>
        <w:t>Raquel Lejtreger</w:t>
      </w:r>
    </w:p>
    <w:p w14:paraId="1DA3AFDB" w14:textId="77777777" w:rsidR="00152F1C" w:rsidRPr="009311C4" w:rsidRDefault="00152F1C" w:rsidP="009311C4">
      <w:pPr>
        <w:shd w:val="clear" w:color="auto" w:fill="FFFFFF"/>
        <w:spacing w:before="100" w:beforeAutospacing="1" w:after="24" w:line="240" w:lineRule="auto"/>
        <w:ind w:left="360"/>
        <w:jc w:val="both"/>
        <w:rPr>
          <w:rFonts w:ascii="Verdana" w:hAnsi="Verdana"/>
          <w:sz w:val="20"/>
          <w:szCs w:val="20"/>
          <w:lang w:val="en-US"/>
        </w:rPr>
      </w:pPr>
      <w:r w:rsidRPr="009311C4">
        <w:rPr>
          <w:rFonts w:ascii="Verdana" w:hAnsi="Verdana"/>
          <w:sz w:val="20"/>
          <w:szCs w:val="20"/>
          <w:lang w:val="en-US"/>
        </w:rPr>
        <w:t>Although the concept of territorial justice has been used by many authors and it is possible to find numerous articles and works that mention it, there is no single definition.</w:t>
      </w:r>
    </w:p>
    <w:p w14:paraId="2B9E2453" w14:textId="7F5218A9" w:rsidR="00152F1C" w:rsidRPr="009311C4" w:rsidRDefault="00152F1C" w:rsidP="009311C4">
      <w:pPr>
        <w:shd w:val="clear" w:color="auto" w:fill="FFFFFF"/>
        <w:spacing w:before="100" w:beforeAutospacing="1" w:after="24" w:line="240" w:lineRule="auto"/>
        <w:ind w:left="360"/>
        <w:jc w:val="both"/>
        <w:rPr>
          <w:rFonts w:ascii="Verdana" w:hAnsi="Verdana"/>
          <w:sz w:val="20"/>
          <w:szCs w:val="20"/>
          <w:lang w:val="en-US"/>
        </w:rPr>
      </w:pPr>
      <w:r w:rsidRPr="009311C4">
        <w:rPr>
          <w:rFonts w:ascii="Verdana" w:hAnsi="Verdana"/>
          <w:sz w:val="20"/>
          <w:szCs w:val="20"/>
          <w:lang w:val="en-US"/>
        </w:rPr>
        <w:t>For example, in A Dictionary of Geography (5</w:t>
      </w:r>
      <w:r w:rsidR="00C90B81" w:rsidRPr="009311C4">
        <w:rPr>
          <w:rFonts w:ascii="Verdana" w:hAnsi="Verdana"/>
          <w:sz w:val="20"/>
          <w:szCs w:val="20"/>
          <w:lang w:val="en-US"/>
        </w:rPr>
        <w:t>th</w:t>
      </w:r>
      <w:r w:rsidRPr="009311C4">
        <w:rPr>
          <w:rFonts w:ascii="Verdana" w:hAnsi="Verdana"/>
          <w:sz w:val="20"/>
          <w:szCs w:val="20"/>
          <w:lang w:val="en-US"/>
        </w:rPr>
        <w:t xml:space="preserve"> ed.) published by Oxford University Press, Susan Mayhew offers a definition that refers to the application of ideas of social justice to an area of territory; that is, the identification by a government of areas of need, followed by a deliberate policy of redressing an imbalance. In this definition </w:t>
      </w:r>
      <w:r w:rsidR="00AC42F7">
        <w:rPr>
          <w:rFonts w:ascii="Verdana" w:hAnsi="Verdana"/>
          <w:sz w:val="20"/>
          <w:szCs w:val="20"/>
          <w:lang w:val="en-US"/>
        </w:rPr>
        <w:t>s</w:t>
      </w:r>
      <w:r w:rsidRPr="009311C4">
        <w:rPr>
          <w:rFonts w:ascii="Verdana" w:hAnsi="Verdana"/>
          <w:sz w:val="20"/>
          <w:szCs w:val="20"/>
          <w:lang w:val="en-US"/>
        </w:rPr>
        <w:t xml:space="preserve">he warns that as ideas of social justice vary according to the mode of production and the prevailing ideology, and so territorial justice varies </w:t>
      </w:r>
      <w:r w:rsidR="00C90B81" w:rsidRPr="009311C4">
        <w:rPr>
          <w:rFonts w:ascii="Verdana" w:hAnsi="Verdana"/>
          <w:sz w:val="20"/>
          <w:szCs w:val="20"/>
          <w:lang w:val="en-US"/>
        </w:rPr>
        <w:t>accordingly</w:t>
      </w:r>
      <w:r w:rsidRPr="009311C4">
        <w:rPr>
          <w:rFonts w:ascii="Verdana" w:hAnsi="Verdana"/>
          <w:sz w:val="20"/>
          <w:szCs w:val="20"/>
          <w:lang w:val="en-US"/>
        </w:rPr>
        <w:t xml:space="preserve">. </w:t>
      </w:r>
    </w:p>
    <w:p w14:paraId="6787F778" w14:textId="77777777" w:rsidR="00912C60" w:rsidRDefault="00152F1C" w:rsidP="00912C60">
      <w:pPr>
        <w:shd w:val="clear" w:color="auto" w:fill="FFFFFF"/>
        <w:spacing w:before="100" w:beforeAutospacing="1" w:after="24" w:line="240" w:lineRule="auto"/>
        <w:ind w:left="360"/>
        <w:jc w:val="both"/>
        <w:rPr>
          <w:rFonts w:ascii="Verdana" w:hAnsi="Verdana"/>
          <w:sz w:val="20"/>
          <w:szCs w:val="20"/>
          <w:lang w:val="en-US"/>
        </w:rPr>
      </w:pPr>
      <w:r w:rsidRPr="009311C4">
        <w:rPr>
          <w:rFonts w:ascii="Verdana" w:hAnsi="Verdana"/>
          <w:sz w:val="20"/>
          <w:szCs w:val="20"/>
          <w:lang w:val="en-US"/>
        </w:rPr>
        <w:t xml:space="preserve">This is why many of the works that refer to territorial justice indicate what is meant by territorial justice in the context of </w:t>
      </w:r>
      <w:r w:rsidR="009311C4" w:rsidRPr="009311C4">
        <w:rPr>
          <w:rFonts w:ascii="Verdana" w:hAnsi="Verdana"/>
          <w:sz w:val="20"/>
          <w:szCs w:val="20"/>
          <w:lang w:val="en-US"/>
        </w:rPr>
        <w:t>current research</w:t>
      </w:r>
      <w:r w:rsidRPr="009311C4">
        <w:rPr>
          <w:rFonts w:ascii="Verdana" w:hAnsi="Verdana"/>
          <w:sz w:val="20"/>
          <w:szCs w:val="20"/>
          <w:lang w:val="en-US"/>
        </w:rPr>
        <w:t xml:space="preserve"> </w:t>
      </w:r>
      <w:r w:rsidR="00C90B81" w:rsidRPr="009311C4">
        <w:rPr>
          <w:rFonts w:ascii="Verdana" w:hAnsi="Verdana"/>
          <w:sz w:val="20"/>
          <w:szCs w:val="20"/>
          <w:lang w:val="en-US"/>
        </w:rPr>
        <w:t>found for instance several</w:t>
      </w:r>
      <w:r w:rsidRPr="009311C4">
        <w:rPr>
          <w:rFonts w:ascii="Verdana" w:hAnsi="Verdana"/>
          <w:sz w:val="20"/>
          <w:szCs w:val="20"/>
          <w:lang w:val="en-US"/>
        </w:rPr>
        <w:t xml:space="preserve"> report</w:t>
      </w:r>
      <w:r w:rsidR="00C90B81" w:rsidRPr="009311C4">
        <w:rPr>
          <w:rFonts w:ascii="Verdana" w:hAnsi="Verdana"/>
          <w:sz w:val="20"/>
          <w:szCs w:val="20"/>
          <w:lang w:val="en-US"/>
        </w:rPr>
        <w:t>s</w:t>
      </w:r>
      <w:r w:rsidRPr="009311C4">
        <w:rPr>
          <w:rFonts w:ascii="Verdana" w:hAnsi="Verdana"/>
          <w:sz w:val="20"/>
          <w:szCs w:val="20"/>
          <w:lang w:val="en-US"/>
        </w:rPr>
        <w:t xml:space="preserve"> (e.g. the recent work by Pamela E. Degele, on the Protected Areas of the World's Indigenous Peoples, on the Protected Areas of the World's Indigenous Peoples). Degele </w:t>
      </w:r>
      <w:r w:rsidR="00C90B81" w:rsidRPr="009311C4">
        <w:rPr>
          <w:rFonts w:ascii="Verdana" w:hAnsi="Verdana"/>
          <w:sz w:val="20"/>
          <w:szCs w:val="20"/>
          <w:lang w:val="en-US"/>
        </w:rPr>
        <w:t xml:space="preserve">focusses </w:t>
      </w:r>
      <w:r w:rsidRPr="009311C4">
        <w:rPr>
          <w:rFonts w:ascii="Verdana" w:hAnsi="Verdana"/>
          <w:sz w:val="20"/>
          <w:szCs w:val="20"/>
          <w:lang w:val="en-US"/>
        </w:rPr>
        <w:t>on Protected areas in land use planning policies: Key articulation for territorial justice, in Argentina,</w:t>
      </w:r>
      <w:r w:rsidR="00C90B81" w:rsidRPr="009311C4">
        <w:rPr>
          <w:rFonts w:ascii="Verdana" w:hAnsi="Verdana"/>
          <w:sz w:val="20"/>
          <w:szCs w:val="20"/>
          <w:lang w:val="en-US"/>
        </w:rPr>
        <w:t xml:space="preserve"> just</w:t>
      </w:r>
      <w:r w:rsidRPr="009311C4">
        <w:rPr>
          <w:rFonts w:ascii="Verdana" w:hAnsi="Verdana"/>
          <w:sz w:val="20"/>
          <w:szCs w:val="20"/>
          <w:lang w:val="en-US"/>
        </w:rPr>
        <w:t xml:space="preserve"> to mention one example in the </w:t>
      </w:r>
      <w:r w:rsidR="00C21B85">
        <w:rPr>
          <w:rFonts w:ascii="Verdana" w:hAnsi="Verdana"/>
          <w:sz w:val="20"/>
          <w:szCs w:val="20"/>
          <w:lang w:val="en-US"/>
        </w:rPr>
        <w:t xml:space="preserve">LAC </w:t>
      </w:r>
      <w:r w:rsidRPr="009311C4">
        <w:rPr>
          <w:rFonts w:ascii="Verdana" w:hAnsi="Verdana"/>
          <w:sz w:val="20"/>
          <w:szCs w:val="20"/>
          <w:lang w:val="en-US"/>
        </w:rPr>
        <w:t xml:space="preserve">region). </w:t>
      </w:r>
    </w:p>
    <w:p w14:paraId="0B591D1C" w14:textId="0E1F12CE" w:rsidR="00152F1C" w:rsidRPr="009311C4" w:rsidRDefault="00152F1C" w:rsidP="00912C60">
      <w:pPr>
        <w:shd w:val="clear" w:color="auto" w:fill="FFFFFF"/>
        <w:spacing w:before="100" w:beforeAutospacing="1" w:after="24" w:line="240" w:lineRule="auto"/>
        <w:ind w:left="360"/>
        <w:jc w:val="both"/>
        <w:rPr>
          <w:rFonts w:ascii="Verdana" w:hAnsi="Verdana"/>
          <w:sz w:val="20"/>
          <w:szCs w:val="20"/>
          <w:lang w:val="en-US"/>
        </w:rPr>
      </w:pPr>
      <w:r w:rsidRPr="009311C4">
        <w:rPr>
          <w:rFonts w:ascii="Verdana" w:hAnsi="Verdana"/>
          <w:sz w:val="20"/>
          <w:szCs w:val="20"/>
          <w:lang w:val="en-US"/>
        </w:rPr>
        <w:t>There are authors, who also speak of spatial justice, or both.</w:t>
      </w:r>
      <w:r w:rsidR="00912C60">
        <w:rPr>
          <w:rFonts w:ascii="Verdana" w:hAnsi="Verdana"/>
          <w:sz w:val="20"/>
          <w:szCs w:val="20"/>
          <w:lang w:val="en-US"/>
        </w:rPr>
        <w:t xml:space="preserve"> </w:t>
      </w:r>
      <w:r w:rsidRPr="009311C4">
        <w:rPr>
          <w:rFonts w:ascii="Verdana" w:hAnsi="Verdana"/>
          <w:sz w:val="20"/>
          <w:szCs w:val="20"/>
          <w:lang w:val="en-US"/>
        </w:rPr>
        <w:t xml:space="preserve">This is the case of Paula Ferrari and Horacio </w:t>
      </w:r>
      <w:proofErr w:type="spellStart"/>
      <w:r w:rsidRPr="009311C4">
        <w:rPr>
          <w:rFonts w:ascii="Verdana" w:hAnsi="Verdana"/>
          <w:sz w:val="20"/>
          <w:szCs w:val="20"/>
          <w:lang w:val="en-US"/>
        </w:rPr>
        <w:t>Bozzano</w:t>
      </w:r>
      <w:proofErr w:type="spellEnd"/>
      <w:r w:rsidRPr="009311C4">
        <w:rPr>
          <w:rFonts w:ascii="Verdana" w:hAnsi="Verdana"/>
          <w:sz w:val="20"/>
          <w:szCs w:val="20"/>
          <w:lang w:val="en-US"/>
        </w:rPr>
        <w:t xml:space="preserve">, Argentinean authors referenced by Degele, who indicate that justice as a category and mechanism for resolving conflicts in social life began to be </w:t>
      </w:r>
      <w:proofErr w:type="spellStart"/>
      <w:r w:rsidRPr="009311C4">
        <w:rPr>
          <w:rFonts w:ascii="Verdana" w:hAnsi="Verdana"/>
          <w:sz w:val="20"/>
          <w:szCs w:val="20"/>
          <w:lang w:val="en-US"/>
        </w:rPr>
        <w:t>analysed</w:t>
      </w:r>
      <w:proofErr w:type="spellEnd"/>
      <w:r w:rsidRPr="009311C4">
        <w:rPr>
          <w:rFonts w:ascii="Verdana" w:hAnsi="Verdana"/>
          <w:sz w:val="20"/>
          <w:szCs w:val="20"/>
          <w:lang w:val="en-US"/>
        </w:rPr>
        <w:t xml:space="preserve"> by human geography in the 1970s, due to the growing awareness of the inability of quantitative geography to respond to the social inequalities of the time.</w:t>
      </w:r>
      <w:r w:rsidR="00C90B81" w:rsidRPr="009311C4">
        <w:rPr>
          <w:rFonts w:ascii="Verdana" w:hAnsi="Verdana"/>
          <w:sz w:val="20"/>
          <w:szCs w:val="20"/>
          <w:lang w:val="en-US"/>
        </w:rPr>
        <w:t xml:space="preserve"> Seminal works by</w:t>
      </w:r>
      <w:r w:rsidRPr="009311C4">
        <w:rPr>
          <w:rFonts w:ascii="Verdana" w:hAnsi="Verdana"/>
          <w:sz w:val="20"/>
          <w:szCs w:val="20"/>
          <w:lang w:val="en-US"/>
        </w:rPr>
        <w:t xml:space="preserve"> </w:t>
      </w:r>
      <w:r w:rsidR="00C90B81" w:rsidRPr="009311C4">
        <w:rPr>
          <w:rFonts w:ascii="Verdana" w:hAnsi="Verdana"/>
          <w:sz w:val="20"/>
          <w:szCs w:val="20"/>
          <w:lang w:val="en-US"/>
        </w:rPr>
        <w:t>g</w:t>
      </w:r>
      <w:r w:rsidRPr="009311C4">
        <w:rPr>
          <w:rFonts w:ascii="Verdana" w:hAnsi="Verdana"/>
          <w:sz w:val="20"/>
          <w:szCs w:val="20"/>
          <w:lang w:val="en-US"/>
        </w:rPr>
        <w:t>eograp</w:t>
      </w:r>
      <w:r w:rsidR="00C90B81" w:rsidRPr="009311C4">
        <w:rPr>
          <w:rFonts w:ascii="Verdana" w:hAnsi="Verdana"/>
          <w:sz w:val="20"/>
          <w:szCs w:val="20"/>
          <w:lang w:val="en-US"/>
        </w:rPr>
        <w:t>hers</w:t>
      </w:r>
      <w:r w:rsidRPr="009311C4">
        <w:rPr>
          <w:rFonts w:ascii="Verdana" w:hAnsi="Verdana"/>
          <w:sz w:val="20"/>
          <w:szCs w:val="20"/>
          <w:lang w:val="en-US"/>
        </w:rPr>
        <w:t xml:space="preserve"> basically emphasi</w:t>
      </w:r>
      <w:r w:rsidR="00C90B81" w:rsidRPr="009311C4">
        <w:rPr>
          <w:rFonts w:ascii="Verdana" w:hAnsi="Verdana"/>
          <w:sz w:val="20"/>
          <w:szCs w:val="20"/>
          <w:lang w:val="en-US"/>
        </w:rPr>
        <w:t>z</w:t>
      </w:r>
      <w:r w:rsidRPr="009311C4">
        <w:rPr>
          <w:rFonts w:ascii="Verdana" w:hAnsi="Verdana"/>
          <w:sz w:val="20"/>
          <w:szCs w:val="20"/>
          <w:lang w:val="en-US"/>
        </w:rPr>
        <w:t>es the concept of justice in its territorial and social (Harvey, 1973) or spatial (Soja, 2010) character.</w:t>
      </w:r>
    </w:p>
    <w:p w14:paraId="74BE656E" w14:textId="7F5004E7" w:rsidR="00152F1C" w:rsidRPr="009311C4" w:rsidRDefault="00152F1C" w:rsidP="009311C4">
      <w:pPr>
        <w:shd w:val="clear" w:color="auto" w:fill="FFFFFF"/>
        <w:spacing w:before="100" w:beforeAutospacing="1" w:after="24" w:line="240" w:lineRule="auto"/>
        <w:ind w:left="360"/>
        <w:jc w:val="both"/>
        <w:rPr>
          <w:rFonts w:ascii="Verdana" w:hAnsi="Verdana"/>
          <w:sz w:val="20"/>
          <w:szCs w:val="20"/>
          <w:lang w:val="en-US"/>
        </w:rPr>
      </w:pPr>
      <w:r w:rsidRPr="009311C4">
        <w:rPr>
          <w:rFonts w:ascii="Verdana" w:hAnsi="Verdana"/>
          <w:sz w:val="20"/>
          <w:szCs w:val="20"/>
          <w:lang w:val="en-US"/>
        </w:rPr>
        <w:t xml:space="preserve">All of them </w:t>
      </w:r>
      <w:r w:rsidR="00C90B81" w:rsidRPr="009311C4">
        <w:rPr>
          <w:rFonts w:ascii="Verdana" w:hAnsi="Verdana"/>
          <w:sz w:val="20"/>
          <w:szCs w:val="20"/>
          <w:lang w:val="en-US"/>
        </w:rPr>
        <w:t>are</w:t>
      </w:r>
      <w:r w:rsidRPr="009311C4">
        <w:rPr>
          <w:rFonts w:ascii="Verdana" w:hAnsi="Verdana"/>
          <w:sz w:val="20"/>
          <w:szCs w:val="20"/>
          <w:lang w:val="en-US"/>
        </w:rPr>
        <w:t xml:space="preserve"> beacon</w:t>
      </w:r>
      <w:r w:rsidR="00C90B81" w:rsidRPr="009311C4">
        <w:rPr>
          <w:rFonts w:ascii="Verdana" w:hAnsi="Verdana"/>
          <w:sz w:val="20"/>
          <w:szCs w:val="20"/>
          <w:lang w:val="en-US"/>
        </w:rPr>
        <w:t>s which amplified</w:t>
      </w:r>
      <w:r w:rsidRPr="009311C4">
        <w:rPr>
          <w:rFonts w:ascii="Verdana" w:hAnsi="Verdana"/>
          <w:sz w:val="20"/>
          <w:szCs w:val="20"/>
          <w:lang w:val="en-US"/>
        </w:rPr>
        <w:t xml:space="preserve"> the ideas of Henri Lefebvre, who presented the idea of the right to the city, and more contemporarily those of David Harvey with his Rebel Cities: From the Right of the City to the Urban Revolution </w:t>
      </w:r>
      <w:r w:rsidR="00C10BAE" w:rsidRPr="009311C4">
        <w:rPr>
          <w:rFonts w:ascii="Verdana" w:hAnsi="Verdana"/>
          <w:sz w:val="20"/>
          <w:szCs w:val="20"/>
          <w:lang w:val="en-US"/>
        </w:rPr>
        <w:t xml:space="preserve">followed </w:t>
      </w:r>
      <w:proofErr w:type="spellStart"/>
      <w:r w:rsidR="00C10BAE" w:rsidRPr="009311C4">
        <w:rPr>
          <w:rFonts w:ascii="Verdana" w:hAnsi="Verdana"/>
          <w:sz w:val="20"/>
          <w:szCs w:val="20"/>
          <w:lang w:val="en-US"/>
        </w:rPr>
        <w:t>byf</w:t>
      </w:r>
      <w:proofErr w:type="spellEnd"/>
      <w:r w:rsidRPr="009311C4">
        <w:rPr>
          <w:rFonts w:ascii="Verdana" w:hAnsi="Verdana"/>
          <w:sz w:val="20"/>
          <w:szCs w:val="20"/>
          <w:lang w:val="en-US"/>
        </w:rPr>
        <w:t xml:space="preserve"> so many other</w:t>
      </w:r>
      <w:r w:rsidR="00C10BAE" w:rsidRPr="009311C4">
        <w:rPr>
          <w:rFonts w:ascii="Verdana" w:hAnsi="Verdana"/>
          <w:sz w:val="20"/>
          <w:szCs w:val="20"/>
          <w:lang w:val="en-US"/>
        </w:rPr>
        <w:t xml:space="preserve"> important</w:t>
      </w:r>
      <w:r w:rsidRPr="009311C4">
        <w:rPr>
          <w:rFonts w:ascii="Verdana" w:hAnsi="Verdana"/>
          <w:sz w:val="20"/>
          <w:szCs w:val="20"/>
          <w:lang w:val="en-US"/>
        </w:rPr>
        <w:t xml:space="preserve"> publications and Edward William Soja with his book Seeking spatial justice, and at the regional level, the Brazilian geographer Milton Santos, with a vast body of work that includes texts such as </w:t>
      </w:r>
      <w:proofErr w:type="spellStart"/>
      <w:r w:rsidRPr="009311C4">
        <w:rPr>
          <w:rFonts w:ascii="Verdana" w:hAnsi="Verdana"/>
          <w:sz w:val="20"/>
          <w:szCs w:val="20"/>
          <w:lang w:val="en-US"/>
        </w:rPr>
        <w:t>L'espace</w:t>
      </w:r>
      <w:proofErr w:type="spellEnd"/>
      <w:r w:rsidRPr="009311C4">
        <w:rPr>
          <w:rFonts w:ascii="Verdana" w:hAnsi="Verdana"/>
          <w:sz w:val="20"/>
          <w:szCs w:val="20"/>
          <w:lang w:val="en-US"/>
        </w:rPr>
        <w:t xml:space="preserve"> </w:t>
      </w:r>
      <w:proofErr w:type="spellStart"/>
      <w:r w:rsidRPr="009311C4">
        <w:rPr>
          <w:rFonts w:ascii="Verdana" w:hAnsi="Verdana"/>
          <w:sz w:val="20"/>
          <w:szCs w:val="20"/>
          <w:lang w:val="en-US"/>
        </w:rPr>
        <w:t>partagé</w:t>
      </w:r>
      <w:proofErr w:type="spellEnd"/>
      <w:r w:rsidRPr="009311C4">
        <w:rPr>
          <w:rFonts w:ascii="Verdana" w:hAnsi="Verdana"/>
          <w:sz w:val="20"/>
          <w:szCs w:val="20"/>
          <w:lang w:val="en-US"/>
        </w:rPr>
        <w:t xml:space="preserve"> (1975), </w:t>
      </w:r>
      <w:proofErr w:type="spellStart"/>
      <w:r w:rsidRPr="009311C4">
        <w:rPr>
          <w:rFonts w:ascii="Verdana" w:hAnsi="Verdana"/>
          <w:sz w:val="20"/>
          <w:szCs w:val="20"/>
          <w:lang w:val="en-US"/>
        </w:rPr>
        <w:t>Pobreza</w:t>
      </w:r>
      <w:proofErr w:type="spellEnd"/>
      <w:r w:rsidRPr="009311C4">
        <w:rPr>
          <w:rFonts w:ascii="Verdana" w:hAnsi="Verdana"/>
          <w:sz w:val="20"/>
          <w:szCs w:val="20"/>
          <w:lang w:val="en-US"/>
        </w:rPr>
        <w:t xml:space="preserve"> </w:t>
      </w:r>
      <w:proofErr w:type="spellStart"/>
      <w:r w:rsidRPr="009311C4">
        <w:rPr>
          <w:rFonts w:ascii="Verdana" w:hAnsi="Verdana"/>
          <w:sz w:val="20"/>
          <w:szCs w:val="20"/>
          <w:lang w:val="en-US"/>
        </w:rPr>
        <w:t>urbana</w:t>
      </w:r>
      <w:proofErr w:type="spellEnd"/>
      <w:r w:rsidRPr="009311C4">
        <w:rPr>
          <w:rFonts w:ascii="Verdana" w:hAnsi="Verdana"/>
          <w:sz w:val="20"/>
          <w:szCs w:val="20"/>
          <w:lang w:val="en-US"/>
        </w:rPr>
        <w:t xml:space="preserve"> (1978), El </w:t>
      </w:r>
      <w:proofErr w:type="spellStart"/>
      <w:r w:rsidRPr="009311C4">
        <w:rPr>
          <w:rFonts w:ascii="Verdana" w:hAnsi="Verdana"/>
          <w:sz w:val="20"/>
          <w:szCs w:val="20"/>
          <w:lang w:val="en-US"/>
        </w:rPr>
        <w:t>trabajo</w:t>
      </w:r>
      <w:proofErr w:type="spellEnd"/>
      <w:r w:rsidRPr="009311C4">
        <w:rPr>
          <w:rFonts w:ascii="Verdana" w:hAnsi="Verdana"/>
          <w:sz w:val="20"/>
          <w:szCs w:val="20"/>
          <w:lang w:val="en-US"/>
        </w:rPr>
        <w:t xml:space="preserve"> del </w:t>
      </w:r>
      <w:proofErr w:type="spellStart"/>
      <w:r w:rsidRPr="009311C4">
        <w:rPr>
          <w:rFonts w:ascii="Verdana" w:hAnsi="Verdana"/>
          <w:sz w:val="20"/>
          <w:szCs w:val="20"/>
          <w:lang w:val="en-US"/>
        </w:rPr>
        <w:t>geógrafo</w:t>
      </w:r>
      <w:proofErr w:type="spellEnd"/>
      <w:r w:rsidRPr="009311C4">
        <w:rPr>
          <w:rFonts w:ascii="Verdana" w:hAnsi="Verdana"/>
          <w:sz w:val="20"/>
          <w:szCs w:val="20"/>
          <w:lang w:val="en-US"/>
        </w:rPr>
        <w:t xml:space="preserve"> </w:t>
      </w:r>
      <w:proofErr w:type="spellStart"/>
      <w:r w:rsidRPr="009311C4">
        <w:rPr>
          <w:rFonts w:ascii="Verdana" w:hAnsi="Verdana"/>
          <w:sz w:val="20"/>
          <w:szCs w:val="20"/>
          <w:lang w:val="en-US"/>
        </w:rPr>
        <w:t>en</w:t>
      </w:r>
      <w:proofErr w:type="spellEnd"/>
      <w:r w:rsidRPr="009311C4">
        <w:rPr>
          <w:rFonts w:ascii="Verdana" w:hAnsi="Verdana"/>
          <w:sz w:val="20"/>
          <w:szCs w:val="20"/>
          <w:lang w:val="en-US"/>
        </w:rPr>
        <w:t xml:space="preserve"> </w:t>
      </w:r>
      <w:proofErr w:type="spellStart"/>
      <w:r w:rsidRPr="009311C4">
        <w:rPr>
          <w:rFonts w:ascii="Verdana" w:hAnsi="Verdana"/>
          <w:sz w:val="20"/>
          <w:szCs w:val="20"/>
          <w:lang w:val="en-US"/>
        </w:rPr>
        <w:t>el</w:t>
      </w:r>
      <w:proofErr w:type="spellEnd"/>
      <w:r w:rsidRPr="009311C4">
        <w:rPr>
          <w:rFonts w:ascii="Verdana" w:hAnsi="Verdana"/>
          <w:sz w:val="20"/>
          <w:szCs w:val="20"/>
          <w:lang w:val="en-US"/>
        </w:rPr>
        <w:t xml:space="preserve"> </w:t>
      </w:r>
      <w:proofErr w:type="spellStart"/>
      <w:r w:rsidRPr="009311C4">
        <w:rPr>
          <w:rFonts w:ascii="Verdana" w:hAnsi="Verdana"/>
          <w:sz w:val="20"/>
          <w:szCs w:val="20"/>
          <w:lang w:val="en-US"/>
        </w:rPr>
        <w:t>Tercer</w:t>
      </w:r>
      <w:proofErr w:type="spellEnd"/>
      <w:r w:rsidRPr="009311C4">
        <w:rPr>
          <w:rFonts w:ascii="Verdana" w:hAnsi="Verdana"/>
          <w:sz w:val="20"/>
          <w:szCs w:val="20"/>
          <w:lang w:val="en-US"/>
        </w:rPr>
        <w:t xml:space="preserve"> Mundo (1978), among others. I would like to </w:t>
      </w:r>
      <w:r w:rsidR="00C10BAE" w:rsidRPr="009311C4">
        <w:rPr>
          <w:rFonts w:ascii="Verdana" w:hAnsi="Verdana"/>
          <w:sz w:val="20"/>
          <w:szCs w:val="20"/>
          <w:lang w:val="en-US"/>
        </w:rPr>
        <w:t>add to</w:t>
      </w:r>
      <w:r w:rsidRPr="009311C4">
        <w:rPr>
          <w:rFonts w:ascii="Verdana" w:hAnsi="Verdana"/>
          <w:sz w:val="20"/>
          <w:szCs w:val="20"/>
          <w:lang w:val="en-US"/>
        </w:rPr>
        <w:t xml:space="preserve"> this inspiring list Jane Jacobs</w:t>
      </w:r>
      <w:r w:rsidR="00D102FC">
        <w:rPr>
          <w:rFonts w:ascii="Verdana" w:hAnsi="Verdana"/>
          <w:sz w:val="20"/>
          <w:szCs w:val="20"/>
          <w:lang w:val="en-US"/>
        </w:rPr>
        <w:t>;</w:t>
      </w:r>
      <w:r w:rsidRPr="009311C4">
        <w:rPr>
          <w:rFonts w:ascii="Verdana" w:hAnsi="Verdana"/>
          <w:sz w:val="20"/>
          <w:szCs w:val="20"/>
          <w:lang w:val="en-US"/>
        </w:rPr>
        <w:t xml:space="preserve"> and architect Zaida </w:t>
      </w:r>
      <w:proofErr w:type="spellStart"/>
      <w:r w:rsidRPr="009311C4">
        <w:rPr>
          <w:rFonts w:ascii="Verdana" w:hAnsi="Verdana"/>
          <w:sz w:val="20"/>
          <w:szCs w:val="20"/>
          <w:lang w:val="en-US"/>
        </w:rPr>
        <w:t>Muxi</w:t>
      </w:r>
      <w:proofErr w:type="spellEnd"/>
      <w:r w:rsidRPr="009311C4">
        <w:rPr>
          <w:rFonts w:ascii="Verdana" w:hAnsi="Verdana"/>
          <w:sz w:val="20"/>
          <w:szCs w:val="20"/>
          <w:lang w:val="en-US"/>
        </w:rPr>
        <w:t xml:space="preserve">, who, in Women, houses and cities, </w:t>
      </w:r>
      <w:r w:rsidR="00C10BAE" w:rsidRPr="009311C4">
        <w:rPr>
          <w:rFonts w:ascii="Verdana" w:hAnsi="Verdana"/>
          <w:sz w:val="20"/>
          <w:szCs w:val="20"/>
          <w:lang w:val="en-US"/>
        </w:rPr>
        <w:t>provides us with</w:t>
      </w:r>
      <w:r w:rsidRPr="009311C4">
        <w:rPr>
          <w:rFonts w:ascii="Verdana" w:hAnsi="Verdana"/>
          <w:sz w:val="20"/>
          <w:szCs w:val="20"/>
          <w:lang w:val="en-US"/>
        </w:rPr>
        <w:t xml:space="preserve"> the gender perspective in the </w:t>
      </w:r>
      <w:r w:rsidR="00C10BAE" w:rsidRPr="009311C4">
        <w:rPr>
          <w:rFonts w:ascii="Verdana" w:hAnsi="Verdana"/>
          <w:sz w:val="20"/>
          <w:szCs w:val="20"/>
          <w:lang w:val="en-US"/>
        </w:rPr>
        <w:t>field of urban and city planning</w:t>
      </w:r>
      <w:r w:rsidRPr="009311C4">
        <w:rPr>
          <w:rFonts w:ascii="Verdana" w:hAnsi="Verdana"/>
          <w:sz w:val="20"/>
          <w:szCs w:val="20"/>
          <w:lang w:val="en-US"/>
        </w:rPr>
        <w:t>.</w:t>
      </w:r>
    </w:p>
    <w:p w14:paraId="529F473B" w14:textId="75518C7A" w:rsidR="00500235" w:rsidRPr="009311C4" w:rsidRDefault="00152F1C" w:rsidP="009311C4">
      <w:pPr>
        <w:shd w:val="clear" w:color="auto" w:fill="FFFFFF"/>
        <w:spacing w:before="100" w:beforeAutospacing="1" w:after="24" w:line="240" w:lineRule="auto"/>
        <w:ind w:left="360"/>
        <w:jc w:val="both"/>
        <w:rPr>
          <w:rFonts w:ascii="Verdana" w:hAnsi="Verdana"/>
          <w:color w:val="000000" w:themeColor="text1"/>
          <w:sz w:val="20"/>
          <w:szCs w:val="20"/>
          <w:lang w:val="en-US"/>
        </w:rPr>
      </w:pPr>
      <w:r w:rsidRPr="009311C4">
        <w:rPr>
          <w:rFonts w:ascii="Verdana" w:hAnsi="Verdana"/>
          <w:sz w:val="20"/>
          <w:szCs w:val="20"/>
          <w:lang w:val="en-US"/>
        </w:rPr>
        <w:t xml:space="preserve">In this case, then, the strands that make up the </w:t>
      </w:r>
      <w:r w:rsidR="00C10BAE" w:rsidRPr="009311C4">
        <w:rPr>
          <w:rFonts w:ascii="Verdana" w:hAnsi="Verdana"/>
          <w:sz w:val="20"/>
          <w:szCs w:val="20"/>
          <w:lang w:val="en-US"/>
        </w:rPr>
        <w:t xml:space="preserve">conceptual </w:t>
      </w:r>
      <w:r w:rsidRPr="009311C4">
        <w:rPr>
          <w:rFonts w:ascii="Verdana" w:hAnsi="Verdana"/>
          <w:sz w:val="20"/>
          <w:szCs w:val="20"/>
          <w:lang w:val="en-US"/>
        </w:rPr>
        <w:t xml:space="preserve">framework of territorial justice in relation to relocations in the context of climate change and disaster risk management, </w:t>
      </w:r>
      <w:r w:rsidR="00C10BAE" w:rsidRPr="009311C4">
        <w:rPr>
          <w:rFonts w:ascii="Verdana" w:hAnsi="Verdana"/>
          <w:sz w:val="20"/>
          <w:szCs w:val="20"/>
          <w:lang w:val="en-US"/>
        </w:rPr>
        <w:t>can be broken down into the</w:t>
      </w:r>
      <w:r w:rsidRPr="009311C4">
        <w:rPr>
          <w:rFonts w:ascii="Verdana" w:hAnsi="Verdana"/>
          <w:sz w:val="20"/>
          <w:szCs w:val="20"/>
          <w:lang w:val="en-US"/>
        </w:rPr>
        <w:t xml:space="preserve"> following main components:</w:t>
      </w:r>
    </w:p>
    <w:p w14:paraId="1DB4CCA5" w14:textId="212812C8" w:rsidR="004E668A" w:rsidRPr="009311C4" w:rsidRDefault="004E668A" w:rsidP="009311C4">
      <w:pPr>
        <w:spacing w:before="280" w:after="240" w:line="240" w:lineRule="auto"/>
        <w:ind w:left="360"/>
        <w:jc w:val="both"/>
        <w:rPr>
          <w:rFonts w:ascii="Verdana" w:hAnsi="Verdana"/>
          <w:color w:val="000000" w:themeColor="text1"/>
          <w:sz w:val="20"/>
          <w:szCs w:val="20"/>
          <w:lang w:val="en-US"/>
        </w:rPr>
      </w:pPr>
      <w:r w:rsidRPr="009311C4">
        <w:rPr>
          <w:rFonts w:ascii="Verdana" w:hAnsi="Verdana"/>
          <w:color w:val="000000" w:themeColor="text1"/>
          <w:sz w:val="20"/>
          <w:szCs w:val="20"/>
          <w:lang w:val="en-US"/>
        </w:rPr>
        <w:t>1.</w:t>
      </w:r>
      <w:r w:rsidRPr="009311C4">
        <w:rPr>
          <w:rFonts w:ascii="Verdana" w:hAnsi="Verdana"/>
          <w:color w:val="000000" w:themeColor="text1"/>
          <w:sz w:val="20"/>
          <w:szCs w:val="20"/>
          <w:lang w:val="en-US"/>
        </w:rPr>
        <w:tab/>
        <w:t xml:space="preserve">Firstly, </w:t>
      </w:r>
      <w:r w:rsidR="00B84267" w:rsidRPr="009311C4">
        <w:rPr>
          <w:rFonts w:ascii="Verdana" w:hAnsi="Verdana"/>
          <w:color w:val="000000" w:themeColor="text1"/>
          <w:sz w:val="20"/>
          <w:szCs w:val="20"/>
          <w:lang w:val="en-US"/>
        </w:rPr>
        <w:t xml:space="preserve">as Judge Helena Liberatori, in charge of the Secretariat of Vulnerable </w:t>
      </w:r>
      <w:proofErr w:type="spellStart"/>
      <w:r w:rsidR="00B84267" w:rsidRPr="009311C4">
        <w:rPr>
          <w:rFonts w:ascii="Verdana" w:hAnsi="Verdana"/>
          <w:color w:val="000000" w:themeColor="text1"/>
          <w:sz w:val="20"/>
          <w:szCs w:val="20"/>
          <w:lang w:val="en-US"/>
        </w:rPr>
        <w:t>Neighbourhoods</w:t>
      </w:r>
      <w:proofErr w:type="spellEnd"/>
      <w:r w:rsidR="00B84267" w:rsidRPr="009311C4">
        <w:rPr>
          <w:rFonts w:ascii="Verdana" w:hAnsi="Verdana"/>
          <w:color w:val="000000" w:themeColor="text1"/>
          <w:sz w:val="20"/>
          <w:szCs w:val="20"/>
          <w:lang w:val="en-US"/>
        </w:rPr>
        <w:t xml:space="preserve"> of the City of Buenos Aires (slums and informal settlements) in </w:t>
      </w:r>
      <w:r w:rsidR="00B84267" w:rsidRPr="009311C4">
        <w:rPr>
          <w:rFonts w:ascii="Verdana" w:hAnsi="Verdana"/>
          <w:color w:val="000000" w:themeColor="text1"/>
          <w:sz w:val="20"/>
          <w:szCs w:val="20"/>
          <w:lang w:val="en-US"/>
        </w:rPr>
        <w:lastRenderedPageBreak/>
        <w:t xml:space="preserve">Argentina, says, </w:t>
      </w:r>
      <w:r w:rsidRPr="009311C4">
        <w:rPr>
          <w:rFonts w:ascii="Verdana" w:hAnsi="Verdana"/>
          <w:color w:val="000000" w:themeColor="text1"/>
          <w:sz w:val="20"/>
          <w:szCs w:val="20"/>
          <w:lang w:val="en-US"/>
        </w:rPr>
        <w:t>when the State is absent or does not fulfil</w:t>
      </w:r>
      <w:r w:rsidR="009311C4">
        <w:rPr>
          <w:rFonts w:ascii="Verdana" w:hAnsi="Verdana"/>
          <w:color w:val="000000" w:themeColor="text1"/>
          <w:sz w:val="20"/>
          <w:szCs w:val="20"/>
          <w:lang w:val="en-US"/>
        </w:rPr>
        <w:t>l</w:t>
      </w:r>
      <w:r w:rsidRPr="009311C4">
        <w:rPr>
          <w:rFonts w:ascii="Verdana" w:hAnsi="Verdana"/>
          <w:color w:val="000000" w:themeColor="text1"/>
          <w:sz w:val="20"/>
          <w:szCs w:val="20"/>
          <w:lang w:val="en-US"/>
        </w:rPr>
        <w:t xml:space="preserve"> its duties, the justice system intervenes.</w:t>
      </w:r>
    </w:p>
    <w:p w14:paraId="3C1B963B" w14:textId="71952E8A" w:rsidR="004E668A" w:rsidRPr="009311C4" w:rsidRDefault="004E668A" w:rsidP="009311C4">
      <w:pPr>
        <w:spacing w:before="280" w:after="240" w:line="240" w:lineRule="auto"/>
        <w:ind w:left="360"/>
        <w:jc w:val="both"/>
        <w:rPr>
          <w:rFonts w:ascii="Verdana" w:hAnsi="Verdana"/>
          <w:color w:val="000000" w:themeColor="text1"/>
          <w:sz w:val="20"/>
          <w:szCs w:val="20"/>
          <w:lang w:val="en-US"/>
        </w:rPr>
      </w:pPr>
      <w:r w:rsidRPr="009311C4">
        <w:rPr>
          <w:rFonts w:ascii="Verdana" w:hAnsi="Verdana"/>
          <w:color w:val="000000" w:themeColor="text1"/>
          <w:sz w:val="20"/>
          <w:szCs w:val="20"/>
          <w:lang w:val="en-US"/>
        </w:rPr>
        <w:t>2.</w:t>
      </w:r>
      <w:r w:rsidRPr="009311C4">
        <w:rPr>
          <w:rFonts w:ascii="Verdana" w:hAnsi="Verdana"/>
          <w:color w:val="000000" w:themeColor="text1"/>
          <w:sz w:val="20"/>
          <w:szCs w:val="20"/>
          <w:lang w:val="en-US"/>
        </w:rPr>
        <w:tab/>
      </w:r>
      <w:r w:rsidR="00057268">
        <w:rPr>
          <w:rFonts w:ascii="Verdana" w:hAnsi="Verdana"/>
          <w:color w:val="000000" w:themeColor="text1"/>
          <w:sz w:val="20"/>
          <w:szCs w:val="20"/>
          <w:lang w:val="en-US"/>
        </w:rPr>
        <w:t>Second</w:t>
      </w:r>
      <w:r w:rsidRPr="009311C4">
        <w:rPr>
          <w:rFonts w:ascii="Verdana" w:hAnsi="Verdana"/>
          <w:color w:val="000000" w:themeColor="text1"/>
          <w:sz w:val="20"/>
          <w:szCs w:val="20"/>
          <w:lang w:val="en-US"/>
        </w:rPr>
        <w:t>, the fact of assuming that the construction of knowledge, professional work and political action are always carried out from a position and a context that constructs our decisions and vision of the world, and that decision-making is not a neutral place, even if it is based on scientific knowledge. And therefore it is</w:t>
      </w:r>
      <w:r w:rsidR="00C10BAE" w:rsidRPr="009311C4">
        <w:rPr>
          <w:rFonts w:ascii="Verdana" w:hAnsi="Verdana"/>
          <w:color w:val="000000" w:themeColor="text1"/>
          <w:sz w:val="20"/>
          <w:szCs w:val="20"/>
          <w:lang w:val="en-US"/>
        </w:rPr>
        <w:t xml:space="preserve"> the result of</w:t>
      </w:r>
      <w:r w:rsidRPr="009311C4">
        <w:rPr>
          <w:rFonts w:ascii="Verdana" w:hAnsi="Verdana"/>
          <w:color w:val="000000" w:themeColor="text1"/>
          <w:sz w:val="20"/>
          <w:szCs w:val="20"/>
          <w:lang w:val="en-US"/>
        </w:rPr>
        <w:t xml:space="preserve"> a choice, to express that positioning clearly and translate it into a set of ideas and practices and in that positioning </w:t>
      </w:r>
      <w:r w:rsidR="00C10BAE" w:rsidRPr="009311C4">
        <w:rPr>
          <w:rFonts w:ascii="Verdana" w:hAnsi="Verdana"/>
          <w:color w:val="000000" w:themeColor="text1"/>
          <w:sz w:val="20"/>
          <w:szCs w:val="20"/>
          <w:lang w:val="en-US"/>
        </w:rPr>
        <w:t>which privileges</w:t>
      </w:r>
      <w:r w:rsidR="00057268">
        <w:rPr>
          <w:rFonts w:ascii="Verdana" w:hAnsi="Verdana"/>
          <w:color w:val="000000" w:themeColor="text1"/>
          <w:sz w:val="20"/>
          <w:szCs w:val="20"/>
          <w:lang w:val="en-US"/>
        </w:rPr>
        <w:t xml:space="preserve"> </w:t>
      </w:r>
      <w:r w:rsidRPr="009311C4">
        <w:rPr>
          <w:rFonts w:ascii="Verdana" w:hAnsi="Verdana"/>
          <w:color w:val="000000" w:themeColor="text1"/>
          <w:sz w:val="20"/>
          <w:szCs w:val="20"/>
          <w:lang w:val="en-US"/>
        </w:rPr>
        <w:t>the human rights perspective and the intersectional gender approach, for equality.</w:t>
      </w:r>
    </w:p>
    <w:p w14:paraId="095F296F" w14:textId="081FDF8B" w:rsidR="004E668A" w:rsidRPr="009311C4" w:rsidRDefault="004E668A" w:rsidP="00057268">
      <w:pPr>
        <w:spacing w:before="280" w:after="240" w:line="240" w:lineRule="auto"/>
        <w:ind w:left="360"/>
        <w:jc w:val="both"/>
        <w:rPr>
          <w:rFonts w:ascii="Verdana" w:hAnsi="Verdana"/>
          <w:color w:val="000000" w:themeColor="text1"/>
          <w:sz w:val="20"/>
          <w:szCs w:val="20"/>
          <w:lang w:val="en-US"/>
        </w:rPr>
      </w:pPr>
      <w:r w:rsidRPr="009311C4">
        <w:rPr>
          <w:rFonts w:ascii="Verdana" w:hAnsi="Verdana"/>
          <w:color w:val="000000" w:themeColor="text1"/>
          <w:sz w:val="20"/>
          <w:szCs w:val="20"/>
          <w:lang w:val="en-US"/>
        </w:rPr>
        <w:t>3.</w:t>
      </w:r>
      <w:r w:rsidRPr="009311C4">
        <w:rPr>
          <w:rFonts w:ascii="Verdana" w:hAnsi="Verdana"/>
          <w:color w:val="000000" w:themeColor="text1"/>
          <w:sz w:val="20"/>
          <w:szCs w:val="20"/>
          <w:lang w:val="en-US"/>
        </w:rPr>
        <w:tab/>
        <w:t>On another level, with regard to theoretical components, it is important to mention that "Territorial governance is different from risk governance. While risk governance has a sectoral connotation, territorial governance is broader and more inclusive</w:t>
      </w:r>
      <w:r w:rsidR="00C82B41">
        <w:rPr>
          <w:rFonts w:ascii="Verdana" w:hAnsi="Verdana"/>
          <w:color w:val="000000" w:themeColor="text1"/>
          <w:sz w:val="20"/>
          <w:szCs w:val="20"/>
          <w:lang w:val="en-US"/>
        </w:rPr>
        <w:t>”</w:t>
      </w:r>
      <w:r w:rsidR="00E36392">
        <w:rPr>
          <w:rStyle w:val="Refdenotaalpie"/>
          <w:rFonts w:ascii="Verdana" w:hAnsi="Verdana"/>
          <w:color w:val="000000" w:themeColor="text1"/>
          <w:sz w:val="20"/>
          <w:szCs w:val="20"/>
          <w:lang w:val="en-US"/>
        </w:rPr>
        <w:footnoteReference w:id="1"/>
      </w:r>
      <w:r w:rsidRPr="009311C4">
        <w:rPr>
          <w:rFonts w:ascii="Verdana" w:hAnsi="Verdana"/>
          <w:color w:val="000000" w:themeColor="text1"/>
          <w:sz w:val="20"/>
          <w:szCs w:val="20"/>
          <w:lang w:val="en-US"/>
        </w:rPr>
        <w:t xml:space="preserve">. It is the framework that supports processes such as land use planning, natural resource management, social and economic development, and the planning and execution of resilient infrastructure. It is a form of governance that directly addresses underlying risk drivers in a way that can slow down and reverse the social construction of new risk. Moving towards a system of governance that prevents and reduces disaster risk requires a territorial approach in which sectoral decisions and efforts to promote development consider the resources, capacities and conditions of the territory in which they are to be implemented. In the LAC region, territorial planning in disaster risk management is uncommon.  </w:t>
      </w:r>
    </w:p>
    <w:p w14:paraId="5973278B" w14:textId="24A78A33" w:rsidR="0026367C" w:rsidRPr="009311C4" w:rsidRDefault="004E668A" w:rsidP="00057268">
      <w:pPr>
        <w:spacing w:before="280" w:after="240" w:line="240" w:lineRule="auto"/>
        <w:ind w:left="360"/>
        <w:jc w:val="both"/>
        <w:rPr>
          <w:rFonts w:ascii="Verdana" w:eastAsia="Times New Roman" w:hAnsi="Verdana" w:cs="Times New Roman"/>
          <w:color w:val="000000"/>
          <w:kern w:val="0"/>
          <w:sz w:val="20"/>
          <w:szCs w:val="20"/>
          <w:lang w:val="en-US"/>
          <w14:ligatures w14:val="none"/>
        </w:rPr>
      </w:pPr>
      <w:r w:rsidRPr="009311C4">
        <w:rPr>
          <w:rFonts w:ascii="Verdana" w:hAnsi="Verdana"/>
          <w:color w:val="000000" w:themeColor="text1"/>
          <w:sz w:val="20"/>
          <w:szCs w:val="20"/>
          <w:lang w:val="en-US"/>
        </w:rPr>
        <w:t>4.</w:t>
      </w:r>
      <w:r w:rsidRPr="009311C4">
        <w:rPr>
          <w:rFonts w:ascii="Verdana" w:hAnsi="Verdana"/>
          <w:color w:val="000000" w:themeColor="text1"/>
          <w:sz w:val="20"/>
          <w:szCs w:val="20"/>
          <w:lang w:val="en-US"/>
        </w:rPr>
        <w:tab/>
        <w:t xml:space="preserve">Complementing this approach is the theoretical construction linked to climate justice, which, as in the previous point, places people's rights at the </w:t>
      </w:r>
      <w:proofErr w:type="spellStart"/>
      <w:r w:rsidRPr="009311C4">
        <w:rPr>
          <w:rFonts w:ascii="Verdana" w:hAnsi="Verdana"/>
          <w:color w:val="000000" w:themeColor="text1"/>
          <w:sz w:val="20"/>
          <w:szCs w:val="20"/>
          <w:lang w:val="en-US"/>
        </w:rPr>
        <w:t>centre</w:t>
      </w:r>
      <w:proofErr w:type="spellEnd"/>
      <w:r w:rsidRPr="009311C4">
        <w:rPr>
          <w:rFonts w:ascii="Verdana" w:hAnsi="Verdana"/>
          <w:color w:val="000000" w:themeColor="text1"/>
          <w:sz w:val="20"/>
          <w:szCs w:val="20"/>
          <w:lang w:val="en-US"/>
        </w:rPr>
        <w:t>. As the IPCC states</w:t>
      </w:r>
      <w:r w:rsidR="00AC42F7">
        <w:rPr>
          <w:rFonts w:ascii="Verdana" w:hAnsi="Verdana"/>
          <w:color w:val="000000" w:themeColor="text1"/>
          <w:sz w:val="20"/>
          <w:szCs w:val="20"/>
          <w:lang w:val="en-US"/>
        </w:rPr>
        <w:t>,</w:t>
      </w:r>
      <w:r w:rsidRPr="009311C4">
        <w:rPr>
          <w:rFonts w:ascii="Verdana" w:hAnsi="Verdana"/>
          <w:color w:val="000000" w:themeColor="text1"/>
          <w:sz w:val="20"/>
          <w:szCs w:val="20"/>
          <w:lang w:val="en-US"/>
        </w:rPr>
        <w:t xml:space="preserve"> "For any given level of warming, the level of risk will also depend on trends in human and ecosystem vulnerability and exposure. Future exposure to climate risks is increasing worldwide due to socio-economic development trends, such as migration, </w:t>
      </w:r>
      <w:r w:rsidR="00D721CC" w:rsidRPr="009311C4">
        <w:rPr>
          <w:rFonts w:ascii="Verdana" w:hAnsi="Verdana"/>
          <w:color w:val="000000"/>
          <w:sz w:val="20"/>
          <w:szCs w:val="20"/>
          <w:lang w:val="en-US"/>
        </w:rPr>
        <w:t xml:space="preserve">increasing inequalities and </w:t>
      </w:r>
      <w:proofErr w:type="spellStart"/>
      <w:r w:rsidR="00D721CC" w:rsidRPr="009311C4">
        <w:rPr>
          <w:rFonts w:ascii="Verdana" w:hAnsi="Verdana"/>
          <w:color w:val="000000"/>
          <w:sz w:val="20"/>
          <w:szCs w:val="20"/>
          <w:lang w:val="en-US"/>
        </w:rPr>
        <w:t>urbanisation</w:t>
      </w:r>
      <w:proofErr w:type="spellEnd"/>
      <w:r w:rsidR="00D721CC" w:rsidRPr="009311C4">
        <w:rPr>
          <w:rFonts w:ascii="Verdana" w:hAnsi="Verdana"/>
          <w:color w:val="000000"/>
          <w:sz w:val="20"/>
          <w:szCs w:val="20"/>
          <w:lang w:val="en-US"/>
        </w:rPr>
        <w:t>. Human vulnerability will be concentrated in informal settlements and rapidly growing small settlements".</w:t>
      </w:r>
      <w:r w:rsidR="003208B5">
        <w:rPr>
          <w:rStyle w:val="Refdenotaalpie"/>
          <w:rFonts w:ascii="Verdana" w:hAnsi="Verdana"/>
          <w:color w:val="000000"/>
          <w:sz w:val="20"/>
          <w:szCs w:val="20"/>
          <w:lang w:val="en-US"/>
        </w:rPr>
        <w:footnoteReference w:id="2"/>
      </w:r>
    </w:p>
    <w:p w14:paraId="609138AA" w14:textId="47801122" w:rsidR="00467AA4" w:rsidRPr="00C149DF" w:rsidRDefault="00057268" w:rsidP="00B43C86">
      <w:pPr>
        <w:spacing w:after="240" w:line="240" w:lineRule="auto"/>
        <w:ind w:left="360"/>
        <w:jc w:val="both"/>
        <w:rPr>
          <w:rFonts w:ascii="Verdana" w:hAnsi="Verdana"/>
          <w:sz w:val="20"/>
          <w:szCs w:val="20"/>
          <w:lang w:val="en-US"/>
        </w:rPr>
      </w:pPr>
      <w:r>
        <w:rPr>
          <w:rFonts w:ascii="Verdana" w:eastAsia="Times New Roman" w:hAnsi="Verdana" w:cs="Times New Roman"/>
          <w:color w:val="000000"/>
          <w:kern w:val="0"/>
          <w:sz w:val="20"/>
          <w:szCs w:val="20"/>
          <w:lang w:val="en-US"/>
          <w14:ligatures w14:val="none"/>
        </w:rPr>
        <w:t>5.</w:t>
      </w:r>
      <w:r w:rsidR="0026367C" w:rsidRPr="009311C4">
        <w:rPr>
          <w:rFonts w:ascii="Verdana" w:eastAsia="Times New Roman" w:hAnsi="Verdana" w:cs="Times New Roman"/>
          <w:color w:val="000000"/>
          <w:kern w:val="0"/>
          <w:sz w:val="20"/>
          <w:szCs w:val="20"/>
          <w:lang w:val="en-US"/>
          <w14:ligatures w14:val="none"/>
        </w:rPr>
        <w:tab/>
        <w:t>The next component is the concept of global and situated vulnerability. Vulnerability</w:t>
      </w:r>
      <w:r w:rsidR="0006646D">
        <w:rPr>
          <w:rFonts w:ascii="Verdana" w:eastAsia="Times New Roman" w:hAnsi="Verdana" w:cs="Times New Roman"/>
          <w:color w:val="000000"/>
          <w:kern w:val="0"/>
          <w:sz w:val="20"/>
          <w:szCs w:val="20"/>
          <w:lang w:val="en-US"/>
          <w14:ligatures w14:val="none"/>
        </w:rPr>
        <w:t xml:space="preserve"> </w:t>
      </w:r>
      <w:r w:rsidR="0026367C" w:rsidRPr="009311C4">
        <w:rPr>
          <w:rFonts w:ascii="Verdana" w:eastAsia="Times New Roman" w:hAnsi="Verdana" w:cs="Times New Roman"/>
          <w:color w:val="000000"/>
          <w:kern w:val="0"/>
          <w:sz w:val="20"/>
          <w:szCs w:val="20"/>
          <w:lang w:val="en-US"/>
          <w14:ligatures w14:val="none"/>
        </w:rPr>
        <w:t>is "the inability of a community to absorb, through self-adjustment, the effects of a given change in its environment, i.e. its inflexibility or inability to adapt to that change"</w:t>
      </w:r>
      <w:r w:rsidR="0006646D">
        <w:rPr>
          <w:rStyle w:val="Refdenotaalpie"/>
          <w:rFonts w:ascii="Verdana" w:eastAsia="Times New Roman" w:hAnsi="Verdana" w:cs="Times New Roman"/>
          <w:color w:val="000000"/>
          <w:kern w:val="0"/>
          <w:sz w:val="20"/>
          <w:szCs w:val="20"/>
          <w:lang w:val="en-US"/>
          <w14:ligatures w14:val="none"/>
        </w:rPr>
        <w:footnoteReference w:id="3"/>
      </w:r>
      <w:r w:rsidR="0026367C" w:rsidRPr="009311C4">
        <w:rPr>
          <w:rFonts w:ascii="Verdana" w:eastAsia="Times New Roman" w:hAnsi="Verdana" w:cs="Times New Roman"/>
          <w:color w:val="000000"/>
          <w:kern w:val="0"/>
          <w:sz w:val="20"/>
          <w:szCs w:val="20"/>
          <w:lang w:val="en-US"/>
          <w14:ligatures w14:val="none"/>
        </w:rPr>
        <w:t xml:space="preserve">. Vulnerability itself is a dynamic system, i.e. it arises as a consequence of the interaction of a number of factors and characteristics (internal and external) that converge in a particular community. </w:t>
      </w:r>
      <w:r w:rsidR="00523179">
        <w:rPr>
          <w:rFonts w:ascii="Verdana" w:eastAsia="Times New Roman" w:hAnsi="Verdana" w:cs="Times New Roman"/>
          <w:color w:val="000000"/>
          <w:kern w:val="0"/>
          <w:sz w:val="20"/>
          <w:szCs w:val="20"/>
          <w:lang w:val="en-US"/>
          <w14:ligatures w14:val="none"/>
        </w:rPr>
        <w:t>Wilches</w:t>
      </w:r>
      <w:r w:rsidR="0026367C" w:rsidRPr="009311C4">
        <w:rPr>
          <w:rFonts w:ascii="Verdana" w:eastAsia="Times New Roman" w:hAnsi="Verdana" w:cs="Times New Roman"/>
          <w:color w:val="000000"/>
          <w:kern w:val="0"/>
          <w:sz w:val="20"/>
          <w:szCs w:val="20"/>
          <w:lang w:val="en-US"/>
          <w14:ligatures w14:val="none"/>
        </w:rPr>
        <w:t xml:space="preserve"> called this interaction of factors and characteristics global vulnerability. </w:t>
      </w:r>
      <w:r w:rsidR="00523179">
        <w:rPr>
          <w:rFonts w:ascii="Verdana" w:eastAsia="Times New Roman" w:hAnsi="Verdana" w:cs="Times New Roman"/>
          <w:color w:val="000000"/>
          <w:kern w:val="0"/>
          <w:sz w:val="20"/>
          <w:szCs w:val="20"/>
          <w:lang w:val="en-US"/>
          <w14:ligatures w14:val="none"/>
        </w:rPr>
        <w:t>T</w:t>
      </w:r>
      <w:r w:rsidR="0026367C" w:rsidRPr="00C149DF">
        <w:rPr>
          <w:rFonts w:ascii="Verdana" w:eastAsia="Times New Roman" w:hAnsi="Verdana" w:cs="Times New Roman"/>
          <w:color w:val="000000"/>
          <w:kern w:val="0"/>
          <w:sz w:val="20"/>
          <w:szCs w:val="20"/>
          <w:lang w:val="en-US"/>
          <w14:ligatures w14:val="none"/>
        </w:rPr>
        <w:t>his global vulnerability is also situated and corresponds to a specific place with specific conditions and situations</w:t>
      </w:r>
      <w:r w:rsidR="00C149DF">
        <w:rPr>
          <w:rStyle w:val="Refdenotaalpie"/>
          <w:rFonts w:ascii="Verdana" w:eastAsia="Times New Roman" w:hAnsi="Verdana" w:cs="Times New Roman"/>
          <w:color w:val="000000"/>
          <w:kern w:val="0"/>
          <w:sz w:val="20"/>
          <w:szCs w:val="20"/>
          <w14:ligatures w14:val="none"/>
        </w:rPr>
        <w:footnoteReference w:id="4"/>
      </w:r>
      <w:r w:rsidR="0026367C" w:rsidRPr="00C149DF">
        <w:rPr>
          <w:rFonts w:ascii="Verdana" w:eastAsia="Times New Roman" w:hAnsi="Verdana" w:cs="Times New Roman"/>
          <w:color w:val="000000"/>
          <w:kern w:val="0"/>
          <w:sz w:val="20"/>
          <w:szCs w:val="20"/>
          <w:lang w:val="en-US"/>
          <w14:ligatures w14:val="none"/>
        </w:rPr>
        <w:t xml:space="preserve">. </w:t>
      </w:r>
    </w:p>
    <w:p w14:paraId="3E37B2CA" w14:textId="5B843308" w:rsidR="00467AA4" w:rsidRPr="009311C4" w:rsidRDefault="00057268" w:rsidP="009311C4">
      <w:pPr>
        <w:spacing w:after="240" w:line="240" w:lineRule="auto"/>
        <w:ind w:left="360"/>
        <w:jc w:val="both"/>
        <w:rPr>
          <w:rFonts w:ascii="Verdana" w:hAnsi="Verdana"/>
          <w:sz w:val="20"/>
          <w:szCs w:val="20"/>
          <w:lang w:val="en-US"/>
        </w:rPr>
      </w:pPr>
      <w:r>
        <w:rPr>
          <w:rFonts w:ascii="Verdana" w:hAnsi="Verdana"/>
          <w:sz w:val="20"/>
          <w:szCs w:val="20"/>
          <w:lang w:val="en-US"/>
        </w:rPr>
        <w:lastRenderedPageBreak/>
        <w:t>6</w:t>
      </w:r>
      <w:r w:rsidR="00467AA4" w:rsidRPr="009311C4">
        <w:rPr>
          <w:rFonts w:ascii="Verdana" w:hAnsi="Verdana"/>
          <w:sz w:val="20"/>
          <w:szCs w:val="20"/>
          <w:lang w:val="en-US"/>
        </w:rPr>
        <w:t>.</w:t>
      </w:r>
      <w:r w:rsidR="00467AA4" w:rsidRPr="009311C4">
        <w:rPr>
          <w:rFonts w:ascii="Verdana" w:hAnsi="Verdana"/>
          <w:sz w:val="20"/>
          <w:szCs w:val="20"/>
          <w:lang w:val="en-US"/>
        </w:rPr>
        <w:tab/>
        <w:t xml:space="preserve">Finally, </w:t>
      </w:r>
      <w:r w:rsidR="00B43C86">
        <w:rPr>
          <w:rFonts w:ascii="Verdana" w:hAnsi="Verdana"/>
          <w:sz w:val="20"/>
          <w:szCs w:val="20"/>
          <w:lang w:val="en-US"/>
        </w:rPr>
        <w:t>it is necessary to</w:t>
      </w:r>
      <w:r w:rsidR="00467AA4" w:rsidRPr="009311C4">
        <w:rPr>
          <w:rFonts w:ascii="Verdana" w:hAnsi="Verdana"/>
          <w:sz w:val="20"/>
          <w:szCs w:val="20"/>
          <w:lang w:val="en-US"/>
        </w:rPr>
        <w:t xml:space="preserve"> </w:t>
      </w:r>
      <w:r w:rsidR="008577D4" w:rsidRPr="009311C4">
        <w:rPr>
          <w:rFonts w:ascii="Verdana" w:hAnsi="Verdana"/>
          <w:sz w:val="20"/>
          <w:szCs w:val="20"/>
          <w:lang w:val="en-US"/>
        </w:rPr>
        <w:t xml:space="preserve">address </w:t>
      </w:r>
      <w:r w:rsidR="00467AA4" w:rsidRPr="009311C4">
        <w:rPr>
          <w:rFonts w:ascii="Verdana" w:hAnsi="Verdana"/>
          <w:sz w:val="20"/>
          <w:szCs w:val="20"/>
          <w:lang w:val="en-US"/>
        </w:rPr>
        <w:t>how to finance security for all people, security as a collective good, as a public good beyond individual possibilities, and how societies can and should generate solidarity mechanisms for that purpose. By way of example, I would like to mention some instruments that are often found in national or municipal legislation linked to land management, territorial planning and the management of built heritage and common</w:t>
      </w:r>
      <w:r w:rsidR="008577D4" w:rsidRPr="009311C4">
        <w:rPr>
          <w:rFonts w:ascii="Verdana" w:hAnsi="Verdana"/>
          <w:sz w:val="20"/>
          <w:szCs w:val="20"/>
          <w:lang w:val="en-US"/>
        </w:rPr>
        <w:t>-property</w:t>
      </w:r>
      <w:r w:rsidR="00467AA4" w:rsidRPr="009311C4">
        <w:rPr>
          <w:rFonts w:ascii="Verdana" w:hAnsi="Verdana"/>
          <w:sz w:val="20"/>
          <w:szCs w:val="20"/>
          <w:lang w:val="en-US"/>
        </w:rPr>
        <w:t xml:space="preserve"> goods</w:t>
      </w:r>
      <w:r w:rsidR="008577D4" w:rsidRPr="009311C4">
        <w:rPr>
          <w:rFonts w:ascii="Verdana" w:hAnsi="Verdana"/>
          <w:sz w:val="20"/>
          <w:szCs w:val="20"/>
          <w:lang w:val="en-US"/>
        </w:rPr>
        <w:t xml:space="preserve"> and resources</w:t>
      </w:r>
      <w:r w:rsidR="00467AA4" w:rsidRPr="009311C4">
        <w:rPr>
          <w:rFonts w:ascii="Verdana" w:hAnsi="Verdana"/>
          <w:sz w:val="20"/>
          <w:szCs w:val="20"/>
          <w:lang w:val="en-US"/>
        </w:rPr>
        <w:t xml:space="preserve">, such as a fair distribution of urban capital gains that compensates for inequalities, the circular economy </w:t>
      </w:r>
      <w:r w:rsidR="008577D4" w:rsidRPr="009311C4">
        <w:rPr>
          <w:rFonts w:ascii="Verdana" w:hAnsi="Verdana"/>
          <w:sz w:val="20"/>
          <w:szCs w:val="20"/>
          <w:lang w:val="en-US"/>
        </w:rPr>
        <w:t xml:space="preserve">as </w:t>
      </w:r>
      <w:r w:rsidR="00467AA4" w:rsidRPr="009311C4">
        <w:rPr>
          <w:rFonts w:ascii="Verdana" w:hAnsi="Verdana"/>
          <w:sz w:val="20"/>
          <w:szCs w:val="20"/>
          <w:lang w:val="en-US"/>
        </w:rPr>
        <w:t xml:space="preserve">applied to policies for land and goods in </w:t>
      </w:r>
      <w:proofErr w:type="spellStart"/>
      <w:r w:rsidR="00467AA4" w:rsidRPr="009311C4">
        <w:rPr>
          <w:rFonts w:ascii="Verdana" w:hAnsi="Verdana"/>
          <w:sz w:val="20"/>
          <w:szCs w:val="20"/>
          <w:lang w:val="en-US"/>
        </w:rPr>
        <w:t>urbanised</w:t>
      </w:r>
      <w:proofErr w:type="spellEnd"/>
      <w:r w:rsidR="00467AA4" w:rsidRPr="009311C4">
        <w:rPr>
          <w:rFonts w:ascii="Verdana" w:hAnsi="Verdana"/>
          <w:sz w:val="20"/>
          <w:szCs w:val="20"/>
          <w:lang w:val="en-US"/>
        </w:rPr>
        <w:t xml:space="preserve"> space, policies for housing and empty spaces through the generation of national portfolios of land or goods to be used for redistribution </w:t>
      </w:r>
      <w:proofErr w:type="spellStart"/>
      <w:r w:rsidR="00467AA4" w:rsidRPr="009311C4">
        <w:rPr>
          <w:rFonts w:ascii="Verdana" w:hAnsi="Verdana"/>
          <w:sz w:val="20"/>
          <w:szCs w:val="20"/>
          <w:lang w:val="en-US"/>
        </w:rPr>
        <w:t>programmes</w:t>
      </w:r>
      <w:proofErr w:type="spellEnd"/>
      <w:r w:rsidR="00467AA4" w:rsidRPr="009311C4">
        <w:rPr>
          <w:rFonts w:ascii="Verdana" w:hAnsi="Verdana"/>
          <w:sz w:val="20"/>
          <w:szCs w:val="20"/>
          <w:lang w:val="en-US"/>
        </w:rPr>
        <w:t xml:space="preserve"> and municipal regulations on public space. </w:t>
      </w:r>
    </w:p>
    <w:p w14:paraId="4D47AF21" w14:textId="77777777" w:rsidR="00467AA4" w:rsidRPr="009311C4" w:rsidRDefault="00467AA4" w:rsidP="009311C4">
      <w:pPr>
        <w:spacing w:after="240" w:line="240" w:lineRule="auto"/>
        <w:ind w:left="360"/>
        <w:jc w:val="both"/>
        <w:rPr>
          <w:rFonts w:ascii="Verdana" w:hAnsi="Verdana"/>
          <w:b/>
          <w:bCs/>
          <w:iCs/>
          <w:sz w:val="26"/>
          <w:szCs w:val="26"/>
          <w:lang w:val="en-US"/>
        </w:rPr>
      </w:pPr>
      <w:r w:rsidRPr="009311C4">
        <w:rPr>
          <w:rFonts w:ascii="Verdana" w:hAnsi="Verdana"/>
          <w:b/>
          <w:bCs/>
          <w:sz w:val="26"/>
          <w:szCs w:val="26"/>
          <w:lang w:val="en-US"/>
        </w:rPr>
        <w:t>About territory in Latin America, inequality and poverty in the region, and territorial inequalities.</w:t>
      </w:r>
    </w:p>
    <w:p w14:paraId="45741C64" w14:textId="0E88728C" w:rsidR="00DA6F85" w:rsidRPr="009311C4" w:rsidRDefault="00DA6F85" w:rsidP="009311C4">
      <w:pPr>
        <w:autoSpaceDE w:val="0"/>
        <w:autoSpaceDN w:val="0"/>
        <w:adjustRightInd w:val="0"/>
        <w:ind w:left="360"/>
        <w:jc w:val="both"/>
        <w:rPr>
          <w:rFonts w:ascii="Verdana" w:hAnsi="Verdana"/>
          <w:iCs/>
          <w:spacing w:val="-2"/>
          <w:w w:val="105"/>
          <w:sz w:val="20"/>
          <w:szCs w:val="20"/>
          <w:lang w:val="en-US"/>
        </w:rPr>
      </w:pPr>
      <w:r w:rsidRPr="009311C4">
        <w:rPr>
          <w:rFonts w:ascii="Verdana" w:hAnsi="Verdana"/>
          <w:iCs/>
          <w:w w:val="105"/>
          <w:sz w:val="20"/>
          <w:szCs w:val="20"/>
          <w:lang w:val="en-US"/>
        </w:rPr>
        <w:t>The</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geography</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of</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the</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LAC</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region</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makes</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it</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unique</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in</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the</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world.</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Due</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to</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the</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vastness</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and</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the</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diversity</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of</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its</w:t>
      </w:r>
      <w:r w:rsidRPr="009311C4">
        <w:rPr>
          <w:rFonts w:ascii="Verdana" w:hAnsi="Verdana"/>
          <w:iCs/>
          <w:spacing w:val="-13"/>
          <w:w w:val="105"/>
          <w:sz w:val="20"/>
          <w:szCs w:val="20"/>
          <w:lang w:val="en-US"/>
        </w:rPr>
        <w:t xml:space="preserve"> </w:t>
      </w:r>
      <w:r w:rsidRPr="009311C4">
        <w:rPr>
          <w:rFonts w:ascii="Verdana" w:hAnsi="Verdana"/>
          <w:iCs/>
          <w:w w:val="105"/>
          <w:sz w:val="20"/>
          <w:szCs w:val="20"/>
          <w:lang w:val="en-US"/>
        </w:rPr>
        <w:t xml:space="preserve">natural </w:t>
      </w:r>
      <w:r w:rsidRPr="009311C4">
        <w:rPr>
          <w:rFonts w:ascii="Verdana" w:hAnsi="Verdana"/>
          <w:iCs/>
          <w:sz w:val="20"/>
          <w:szCs w:val="20"/>
          <w:lang w:val="en-US"/>
        </w:rPr>
        <w:t>resources,</w:t>
      </w:r>
      <w:r w:rsidRPr="009311C4">
        <w:rPr>
          <w:rFonts w:ascii="Verdana" w:hAnsi="Verdana"/>
          <w:iCs/>
          <w:spacing w:val="-10"/>
          <w:sz w:val="20"/>
          <w:szCs w:val="20"/>
          <w:lang w:val="en-US"/>
        </w:rPr>
        <w:t xml:space="preserve"> </w:t>
      </w:r>
      <w:r w:rsidRPr="009311C4">
        <w:rPr>
          <w:rFonts w:ascii="Verdana" w:hAnsi="Verdana"/>
          <w:iCs/>
          <w:sz w:val="20"/>
          <w:szCs w:val="20"/>
          <w:lang w:val="en-US"/>
        </w:rPr>
        <w:t>it</w:t>
      </w:r>
      <w:r w:rsidRPr="009311C4">
        <w:rPr>
          <w:rFonts w:ascii="Verdana" w:hAnsi="Verdana"/>
          <w:iCs/>
          <w:spacing w:val="-10"/>
          <w:sz w:val="20"/>
          <w:szCs w:val="20"/>
          <w:lang w:val="en-US"/>
        </w:rPr>
        <w:t xml:space="preserve"> </w:t>
      </w:r>
      <w:r w:rsidRPr="009311C4">
        <w:rPr>
          <w:rFonts w:ascii="Verdana" w:hAnsi="Verdana"/>
          <w:iCs/>
          <w:sz w:val="20"/>
          <w:szCs w:val="20"/>
          <w:lang w:val="en-US"/>
        </w:rPr>
        <w:t>is</w:t>
      </w:r>
      <w:r w:rsidRPr="009311C4">
        <w:rPr>
          <w:rFonts w:ascii="Verdana" w:hAnsi="Verdana"/>
          <w:iCs/>
          <w:spacing w:val="-10"/>
          <w:sz w:val="20"/>
          <w:szCs w:val="20"/>
          <w:lang w:val="en-US"/>
        </w:rPr>
        <w:t xml:space="preserve"> </w:t>
      </w:r>
      <w:r w:rsidR="008577D4" w:rsidRPr="009311C4">
        <w:rPr>
          <w:rFonts w:ascii="Verdana" w:hAnsi="Verdana"/>
          <w:iCs/>
          <w:spacing w:val="-10"/>
          <w:sz w:val="20"/>
          <w:szCs w:val="20"/>
          <w:lang w:val="en-US"/>
        </w:rPr>
        <w:t xml:space="preserve">both </w:t>
      </w:r>
      <w:r w:rsidRPr="009311C4">
        <w:rPr>
          <w:rFonts w:ascii="Verdana" w:hAnsi="Verdana"/>
          <w:iCs/>
          <w:sz w:val="20"/>
          <w:szCs w:val="20"/>
          <w:lang w:val="en-US"/>
        </w:rPr>
        <w:t>one</w:t>
      </w:r>
      <w:r w:rsidRPr="009311C4">
        <w:rPr>
          <w:rFonts w:ascii="Verdana" w:hAnsi="Verdana"/>
          <w:iCs/>
          <w:spacing w:val="-10"/>
          <w:sz w:val="20"/>
          <w:szCs w:val="20"/>
          <w:lang w:val="en-US"/>
        </w:rPr>
        <w:t xml:space="preserve"> </w:t>
      </w:r>
      <w:r w:rsidRPr="009311C4">
        <w:rPr>
          <w:rFonts w:ascii="Verdana" w:hAnsi="Verdana"/>
          <w:iCs/>
          <w:sz w:val="20"/>
          <w:szCs w:val="20"/>
          <w:lang w:val="en-US"/>
        </w:rPr>
        <w:t>of</w:t>
      </w:r>
      <w:r w:rsidRPr="009311C4">
        <w:rPr>
          <w:rFonts w:ascii="Verdana" w:hAnsi="Verdana"/>
          <w:iCs/>
          <w:spacing w:val="-10"/>
          <w:sz w:val="20"/>
          <w:szCs w:val="20"/>
          <w:lang w:val="en-US"/>
        </w:rPr>
        <w:t xml:space="preserve"> </w:t>
      </w:r>
      <w:r w:rsidRPr="009311C4">
        <w:rPr>
          <w:rFonts w:ascii="Verdana" w:hAnsi="Verdana"/>
          <w:iCs/>
          <w:sz w:val="20"/>
          <w:szCs w:val="20"/>
          <w:lang w:val="en-US"/>
        </w:rPr>
        <w:t>the</w:t>
      </w:r>
      <w:r w:rsidRPr="009311C4">
        <w:rPr>
          <w:rFonts w:ascii="Verdana" w:hAnsi="Verdana"/>
          <w:iCs/>
          <w:spacing w:val="-10"/>
          <w:sz w:val="20"/>
          <w:szCs w:val="20"/>
          <w:lang w:val="en-US"/>
        </w:rPr>
        <w:t xml:space="preserve"> </w:t>
      </w:r>
      <w:r w:rsidR="008577D4" w:rsidRPr="009311C4">
        <w:rPr>
          <w:rFonts w:ascii="Verdana" w:hAnsi="Verdana"/>
          <w:iCs/>
          <w:spacing w:val="-10"/>
          <w:sz w:val="20"/>
          <w:szCs w:val="20"/>
          <w:lang w:val="en-US"/>
        </w:rPr>
        <w:t xml:space="preserve">most well-endowed </w:t>
      </w:r>
      <w:r w:rsidR="008577D4" w:rsidRPr="009311C4">
        <w:rPr>
          <w:rFonts w:ascii="Verdana" w:hAnsi="Verdana"/>
          <w:iCs/>
          <w:sz w:val="20"/>
          <w:szCs w:val="20"/>
          <w:lang w:val="en-US"/>
        </w:rPr>
        <w:t>regions</w:t>
      </w:r>
      <w:r w:rsidR="002C3CF2">
        <w:rPr>
          <w:rFonts w:ascii="Verdana" w:hAnsi="Verdana"/>
          <w:iCs/>
          <w:sz w:val="20"/>
          <w:szCs w:val="20"/>
          <w:lang w:val="en-US"/>
        </w:rPr>
        <w:t xml:space="preserve"> </w:t>
      </w:r>
      <w:r w:rsidRPr="009311C4">
        <w:rPr>
          <w:rFonts w:ascii="Verdana" w:hAnsi="Verdana"/>
          <w:iCs/>
          <w:sz w:val="20"/>
          <w:szCs w:val="20"/>
          <w:lang w:val="en-US"/>
        </w:rPr>
        <w:t>of</w:t>
      </w:r>
      <w:r w:rsidRPr="009311C4">
        <w:rPr>
          <w:rFonts w:ascii="Verdana" w:hAnsi="Verdana"/>
          <w:iCs/>
          <w:spacing w:val="-10"/>
          <w:sz w:val="20"/>
          <w:szCs w:val="20"/>
          <w:lang w:val="en-US"/>
        </w:rPr>
        <w:t xml:space="preserve"> </w:t>
      </w:r>
      <w:r w:rsidRPr="009311C4">
        <w:rPr>
          <w:rFonts w:ascii="Verdana" w:hAnsi="Verdana"/>
          <w:iCs/>
          <w:sz w:val="20"/>
          <w:szCs w:val="20"/>
          <w:lang w:val="en-US"/>
        </w:rPr>
        <w:t>the</w:t>
      </w:r>
      <w:r w:rsidRPr="009311C4">
        <w:rPr>
          <w:rFonts w:ascii="Verdana" w:hAnsi="Verdana"/>
          <w:iCs/>
          <w:spacing w:val="-10"/>
          <w:sz w:val="20"/>
          <w:szCs w:val="20"/>
          <w:lang w:val="en-US"/>
        </w:rPr>
        <w:t xml:space="preserve"> </w:t>
      </w:r>
      <w:r w:rsidRPr="009311C4">
        <w:rPr>
          <w:rFonts w:ascii="Verdana" w:hAnsi="Verdana"/>
          <w:iCs/>
          <w:sz w:val="20"/>
          <w:szCs w:val="20"/>
          <w:lang w:val="en-US"/>
        </w:rPr>
        <w:t>world,</w:t>
      </w:r>
      <w:r w:rsidRPr="009311C4">
        <w:rPr>
          <w:rFonts w:ascii="Verdana" w:hAnsi="Verdana"/>
          <w:iCs/>
          <w:spacing w:val="-10"/>
          <w:sz w:val="20"/>
          <w:szCs w:val="20"/>
          <w:lang w:val="en-US"/>
        </w:rPr>
        <w:t xml:space="preserve"> </w:t>
      </w:r>
      <w:r w:rsidRPr="009311C4">
        <w:rPr>
          <w:rFonts w:ascii="Verdana" w:hAnsi="Verdana"/>
          <w:iCs/>
          <w:sz w:val="20"/>
          <w:szCs w:val="20"/>
          <w:lang w:val="en-US"/>
        </w:rPr>
        <w:t>but</w:t>
      </w:r>
      <w:r w:rsidRPr="009311C4">
        <w:rPr>
          <w:rFonts w:ascii="Verdana" w:hAnsi="Verdana"/>
          <w:iCs/>
          <w:spacing w:val="-10"/>
          <w:sz w:val="20"/>
          <w:szCs w:val="20"/>
          <w:lang w:val="en-US"/>
        </w:rPr>
        <w:t xml:space="preserve"> </w:t>
      </w:r>
      <w:r w:rsidRPr="009311C4">
        <w:rPr>
          <w:rFonts w:ascii="Verdana" w:hAnsi="Verdana"/>
          <w:iCs/>
          <w:sz w:val="20"/>
          <w:szCs w:val="20"/>
          <w:lang w:val="en-US"/>
        </w:rPr>
        <w:t>also</w:t>
      </w:r>
      <w:r w:rsidRPr="009311C4">
        <w:rPr>
          <w:rFonts w:ascii="Verdana" w:hAnsi="Verdana"/>
          <w:iCs/>
          <w:spacing w:val="-10"/>
          <w:sz w:val="20"/>
          <w:szCs w:val="20"/>
          <w:lang w:val="en-US"/>
        </w:rPr>
        <w:t xml:space="preserve"> </w:t>
      </w:r>
      <w:r w:rsidRPr="009311C4">
        <w:rPr>
          <w:rFonts w:ascii="Verdana" w:hAnsi="Verdana"/>
          <w:iCs/>
          <w:sz w:val="20"/>
          <w:szCs w:val="20"/>
          <w:lang w:val="en-US"/>
        </w:rPr>
        <w:t>one</w:t>
      </w:r>
      <w:r w:rsidRPr="009311C4">
        <w:rPr>
          <w:rFonts w:ascii="Verdana" w:hAnsi="Verdana"/>
          <w:iCs/>
          <w:spacing w:val="-10"/>
          <w:sz w:val="20"/>
          <w:szCs w:val="20"/>
          <w:lang w:val="en-US"/>
        </w:rPr>
        <w:t xml:space="preserve"> </w:t>
      </w:r>
      <w:r w:rsidRPr="009311C4">
        <w:rPr>
          <w:rFonts w:ascii="Verdana" w:hAnsi="Verdana"/>
          <w:iCs/>
          <w:sz w:val="20"/>
          <w:szCs w:val="20"/>
          <w:lang w:val="en-US"/>
        </w:rPr>
        <w:t>of</w:t>
      </w:r>
      <w:r w:rsidRPr="009311C4">
        <w:rPr>
          <w:rFonts w:ascii="Verdana" w:hAnsi="Verdana"/>
          <w:iCs/>
          <w:spacing w:val="-10"/>
          <w:sz w:val="20"/>
          <w:szCs w:val="20"/>
          <w:lang w:val="en-US"/>
        </w:rPr>
        <w:t xml:space="preserve"> </w:t>
      </w:r>
      <w:r w:rsidRPr="009311C4">
        <w:rPr>
          <w:rFonts w:ascii="Verdana" w:hAnsi="Verdana"/>
          <w:iCs/>
          <w:sz w:val="20"/>
          <w:szCs w:val="20"/>
          <w:lang w:val="en-US"/>
        </w:rPr>
        <w:t>the</w:t>
      </w:r>
      <w:r w:rsidRPr="009311C4">
        <w:rPr>
          <w:rFonts w:ascii="Verdana" w:hAnsi="Verdana"/>
          <w:iCs/>
          <w:spacing w:val="-10"/>
          <w:sz w:val="20"/>
          <w:szCs w:val="20"/>
          <w:lang w:val="en-US"/>
        </w:rPr>
        <w:t xml:space="preserve"> </w:t>
      </w:r>
      <w:r w:rsidRPr="009311C4">
        <w:rPr>
          <w:rFonts w:ascii="Verdana" w:hAnsi="Verdana"/>
          <w:iCs/>
          <w:sz w:val="20"/>
          <w:szCs w:val="20"/>
          <w:lang w:val="en-US"/>
        </w:rPr>
        <w:t>most</w:t>
      </w:r>
      <w:r w:rsidRPr="009311C4">
        <w:rPr>
          <w:rFonts w:ascii="Verdana" w:hAnsi="Verdana"/>
          <w:iCs/>
          <w:spacing w:val="-10"/>
          <w:sz w:val="20"/>
          <w:szCs w:val="20"/>
          <w:lang w:val="en-US"/>
        </w:rPr>
        <w:t xml:space="preserve"> </w:t>
      </w:r>
      <w:r w:rsidRPr="009311C4">
        <w:rPr>
          <w:rFonts w:ascii="Verdana" w:hAnsi="Verdana"/>
          <w:iCs/>
          <w:sz w:val="20"/>
          <w:szCs w:val="20"/>
          <w:lang w:val="en-US"/>
        </w:rPr>
        <w:t>hazardous</w:t>
      </w:r>
      <w:r w:rsidRPr="009311C4">
        <w:rPr>
          <w:rFonts w:ascii="Verdana" w:hAnsi="Verdana"/>
          <w:iCs/>
          <w:spacing w:val="-10"/>
          <w:sz w:val="20"/>
          <w:szCs w:val="20"/>
          <w:lang w:val="en-US"/>
        </w:rPr>
        <w:t xml:space="preserve"> </w:t>
      </w:r>
      <w:r w:rsidRPr="009311C4">
        <w:rPr>
          <w:rFonts w:ascii="Verdana" w:hAnsi="Verdana"/>
          <w:iCs/>
          <w:sz w:val="20"/>
          <w:szCs w:val="20"/>
          <w:lang w:val="en-US"/>
        </w:rPr>
        <w:t>for</w:t>
      </w:r>
      <w:r w:rsidRPr="009311C4">
        <w:rPr>
          <w:rFonts w:ascii="Verdana" w:hAnsi="Verdana"/>
          <w:iCs/>
          <w:spacing w:val="-10"/>
          <w:sz w:val="20"/>
          <w:szCs w:val="20"/>
          <w:lang w:val="en-US"/>
        </w:rPr>
        <w:t xml:space="preserve"> </w:t>
      </w:r>
      <w:r w:rsidRPr="009311C4">
        <w:rPr>
          <w:rFonts w:ascii="Verdana" w:hAnsi="Verdana"/>
          <w:iCs/>
          <w:sz w:val="20"/>
          <w:szCs w:val="20"/>
          <w:lang w:val="en-US"/>
        </w:rPr>
        <w:t>human</w:t>
      </w:r>
      <w:r w:rsidRPr="009311C4">
        <w:rPr>
          <w:rFonts w:ascii="Verdana" w:hAnsi="Verdana"/>
          <w:iCs/>
          <w:spacing w:val="-10"/>
          <w:sz w:val="20"/>
          <w:szCs w:val="20"/>
          <w:lang w:val="en-US"/>
        </w:rPr>
        <w:t xml:space="preserve"> </w:t>
      </w:r>
      <w:r w:rsidRPr="009311C4">
        <w:rPr>
          <w:rFonts w:ascii="Verdana" w:hAnsi="Verdana"/>
          <w:iCs/>
          <w:sz w:val="20"/>
          <w:szCs w:val="20"/>
          <w:lang w:val="en-US"/>
        </w:rPr>
        <w:t>life.</w:t>
      </w:r>
      <w:r w:rsidRPr="009311C4">
        <w:rPr>
          <w:rFonts w:ascii="Verdana" w:hAnsi="Verdana"/>
          <w:iCs/>
          <w:spacing w:val="-10"/>
          <w:sz w:val="20"/>
          <w:szCs w:val="20"/>
          <w:lang w:val="en-US"/>
        </w:rPr>
        <w:t xml:space="preserve"> </w:t>
      </w:r>
      <w:r w:rsidRPr="009311C4">
        <w:rPr>
          <w:rFonts w:ascii="Verdana" w:hAnsi="Verdana"/>
          <w:iCs/>
          <w:sz w:val="20"/>
          <w:szCs w:val="20"/>
          <w:lang w:val="en-US"/>
        </w:rPr>
        <w:t>Despite</w:t>
      </w:r>
      <w:r w:rsidRPr="009311C4">
        <w:rPr>
          <w:rFonts w:ascii="Verdana" w:hAnsi="Verdana"/>
          <w:iCs/>
          <w:spacing w:val="-10"/>
          <w:sz w:val="20"/>
          <w:szCs w:val="20"/>
          <w:lang w:val="en-US"/>
        </w:rPr>
        <w:t xml:space="preserve"> </w:t>
      </w:r>
      <w:r w:rsidRPr="009311C4">
        <w:rPr>
          <w:rFonts w:ascii="Verdana" w:hAnsi="Verdana"/>
          <w:iCs/>
          <w:sz w:val="20"/>
          <w:szCs w:val="20"/>
          <w:lang w:val="en-US"/>
        </w:rPr>
        <w:t>the</w:t>
      </w:r>
      <w:r w:rsidRPr="009311C4">
        <w:rPr>
          <w:rFonts w:ascii="Verdana" w:hAnsi="Verdana"/>
          <w:iCs/>
          <w:spacing w:val="-10"/>
          <w:sz w:val="20"/>
          <w:szCs w:val="20"/>
          <w:lang w:val="en-US"/>
        </w:rPr>
        <w:t xml:space="preserve"> </w:t>
      </w:r>
      <w:r w:rsidRPr="009311C4">
        <w:rPr>
          <w:rFonts w:ascii="Verdana" w:hAnsi="Verdana"/>
          <w:iCs/>
          <w:sz w:val="20"/>
          <w:szCs w:val="20"/>
          <w:lang w:val="en-US"/>
        </w:rPr>
        <w:t xml:space="preserve">existence </w:t>
      </w:r>
      <w:r w:rsidRPr="009311C4">
        <w:rPr>
          <w:rFonts w:ascii="Verdana" w:hAnsi="Verdana"/>
          <w:iCs/>
          <w:spacing w:val="-2"/>
          <w:w w:val="105"/>
          <w:sz w:val="20"/>
          <w:szCs w:val="20"/>
          <w:lang w:val="en-US"/>
        </w:rPr>
        <w:t>of</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significant</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natural</w:t>
      </w:r>
      <w:r w:rsidRPr="009311C4">
        <w:rPr>
          <w:rFonts w:ascii="Verdana" w:hAnsi="Verdana"/>
          <w:iCs/>
          <w:spacing w:val="-7"/>
          <w:w w:val="105"/>
          <w:sz w:val="20"/>
          <w:szCs w:val="20"/>
          <w:lang w:val="en-US"/>
        </w:rPr>
        <w:t xml:space="preserve"> </w:t>
      </w:r>
      <w:r w:rsidRPr="009311C4">
        <w:rPr>
          <w:rFonts w:ascii="Verdana" w:hAnsi="Verdana"/>
          <w:iCs/>
          <w:spacing w:val="-2"/>
          <w:w w:val="105"/>
          <w:sz w:val="20"/>
          <w:szCs w:val="20"/>
          <w:lang w:val="en-US"/>
        </w:rPr>
        <w:t>hazards,</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forces</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of</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nature</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are</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not</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sufficient</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to</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explain</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the</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levels</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of</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devastation</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that</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characterize</w:t>
      </w:r>
      <w:r w:rsidRPr="009311C4">
        <w:rPr>
          <w:rFonts w:ascii="Verdana" w:hAnsi="Verdana"/>
          <w:iCs/>
          <w:spacing w:val="-6"/>
          <w:w w:val="105"/>
          <w:sz w:val="20"/>
          <w:szCs w:val="20"/>
          <w:lang w:val="en-US"/>
        </w:rPr>
        <w:t xml:space="preserve"> </w:t>
      </w:r>
      <w:r w:rsidRPr="009311C4">
        <w:rPr>
          <w:rFonts w:ascii="Verdana" w:hAnsi="Verdana"/>
          <w:iCs/>
          <w:spacing w:val="-2"/>
          <w:w w:val="105"/>
          <w:sz w:val="20"/>
          <w:szCs w:val="20"/>
          <w:lang w:val="en-US"/>
        </w:rPr>
        <w:t xml:space="preserve">the </w:t>
      </w:r>
      <w:r w:rsidRPr="009311C4">
        <w:rPr>
          <w:rFonts w:ascii="Verdana" w:hAnsi="Verdana"/>
          <w:iCs/>
          <w:sz w:val="20"/>
          <w:szCs w:val="20"/>
          <w:lang w:val="en-US"/>
        </w:rPr>
        <w:t>largest</w:t>
      </w:r>
      <w:r w:rsidRPr="009311C4">
        <w:rPr>
          <w:rFonts w:ascii="Verdana" w:hAnsi="Verdana"/>
          <w:iCs/>
          <w:spacing w:val="-6"/>
          <w:sz w:val="20"/>
          <w:szCs w:val="20"/>
          <w:lang w:val="en-US"/>
        </w:rPr>
        <w:t xml:space="preserve"> </w:t>
      </w:r>
      <w:r w:rsidRPr="009311C4">
        <w:rPr>
          <w:rFonts w:ascii="Verdana" w:hAnsi="Verdana"/>
          <w:iCs/>
          <w:sz w:val="20"/>
          <w:szCs w:val="20"/>
          <w:lang w:val="en-US"/>
        </w:rPr>
        <w:t>disasters</w:t>
      </w:r>
      <w:r w:rsidRPr="009311C4">
        <w:rPr>
          <w:rFonts w:ascii="Verdana" w:hAnsi="Verdana"/>
          <w:iCs/>
          <w:spacing w:val="-6"/>
          <w:sz w:val="20"/>
          <w:szCs w:val="20"/>
          <w:lang w:val="en-US"/>
        </w:rPr>
        <w:t xml:space="preserve"> </w:t>
      </w:r>
      <w:r w:rsidRPr="009311C4">
        <w:rPr>
          <w:rFonts w:ascii="Verdana" w:hAnsi="Verdana"/>
          <w:iCs/>
          <w:sz w:val="20"/>
          <w:szCs w:val="20"/>
          <w:lang w:val="en-US"/>
        </w:rPr>
        <w:t>in</w:t>
      </w:r>
      <w:r w:rsidRPr="009311C4">
        <w:rPr>
          <w:rFonts w:ascii="Verdana" w:hAnsi="Verdana"/>
          <w:iCs/>
          <w:spacing w:val="-6"/>
          <w:sz w:val="20"/>
          <w:szCs w:val="20"/>
          <w:lang w:val="en-US"/>
        </w:rPr>
        <w:t xml:space="preserve"> </w:t>
      </w:r>
      <w:r w:rsidRPr="009311C4">
        <w:rPr>
          <w:rFonts w:ascii="Verdana" w:hAnsi="Verdana"/>
          <w:iCs/>
          <w:sz w:val="20"/>
          <w:szCs w:val="20"/>
          <w:lang w:val="en-US"/>
        </w:rPr>
        <w:t>the</w:t>
      </w:r>
      <w:r w:rsidRPr="009311C4">
        <w:rPr>
          <w:rFonts w:ascii="Verdana" w:hAnsi="Verdana"/>
          <w:iCs/>
          <w:spacing w:val="-6"/>
          <w:sz w:val="20"/>
          <w:szCs w:val="20"/>
          <w:lang w:val="en-US"/>
        </w:rPr>
        <w:t xml:space="preserve"> </w:t>
      </w:r>
      <w:r w:rsidRPr="009311C4">
        <w:rPr>
          <w:rFonts w:ascii="Verdana" w:hAnsi="Verdana"/>
          <w:iCs/>
          <w:sz w:val="20"/>
          <w:szCs w:val="20"/>
          <w:lang w:val="en-US"/>
        </w:rPr>
        <w:t>region</w:t>
      </w:r>
      <w:r w:rsidRPr="009311C4">
        <w:rPr>
          <w:rFonts w:ascii="Verdana" w:hAnsi="Verdana"/>
          <w:iCs/>
          <w:spacing w:val="-6"/>
          <w:sz w:val="20"/>
          <w:szCs w:val="20"/>
          <w:lang w:val="en-US"/>
        </w:rPr>
        <w:t xml:space="preserve"> </w:t>
      </w:r>
      <w:r w:rsidRPr="009311C4">
        <w:rPr>
          <w:rFonts w:ascii="Verdana" w:hAnsi="Verdana"/>
          <w:iCs/>
          <w:sz w:val="20"/>
          <w:szCs w:val="20"/>
          <w:lang w:val="en-US"/>
        </w:rPr>
        <w:t>they</w:t>
      </w:r>
      <w:r w:rsidRPr="009311C4">
        <w:rPr>
          <w:rFonts w:ascii="Verdana" w:hAnsi="Verdana"/>
          <w:iCs/>
          <w:spacing w:val="-6"/>
          <w:sz w:val="20"/>
          <w:szCs w:val="20"/>
          <w:lang w:val="en-US"/>
        </w:rPr>
        <w:t xml:space="preserve"> </w:t>
      </w:r>
      <w:r w:rsidRPr="009311C4">
        <w:rPr>
          <w:rFonts w:ascii="Verdana" w:hAnsi="Verdana"/>
          <w:iCs/>
          <w:sz w:val="20"/>
          <w:szCs w:val="20"/>
          <w:lang w:val="en-US"/>
        </w:rPr>
        <w:t>are</w:t>
      </w:r>
      <w:r w:rsidRPr="009311C4">
        <w:rPr>
          <w:rFonts w:ascii="Verdana" w:hAnsi="Verdana"/>
          <w:iCs/>
          <w:spacing w:val="-6"/>
          <w:sz w:val="20"/>
          <w:szCs w:val="20"/>
          <w:lang w:val="en-US"/>
        </w:rPr>
        <w:t xml:space="preserve"> </w:t>
      </w:r>
      <w:r w:rsidRPr="009311C4">
        <w:rPr>
          <w:rFonts w:ascii="Verdana" w:hAnsi="Verdana"/>
          <w:iCs/>
          <w:sz w:val="20"/>
          <w:szCs w:val="20"/>
          <w:lang w:val="en-US"/>
        </w:rPr>
        <w:t>more</w:t>
      </w:r>
      <w:r w:rsidRPr="009311C4">
        <w:rPr>
          <w:rFonts w:ascii="Verdana" w:hAnsi="Verdana"/>
          <w:iCs/>
          <w:spacing w:val="-6"/>
          <w:sz w:val="20"/>
          <w:szCs w:val="20"/>
          <w:lang w:val="en-US"/>
        </w:rPr>
        <w:t xml:space="preserve"> </w:t>
      </w:r>
      <w:r w:rsidRPr="009311C4">
        <w:rPr>
          <w:rFonts w:ascii="Verdana" w:hAnsi="Verdana"/>
          <w:iCs/>
          <w:sz w:val="20"/>
          <w:szCs w:val="20"/>
          <w:lang w:val="en-US"/>
        </w:rPr>
        <w:t>aptly</w:t>
      </w:r>
      <w:r w:rsidRPr="009311C4">
        <w:rPr>
          <w:rFonts w:ascii="Verdana" w:hAnsi="Verdana"/>
          <w:iCs/>
          <w:spacing w:val="-6"/>
          <w:sz w:val="20"/>
          <w:szCs w:val="20"/>
          <w:lang w:val="en-US"/>
        </w:rPr>
        <w:t xml:space="preserve"> </w:t>
      </w:r>
      <w:r w:rsidRPr="009311C4">
        <w:rPr>
          <w:rFonts w:ascii="Verdana" w:hAnsi="Verdana"/>
          <w:iCs/>
          <w:sz w:val="20"/>
          <w:szCs w:val="20"/>
          <w:lang w:val="en-US"/>
        </w:rPr>
        <w:t>explained</w:t>
      </w:r>
      <w:r w:rsidRPr="009311C4">
        <w:rPr>
          <w:rFonts w:ascii="Verdana" w:hAnsi="Verdana"/>
          <w:iCs/>
          <w:spacing w:val="-6"/>
          <w:sz w:val="20"/>
          <w:szCs w:val="20"/>
          <w:lang w:val="en-US"/>
        </w:rPr>
        <w:t xml:space="preserve"> </w:t>
      </w:r>
      <w:r w:rsidRPr="009311C4">
        <w:rPr>
          <w:rFonts w:ascii="Verdana" w:hAnsi="Verdana"/>
          <w:iCs/>
          <w:sz w:val="20"/>
          <w:szCs w:val="20"/>
          <w:lang w:val="en-US"/>
        </w:rPr>
        <w:t>by</w:t>
      </w:r>
      <w:r w:rsidRPr="009311C4">
        <w:rPr>
          <w:rFonts w:ascii="Verdana" w:hAnsi="Verdana"/>
          <w:iCs/>
          <w:spacing w:val="-6"/>
          <w:sz w:val="20"/>
          <w:szCs w:val="20"/>
          <w:lang w:val="en-US"/>
        </w:rPr>
        <w:t xml:space="preserve"> </w:t>
      </w:r>
      <w:r w:rsidRPr="009311C4">
        <w:rPr>
          <w:rFonts w:ascii="Verdana" w:hAnsi="Verdana"/>
          <w:iCs/>
          <w:sz w:val="20"/>
          <w:szCs w:val="20"/>
          <w:lang w:val="en-US"/>
        </w:rPr>
        <w:t>the</w:t>
      </w:r>
      <w:r w:rsidRPr="009311C4">
        <w:rPr>
          <w:rFonts w:ascii="Verdana" w:hAnsi="Verdana"/>
          <w:iCs/>
          <w:spacing w:val="-6"/>
          <w:sz w:val="20"/>
          <w:szCs w:val="20"/>
          <w:lang w:val="en-US"/>
        </w:rPr>
        <w:t xml:space="preserve"> </w:t>
      </w:r>
      <w:r w:rsidRPr="009311C4">
        <w:rPr>
          <w:rFonts w:ascii="Verdana" w:hAnsi="Verdana"/>
          <w:iCs/>
          <w:sz w:val="20"/>
          <w:szCs w:val="20"/>
          <w:lang w:val="en-US"/>
        </w:rPr>
        <w:t>radical</w:t>
      </w:r>
      <w:r w:rsidRPr="009311C4">
        <w:rPr>
          <w:rFonts w:ascii="Verdana" w:hAnsi="Verdana"/>
          <w:iCs/>
          <w:spacing w:val="-6"/>
          <w:sz w:val="20"/>
          <w:szCs w:val="20"/>
          <w:lang w:val="en-US"/>
        </w:rPr>
        <w:t xml:space="preserve"> </w:t>
      </w:r>
      <w:r w:rsidRPr="009311C4">
        <w:rPr>
          <w:rFonts w:ascii="Verdana" w:hAnsi="Verdana"/>
          <w:iCs/>
          <w:sz w:val="20"/>
          <w:szCs w:val="20"/>
          <w:lang w:val="en-US"/>
        </w:rPr>
        <w:t>transformations</w:t>
      </w:r>
      <w:r w:rsidRPr="009311C4">
        <w:rPr>
          <w:rFonts w:ascii="Verdana" w:hAnsi="Verdana"/>
          <w:iCs/>
          <w:spacing w:val="-6"/>
          <w:sz w:val="20"/>
          <w:szCs w:val="20"/>
          <w:lang w:val="en-US"/>
        </w:rPr>
        <w:t xml:space="preserve"> </w:t>
      </w:r>
      <w:r w:rsidRPr="009311C4">
        <w:rPr>
          <w:rFonts w:ascii="Verdana" w:hAnsi="Verdana"/>
          <w:iCs/>
          <w:sz w:val="20"/>
          <w:szCs w:val="20"/>
          <w:lang w:val="en-US"/>
        </w:rPr>
        <w:t>of</w:t>
      </w:r>
      <w:r w:rsidRPr="009311C4">
        <w:rPr>
          <w:rFonts w:ascii="Verdana" w:hAnsi="Verdana"/>
          <w:iCs/>
          <w:spacing w:val="-6"/>
          <w:sz w:val="20"/>
          <w:szCs w:val="20"/>
          <w:lang w:val="en-US"/>
        </w:rPr>
        <w:t xml:space="preserve"> </w:t>
      </w:r>
      <w:r w:rsidRPr="009311C4">
        <w:rPr>
          <w:rFonts w:ascii="Verdana" w:hAnsi="Verdana"/>
          <w:iCs/>
          <w:sz w:val="20"/>
          <w:szCs w:val="20"/>
          <w:lang w:val="en-US"/>
        </w:rPr>
        <w:t>society,</w:t>
      </w:r>
      <w:r w:rsidRPr="009311C4">
        <w:rPr>
          <w:rFonts w:ascii="Verdana" w:hAnsi="Verdana"/>
          <w:iCs/>
          <w:spacing w:val="-6"/>
          <w:sz w:val="20"/>
          <w:szCs w:val="20"/>
          <w:lang w:val="en-US"/>
        </w:rPr>
        <w:t xml:space="preserve"> </w:t>
      </w:r>
      <w:r w:rsidRPr="009311C4">
        <w:rPr>
          <w:rFonts w:ascii="Verdana" w:hAnsi="Verdana"/>
          <w:iCs/>
          <w:sz w:val="20"/>
          <w:szCs w:val="20"/>
          <w:lang w:val="en-US"/>
        </w:rPr>
        <w:t>territory, production</w:t>
      </w:r>
      <w:r w:rsidR="002C3CF2">
        <w:rPr>
          <w:rFonts w:ascii="Verdana" w:hAnsi="Verdana"/>
          <w:iCs/>
          <w:sz w:val="20"/>
          <w:szCs w:val="20"/>
          <w:lang w:val="en-US"/>
        </w:rPr>
        <w:t>,</w:t>
      </w:r>
      <w:r w:rsidRPr="009311C4">
        <w:rPr>
          <w:rFonts w:ascii="Verdana" w:hAnsi="Verdana"/>
          <w:iCs/>
          <w:sz w:val="20"/>
          <w:szCs w:val="20"/>
          <w:lang w:val="en-US"/>
        </w:rPr>
        <w:t xml:space="preserve"> and consumption brought about by human intervention. </w:t>
      </w:r>
      <w:r w:rsidR="00C258D7">
        <w:rPr>
          <w:rFonts w:ascii="Verdana" w:hAnsi="Verdana"/>
          <w:iCs/>
          <w:sz w:val="20"/>
          <w:szCs w:val="20"/>
          <w:lang w:val="en-US"/>
        </w:rPr>
        <w:t>M</w:t>
      </w:r>
      <w:r w:rsidRPr="009311C4">
        <w:rPr>
          <w:rFonts w:ascii="Verdana" w:hAnsi="Verdana"/>
          <w:iCs/>
          <w:sz w:val="20"/>
          <w:szCs w:val="20"/>
          <w:lang w:val="en-US"/>
        </w:rPr>
        <w:t xml:space="preserve">any </w:t>
      </w:r>
      <w:r w:rsidR="008577D4" w:rsidRPr="009311C4">
        <w:rPr>
          <w:rFonts w:ascii="Verdana" w:hAnsi="Verdana"/>
          <w:iCs/>
          <w:sz w:val="20"/>
          <w:szCs w:val="20"/>
          <w:lang w:val="en-US"/>
        </w:rPr>
        <w:t>factors</w:t>
      </w:r>
      <w:r w:rsidR="002C3CF2">
        <w:rPr>
          <w:rFonts w:ascii="Verdana" w:hAnsi="Verdana"/>
          <w:iCs/>
          <w:sz w:val="20"/>
          <w:szCs w:val="20"/>
          <w:lang w:val="en-US"/>
        </w:rPr>
        <w:t xml:space="preserve"> </w:t>
      </w:r>
      <w:r w:rsidRPr="009311C4">
        <w:rPr>
          <w:rFonts w:ascii="Verdana" w:hAnsi="Verdana"/>
          <w:iCs/>
          <w:sz w:val="20"/>
          <w:szCs w:val="20"/>
          <w:lang w:val="en-US"/>
        </w:rPr>
        <w:t xml:space="preserve">have contributed to </w:t>
      </w:r>
      <w:r w:rsidR="008577D4" w:rsidRPr="009311C4">
        <w:rPr>
          <w:rFonts w:ascii="Verdana" w:hAnsi="Verdana"/>
          <w:iCs/>
          <w:sz w:val="20"/>
          <w:szCs w:val="20"/>
          <w:lang w:val="en-US"/>
        </w:rPr>
        <w:t>explain the current</w:t>
      </w:r>
      <w:r w:rsidRPr="009311C4">
        <w:rPr>
          <w:rFonts w:ascii="Verdana" w:hAnsi="Verdana"/>
          <w:iCs/>
          <w:sz w:val="20"/>
          <w:szCs w:val="20"/>
          <w:lang w:val="en-US"/>
        </w:rPr>
        <w:t xml:space="preserve"> levels of risk present in the region, including the uncontrolled and poorly planned expansion</w:t>
      </w:r>
      <w:r w:rsidRPr="009311C4">
        <w:rPr>
          <w:rFonts w:ascii="Verdana" w:hAnsi="Verdana"/>
          <w:iCs/>
          <w:spacing w:val="-2"/>
          <w:sz w:val="20"/>
          <w:szCs w:val="20"/>
          <w:lang w:val="en-US"/>
        </w:rPr>
        <w:t xml:space="preserve"> </w:t>
      </w:r>
      <w:r w:rsidRPr="009311C4">
        <w:rPr>
          <w:rFonts w:ascii="Verdana" w:hAnsi="Verdana"/>
          <w:iCs/>
          <w:sz w:val="20"/>
          <w:szCs w:val="20"/>
          <w:lang w:val="en-US"/>
        </w:rPr>
        <w:t>of</w:t>
      </w:r>
      <w:r w:rsidRPr="009311C4">
        <w:rPr>
          <w:rFonts w:ascii="Verdana" w:hAnsi="Verdana"/>
          <w:iCs/>
          <w:spacing w:val="-3"/>
          <w:sz w:val="20"/>
          <w:szCs w:val="20"/>
          <w:lang w:val="en-US"/>
        </w:rPr>
        <w:t xml:space="preserve"> </w:t>
      </w:r>
      <w:r w:rsidRPr="009311C4">
        <w:rPr>
          <w:rFonts w:ascii="Verdana" w:hAnsi="Verdana"/>
          <w:iCs/>
          <w:sz w:val="20"/>
          <w:szCs w:val="20"/>
          <w:lang w:val="en-US"/>
        </w:rPr>
        <w:t>cities,</w:t>
      </w:r>
      <w:r w:rsidRPr="009311C4">
        <w:rPr>
          <w:rFonts w:ascii="Verdana" w:hAnsi="Verdana"/>
          <w:iCs/>
          <w:spacing w:val="-3"/>
          <w:sz w:val="20"/>
          <w:szCs w:val="20"/>
          <w:lang w:val="en-US"/>
        </w:rPr>
        <w:t xml:space="preserve"> </w:t>
      </w:r>
      <w:r w:rsidRPr="009311C4">
        <w:rPr>
          <w:rFonts w:ascii="Verdana" w:hAnsi="Verdana"/>
          <w:iCs/>
          <w:sz w:val="20"/>
          <w:szCs w:val="20"/>
          <w:lang w:val="en-US"/>
        </w:rPr>
        <w:t>the</w:t>
      </w:r>
      <w:r w:rsidRPr="009311C4">
        <w:rPr>
          <w:rFonts w:ascii="Verdana" w:hAnsi="Verdana"/>
          <w:iCs/>
          <w:spacing w:val="-3"/>
          <w:sz w:val="20"/>
          <w:szCs w:val="20"/>
          <w:lang w:val="en-US"/>
        </w:rPr>
        <w:t xml:space="preserve"> </w:t>
      </w:r>
      <w:r w:rsidRPr="009311C4">
        <w:rPr>
          <w:rFonts w:ascii="Verdana" w:hAnsi="Verdana"/>
          <w:iCs/>
          <w:sz w:val="20"/>
          <w:szCs w:val="20"/>
          <w:lang w:val="en-US"/>
        </w:rPr>
        <w:t>growing</w:t>
      </w:r>
      <w:r w:rsidRPr="009311C4">
        <w:rPr>
          <w:rFonts w:ascii="Verdana" w:hAnsi="Verdana"/>
          <w:iCs/>
          <w:spacing w:val="-3"/>
          <w:sz w:val="20"/>
          <w:szCs w:val="20"/>
          <w:lang w:val="en-US"/>
        </w:rPr>
        <w:t xml:space="preserve"> </w:t>
      </w:r>
      <w:r w:rsidRPr="009311C4">
        <w:rPr>
          <w:rFonts w:ascii="Verdana" w:hAnsi="Verdana"/>
          <w:iCs/>
          <w:sz w:val="20"/>
          <w:szCs w:val="20"/>
          <w:lang w:val="en-US"/>
        </w:rPr>
        <w:t>prevalence</w:t>
      </w:r>
      <w:r w:rsidRPr="009311C4">
        <w:rPr>
          <w:rFonts w:ascii="Verdana" w:hAnsi="Verdana"/>
          <w:iCs/>
          <w:spacing w:val="-3"/>
          <w:sz w:val="20"/>
          <w:szCs w:val="20"/>
          <w:lang w:val="en-US"/>
        </w:rPr>
        <w:t xml:space="preserve"> </w:t>
      </w:r>
      <w:r w:rsidRPr="009311C4">
        <w:rPr>
          <w:rFonts w:ascii="Verdana" w:hAnsi="Verdana"/>
          <w:iCs/>
          <w:sz w:val="20"/>
          <w:szCs w:val="20"/>
          <w:lang w:val="en-US"/>
        </w:rPr>
        <w:t>of</w:t>
      </w:r>
      <w:r w:rsidRPr="009311C4">
        <w:rPr>
          <w:rFonts w:ascii="Verdana" w:hAnsi="Verdana"/>
          <w:iCs/>
          <w:spacing w:val="-3"/>
          <w:sz w:val="20"/>
          <w:szCs w:val="20"/>
          <w:lang w:val="en-US"/>
        </w:rPr>
        <w:t xml:space="preserve"> </w:t>
      </w:r>
      <w:r w:rsidRPr="009311C4">
        <w:rPr>
          <w:rFonts w:ascii="Verdana" w:hAnsi="Verdana"/>
          <w:iCs/>
          <w:sz w:val="20"/>
          <w:szCs w:val="20"/>
          <w:lang w:val="en-US"/>
        </w:rPr>
        <w:t>excluded</w:t>
      </w:r>
      <w:r w:rsidRPr="009311C4">
        <w:rPr>
          <w:rFonts w:ascii="Verdana" w:hAnsi="Verdana"/>
          <w:iCs/>
          <w:spacing w:val="-2"/>
          <w:sz w:val="20"/>
          <w:szCs w:val="20"/>
          <w:lang w:val="en-US"/>
        </w:rPr>
        <w:t xml:space="preserve"> </w:t>
      </w:r>
      <w:r w:rsidRPr="009311C4">
        <w:rPr>
          <w:rFonts w:ascii="Verdana" w:hAnsi="Verdana"/>
          <w:iCs/>
          <w:sz w:val="20"/>
          <w:szCs w:val="20"/>
          <w:lang w:val="en-US"/>
        </w:rPr>
        <w:t>and</w:t>
      </w:r>
      <w:r w:rsidRPr="009311C4">
        <w:rPr>
          <w:rFonts w:ascii="Verdana" w:hAnsi="Verdana"/>
          <w:iCs/>
          <w:spacing w:val="-3"/>
          <w:sz w:val="20"/>
          <w:szCs w:val="20"/>
          <w:lang w:val="en-US"/>
        </w:rPr>
        <w:t xml:space="preserve"> </w:t>
      </w:r>
      <w:r w:rsidRPr="009311C4">
        <w:rPr>
          <w:rFonts w:ascii="Verdana" w:hAnsi="Verdana"/>
          <w:iCs/>
          <w:sz w:val="20"/>
          <w:szCs w:val="20"/>
          <w:lang w:val="en-US"/>
        </w:rPr>
        <w:t>marginalized</w:t>
      </w:r>
      <w:r w:rsidRPr="009311C4">
        <w:rPr>
          <w:rFonts w:ascii="Verdana" w:hAnsi="Verdana"/>
          <w:iCs/>
          <w:spacing w:val="-3"/>
          <w:sz w:val="20"/>
          <w:szCs w:val="20"/>
          <w:lang w:val="en-US"/>
        </w:rPr>
        <w:t xml:space="preserve"> </w:t>
      </w:r>
      <w:r w:rsidRPr="009311C4">
        <w:rPr>
          <w:rFonts w:ascii="Verdana" w:hAnsi="Verdana"/>
          <w:iCs/>
          <w:sz w:val="20"/>
          <w:szCs w:val="20"/>
          <w:lang w:val="en-US"/>
        </w:rPr>
        <w:t>spaces</w:t>
      </w:r>
      <w:r w:rsidRPr="009311C4">
        <w:rPr>
          <w:rFonts w:ascii="Verdana" w:hAnsi="Verdana"/>
          <w:iCs/>
          <w:spacing w:val="-3"/>
          <w:sz w:val="20"/>
          <w:szCs w:val="20"/>
          <w:lang w:val="en-US"/>
        </w:rPr>
        <w:t xml:space="preserve"> </w:t>
      </w:r>
      <w:r w:rsidRPr="009311C4">
        <w:rPr>
          <w:rFonts w:ascii="Verdana" w:hAnsi="Verdana"/>
          <w:iCs/>
          <w:sz w:val="20"/>
          <w:szCs w:val="20"/>
          <w:lang w:val="en-US"/>
        </w:rPr>
        <w:t>and</w:t>
      </w:r>
      <w:r w:rsidRPr="009311C4">
        <w:rPr>
          <w:rFonts w:ascii="Verdana" w:hAnsi="Verdana"/>
          <w:iCs/>
          <w:spacing w:val="-3"/>
          <w:sz w:val="20"/>
          <w:szCs w:val="20"/>
          <w:lang w:val="en-US"/>
        </w:rPr>
        <w:t xml:space="preserve"> </w:t>
      </w:r>
      <w:r w:rsidRPr="009311C4">
        <w:rPr>
          <w:rFonts w:ascii="Verdana" w:hAnsi="Verdana"/>
          <w:iCs/>
          <w:sz w:val="20"/>
          <w:szCs w:val="20"/>
          <w:lang w:val="en-US"/>
        </w:rPr>
        <w:t>populations,</w:t>
      </w:r>
      <w:r w:rsidRPr="009311C4">
        <w:rPr>
          <w:rFonts w:ascii="Verdana" w:hAnsi="Verdana"/>
          <w:iCs/>
          <w:spacing w:val="-2"/>
          <w:sz w:val="20"/>
          <w:szCs w:val="20"/>
          <w:lang w:val="en-US"/>
        </w:rPr>
        <w:t xml:space="preserve"> </w:t>
      </w:r>
      <w:r w:rsidRPr="009311C4">
        <w:rPr>
          <w:rFonts w:ascii="Verdana" w:hAnsi="Verdana"/>
          <w:iCs/>
          <w:sz w:val="20"/>
          <w:szCs w:val="20"/>
          <w:lang w:val="en-US"/>
        </w:rPr>
        <w:t>ecosystem</w:t>
      </w:r>
      <w:r w:rsidRPr="009311C4">
        <w:rPr>
          <w:rFonts w:ascii="Verdana" w:hAnsi="Verdana"/>
          <w:iCs/>
          <w:spacing w:val="-3"/>
          <w:sz w:val="20"/>
          <w:szCs w:val="20"/>
          <w:lang w:val="en-US"/>
        </w:rPr>
        <w:t xml:space="preserve"> </w:t>
      </w:r>
      <w:r w:rsidRPr="009311C4">
        <w:rPr>
          <w:rFonts w:ascii="Verdana" w:hAnsi="Verdana"/>
          <w:iCs/>
          <w:sz w:val="20"/>
          <w:szCs w:val="20"/>
          <w:lang w:val="en-US"/>
        </w:rPr>
        <w:t xml:space="preserve">destruction, </w:t>
      </w:r>
      <w:r w:rsidRPr="009311C4">
        <w:rPr>
          <w:rFonts w:ascii="Verdana" w:hAnsi="Verdana"/>
          <w:iCs/>
          <w:spacing w:val="-2"/>
          <w:w w:val="105"/>
          <w:sz w:val="20"/>
          <w:szCs w:val="20"/>
          <w:lang w:val="en-US"/>
        </w:rPr>
        <w:t>social</w:t>
      </w:r>
      <w:r w:rsidRPr="009311C4">
        <w:rPr>
          <w:rFonts w:ascii="Verdana" w:hAnsi="Verdana"/>
          <w:iCs/>
          <w:spacing w:val="-7"/>
          <w:w w:val="105"/>
          <w:sz w:val="20"/>
          <w:szCs w:val="20"/>
          <w:lang w:val="en-US"/>
        </w:rPr>
        <w:t xml:space="preserve"> </w:t>
      </w:r>
      <w:r w:rsidRPr="009311C4">
        <w:rPr>
          <w:rFonts w:ascii="Verdana" w:hAnsi="Verdana"/>
          <w:iCs/>
          <w:spacing w:val="-2"/>
          <w:w w:val="105"/>
          <w:sz w:val="20"/>
          <w:szCs w:val="20"/>
          <w:lang w:val="en-US"/>
        </w:rPr>
        <w:t>inequality,</w:t>
      </w:r>
      <w:r w:rsidRPr="009311C4">
        <w:rPr>
          <w:rFonts w:ascii="Verdana" w:hAnsi="Verdana"/>
          <w:iCs/>
          <w:spacing w:val="-7"/>
          <w:w w:val="105"/>
          <w:sz w:val="20"/>
          <w:szCs w:val="20"/>
          <w:lang w:val="en-US"/>
        </w:rPr>
        <w:t xml:space="preserve"> </w:t>
      </w:r>
      <w:r w:rsidRPr="009311C4">
        <w:rPr>
          <w:rFonts w:ascii="Verdana" w:hAnsi="Verdana"/>
          <w:iCs/>
          <w:spacing w:val="-2"/>
          <w:w w:val="105"/>
          <w:sz w:val="20"/>
          <w:szCs w:val="20"/>
          <w:lang w:val="en-US"/>
        </w:rPr>
        <w:t>poverty,</w:t>
      </w:r>
      <w:r w:rsidRPr="009311C4">
        <w:rPr>
          <w:rFonts w:ascii="Verdana" w:hAnsi="Verdana"/>
          <w:iCs/>
          <w:spacing w:val="-7"/>
          <w:w w:val="105"/>
          <w:sz w:val="20"/>
          <w:szCs w:val="20"/>
          <w:lang w:val="en-US"/>
        </w:rPr>
        <w:t xml:space="preserve"> </w:t>
      </w:r>
      <w:r w:rsidRPr="009311C4">
        <w:rPr>
          <w:rFonts w:ascii="Verdana" w:hAnsi="Verdana"/>
          <w:iCs/>
          <w:spacing w:val="-2"/>
          <w:w w:val="105"/>
          <w:sz w:val="20"/>
          <w:szCs w:val="20"/>
          <w:lang w:val="en-US"/>
        </w:rPr>
        <w:t>forced</w:t>
      </w:r>
      <w:r w:rsidRPr="009311C4">
        <w:rPr>
          <w:rFonts w:ascii="Verdana" w:hAnsi="Verdana"/>
          <w:iCs/>
          <w:spacing w:val="-7"/>
          <w:w w:val="105"/>
          <w:sz w:val="20"/>
          <w:szCs w:val="20"/>
          <w:lang w:val="en-US"/>
        </w:rPr>
        <w:t xml:space="preserve"> </w:t>
      </w:r>
      <w:r w:rsidRPr="009311C4">
        <w:rPr>
          <w:rFonts w:ascii="Verdana" w:hAnsi="Verdana"/>
          <w:iCs/>
          <w:spacing w:val="-2"/>
          <w:w w:val="105"/>
          <w:sz w:val="20"/>
          <w:szCs w:val="20"/>
          <w:lang w:val="en-US"/>
        </w:rPr>
        <w:t>mass</w:t>
      </w:r>
      <w:r w:rsidRPr="009311C4">
        <w:rPr>
          <w:rFonts w:ascii="Verdana" w:hAnsi="Verdana"/>
          <w:iCs/>
          <w:spacing w:val="-7"/>
          <w:w w:val="105"/>
          <w:sz w:val="20"/>
          <w:szCs w:val="20"/>
          <w:lang w:val="en-US"/>
        </w:rPr>
        <w:t xml:space="preserve"> </w:t>
      </w:r>
      <w:r w:rsidRPr="009311C4">
        <w:rPr>
          <w:rFonts w:ascii="Verdana" w:hAnsi="Verdana"/>
          <w:iCs/>
          <w:spacing w:val="-2"/>
          <w:w w:val="105"/>
          <w:sz w:val="20"/>
          <w:szCs w:val="20"/>
          <w:lang w:val="en-US"/>
        </w:rPr>
        <w:t>migration,</w:t>
      </w:r>
      <w:r w:rsidRPr="009311C4">
        <w:rPr>
          <w:rFonts w:ascii="Verdana" w:hAnsi="Verdana"/>
          <w:iCs/>
          <w:spacing w:val="-7"/>
          <w:w w:val="105"/>
          <w:sz w:val="20"/>
          <w:szCs w:val="20"/>
          <w:lang w:val="en-US"/>
        </w:rPr>
        <w:t xml:space="preserve"> </w:t>
      </w:r>
      <w:r w:rsidRPr="009311C4">
        <w:rPr>
          <w:rFonts w:ascii="Verdana" w:hAnsi="Verdana"/>
          <w:iCs/>
          <w:spacing w:val="-2"/>
          <w:w w:val="105"/>
          <w:sz w:val="20"/>
          <w:szCs w:val="20"/>
          <w:lang w:val="en-US"/>
        </w:rPr>
        <w:t>government</w:t>
      </w:r>
      <w:r w:rsidRPr="009311C4">
        <w:rPr>
          <w:rFonts w:ascii="Verdana" w:hAnsi="Verdana"/>
          <w:iCs/>
          <w:spacing w:val="-7"/>
          <w:w w:val="105"/>
          <w:sz w:val="20"/>
          <w:szCs w:val="20"/>
          <w:lang w:val="en-US"/>
        </w:rPr>
        <w:t xml:space="preserve"> </w:t>
      </w:r>
      <w:r w:rsidRPr="009311C4">
        <w:rPr>
          <w:rFonts w:ascii="Verdana" w:hAnsi="Verdana"/>
          <w:iCs/>
          <w:spacing w:val="-2"/>
          <w:w w:val="105"/>
          <w:sz w:val="20"/>
          <w:szCs w:val="20"/>
          <w:lang w:val="en-US"/>
        </w:rPr>
        <w:t>inefficiencies,</w:t>
      </w:r>
      <w:r w:rsidRPr="009311C4">
        <w:rPr>
          <w:rFonts w:ascii="Verdana" w:hAnsi="Verdana"/>
          <w:iCs/>
          <w:spacing w:val="-7"/>
          <w:w w:val="105"/>
          <w:sz w:val="20"/>
          <w:szCs w:val="20"/>
          <w:lang w:val="en-US"/>
        </w:rPr>
        <w:t xml:space="preserve"> </w:t>
      </w:r>
      <w:r w:rsidRPr="009311C4">
        <w:rPr>
          <w:rFonts w:ascii="Verdana" w:hAnsi="Verdana"/>
          <w:iCs/>
          <w:spacing w:val="-2"/>
          <w:w w:val="105"/>
          <w:sz w:val="20"/>
          <w:szCs w:val="20"/>
          <w:lang w:val="en-US"/>
        </w:rPr>
        <w:t>corruption</w:t>
      </w:r>
      <w:r w:rsidRPr="009311C4">
        <w:rPr>
          <w:rFonts w:ascii="Verdana" w:hAnsi="Verdana"/>
          <w:iCs/>
          <w:spacing w:val="-7"/>
          <w:w w:val="105"/>
          <w:sz w:val="20"/>
          <w:szCs w:val="20"/>
          <w:lang w:val="en-US"/>
        </w:rPr>
        <w:t xml:space="preserve"> </w:t>
      </w:r>
      <w:r w:rsidRPr="009311C4">
        <w:rPr>
          <w:rFonts w:ascii="Verdana" w:hAnsi="Verdana"/>
          <w:iCs/>
          <w:spacing w:val="-2"/>
          <w:w w:val="105"/>
          <w:sz w:val="20"/>
          <w:szCs w:val="20"/>
          <w:lang w:val="en-US"/>
        </w:rPr>
        <w:t>and</w:t>
      </w:r>
      <w:r w:rsidRPr="009311C4">
        <w:rPr>
          <w:rFonts w:ascii="Verdana" w:hAnsi="Verdana"/>
          <w:iCs/>
          <w:spacing w:val="-7"/>
          <w:w w:val="105"/>
          <w:sz w:val="20"/>
          <w:szCs w:val="20"/>
          <w:lang w:val="en-US"/>
        </w:rPr>
        <w:t xml:space="preserve"> </w:t>
      </w:r>
      <w:r w:rsidRPr="009311C4">
        <w:rPr>
          <w:rFonts w:ascii="Verdana" w:hAnsi="Verdana"/>
          <w:iCs/>
          <w:spacing w:val="-2"/>
          <w:w w:val="105"/>
          <w:sz w:val="20"/>
          <w:szCs w:val="20"/>
          <w:lang w:val="en-US"/>
        </w:rPr>
        <w:t>disregard</w:t>
      </w:r>
      <w:r w:rsidRPr="009311C4">
        <w:rPr>
          <w:rFonts w:ascii="Verdana" w:hAnsi="Verdana"/>
          <w:iCs/>
          <w:spacing w:val="-7"/>
          <w:w w:val="105"/>
          <w:sz w:val="20"/>
          <w:szCs w:val="20"/>
          <w:lang w:val="en-US"/>
        </w:rPr>
        <w:t xml:space="preserve"> </w:t>
      </w:r>
      <w:r w:rsidRPr="009311C4">
        <w:rPr>
          <w:rFonts w:ascii="Verdana" w:hAnsi="Verdana"/>
          <w:iCs/>
          <w:spacing w:val="-2"/>
          <w:w w:val="105"/>
          <w:sz w:val="20"/>
          <w:szCs w:val="20"/>
          <w:lang w:val="en-US"/>
        </w:rPr>
        <w:t>for</w:t>
      </w:r>
      <w:r w:rsidRPr="009311C4">
        <w:rPr>
          <w:rFonts w:ascii="Verdana" w:hAnsi="Verdana"/>
          <w:iCs/>
          <w:spacing w:val="-7"/>
          <w:w w:val="105"/>
          <w:sz w:val="20"/>
          <w:szCs w:val="20"/>
          <w:lang w:val="en-US"/>
        </w:rPr>
        <w:t xml:space="preserve"> </w:t>
      </w:r>
      <w:r w:rsidRPr="009311C4">
        <w:rPr>
          <w:rFonts w:ascii="Verdana" w:hAnsi="Verdana"/>
          <w:iCs/>
          <w:spacing w:val="-2"/>
          <w:w w:val="105"/>
          <w:sz w:val="20"/>
          <w:szCs w:val="20"/>
          <w:lang w:val="en-US"/>
        </w:rPr>
        <w:t>the</w:t>
      </w:r>
      <w:r w:rsidRPr="009311C4">
        <w:rPr>
          <w:rFonts w:ascii="Verdana" w:hAnsi="Verdana"/>
          <w:iCs/>
          <w:spacing w:val="-7"/>
          <w:w w:val="105"/>
          <w:sz w:val="20"/>
          <w:szCs w:val="20"/>
          <w:lang w:val="en-US"/>
        </w:rPr>
        <w:t xml:space="preserve"> </w:t>
      </w:r>
      <w:r w:rsidRPr="009311C4">
        <w:rPr>
          <w:rFonts w:ascii="Verdana" w:hAnsi="Verdana"/>
          <w:iCs/>
          <w:spacing w:val="-2"/>
          <w:w w:val="105"/>
          <w:sz w:val="20"/>
          <w:szCs w:val="20"/>
          <w:lang w:val="en-US"/>
        </w:rPr>
        <w:t>rule</w:t>
      </w:r>
      <w:r w:rsidRPr="009311C4">
        <w:rPr>
          <w:rFonts w:ascii="Verdana" w:hAnsi="Verdana"/>
          <w:iCs/>
          <w:spacing w:val="-7"/>
          <w:w w:val="105"/>
          <w:sz w:val="20"/>
          <w:szCs w:val="20"/>
          <w:lang w:val="en-US"/>
        </w:rPr>
        <w:t xml:space="preserve"> </w:t>
      </w:r>
      <w:r w:rsidRPr="009311C4">
        <w:rPr>
          <w:rFonts w:ascii="Verdana" w:hAnsi="Verdana"/>
          <w:iCs/>
          <w:spacing w:val="-2"/>
          <w:w w:val="105"/>
          <w:sz w:val="20"/>
          <w:szCs w:val="20"/>
          <w:lang w:val="en-US"/>
        </w:rPr>
        <w:t>of</w:t>
      </w:r>
      <w:r w:rsidRPr="009311C4">
        <w:rPr>
          <w:rFonts w:ascii="Verdana" w:hAnsi="Verdana"/>
          <w:iCs/>
          <w:spacing w:val="-7"/>
          <w:w w:val="105"/>
          <w:sz w:val="20"/>
          <w:szCs w:val="20"/>
          <w:lang w:val="en-US"/>
        </w:rPr>
        <w:t xml:space="preserve"> </w:t>
      </w:r>
      <w:r w:rsidRPr="009311C4">
        <w:rPr>
          <w:rFonts w:ascii="Verdana" w:hAnsi="Verdana"/>
          <w:iCs/>
          <w:spacing w:val="-2"/>
          <w:w w:val="105"/>
          <w:sz w:val="20"/>
          <w:szCs w:val="20"/>
          <w:lang w:val="en-US"/>
        </w:rPr>
        <w:t>law</w:t>
      </w:r>
      <w:r w:rsidR="00636799" w:rsidRPr="009311C4">
        <w:rPr>
          <w:rFonts w:ascii="Verdana" w:hAnsi="Verdana"/>
          <w:iCs/>
          <w:spacing w:val="-2"/>
          <w:w w:val="105"/>
          <w:sz w:val="20"/>
          <w:szCs w:val="20"/>
          <w:lang w:val="en-US"/>
        </w:rPr>
        <w:t>.</w:t>
      </w:r>
    </w:p>
    <w:p w14:paraId="41D8CA89" w14:textId="17027D7A" w:rsidR="002C2EFD" w:rsidRPr="009311C4" w:rsidRDefault="002C2EFD" w:rsidP="00C258D7">
      <w:pPr>
        <w:autoSpaceDE w:val="0"/>
        <w:autoSpaceDN w:val="0"/>
        <w:adjustRightInd w:val="0"/>
        <w:ind w:left="360"/>
        <w:jc w:val="both"/>
        <w:rPr>
          <w:rFonts w:ascii="Verdana" w:eastAsia="Arial Unicode MS" w:hAnsi="Verdana" w:cs="Arial"/>
          <w:sz w:val="20"/>
          <w:szCs w:val="20"/>
          <w:lang w:val="en-US"/>
        </w:rPr>
      </w:pPr>
      <w:r w:rsidRPr="009311C4">
        <w:rPr>
          <w:rFonts w:ascii="Verdana" w:hAnsi="Verdana"/>
          <w:sz w:val="20"/>
          <w:lang w:val="en-US"/>
        </w:rPr>
        <w:t xml:space="preserve">Historically, high levels of inequality have been recorded in </w:t>
      </w:r>
      <w:r w:rsidR="00AC42F7">
        <w:rPr>
          <w:rFonts w:ascii="Verdana" w:hAnsi="Verdana"/>
          <w:sz w:val="20"/>
          <w:lang w:val="en-US"/>
        </w:rPr>
        <w:t>LAC</w:t>
      </w:r>
      <w:r w:rsidR="00C258D7">
        <w:rPr>
          <w:rStyle w:val="Refdenotaalpie"/>
          <w:rFonts w:ascii="Verdana" w:hAnsi="Verdana"/>
          <w:sz w:val="20"/>
          <w:lang w:val="en-US"/>
        </w:rPr>
        <w:footnoteReference w:id="5"/>
      </w:r>
      <w:r w:rsidRPr="009311C4">
        <w:rPr>
          <w:rFonts w:ascii="Verdana" w:hAnsi="Verdana"/>
          <w:sz w:val="20"/>
          <w:lang w:val="en-US"/>
        </w:rPr>
        <w:t xml:space="preserve">. </w:t>
      </w:r>
      <w:r w:rsidR="00A43A63">
        <w:rPr>
          <w:rFonts w:ascii="Verdana" w:hAnsi="Verdana"/>
          <w:sz w:val="20"/>
          <w:lang w:val="en-US"/>
        </w:rPr>
        <w:t>I</w:t>
      </w:r>
      <w:r w:rsidRPr="009311C4">
        <w:rPr>
          <w:rFonts w:ascii="Verdana" w:hAnsi="Verdana"/>
          <w:sz w:val="20"/>
          <w:lang w:val="en-US"/>
        </w:rPr>
        <w:t>nequalities are also expressed in relation to indigenous</w:t>
      </w:r>
      <w:r w:rsidR="00AC42F7">
        <w:rPr>
          <w:rFonts w:ascii="Verdana" w:hAnsi="Verdana"/>
          <w:sz w:val="20"/>
          <w:lang w:val="en-US"/>
        </w:rPr>
        <w:t xml:space="preserve">, </w:t>
      </w:r>
      <w:r w:rsidRPr="009311C4">
        <w:rPr>
          <w:rFonts w:ascii="Verdana" w:hAnsi="Verdana"/>
          <w:sz w:val="20"/>
          <w:lang w:val="en-US"/>
        </w:rPr>
        <w:t>African descendants, and migrants.</w:t>
      </w:r>
    </w:p>
    <w:p w14:paraId="551EC38B" w14:textId="40BA6C9F" w:rsidR="002C2EFD" w:rsidRPr="009311C4" w:rsidRDefault="003348A5" w:rsidP="00B31191">
      <w:pPr>
        <w:shd w:val="clear" w:color="auto" w:fill="FEFEFE"/>
        <w:spacing w:before="100" w:beforeAutospacing="1" w:after="100" w:afterAutospacing="1"/>
        <w:ind w:left="360"/>
        <w:jc w:val="both"/>
        <w:rPr>
          <w:rFonts w:ascii="Verdana" w:eastAsia="Arial Unicode MS" w:hAnsi="Verdana" w:cs="Arial"/>
          <w:sz w:val="20"/>
          <w:szCs w:val="20"/>
          <w:lang w:val="en-US"/>
        </w:rPr>
      </w:pPr>
      <w:r>
        <w:rPr>
          <w:rFonts w:ascii="Verdana" w:hAnsi="Verdana"/>
          <w:sz w:val="20"/>
          <w:lang w:val="en-US"/>
        </w:rPr>
        <w:t>LAC</w:t>
      </w:r>
      <w:r w:rsidR="002C2EFD" w:rsidRPr="009311C4">
        <w:rPr>
          <w:rFonts w:ascii="Verdana" w:hAnsi="Verdana"/>
          <w:sz w:val="20"/>
          <w:lang w:val="en-US"/>
        </w:rPr>
        <w:t xml:space="preserve"> is characterized by its exceptional biodiversity. Biological heritage is a unique asset contributing to national economies</w:t>
      </w:r>
      <w:r w:rsidR="00100F0B" w:rsidRPr="009311C4">
        <w:rPr>
          <w:rFonts w:ascii="Verdana" w:hAnsi="Verdana"/>
          <w:sz w:val="20"/>
          <w:lang w:val="en-US"/>
        </w:rPr>
        <w:t xml:space="preserve"> and livelihoods</w:t>
      </w:r>
      <w:r w:rsidR="002C2EFD" w:rsidRPr="009311C4">
        <w:rPr>
          <w:rFonts w:ascii="Verdana" w:hAnsi="Verdana"/>
          <w:sz w:val="20"/>
          <w:lang w:val="en-US"/>
        </w:rPr>
        <w:t xml:space="preserve">. </w:t>
      </w:r>
      <w:r w:rsidR="00AC42F7">
        <w:rPr>
          <w:rFonts w:ascii="Verdana" w:hAnsi="Verdana"/>
          <w:sz w:val="20"/>
          <w:lang w:val="en-US"/>
        </w:rPr>
        <w:t>H</w:t>
      </w:r>
      <w:r w:rsidR="002C2EFD" w:rsidRPr="009311C4">
        <w:rPr>
          <w:rFonts w:ascii="Verdana" w:hAnsi="Verdana"/>
          <w:sz w:val="20"/>
          <w:lang w:val="en-US"/>
        </w:rPr>
        <w:t>owever, it shows high vulnerability to the pressures and transformations experienced with the substitution of land uses for different purposes, such as urban expansion, commercial agricultural use, extractive industries, or infrastructure.</w:t>
      </w:r>
      <w:r w:rsidR="00666D42">
        <w:rPr>
          <w:rFonts w:ascii="Verdana" w:hAnsi="Verdana"/>
          <w:sz w:val="20"/>
          <w:lang w:val="en-US"/>
        </w:rPr>
        <w:t xml:space="preserve"> </w:t>
      </w:r>
      <w:r w:rsidR="002C2EFD" w:rsidRPr="009311C4">
        <w:rPr>
          <w:rFonts w:ascii="Verdana" w:hAnsi="Verdana"/>
          <w:sz w:val="20"/>
          <w:lang w:val="en-US"/>
        </w:rPr>
        <w:t xml:space="preserve">These pressures put decisions, governance for environmental and territorial management, and consequently governance for disaster risk management at stake. </w:t>
      </w:r>
      <w:r w:rsidR="000F6EDE">
        <w:rPr>
          <w:rFonts w:ascii="Verdana" w:hAnsi="Verdana"/>
          <w:sz w:val="20"/>
          <w:lang w:val="en-US"/>
        </w:rPr>
        <w:t>T</w:t>
      </w:r>
      <w:r w:rsidR="002C2EFD" w:rsidRPr="009311C4">
        <w:rPr>
          <w:rFonts w:ascii="Verdana" w:hAnsi="Verdana"/>
          <w:sz w:val="20"/>
          <w:lang w:val="en-US"/>
        </w:rPr>
        <w:t xml:space="preserve">he pressure to invest in the exploitation of natural resources and the balance of its contribution to national </w:t>
      </w:r>
      <w:r w:rsidR="0048776D" w:rsidRPr="009311C4">
        <w:rPr>
          <w:rFonts w:ascii="Verdana" w:hAnsi="Verdana"/>
          <w:sz w:val="20"/>
          <w:lang w:val="en-US"/>
        </w:rPr>
        <w:t xml:space="preserve">Gross Domestic Product </w:t>
      </w:r>
      <w:r w:rsidR="002C2EFD" w:rsidRPr="009311C4">
        <w:rPr>
          <w:rFonts w:ascii="Verdana" w:hAnsi="Verdana"/>
          <w:sz w:val="20"/>
          <w:lang w:val="en-US"/>
        </w:rPr>
        <w:t>GDP has its impact. These same considerations concern other investments</w:t>
      </w:r>
      <w:r w:rsidR="00AC42F7">
        <w:rPr>
          <w:rFonts w:ascii="Verdana" w:hAnsi="Verdana"/>
          <w:sz w:val="20"/>
          <w:lang w:val="en-US"/>
        </w:rPr>
        <w:t xml:space="preserve"> as</w:t>
      </w:r>
      <w:r w:rsidR="002C2EFD" w:rsidRPr="009311C4">
        <w:rPr>
          <w:rFonts w:ascii="Verdana" w:hAnsi="Verdana"/>
          <w:sz w:val="20"/>
          <w:lang w:val="en-US"/>
        </w:rPr>
        <w:t xml:space="preserve"> the construction of dams and other </w:t>
      </w:r>
      <w:r w:rsidR="002C2EFD" w:rsidRPr="000F6EDE">
        <w:rPr>
          <w:rFonts w:ascii="Verdana" w:hAnsi="Verdana"/>
          <w:sz w:val="20"/>
          <w:szCs w:val="20"/>
          <w:lang w:val="en-US"/>
        </w:rPr>
        <w:t xml:space="preserve">infrastructure for the generation of hydroelectric power or irrigation, road works or tourist developments, which not only result in </w:t>
      </w:r>
      <w:r w:rsidR="002C2EFD" w:rsidRPr="000F6EDE">
        <w:rPr>
          <w:rFonts w:ascii="Verdana" w:hAnsi="Verdana"/>
          <w:sz w:val="20"/>
          <w:szCs w:val="20"/>
          <w:lang w:val="en-US"/>
        </w:rPr>
        <w:lastRenderedPageBreak/>
        <w:t>environmental damage, but also generate impacts on the movement of people, their cultures and identities, and generate new risks, accounting for diverse interconnections and intersection</w:t>
      </w:r>
      <w:r w:rsidR="0041667B">
        <w:rPr>
          <w:rFonts w:ascii="Verdana" w:hAnsi="Verdana"/>
          <w:sz w:val="20"/>
          <w:szCs w:val="20"/>
          <w:lang w:val="en-US"/>
        </w:rPr>
        <w:t>s</w:t>
      </w:r>
      <w:r w:rsidR="00AC42F7">
        <w:rPr>
          <w:rFonts w:ascii="Verdana" w:hAnsi="Verdana"/>
          <w:sz w:val="20"/>
          <w:szCs w:val="20"/>
          <w:lang w:val="en-US"/>
        </w:rPr>
        <w:t>.</w:t>
      </w:r>
      <w:r w:rsidR="00110650" w:rsidRPr="000F6EDE">
        <w:rPr>
          <w:rFonts w:ascii="Verdana" w:hAnsi="Verdana"/>
          <w:sz w:val="20"/>
          <w:szCs w:val="20"/>
          <w:lang w:val="en-US"/>
        </w:rPr>
        <w:t xml:space="preserve"> </w:t>
      </w:r>
      <w:r w:rsidR="0099667E" w:rsidRPr="000F6EDE">
        <w:rPr>
          <w:rFonts w:ascii="Verdana" w:hAnsi="Verdana"/>
          <w:sz w:val="20"/>
          <w:szCs w:val="20"/>
          <w:lang w:val="en-US"/>
        </w:rPr>
        <w:t>Some examples of development that increases risk are the construction of roads and housing in flood-prone areas and gas pipelines and other vital infrastructure on top of geological faults; the promotion of water-intensive productive activities in water-stressed areas or in freshwater catchment areas that serve millions of people; deforestation to support intensive food or biofuel production. Moreover, many examples of omission exist, including the lack of compliance of local governments with laws and regulations on risk, the granting or condoning of occupancy in unsafe areas, and a lack of transparency in the approval of megaprojects.</w:t>
      </w:r>
      <w:r w:rsidR="0099667E" w:rsidRPr="009311C4">
        <w:rPr>
          <w:rFonts w:ascii="Verdana" w:hAnsi="Verdana"/>
          <w:lang w:val="en-US"/>
        </w:rPr>
        <w:t xml:space="preserve"> </w:t>
      </w:r>
    </w:p>
    <w:p w14:paraId="7673BF81" w14:textId="4FACF543" w:rsidR="00683025" w:rsidRPr="009311C4" w:rsidRDefault="00683025" w:rsidP="00C21B85">
      <w:pPr>
        <w:autoSpaceDE w:val="0"/>
        <w:autoSpaceDN w:val="0"/>
        <w:adjustRightInd w:val="0"/>
        <w:ind w:left="360"/>
        <w:jc w:val="both"/>
        <w:rPr>
          <w:rFonts w:ascii="Verdana" w:hAnsi="Verdana" w:cs="Arial"/>
          <w:sz w:val="20"/>
          <w:szCs w:val="20"/>
          <w:lang w:val="en-US"/>
        </w:rPr>
      </w:pPr>
      <w:r w:rsidRPr="009311C4">
        <w:rPr>
          <w:rFonts w:ascii="Verdana" w:hAnsi="Verdana"/>
          <w:sz w:val="20"/>
          <w:lang w:val="en-US"/>
        </w:rPr>
        <w:t>In at least 15 countries, the urban population living in slums, informal settlements or inadequate housing exceeds 20</w:t>
      </w:r>
      <w:r w:rsidR="00C21B85">
        <w:rPr>
          <w:rFonts w:ascii="Verdana" w:hAnsi="Verdana"/>
          <w:sz w:val="20"/>
          <w:lang w:val="en-US"/>
        </w:rPr>
        <w:t>%</w:t>
      </w:r>
      <w:r w:rsidRPr="009311C4">
        <w:rPr>
          <w:rFonts w:ascii="Verdana" w:hAnsi="Verdana"/>
          <w:sz w:val="20"/>
          <w:lang w:val="en-US"/>
        </w:rPr>
        <w:t xml:space="preserve">, the situation </w:t>
      </w:r>
      <w:r w:rsidR="00F32263">
        <w:rPr>
          <w:rFonts w:ascii="Verdana" w:hAnsi="Verdana"/>
          <w:sz w:val="20"/>
          <w:lang w:val="en-US"/>
        </w:rPr>
        <w:t>is</w:t>
      </w:r>
      <w:r w:rsidRPr="009311C4">
        <w:rPr>
          <w:rFonts w:ascii="Verdana" w:hAnsi="Verdana"/>
          <w:sz w:val="20"/>
          <w:lang w:val="en-US"/>
        </w:rPr>
        <w:t xml:space="preserve"> extreme in countries where this rate reaches more than half the population</w:t>
      </w:r>
      <w:r w:rsidR="00F32263">
        <w:rPr>
          <w:rFonts w:ascii="Verdana" w:hAnsi="Verdana"/>
          <w:sz w:val="20"/>
          <w:lang w:val="en-US"/>
        </w:rPr>
        <w:t>, as</w:t>
      </w:r>
      <w:r w:rsidRPr="009311C4">
        <w:rPr>
          <w:rFonts w:ascii="Verdana" w:hAnsi="Verdana"/>
          <w:sz w:val="20"/>
          <w:lang w:val="en-US"/>
        </w:rPr>
        <w:t xml:space="preserve"> Jamaica, with 60.5% and Haiti, 74.4%.</w:t>
      </w:r>
      <w:r w:rsidR="00C21B85">
        <w:rPr>
          <w:rStyle w:val="Refdenotaalpie"/>
          <w:rFonts w:ascii="Verdana" w:hAnsi="Verdana"/>
          <w:sz w:val="20"/>
          <w:lang w:val="en-US"/>
        </w:rPr>
        <w:footnoteReference w:id="6"/>
      </w:r>
      <w:r w:rsidRPr="009311C4">
        <w:rPr>
          <w:rFonts w:ascii="Verdana" w:hAnsi="Verdana"/>
          <w:sz w:val="20"/>
          <w:lang w:val="en-US"/>
        </w:rPr>
        <w:t xml:space="preserve"> </w:t>
      </w:r>
    </w:p>
    <w:p w14:paraId="63F5634F" w14:textId="77777777" w:rsidR="00DD6547" w:rsidRPr="009311C4" w:rsidRDefault="00DD6547" w:rsidP="009311C4">
      <w:pPr>
        <w:autoSpaceDE w:val="0"/>
        <w:autoSpaceDN w:val="0"/>
        <w:adjustRightInd w:val="0"/>
        <w:ind w:left="360"/>
        <w:jc w:val="both"/>
        <w:rPr>
          <w:rFonts w:ascii="Verdana" w:hAnsi="Verdana" w:cs="Arial"/>
          <w:color w:val="000000" w:themeColor="text1"/>
          <w:sz w:val="20"/>
          <w:szCs w:val="20"/>
          <w:lang w:val="en-US"/>
        </w:rPr>
      </w:pPr>
      <w:r w:rsidRPr="009311C4">
        <w:rPr>
          <w:rFonts w:ascii="Verdana" w:hAnsi="Verdana"/>
          <w:color w:val="000000" w:themeColor="text1"/>
          <w:sz w:val="20"/>
          <w:lang w:val="en-US"/>
        </w:rPr>
        <w:t xml:space="preserve">The territory, and in this case the territory of the cities, is a space in which materialization of the relations of power occurs and in which multiple stakeholders coincide with convergent and/or divergent interests in the processes of transformation, use and occupation of urban space. </w:t>
      </w:r>
    </w:p>
    <w:p w14:paraId="21D85557" w14:textId="4CF009A2" w:rsidR="00DD6547" w:rsidRPr="009311C4" w:rsidRDefault="00DD6547" w:rsidP="00E55E50">
      <w:pPr>
        <w:autoSpaceDE w:val="0"/>
        <w:autoSpaceDN w:val="0"/>
        <w:adjustRightInd w:val="0"/>
        <w:ind w:left="360"/>
        <w:jc w:val="both"/>
        <w:rPr>
          <w:rFonts w:ascii="Verdana" w:eastAsiaTheme="minorHAnsi" w:hAnsi="Verdana" w:cs="Arial"/>
          <w:sz w:val="20"/>
          <w:szCs w:val="20"/>
          <w:lang w:val="en-US"/>
        </w:rPr>
      </w:pPr>
      <w:r w:rsidRPr="009311C4">
        <w:rPr>
          <w:rFonts w:ascii="Verdana" w:hAnsi="Verdana"/>
          <w:color w:val="000000" w:themeColor="text1"/>
          <w:sz w:val="20"/>
          <w:lang w:val="en-US"/>
        </w:rPr>
        <w:t xml:space="preserve">In an important number of the cities of </w:t>
      </w:r>
      <w:r w:rsidR="00F32263">
        <w:rPr>
          <w:rFonts w:ascii="Verdana" w:hAnsi="Verdana"/>
          <w:color w:val="000000" w:themeColor="text1"/>
          <w:sz w:val="20"/>
          <w:lang w:val="en-US"/>
        </w:rPr>
        <w:t>LAC</w:t>
      </w:r>
      <w:r w:rsidRPr="009311C4">
        <w:rPr>
          <w:rFonts w:ascii="Verdana" w:hAnsi="Verdana"/>
          <w:color w:val="000000" w:themeColor="text1"/>
          <w:sz w:val="20"/>
          <w:lang w:val="en-US"/>
        </w:rPr>
        <w:t xml:space="preserve">, the power relations of the colonial era </w:t>
      </w:r>
      <w:r w:rsidR="00100F0B" w:rsidRPr="009311C4">
        <w:rPr>
          <w:rFonts w:ascii="Verdana" w:hAnsi="Verdana"/>
          <w:color w:val="000000" w:themeColor="text1"/>
          <w:sz w:val="20"/>
          <w:lang w:val="en-US"/>
        </w:rPr>
        <w:t>laid</w:t>
      </w:r>
      <w:r w:rsidRPr="009311C4">
        <w:rPr>
          <w:rFonts w:ascii="Verdana" w:hAnsi="Verdana"/>
          <w:color w:val="000000" w:themeColor="text1"/>
          <w:sz w:val="20"/>
          <w:lang w:val="en-US"/>
        </w:rPr>
        <w:t xml:space="preserve"> the foundation of human settlements according to the impositions of the Laws of the Indies, which drew </w:t>
      </w:r>
      <w:r w:rsidR="00417048">
        <w:rPr>
          <w:rFonts w:ascii="Verdana" w:hAnsi="Verdana"/>
          <w:color w:val="000000" w:themeColor="text1"/>
          <w:sz w:val="20"/>
          <w:lang w:val="en-US"/>
        </w:rPr>
        <w:t>an</w:t>
      </w:r>
      <w:r w:rsidRPr="009311C4">
        <w:rPr>
          <w:rFonts w:ascii="Verdana" w:hAnsi="Verdana"/>
          <w:color w:val="000000" w:themeColor="text1"/>
          <w:sz w:val="20"/>
          <w:lang w:val="en-US"/>
        </w:rPr>
        <w:t xml:space="preserve"> </w:t>
      </w:r>
      <w:r w:rsidR="00100F0B" w:rsidRPr="009311C4">
        <w:rPr>
          <w:rFonts w:ascii="Verdana" w:hAnsi="Verdana"/>
          <w:color w:val="000000" w:themeColor="text1"/>
          <w:sz w:val="20"/>
          <w:lang w:val="en-US"/>
        </w:rPr>
        <w:t xml:space="preserve">urban </w:t>
      </w:r>
      <w:r w:rsidRPr="009311C4">
        <w:rPr>
          <w:rFonts w:ascii="Verdana" w:hAnsi="Verdana"/>
          <w:color w:val="000000" w:themeColor="text1"/>
          <w:sz w:val="20"/>
          <w:lang w:val="en-US"/>
        </w:rPr>
        <w:t>grid</w:t>
      </w:r>
      <w:r w:rsidR="002B5FEA">
        <w:rPr>
          <w:rFonts w:ascii="Verdana" w:hAnsi="Verdana"/>
          <w:color w:val="000000" w:themeColor="text1"/>
          <w:sz w:val="20"/>
          <w:lang w:val="en-US"/>
        </w:rPr>
        <w:t xml:space="preserve"> </w:t>
      </w:r>
      <w:r w:rsidRPr="009311C4">
        <w:rPr>
          <w:rFonts w:ascii="Verdana" w:hAnsi="Verdana"/>
          <w:color w:val="000000" w:themeColor="text1"/>
          <w:sz w:val="20"/>
          <w:lang w:val="en-US"/>
        </w:rPr>
        <w:t>without considering the cultural or geographical determinants of the territory</w:t>
      </w:r>
      <w:r w:rsidR="002B5FEA">
        <w:rPr>
          <w:rStyle w:val="Refdenotaalpie"/>
          <w:rFonts w:ascii="Verdana" w:hAnsi="Verdana"/>
          <w:color w:val="000000" w:themeColor="text1"/>
          <w:sz w:val="20"/>
          <w:lang w:val="en-US"/>
        </w:rPr>
        <w:footnoteReference w:id="7"/>
      </w:r>
      <w:r w:rsidRPr="009311C4">
        <w:rPr>
          <w:rFonts w:ascii="Verdana" w:hAnsi="Verdana"/>
          <w:color w:val="000000" w:themeColor="text1"/>
          <w:sz w:val="20"/>
          <w:lang w:val="en-US"/>
        </w:rPr>
        <w:t xml:space="preserve">. </w:t>
      </w:r>
    </w:p>
    <w:p w14:paraId="7AF952F4" w14:textId="54ADC6DB" w:rsidR="00DD6547" w:rsidRPr="009311C4" w:rsidRDefault="00DD6547" w:rsidP="009311C4">
      <w:pPr>
        <w:autoSpaceDE w:val="0"/>
        <w:autoSpaceDN w:val="0"/>
        <w:adjustRightInd w:val="0"/>
        <w:ind w:left="360"/>
        <w:jc w:val="both"/>
        <w:rPr>
          <w:rFonts w:ascii="Verdana" w:hAnsi="Verdana" w:cs="Arial"/>
          <w:color w:val="000000" w:themeColor="text1"/>
          <w:sz w:val="20"/>
          <w:szCs w:val="20"/>
          <w:lang w:val="en-US"/>
        </w:rPr>
      </w:pPr>
      <w:r w:rsidRPr="009311C4">
        <w:rPr>
          <w:rFonts w:ascii="Verdana" w:hAnsi="Verdana"/>
          <w:color w:val="000000" w:themeColor="text1"/>
          <w:sz w:val="20"/>
          <w:lang w:val="en-US"/>
        </w:rPr>
        <w:t>The contemporary resolution of divergent interests generates the phenomenon of socio-urban fragmentation and residential segregation, expressed in the social division of space in cities.</w:t>
      </w:r>
      <w:r w:rsidR="00B9000B">
        <w:rPr>
          <w:rFonts w:ascii="Verdana" w:hAnsi="Verdana"/>
          <w:color w:val="000000" w:themeColor="text1"/>
          <w:sz w:val="20"/>
          <w:lang w:val="en-US"/>
        </w:rPr>
        <w:t xml:space="preserve"> </w:t>
      </w:r>
    </w:p>
    <w:p w14:paraId="215EE13D" w14:textId="0A3F76FD" w:rsidR="00DD6547" w:rsidRPr="009311C4" w:rsidRDefault="00DD6547" w:rsidP="009311C4">
      <w:pPr>
        <w:autoSpaceDE w:val="0"/>
        <w:autoSpaceDN w:val="0"/>
        <w:adjustRightInd w:val="0"/>
        <w:ind w:left="360"/>
        <w:jc w:val="both"/>
        <w:rPr>
          <w:rFonts w:ascii="Verdana" w:hAnsi="Verdana"/>
          <w:color w:val="000000" w:themeColor="text1"/>
          <w:sz w:val="20"/>
          <w:lang w:val="en-US"/>
        </w:rPr>
      </w:pPr>
      <w:r w:rsidRPr="009311C4">
        <w:rPr>
          <w:rFonts w:ascii="Verdana" w:hAnsi="Verdana"/>
          <w:color w:val="000000" w:themeColor="text1"/>
          <w:sz w:val="20"/>
          <w:lang w:val="en-US"/>
        </w:rPr>
        <w:t xml:space="preserve">Territorial planning and urban planning can </w:t>
      </w:r>
      <w:r w:rsidR="00100F0B" w:rsidRPr="009311C4">
        <w:rPr>
          <w:rFonts w:ascii="Verdana" w:hAnsi="Verdana"/>
          <w:color w:val="000000" w:themeColor="text1"/>
          <w:sz w:val="20"/>
          <w:lang w:val="en-US"/>
        </w:rPr>
        <w:t>constitute key</w:t>
      </w:r>
      <w:r w:rsidRPr="009311C4">
        <w:rPr>
          <w:rFonts w:ascii="Verdana" w:hAnsi="Verdana"/>
          <w:color w:val="000000" w:themeColor="text1"/>
          <w:sz w:val="20"/>
          <w:lang w:val="en-US"/>
        </w:rPr>
        <w:t xml:space="preserve"> instruments for sustainable and inclusive development if they are governed by regulated processes with transparency, participation and guarantees for competing interests. </w:t>
      </w:r>
    </w:p>
    <w:p w14:paraId="70B44591" w14:textId="2163BC67" w:rsidR="00DD6547" w:rsidRPr="009311C4" w:rsidRDefault="00DD6547" w:rsidP="009311C4">
      <w:pPr>
        <w:autoSpaceDE w:val="0"/>
        <w:autoSpaceDN w:val="0"/>
        <w:adjustRightInd w:val="0"/>
        <w:ind w:left="360"/>
        <w:jc w:val="both"/>
        <w:rPr>
          <w:rFonts w:ascii="Verdana" w:hAnsi="Verdana" w:cs="Arial"/>
          <w:color w:val="000000"/>
          <w:sz w:val="30"/>
          <w:szCs w:val="30"/>
          <w:lang w:val="en-US"/>
        </w:rPr>
      </w:pPr>
      <w:r w:rsidRPr="009311C4">
        <w:rPr>
          <w:rFonts w:ascii="Verdana" w:hAnsi="Verdana"/>
          <w:color w:val="000000" w:themeColor="text1"/>
          <w:sz w:val="20"/>
          <w:lang w:val="en-US"/>
        </w:rPr>
        <w:t xml:space="preserve">Planned urbanization, when done in the name of the security of some people (a notion that has enabled the creation of private </w:t>
      </w:r>
      <w:r w:rsidR="00D102FC">
        <w:rPr>
          <w:rFonts w:ascii="Verdana" w:hAnsi="Verdana"/>
          <w:color w:val="000000" w:themeColor="text1"/>
          <w:sz w:val="20"/>
          <w:lang w:val="en-US"/>
        </w:rPr>
        <w:t>neighborhoods</w:t>
      </w:r>
      <w:r w:rsidRPr="009311C4">
        <w:rPr>
          <w:rFonts w:ascii="Verdana" w:hAnsi="Verdana"/>
          <w:color w:val="000000" w:themeColor="text1"/>
          <w:sz w:val="20"/>
          <w:lang w:val="en-US"/>
        </w:rPr>
        <w:t xml:space="preserve"> and the privatization of public space and pre-existing public roads), </w:t>
      </w:r>
    </w:p>
    <w:p w14:paraId="2298B157" w14:textId="2B776C50" w:rsidR="00DD6547" w:rsidRPr="009311C4" w:rsidRDefault="00DD6547" w:rsidP="009311C4">
      <w:pPr>
        <w:autoSpaceDE w:val="0"/>
        <w:autoSpaceDN w:val="0"/>
        <w:adjustRightInd w:val="0"/>
        <w:ind w:left="360"/>
        <w:jc w:val="both"/>
        <w:rPr>
          <w:rFonts w:ascii="Verdana" w:hAnsi="Verdana"/>
          <w:color w:val="000000" w:themeColor="text1"/>
          <w:sz w:val="20"/>
          <w:szCs w:val="20"/>
          <w:lang w:val="en-US"/>
        </w:rPr>
      </w:pPr>
      <w:r w:rsidRPr="009311C4">
        <w:rPr>
          <w:rFonts w:ascii="Verdana" w:hAnsi="Verdana"/>
          <w:color w:val="000000" w:themeColor="text1"/>
          <w:sz w:val="20"/>
          <w:lang w:val="en-US"/>
        </w:rPr>
        <w:t>In a fragmentation tone, mention should also be made of the control of territories by groups linked to the trafficking of arms</w:t>
      </w:r>
      <w:r w:rsidR="00B9000B">
        <w:rPr>
          <w:rFonts w:ascii="Verdana" w:hAnsi="Verdana"/>
          <w:color w:val="000000" w:themeColor="text1"/>
          <w:sz w:val="20"/>
          <w:lang w:val="en-US"/>
        </w:rPr>
        <w:t xml:space="preserve"> or</w:t>
      </w:r>
      <w:r w:rsidRPr="009311C4">
        <w:rPr>
          <w:rFonts w:ascii="Verdana" w:hAnsi="Verdana"/>
          <w:color w:val="000000" w:themeColor="text1"/>
          <w:sz w:val="20"/>
          <w:lang w:val="en-US"/>
        </w:rPr>
        <w:t xml:space="preserve"> drugs. Although it has had a greater impact on the cities of the Northern Triangle of Centra</w:t>
      </w:r>
      <w:r w:rsidR="00B9000B">
        <w:rPr>
          <w:rFonts w:ascii="Verdana" w:hAnsi="Verdana"/>
          <w:color w:val="000000" w:themeColor="text1"/>
          <w:sz w:val="20"/>
          <w:lang w:val="en-US"/>
        </w:rPr>
        <w:t xml:space="preserve">l </w:t>
      </w:r>
      <w:r w:rsidRPr="009311C4">
        <w:rPr>
          <w:rFonts w:ascii="Verdana" w:hAnsi="Verdana"/>
          <w:color w:val="000000" w:themeColor="text1"/>
          <w:sz w:val="20"/>
          <w:lang w:val="en-US"/>
        </w:rPr>
        <w:t>America or Colombia and Mexico</w:t>
      </w:r>
      <w:r w:rsidR="00AC4261">
        <w:rPr>
          <w:rFonts w:ascii="Verdana" w:hAnsi="Verdana"/>
          <w:color w:val="000000" w:themeColor="text1"/>
          <w:sz w:val="20"/>
          <w:lang w:val="en-US"/>
        </w:rPr>
        <w:t xml:space="preserve">. </w:t>
      </w:r>
      <w:r w:rsidRPr="009311C4">
        <w:rPr>
          <w:rFonts w:ascii="Verdana" w:hAnsi="Verdana"/>
          <w:color w:val="000000" w:themeColor="text1"/>
          <w:sz w:val="20"/>
          <w:lang w:val="en-US"/>
        </w:rPr>
        <w:t>It has as a consequence</w:t>
      </w:r>
      <w:r w:rsidR="002A62A1">
        <w:rPr>
          <w:rFonts w:ascii="Verdana" w:hAnsi="Verdana"/>
          <w:color w:val="000000" w:themeColor="text1"/>
          <w:sz w:val="20"/>
          <w:lang w:val="en-US"/>
        </w:rPr>
        <w:t xml:space="preserve"> in</w:t>
      </w:r>
      <w:r w:rsidRPr="009311C4">
        <w:rPr>
          <w:rFonts w:ascii="Verdana" w:hAnsi="Verdana"/>
          <w:color w:val="000000" w:themeColor="text1"/>
          <w:sz w:val="20"/>
          <w:lang w:val="en-US"/>
        </w:rPr>
        <w:t xml:space="preserve">  “the reduction of citizen participation and the effect on leadership, mobility within the </w:t>
      </w:r>
      <w:r w:rsidR="00C919B3" w:rsidRPr="009311C4">
        <w:rPr>
          <w:rFonts w:ascii="Verdana" w:hAnsi="Verdana"/>
          <w:color w:val="000000" w:themeColor="text1"/>
          <w:sz w:val="20"/>
          <w:lang w:val="en-US"/>
        </w:rPr>
        <w:t>neighborhood</w:t>
      </w:r>
      <w:r w:rsidRPr="009311C4">
        <w:rPr>
          <w:rFonts w:ascii="Verdana" w:hAnsi="Verdana"/>
          <w:color w:val="000000" w:themeColor="text1"/>
          <w:sz w:val="20"/>
          <w:lang w:val="en-US"/>
        </w:rPr>
        <w:t xml:space="preserve">, agenda issues, the growth </w:t>
      </w:r>
      <w:r w:rsidRPr="009311C4">
        <w:rPr>
          <w:rFonts w:ascii="Verdana" w:hAnsi="Verdana"/>
          <w:color w:val="000000" w:themeColor="text1"/>
          <w:sz w:val="20"/>
          <w:lang w:val="en-US"/>
        </w:rPr>
        <w:lastRenderedPageBreak/>
        <w:t xml:space="preserve">of community organization”; the forced displacement </w:t>
      </w:r>
      <w:r w:rsidRPr="009311C4">
        <w:rPr>
          <w:rFonts w:ascii="Verdana" w:hAnsi="Verdana"/>
          <w:color w:val="000000" w:themeColor="text1"/>
          <w:sz w:val="20"/>
          <w:szCs w:val="20"/>
          <w:lang w:val="en-US"/>
        </w:rPr>
        <w:t>between sectors of the city, cities of district port or rural and urban areas.</w:t>
      </w:r>
      <w:r w:rsidRPr="009E7CEA">
        <w:rPr>
          <w:rStyle w:val="Refdenotaalpie"/>
          <w:rFonts w:ascii="Verdana" w:hAnsi="Verdana" w:cs="Arial"/>
          <w:color w:val="000000" w:themeColor="text1"/>
          <w:sz w:val="20"/>
          <w:szCs w:val="20"/>
        </w:rPr>
        <w:footnoteReference w:id="8"/>
      </w:r>
    </w:p>
    <w:p w14:paraId="6244CEEF" w14:textId="0C75E922" w:rsidR="0092053A" w:rsidRPr="009311C4" w:rsidRDefault="0092053A" w:rsidP="009311C4">
      <w:pPr>
        <w:tabs>
          <w:tab w:val="num" w:pos="720"/>
        </w:tabs>
        <w:spacing w:line="240" w:lineRule="auto"/>
        <w:ind w:left="360"/>
        <w:jc w:val="both"/>
        <w:rPr>
          <w:rFonts w:ascii="Verdana" w:eastAsia="Times New Roman" w:hAnsi="Verdana" w:cs="Times New Roman"/>
          <w:color w:val="000000"/>
          <w:kern w:val="0"/>
          <w:sz w:val="20"/>
          <w:szCs w:val="20"/>
          <w:lang w:val="en-US"/>
          <w14:ligatures w14:val="none"/>
        </w:rPr>
      </w:pPr>
      <w:r w:rsidRPr="009311C4">
        <w:rPr>
          <w:rFonts w:ascii="Verdana" w:eastAsia="Times New Roman" w:hAnsi="Verdana" w:cs="Times New Roman"/>
          <w:color w:val="000000"/>
          <w:kern w:val="0"/>
          <w:sz w:val="20"/>
          <w:szCs w:val="20"/>
          <w:lang w:val="en-US"/>
          <w14:ligatures w14:val="none"/>
        </w:rPr>
        <w:t xml:space="preserve">In this context, millions of people are immobile and at risk. These are the poor who </w:t>
      </w:r>
      <w:r w:rsidR="00FE308D" w:rsidRPr="009311C4">
        <w:rPr>
          <w:rFonts w:ascii="Verdana" w:eastAsia="Times New Roman" w:hAnsi="Verdana" w:cs="Times New Roman"/>
          <w:color w:val="000000"/>
          <w:kern w:val="0"/>
          <w:sz w:val="20"/>
          <w:szCs w:val="20"/>
          <w:lang w:val="en-US"/>
          <w14:ligatures w14:val="none"/>
        </w:rPr>
        <w:t xml:space="preserve">most often </w:t>
      </w:r>
      <w:r w:rsidRPr="009311C4">
        <w:rPr>
          <w:rFonts w:ascii="Verdana" w:eastAsia="Times New Roman" w:hAnsi="Verdana" w:cs="Times New Roman"/>
          <w:color w:val="000000"/>
          <w:kern w:val="0"/>
          <w:sz w:val="20"/>
          <w:szCs w:val="20"/>
          <w:lang w:val="en-US"/>
          <w14:ligatures w14:val="none"/>
        </w:rPr>
        <w:t>are forced to occupy public lands at risk of flooding or landslides because they cannot access the land market.</w:t>
      </w:r>
    </w:p>
    <w:p w14:paraId="04C396C5" w14:textId="77777777" w:rsidR="0092053A" w:rsidRPr="009311C4" w:rsidRDefault="0092053A" w:rsidP="009311C4">
      <w:pPr>
        <w:tabs>
          <w:tab w:val="num" w:pos="720"/>
        </w:tabs>
        <w:spacing w:line="240" w:lineRule="auto"/>
        <w:ind w:left="360"/>
        <w:jc w:val="both"/>
        <w:rPr>
          <w:rFonts w:ascii="Verdana" w:eastAsia="Times New Roman" w:hAnsi="Verdana" w:cs="Times New Roman"/>
          <w:b/>
          <w:bCs/>
          <w:color w:val="000000"/>
          <w:kern w:val="0"/>
          <w:sz w:val="26"/>
          <w:szCs w:val="26"/>
          <w:lang w:val="en-US"/>
          <w14:ligatures w14:val="none"/>
        </w:rPr>
      </w:pPr>
      <w:r w:rsidRPr="009311C4">
        <w:rPr>
          <w:rFonts w:ascii="Verdana" w:eastAsia="Times New Roman" w:hAnsi="Verdana" w:cs="Times New Roman"/>
          <w:b/>
          <w:bCs/>
          <w:color w:val="000000"/>
          <w:kern w:val="0"/>
          <w:sz w:val="26"/>
          <w:szCs w:val="26"/>
          <w:lang w:val="en-US"/>
          <w14:ligatures w14:val="none"/>
        </w:rPr>
        <w:t xml:space="preserve">Consensual relocations and participation </w:t>
      </w:r>
    </w:p>
    <w:p w14:paraId="5E7BC547" w14:textId="06811057" w:rsidR="0092053A" w:rsidRPr="009311C4" w:rsidRDefault="0092053A" w:rsidP="009311C4">
      <w:pPr>
        <w:tabs>
          <w:tab w:val="num" w:pos="720"/>
        </w:tabs>
        <w:spacing w:line="240" w:lineRule="auto"/>
        <w:ind w:left="360"/>
        <w:jc w:val="both"/>
        <w:rPr>
          <w:rFonts w:ascii="Verdana" w:eastAsia="Times New Roman" w:hAnsi="Verdana" w:cs="Times New Roman"/>
          <w:color w:val="000000"/>
          <w:kern w:val="0"/>
          <w:sz w:val="20"/>
          <w:szCs w:val="20"/>
          <w:lang w:val="en-US"/>
          <w14:ligatures w14:val="none"/>
        </w:rPr>
      </w:pPr>
      <w:r w:rsidRPr="009311C4">
        <w:rPr>
          <w:rFonts w:ascii="Verdana" w:eastAsia="Times New Roman" w:hAnsi="Verdana" w:cs="Times New Roman"/>
          <w:color w:val="000000"/>
          <w:kern w:val="0"/>
          <w:sz w:val="20"/>
          <w:szCs w:val="20"/>
          <w:lang w:val="en-US"/>
          <w14:ligatures w14:val="none"/>
        </w:rPr>
        <w:t xml:space="preserve">This sector of the population is not only poor but also excluded. This means that they have not been able to access or benefit from the economic growth of the countries in which they live, and that beyond the averages and the much-mentioned "spillover" that should occur in the distribution of this growth, they are in a geographical, social, economic, political and cultural territory where the spillover does not reach. </w:t>
      </w:r>
      <w:r w:rsidR="00FE308D" w:rsidRPr="009311C4">
        <w:rPr>
          <w:rFonts w:ascii="Verdana" w:eastAsia="Times New Roman" w:hAnsi="Verdana" w:cs="Times New Roman"/>
          <w:color w:val="000000"/>
          <w:kern w:val="0"/>
          <w:sz w:val="20"/>
          <w:szCs w:val="20"/>
          <w:lang w:val="en-US"/>
          <w14:ligatures w14:val="none"/>
        </w:rPr>
        <w:t xml:space="preserve">Situated vulnerability compounds the exposure and risks for millions of people in the </w:t>
      </w:r>
      <w:r w:rsidR="00085457">
        <w:rPr>
          <w:rFonts w:ascii="Verdana" w:eastAsia="Times New Roman" w:hAnsi="Verdana" w:cs="Times New Roman"/>
          <w:color w:val="000000"/>
          <w:kern w:val="0"/>
          <w:sz w:val="20"/>
          <w:szCs w:val="20"/>
          <w:lang w:val="en-US"/>
          <w14:ligatures w14:val="none"/>
        </w:rPr>
        <w:t>LAC</w:t>
      </w:r>
      <w:r w:rsidR="00FE308D" w:rsidRPr="009311C4">
        <w:rPr>
          <w:rFonts w:ascii="Verdana" w:eastAsia="Times New Roman" w:hAnsi="Verdana" w:cs="Times New Roman"/>
          <w:color w:val="000000"/>
          <w:kern w:val="0"/>
          <w:sz w:val="20"/>
          <w:szCs w:val="20"/>
          <w:lang w:val="en-US"/>
          <w14:ligatures w14:val="none"/>
        </w:rPr>
        <w:t xml:space="preserve"> region.</w:t>
      </w:r>
    </w:p>
    <w:p w14:paraId="5C63AC80" w14:textId="22C392F3" w:rsidR="0092053A" w:rsidRPr="009311C4" w:rsidRDefault="0092053A" w:rsidP="009311C4">
      <w:pPr>
        <w:tabs>
          <w:tab w:val="num" w:pos="720"/>
        </w:tabs>
        <w:spacing w:line="240" w:lineRule="auto"/>
        <w:ind w:left="360"/>
        <w:jc w:val="both"/>
        <w:rPr>
          <w:rFonts w:ascii="Verdana" w:eastAsia="Times New Roman" w:hAnsi="Verdana" w:cs="Times New Roman"/>
          <w:color w:val="000000"/>
          <w:kern w:val="0"/>
          <w:sz w:val="20"/>
          <w:szCs w:val="20"/>
          <w:lang w:val="en-US"/>
          <w14:ligatures w14:val="none"/>
        </w:rPr>
      </w:pPr>
      <w:r w:rsidRPr="009311C4">
        <w:rPr>
          <w:rFonts w:ascii="Verdana" w:eastAsia="Times New Roman" w:hAnsi="Verdana" w:cs="Times New Roman"/>
          <w:color w:val="000000"/>
          <w:kern w:val="0"/>
          <w:sz w:val="20"/>
          <w:szCs w:val="20"/>
          <w:lang w:val="en-US"/>
          <w14:ligatures w14:val="none"/>
        </w:rPr>
        <w:t xml:space="preserve">And that is where the state must act, to achieve the socio-territorial inclusion of people and support them until they </w:t>
      </w:r>
      <w:r w:rsidR="00163264">
        <w:rPr>
          <w:rFonts w:ascii="Verdana" w:eastAsia="Times New Roman" w:hAnsi="Verdana" w:cs="Times New Roman"/>
          <w:color w:val="000000"/>
          <w:kern w:val="0"/>
          <w:sz w:val="20"/>
          <w:szCs w:val="20"/>
          <w:lang w:val="en-US"/>
          <w14:ligatures w14:val="none"/>
        </w:rPr>
        <w:t>can</w:t>
      </w:r>
      <w:r w:rsidRPr="009311C4">
        <w:rPr>
          <w:rFonts w:ascii="Verdana" w:eastAsia="Times New Roman" w:hAnsi="Verdana" w:cs="Times New Roman"/>
          <w:color w:val="000000"/>
          <w:kern w:val="0"/>
          <w:sz w:val="20"/>
          <w:szCs w:val="20"/>
          <w:lang w:val="en-US"/>
          <w14:ligatures w14:val="none"/>
        </w:rPr>
        <w:t xml:space="preserve"> continue this process with their own capacities. It is therefore an act of justice and an instrument of </w:t>
      </w:r>
      <w:proofErr w:type="spellStart"/>
      <w:r w:rsidRPr="009311C4">
        <w:rPr>
          <w:rFonts w:ascii="Verdana" w:eastAsia="Times New Roman" w:hAnsi="Verdana" w:cs="Times New Roman"/>
          <w:color w:val="000000"/>
          <w:kern w:val="0"/>
          <w:sz w:val="20"/>
          <w:szCs w:val="20"/>
          <w:lang w:val="en-US"/>
          <w14:ligatures w14:val="none"/>
        </w:rPr>
        <w:t>democratisation</w:t>
      </w:r>
      <w:proofErr w:type="spellEnd"/>
      <w:r w:rsidRPr="009311C4">
        <w:rPr>
          <w:rFonts w:ascii="Verdana" w:eastAsia="Times New Roman" w:hAnsi="Verdana" w:cs="Times New Roman"/>
          <w:color w:val="000000"/>
          <w:kern w:val="0"/>
          <w:sz w:val="20"/>
          <w:szCs w:val="20"/>
          <w:lang w:val="en-US"/>
          <w14:ligatures w14:val="none"/>
        </w:rPr>
        <w:t xml:space="preserve"> of decisions towards a fair and equitable territory, at different scales.</w:t>
      </w:r>
    </w:p>
    <w:p w14:paraId="5EC58EAB" w14:textId="00E4577C" w:rsidR="00F17C3A" w:rsidRPr="009E7CEA" w:rsidRDefault="00F17C3A" w:rsidP="009311C4">
      <w:pPr>
        <w:pStyle w:val="NormalWeb"/>
        <w:shd w:val="clear" w:color="auto" w:fill="FFFFFF"/>
        <w:spacing w:after="0"/>
        <w:ind w:left="360"/>
        <w:jc w:val="both"/>
        <w:textAlignment w:val="baseline"/>
        <w:rPr>
          <w:rFonts w:ascii="Verdana" w:eastAsiaTheme="minorEastAsia" w:hAnsi="Verdana" w:cstheme="minorBidi"/>
          <w:color w:val="000000" w:themeColor="text1"/>
          <w:kern w:val="2"/>
          <w:sz w:val="20"/>
          <w:szCs w:val="20"/>
          <w:lang w:val="en-US"/>
          <w14:ligatures w14:val="standardContextual"/>
        </w:rPr>
      </w:pPr>
      <w:r w:rsidRPr="009E7CEA">
        <w:rPr>
          <w:rFonts w:ascii="Verdana" w:eastAsiaTheme="minorEastAsia" w:hAnsi="Verdana" w:cstheme="minorBidi"/>
          <w:color w:val="000000" w:themeColor="text1"/>
          <w:kern w:val="2"/>
          <w:sz w:val="20"/>
          <w:szCs w:val="20"/>
          <w:lang w:val="en-US"/>
          <w14:ligatures w14:val="standardContextual"/>
        </w:rPr>
        <w:t xml:space="preserve">This is how the National Relocation Plan came about </w:t>
      </w:r>
      <w:r w:rsidR="00085457">
        <w:rPr>
          <w:rFonts w:ascii="Verdana" w:eastAsiaTheme="minorEastAsia" w:hAnsi="Verdana" w:cstheme="minorBidi"/>
          <w:color w:val="000000" w:themeColor="text1"/>
          <w:kern w:val="2"/>
          <w:sz w:val="20"/>
          <w:szCs w:val="20"/>
          <w:lang w:val="en-US"/>
          <w14:ligatures w14:val="standardContextual"/>
        </w:rPr>
        <w:t xml:space="preserve">as national public policy </w:t>
      </w:r>
      <w:r w:rsidRPr="009E7CEA">
        <w:rPr>
          <w:rFonts w:ascii="Verdana" w:eastAsiaTheme="minorEastAsia" w:hAnsi="Verdana" w:cstheme="minorBidi"/>
          <w:color w:val="000000" w:themeColor="text1"/>
          <w:kern w:val="2"/>
          <w:sz w:val="20"/>
          <w:szCs w:val="20"/>
          <w:lang w:val="en-US"/>
          <w14:ligatures w14:val="standardContextual"/>
        </w:rPr>
        <w:t>in Uruguay within the framework of the National Housing Plan 2010-2015, after 4 years of economic growth that failed to reach entire communities.</w:t>
      </w:r>
    </w:p>
    <w:p w14:paraId="5BFF2264" w14:textId="1CA27128" w:rsidR="00F17C3A" w:rsidRPr="009E7CEA" w:rsidRDefault="00F17C3A" w:rsidP="009311C4">
      <w:pPr>
        <w:pStyle w:val="NormalWeb"/>
        <w:shd w:val="clear" w:color="auto" w:fill="FFFFFF"/>
        <w:spacing w:after="0"/>
        <w:ind w:left="360"/>
        <w:jc w:val="both"/>
        <w:textAlignment w:val="baseline"/>
        <w:rPr>
          <w:rFonts w:ascii="Verdana" w:eastAsiaTheme="minorEastAsia" w:hAnsi="Verdana" w:cstheme="minorBidi"/>
          <w:color w:val="000000" w:themeColor="text1"/>
          <w:kern w:val="2"/>
          <w:sz w:val="20"/>
          <w:szCs w:val="20"/>
          <w:lang w:val="en-US"/>
          <w14:ligatures w14:val="standardContextual"/>
        </w:rPr>
      </w:pPr>
      <w:r w:rsidRPr="009E7CEA">
        <w:rPr>
          <w:rFonts w:ascii="Verdana" w:eastAsiaTheme="minorEastAsia" w:hAnsi="Verdana" w:cstheme="minorBidi"/>
          <w:color w:val="000000" w:themeColor="text1"/>
          <w:kern w:val="2"/>
          <w:sz w:val="20"/>
          <w:szCs w:val="20"/>
          <w:lang w:val="en-US"/>
          <w14:ligatures w14:val="standardContextual"/>
        </w:rPr>
        <w:t xml:space="preserve">And it was created to improve the quality of life of these populations. I am not going to </w:t>
      </w:r>
      <w:proofErr w:type="spellStart"/>
      <w:r w:rsidRPr="009E7CEA">
        <w:rPr>
          <w:rFonts w:ascii="Verdana" w:eastAsiaTheme="minorEastAsia" w:hAnsi="Verdana" w:cstheme="minorBidi"/>
          <w:color w:val="000000" w:themeColor="text1"/>
          <w:kern w:val="2"/>
          <w:sz w:val="20"/>
          <w:szCs w:val="20"/>
          <w:lang w:val="en-US"/>
          <w14:ligatures w14:val="standardContextual"/>
        </w:rPr>
        <w:t>analyse</w:t>
      </w:r>
      <w:proofErr w:type="spellEnd"/>
      <w:r w:rsidRPr="009E7CEA">
        <w:rPr>
          <w:rFonts w:ascii="Verdana" w:eastAsiaTheme="minorEastAsia" w:hAnsi="Verdana" w:cstheme="minorBidi"/>
          <w:color w:val="000000" w:themeColor="text1"/>
          <w:kern w:val="2"/>
          <w:sz w:val="20"/>
          <w:szCs w:val="20"/>
          <w:lang w:val="en-US"/>
          <w14:ligatures w14:val="standardContextual"/>
        </w:rPr>
        <w:t xml:space="preserve"> this policy and plan in depth</w:t>
      </w:r>
      <w:r w:rsidR="00FE308D">
        <w:rPr>
          <w:rFonts w:ascii="Verdana" w:eastAsiaTheme="minorEastAsia" w:hAnsi="Verdana" w:cstheme="minorBidi"/>
          <w:color w:val="000000" w:themeColor="text1"/>
          <w:kern w:val="2"/>
          <w:sz w:val="20"/>
          <w:szCs w:val="20"/>
          <w:lang w:val="en-US"/>
          <w14:ligatures w14:val="standardContextual"/>
        </w:rPr>
        <w:t xml:space="preserve"> here</w:t>
      </w:r>
      <w:r w:rsidRPr="009E7CEA">
        <w:rPr>
          <w:rFonts w:ascii="Verdana" w:eastAsiaTheme="minorEastAsia" w:hAnsi="Verdana" w:cstheme="minorBidi"/>
          <w:color w:val="000000" w:themeColor="text1"/>
          <w:kern w:val="2"/>
          <w:sz w:val="20"/>
          <w:szCs w:val="20"/>
          <w:lang w:val="en-US"/>
          <w14:ligatures w14:val="standardContextual"/>
        </w:rPr>
        <w:t xml:space="preserve">, but I will say that in the context of the region it is the only specific national policy for planned relocations in the region, even though there are many planned relocation processes, but they are promoted on an ad hoc basis or by different actors. </w:t>
      </w:r>
    </w:p>
    <w:p w14:paraId="65D74239" w14:textId="77777777" w:rsidR="00F17C3A" w:rsidRPr="009E7CEA" w:rsidRDefault="00F17C3A" w:rsidP="009311C4">
      <w:pPr>
        <w:pStyle w:val="NormalWeb"/>
        <w:shd w:val="clear" w:color="auto" w:fill="FFFFFF"/>
        <w:spacing w:after="0"/>
        <w:ind w:left="360"/>
        <w:jc w:val="both"/>
        <w:textAlignment w:val="baseline"/>
        <w:rPr>
          <w:rFonts w:ascii="Verdana" w:eastAsiaTheme="minorEastAsia" w:hAnsi="Verdana" w:cstheme="minorBidi"/>
          <w:color w:val="000000" w:themeColor="text1"/>
          <w:kern w:val="2"/>
          <w:sz w:val="20"/>
          <w:szCs w:val="20"/>
          <w:lang w:val="en-US"/>
          <w14:ligatures w14:val="standardContextual"/>
        </w:rPr>
      </w:pPr>
      <w:r w:rsidRPr="009E7CEA">
        <w:rPr>
          <w:rFonts w:ascii="Verdana" w:eastAsiaTheme="minorEastAsia" w:hAnsi="Verdana" w:cstheme="minorBidi"/>
          <w:color w:val="000000" w:themeColor="text1"/>
          <w:kern w:val="2"/>
          <w:sz w:val="20"/>
          <w:szCs w:val="20"/>
          <w:lang w:val="en-US"/>
          <w14:ligatures w14:val="standardContextual"/>
        </w:rPr>
        <w:t xml:space="preserve">From the beginning, participation was considered key, but during the implementation process it was identified as such an important issue to achieve the sustainability of the process, to design adequate solutions and to preserve cultures and identities, that I have thought of the term consensual relocations to </w:t>
      </w:r>
      <w:proofErr w:type="spellStart"/>
      <w:r w:rsidRPr="009E7CEA">
        <w:rPr>
          <w:rFonts w:ascii="Verdana" w:eastAsiaTheme="minorEastAsia" w:hAnsi="Verdana" w:cstheme="minorBidi"/>
          <w:color w:val="000000" w:themeColor="text1"/>
          <w:kern w:val="2"/>
          <w:sz w:val="20"/>
          <w:szCs w:val="20"/>
          <w:lang w:val="en-US"/>
          <w14:ligatures w14:val="standardContextual"/>
        </w:rPr>
        <w:t>emphasise</w:t>
      </w:r>
      <w:proofErr w:type="spellEnd"/>
      <w:r w:rsidRPr="009E7CEA">
        <w:rPr>
          <w:rFonts w:ascii="Verdana" w:eastAsiaTheme="minorEastAsia" w:hAnsi="Verdana" w:cstheme="minorBidi"/>
          <w:color w:val="000000" w:themeColor="text1"/>
          <w:kern w:val="2"/>
          <w:sz w:val="20"/>
          <w:szCs w:val="20"/>
          <w:lang w:val="en-US"/>
          <w14:ligatures w14:val="standardContextual"/>
        </w:rPr>
        <w:t xml:space="preserve"> this participation.</w:t>
      </w:r>
    </w:p>
    <w:p w14:paraId="45700EDD" w14:textId="39ECD1B3" w:rsidR="00056372" w:rsidRDefault="00F17C3A" w:rsidP="00E02284">
      <w:pPr>
        <w:pStyle w:val="NormalWeb"/>
        <w:shd w:val="clear" w:color="auto" w:fill="FFFFFF"/>
        <w:spacing w:after="0"/>
        <w:ind w:left="360"/>
        <w:jc w:val="both"/>
        <w:textAlignment w:val="baseline"/>
        <w:rPr>
          <w:rFonts w:ascii="Verdana" w:eastAsiaTheme="minorEastAsia" w:hAnsi="Verdana" w:cstheme="minorBidi"/>
          <w:color w:val="000000" w:themeColor="text1"/>
          <w:kern w:val="2"/>
          <w:sz w:val="20"/>
          <w:szCs w:val="20"/>
          <w:lang w:val="en-US"/>
          <w14:ligatures w14:val="standardContextual"/>
        </w:rPr>
      </w:pPr>
      <w:r w:rsidRPr="009E7CEA">
        <w:rPr>
          <w:rFonts w:ascii="Verdana" w:eastAsiaTheme="minorEastAsia" w:hAnsi="Verdana" w:cstheme="minorBidi"/>
          <w:color w:val="000000" w:themeColor="text1"/>
          <w:kern w:val="2"/>
          <w:sz w:val="20"/>
          <w:szCs w:val="20"/>
          <w:lang w:val="en-US"/>
          <w14:ligatures w14:val="standardContextual"/>
        </w:rPr>
        <w:t>Arnstein's ladder shows different degrees of participation in a very simplified and linear but graphic way</w:t>
      </w:r>
      <w:r w:rsidR="00C15CC3">
        <w:rPr>
          <w:rFonts w:ascii="Verdana" w:eastAsiaTheme="minorEastAsia" w:hAnsi="Verdana" w:cstheme="minorBidi"/>
          <w:color w:val="000000" w:themeColor="text1"/>
          <w:kern w:val="2"/>
          <w:sz w:val="20"/>
          <w:szCs w:val="20"/>
          <w:lang w:val="en-US"/>
          <w14:ligatures w14:val="standardContextual"/>
        </w:rPr>
        <w:t xml:space="preserve"> (</w:t>
      </w:r>
      <w:r w:rsidR="00C15CC3" w:rsidRPr="00DA1C33">
        <w:rPr>
          <w:rFonts w:ascii="Verdana" w:eastAsiaTheme="minorEastAsia" w:hAnsi="Verdana" w:cstheme="minorBidi"/>
          <w:color w:val="000000" w:themeColor="text1"/>
          <w:kern w:val="2"/>
          <w:sz w:val="20"/>
          <w:szCs w:val="20"/>
          <w:lang w:val="en-US"/>
          <w14:ligatures w14:val="standardContextual"/>
        </w:rPr>
        <w:t xml:space="preserve">Manipulation, Therapy, Informing, </w:t>
      </w:r>
      <w:r w:rsidR="00C15CC3" w:rsidRPr="00C15CC3">
        <w:rPr>
          <w:rFonts w:ascii="Verdana" w:eastAsiaTheme="minorEastAsia" w:hAnsi="Verdana" w:cstheme="minorBidi"/>
          <w:color w:val="000000" w:themeColor="text1"/>
          <w:kern w:val="2"/>
          <w:sz w:val="20"/>
          <w:szCs w:val="20"/>
          <w:lang w:val="en-US"/>
          <w14:ligatures w14:val="standardContextual"/>
        </w:rPr>
        <w:t>Consultation, Placation, Partnership, Delegated Power, Citizen Control</w:t>
      </w:r>
      <w:r w:rsidR="00C15CC3">
        <w:rPr>
          <w:rFonts w:ascii="Verdana" w:eastAsiaTheme="minorEastAsia" w:hAnsi="Verdana" w:cstheme="minorBidi"/>
          <w:color w:val="000000" w:themeColor="text1"/>
          <w:kern w:val="2"/>
          <w:sz w:val="20"/>
          <w:szCs w:val="20"/>
          <w:lang w:val="en-US"/>
          <w14:ligatures w14:val="standardContextual"/>
        </w:rPr>
        <w:t>)</w:t>
      </w:r>
      <w:r w:rsidRPr="009E7CEA">
        <w:rPr>
          <w:rFonts w:ascii="Verdana" w:eastAsiaTheme="minorEastAsia" w:hAnsi="Verdana" w:cstheme="minorBidi"/>
          <w:color w:val="000000" w:themeColor="text1"/>
          <w:kern w:val="2"/>
          <w:sz w:val="20"/>
          <w:szCs w:val="20"/>
          <w:lang w:val="en-US"/>
          <w14:ligatures w14:val="standardContextual"/>
        </w:rPr>
        <w:t xml:space="preserve">. This implies that it is also necessary to train </w:t>
      </w:r>
      <w:r w:rsidR="005E5FA8">
        <w:rPr>
          <w:rFonts w:ascii="Verdana" w:eastAsiaTheme="minorEastAsia" w:hAnsi="Verdana" w:cstheme="minorBidi"/>
          <w:color w:val="000000" w:themeColor="text1"/>
          <w:kern w:val="2"/>
          <w:sz w:val="20"/>
          <w:szCs w:val="20"/>
          <w:lang w:val="en-US"/>
          <w14:ligatures w14:val="standardContextual"/>
        </w:rPr>
        <w:t xml:space="preserve">communities </w:t>
      </w:r>
      <w:r w:rsidRPr="009E7CEA">
        <w:rPr>
          <w:rFonts w:ascii="Verdana" w:eastAsiaTheme="minorEastAsia" w:hAnsi="Verdana" w:cstheme="minorBidi"/>
          <w:color w:val="000000" w:themeColor="text1"/>
          <w:kern w:val="2"/>
          <w:sz w:val="20"/>
          <w:szCs w:val="20"/>
          <w:lang w:val="en-US"/>
          <w14:ligatures w14:val="standardContextual"/>
        </w:rPr>
        <w:t>for participation, to achieve access to information, to know the procedures for the exercise of citizenship and other related issues because in order to really participate you have to be on an equal footing.</w:t>
      </w:r>
      <w:r w:rsidR="00E02284">
        <w:rPr>
          <w:rFonts w:ascii="Verdana" w:eastAsiaTheme="minorEastAsia" w:hAnsi="Verdana" w:cstheme="minorBidi"/>
          <w:color w:val="000000" w:themeColor="text1"/>
          <w:kern w:val="2"/>
          <w:sz w:val="20"/>
          <w:szCs w:val="20"/>
          <w:lang w:val="en-US"/>
          <w14:ligatures w14:val="standardContextual"/>
        </w:rPr>
        <w:t xml:space="preserve"> </w:t>
      </w:r>
      <w:r w:rsidR="00056372" w:rsidRPr="009E7CEA">
        <w:rPr>
          <w:rFonts w:ascii="Verdana" w:eastAsiaTheme="minorEastAsia" w:hAnsi="Verdana" w:cstheme="minorBidi"/>
          <w:color w:val="000000" w:themeColor="text1"/>
          <w:kern w:val="2"/>
          <w:sz w:val="20"/>
          <w:szCs w:val="20"/>
          <w:lang w:val="en-US"/>
          <w14:ligatures w14:val="standardContextual"/>
        </w:rPr>
        <w:t>Howev</w:t>
      </w:r>
      <w:r w:rsidR="000D67FE">
        <w:rPr>
          <w:rFonts w:ascii="Verdana" w:eastAsiaTheme="minorEastAsia" w:hAnsi="Verdana" w:cstheme="minorBidi"/>
          <w:color w:val="000000" w:themeColor="text1"/>
          <w:kern w:val="2"/>
          <w:sz w:val="20"/>
          <w:szCs w:val="20"/>
          <w:lang w:val="en-US"/>
          <w14:ligatures w14:val="standardContextual"/>
        </w:rPr>
        <w:t>e</w:t>
      </w:r>
      <w:r w:rsidR="00056372" w:rsidRPr="009E7CEA">
        <w:rPr>
          <w:rFonts w:ascii="Verdana" w:eastAsiaTheme="minorEastAsia" w:hAnsi="Verdana" w:cstheme="minorBidi"/>
          <w:color w:val="000000" w:themeColor="text1"/>
          <w:kern w:val="2"/>
          <w:sz w:val="20"/>
          <w:szCs w:val="20"/>
          <w:lang w:val="en-US"/>
          <w14:ligatures w14:val="standardContextual"/>
        </w:rPr>
        <w:t xml:space="preserve">r, it can be said that a few steps have been climbed and </w:t>
      </w:r>
      <w:r w:rsidR="00FE308D">
        <w:rPr>
          <w:rFonts w:ascii="Verdana" w:eastAsiaTheme="minorEastAsia" w:hAnsi="Verdana" w:cstheme="minorBidi"/>
          <w:color w:val="000000" w:themeColor="text1"/>
          <w:kern w:val="2"/>
          <w:sz w:val="20"/>
          <w:szCs w:val="20"/>
          <w:lang w:val="en-US"/>
          <w14:ligatures w14:val="standardContextual"/>
        </w:rPr>
        <w:t>this has constituted an important</w:t>
      </w:r>
      <w:r w:rsidR="000D67FE">
        <w:rPr>
          <w:rFonts w:ascii="Verdana" w:eastAsiaTheme="minorEastAsia" w:hAnsi="Verdana" w:cstheme="minorBidi"/>
          <w:color w:val="000000" w:themeColor="text1"/>
          <w:kern w:val="2"/>
          <w:sz w:val="20"/>
          <w:szCs w:val="20"/>
          <w:lang w:val="en-US"/>
          <w14:ligatures w14:val="standardContextual"/>
        </w:rPr>
        <w:t xml:space="preserve"> </w:t>
      </w:r>
      <w:r w:rsidR="00056372" w:rsidRPr="009E7CEA">
        <w:rPr>
          <w:rFonts w:ascii="Verdana" w:eastAsiaTheme="minorEastAsia" w:hAnsi="Verdana" w:cstheme="minorBidi"/>
          <w:color w:val="000000" w:themeColor="text1"/>
          <w:kern w:val="2"/>
          <w:sz w:val="20"/>
          <w:szCs w:val="20"/>
          <w:lang w:val="en-US"/>
          <w14:ligatures w14:val="standardContextual"/>
        </w:rPr>
        <w:t>learning experience for governmental actors, social workers and each of the people who make up the web of actors involved in resettlement over time.</w:t>
      </w:r>
    </w:p>
    <w:p w14:paraId="169971A0" w14:textId="3256BE98" w:rsidR="00BE3962" w:rsidRDefault="00BE3962" w:rsidP="00E02284">
      <w:pPr>
        <w:pStyle w:val="NormalWeb"/>
        <w:shd w:val="clear" w:color="auto" w:fill="FFFFFF"/>
        <w:spacing w:after="0"/>
        <w:ind w:left="360"/>
        <w:jc w:val="both"/>
        <w:textAlignment w:val="baseline"/>
        <w:rPr>
          <w:rFonts w:ascii="Verdana" w:eastAsiaTheme="minorEastAsia" w:hAnsi="Verdana" w:cstheme="minorBidi"/>
          <w:color w:val="000000" w:themeColor="text1"/>
          <w:kern w:val="2"/>
          <w:sz w:val="20"/>
          <w:szCs w:val="20"/>
          <w:lang w:val="en-US"/>
          <w14:ligatures w14:val="standardContextual"/>
        </w:rPr>
      </w:pPr>
      <w:r>
        <w:rPr>
          <w:rFonts w:ascii="Verdana" w:eastAsiaTheme="minorEastAsia" w:hAnsi="Verdana" w:cstheme="minorBidi"/>
          <w:color w:val="000000" w:themeColor="text1"/>
          <w:kern w:val="2"/>
          <w:sz w:val="20"/>
          <w:szCs w:val="20"/>
          <w:lang w:val="en-US"/>
          <w14:ligatures w14:val="standardContextual"/>
        </w:rPr>
        <w:t>Lessons learned</w:t>
      </w:r>
    </w:p>
    <w:p w14:paraId="7349442C" w14:textId="77777777" w:rsidR="00BE3962" w:rsidRPr="00BE3962" w:rsidRDefault="00BE3962" w:rsidP="00BE3962">
      <w:pPr>
        <w:pStyle w:val="NormalWeb"/>
        <w:numPr>
          <w:ilvl w:val="0"/>
          <w:numId w:val="10"/>
        </w:numPr>
        <w:shd w:val="clear" w:color="auto" w:fill="FFFFFF"/>
        <w:jc w:val="both"/>
        <w:textAlignment w:val="baseline"/>
        <w:rPr>
          <w:rFonts w:ascii="Verdana" w:hAnsi="Verdana"/>
          <w:color w:val="000000" w:themeColor="text1"/>
          <w:sz w:val="20"/>
          <w:szCs w:val="20"/>
        </w:rPr>
      </w:pPr>
      <w:r w:rsidRPr="00BE3962">
        <w:rPr>
          <w:rFonts w:ascii="Verdana" w:eastAsiaTheme="minorEastAsia" w:hAnsi="Verdana"/>
          <w:color w:val="000000" w:themeColor="text1"/>
          <w:sz w:val="20"/>
          <w:szCs w:val="20"/>
          <w:lang w:val="en-US"/>
        </w:rPr>
        <w:t>Not everybody has the same capacities and needs and, therefore, they cannot go through the same processes, with the same support or have the same resulting solutions. Tailor-made solutions need to be found.</w:t>
      </w:r>
    </w:p>
    <w:p w14:paraId="5CC94272" w14:textId="314BA62C" w:rsidR="00BE3962" w:rsidRPr="00BE3962" w:rsidRDefault="00BE3962" w:rsidP="00BE3962">
      <w:pPr>
        <w:pStyle w:val="NormalWeb"/>
        <w:numPr>
          <w:ilvl w:val="0"/>
          <w:numId w:val="10"/>
        </w:numPr>
        <w:shd w:val="clear" w:color="auto" w:fill="FFFFFF"/>
        <w:jc w:val="both"/>
        <w:textAlignment w:val="baseline"/>
        <w:rPr>
          <w:rFonts w:ascii="Verdana" w:hAnsi="Verdana"/>
          <w:color w:val="000000" w:themeColor="text1"/>
          <w:sz w:val="20"/>
          <w:szCs w:val="20"/>
          <w:lang w:val="en-US"/>
        </w:rPr>
      </w:pPr>
      <w:r w:rsidRPr="00BE3962">
        <w:rPr>
          <w:rFonts w:ascii="Verdana" w:eastAsiaTheme="minorEastAsia" w:hAnsi="Verdana"/>
          <w:color w:val="000000" w:themeColor="text1"/>
          <w:sz w:val="20"/>
          <w:szCs w:val="20"/>
          <w:lang w:val="en-US"/>
        </w:rPr>
        <w:lastRenderedPageBreak/>
        <w:t>Housing should be built as close as possible to the place of origin in order to preserve families' job opportunities and social networks. It is recommended that each resettlement project involve a maximum of families for better management</w:t>
      </w:r>
      <w:r w:rsidRPr="00BE3962">
        <w:rPr>
          <w:rFonts w:ascii="Verdana" w:eastAsiaTheme="minorEastAsia" w:hAnsi="Verdana"/>
          <w:color w:val="000000" w:themeColor="text1"/>
          <w:sz w:val="20"/>
          <w:szCs w:val="20"/>
          <w:lang w:val="en-US"/>
        </w:rPr>
        <w:t xml:space="preserve"> (In Uruguay this number was 50 families)</w:t>
      </w:r>
      <w:r w:rsidRPr="00BE3962">
        <w:rPr>
          <w:rFonts w:ascii="Verdana" w:eastAsiaTheme="minorEastAsia" w:hAnsi="Verdana"/>
          <w:color w:val="000000" w:themeColor="text1"/>
          <w:sz w:val="20"/>
          <w:szCs w:val="20"/>
          <w:lang w:val="en-US"/>
        </w:rPr>
        <w:t xml:space="preserve">. </w:t>
      </w:r>
    </w:p>
    <w:p w14:paraId="3006EFFF" w14:textId="77777777" w:rsidR="00BE3962" w:rsidRPr="00F73AAF" w:rsidRDefault="00BE3962" w:rsidP="00BE3962">
      <w:pPr>
        <w:pStyle w:val="NormalWeb"/>
        <w:numPr>
          <w:ilvl w:val="0"/>
          <w:numId w:val="10"/>
        </w:numPr>
        <w:shd w:val="clear" w:color="auto" w:fill="FFFFFF"/>
        <w:jc w:val="both"/>
        <w:textAlignment w:val="baseline"/>
        <w:rPr>
          <w:rFonts w:ascii="Verdana" w:hAnsi="Verdana"/>
          <w:color w:val="000000" w:themeColor="text1"/>
          <w:sz w:val="20"/>
          <w:szCs w:val="20"/>
          <w:lang w:val="en-US"/>
        </w:rPr>
      </w:pPr>
      <w:r w:rsidRPr="00BE3962">
        <w:rPr>
          <w:rFonts w:ascii="Verdana" w:eastAsiaTheme="minorEastAsia" w:hAnsi="Verdana"/>
          <w:color w:val="000000" w:themeColor="text1"/>
          <w:sz w:val="20"/>
          <w:szCs w:val="20"/>
          <w:lang w:val="en-US"/>
        </w:rPr>
        <w:t xml:space="preserve">Housing blocks in the places of destination must host families with heterogeneous social, economic and cultural capacities and assets. The ones that only bring together families with vulnerable situations deepen those vulnerabilities and do not enhance learning. </w:t>
      </w:r>
    </w:p>
    <w:p w14:paraId="375E7F4F" w14:textId="77777777" w:rsidR="00F73AAF" w:rsidRPr="00F73AAF" w:rsidRDefault="00F73AAF" w:rsidP="00F73AAF">
      <w:pPr>
        <w:pStyle w:val="NormalWeb"/>
        <w:numPr>
          <w:ilvl w:val="0"/>
          <w:numId w:val="10"/>
        </w:numPr>
        <w:shd w:val="clear" w:color="auto" w:fill="FFFFFF"/>
        <w:jc w:val="both"/>
        <w:textAlignment w:val="baseline"/>
        <w:rPr>
          <w:rFonts w:ascii="Verdana" w:eastAsiaTheme="minorEastAsia" w:hAnsi="Verdana"/>
          <w:color w:val="000000" w:themeColor="text1"/>
          <w:sz w:val="20"/>
          <w:szCs w:val="20"/>
          <w:lang w:val="en-US"/>
        </w:rPr>
      </w:pPr>
      <w:r w:rsidRPr="00F73AAF">
        <w:rPr>
          <w:rFonts w:ascii="Verdana" w:eastAsiaTheme="minorEastAsia" w:hAnsi="Verdana"/>
          <w:color w:val="000000" w:themeColor="text1"/>
          <w:sz w:val="20"/>
          <w:szCs w:val="20"/>
          <w:lang w:val="en-US"/>
        </w:rPr>
        <w:t xml:space="preserve">Public space, community spaces and services that create collective belonging and identity (community classrooms; meeting, organization and recreation spaces; sports centers; etc.) are just as important as housing. </w:t>
      </w:r>
    </w:p>
    <w:p w14:paraId="3F46DDBB" w14:textId="77777777" w:rsidR="00F73AAF" w:rsidRPr="00F73AAF" w:rsidRDefault="00F73AAF" w:rsidP="00F73AAF">
      <w:pPr>
        <w:pStyle w:val="NormalWeb"/>
        <w:numPr>
          <w:ilvl w:val="0"/>
          <w:numId w:val="10"/>
        </w:numPr>
        <w:shd w:val="clear" w:color="auto" w:fill="FFFFFF"/>
        <w:jc w:val="both"/>
        <w:textAlignment w:val="baseline"/>
        <w:rPr>
          <w:rFonts w:ascii="Verdana" w:eastAsiaTheme="minorEastAsia" w:hAnsi="Verdana"/>
          <w:color w:val="000000" w:themeColor="text1"/>
          <w:sz w:val="20"/>
          <w:szCs w:val="20"/>
          <w:lang w:val="en-US"/>
        </w:rPr>
      </w:pPr>
      <w:r w:rsidRPr="00F73AAF">
        <w:rPr>
          <w:rFonts w:ascii="Verdana" w:eastAsiaTheme="minorEastAsia" w:hAnsi="Verdana"/>
          <w:color w:val="000000" w:themeColor="text1"/>
          <w:sz w:val="20"/>
          <w:szCs w:val="20"/>
          <w:lang w:val="en-US"/>
        </w:rPr>
        <w:t>Not exposing people to new risks implies ensuring quality electrical and sanitary installations in their houses in order to avoid fires and domestic accidents, as well as to generate sanitary conditions that reduce the risk of diseases.</w:t>
      </w:r>
    </w:p>
    <w:p w14:paraId="1CB51538" w14:textId="77777777" w:rsidR="00F73AAF" w:rsidRPr="00F73AAF" w:rsidRDefault="00F73AAF" w:rsidP="00F73AAF">
      <w:pPr>
        <w:pStyle w:val="NormalWeb"/>
        <w:numPr>
          <w:ilvl w:val="0"/>
          <w:numId w:val="10"/>
        </w:numPr>
        <w:shd w:val="clear" w:color="auto" w:fill="FFFFFF"/>
        <w:jc w:val="both"/>
        <w:textAlignment w:val="baseline"/>
        <w:rPr>
          <w:rFonts w:ascii="Verdana" w:eastAsiaTheme="minorEastAsia" w:hAnsi="Verdana"/>
          <w:color w:val="000000" w:themeColor="text1"/>
          <w:sz w:val="20"/>
          <w:szCs w:val="20"/>
          <w:lang w:val="en-US"/>
        </w:rPr>
      </w:pPr>
      <w:r w:rsidRPr="00F73AAF">
        <w:rPr>
          <w:rFonts w:ascii="Verdana" w:eastAsiaTheme="minorEastAsia" w:hAnsi="Verdana"/>
          <w:color w:val="000000" w:themeColor="text1"/>
          <w:sz w:val="20"/>
          <w:szCs w:val="20"/>
          <w:lang w:val="en-US"/>
        </w:rPr>
        <w:t>What starts as transitional ends up being definitive. Completely finished housing must be delivered. Experiences with evolving housing (only shells with services) or halfway proposals (walls only up to a certain height, delivered in rustic or similar) do not make progress without economic support or social follow-up, but degrade and generate vulnerabilities in the domestic context.</w:t>
      </w:r>
    </w:p>
    <w:p w14:paraId="4DEE208C" w14:textId="77777777" w:rsidR="00571265" w:rsidRPr="009E7CEA" w:rsidRDefault="00571265" w:rsidP="009311C4">
      <w:pPr>
        <w:spacing w:line="240" w:lineRule="auto"/>
        <w:jc w:val="both"/>
        <w:rPr>
          <w:rFonts w:ascii="Verdana" w:hAnsi="Verdana"/>
          <w:color w:val="000000" w:themeColor="text1"/>
          <w:sz w:val="20"/>
          <w:szCs w:val="20"/>
          <w:lang w:val="en-US"/>
        </w:rPr>
      </w:pPr>
    </w:p>
    <w:p w14:paraId="6E437212" w14:textId="77777777" w:rsidR="003635F4" w:rsidRPr="009E7CEA" w:rsidRDefault="003635F4" w:rsidP="009311C4">
      <w:pPr>
        <w:spacing w:line="240" w:lineRule="auto"/>
        <w:jc w:val="both"/>
        <w:rPr>
          <w:rFonts w:ascii="Verdana" w:hAnsi="Verdana"/>
          <w:color w:val="000000" w:themeColor="text1"/>
          <w:sz w:val="20"/>
          <w:szCs w:val="20"/>
          <w:lang w:val="en-US"/>
        </w:rPr>
      </w:pPr>
    </w:p>
    <w:p w14:paraId="4373D17A" w14:textId="77777777" w:rsidR="00AF45A4" w:rsidRPr="009E7CEA" w:rsidRDefault="00AF45A4" w:rsidP="009311C4">
      <w:pPr>
        <w:spacing w:after="240" w:line="240" w:lineRule="auto"/>
        <w:ind w:left="360"/>
        <w:jc w:val="both"/>
        <w:rPr>
          <w:rFonts w:ascii="Verdana" w:hAnsi="Verdana"/>
          <w:b/>
          <w:bCs/>
          <w:color w:val="000000" w:themeColor="text1"/>
          <w:sz w:val="26"/>
          <w:szCs w:val="26"/>
          <w:lang w:val="en-US"/>
        </w:rPr>
      </w:pPr>
    </w:p>
    <w:p w14:paraId="7AB5E90C" w14:textId="77777777" w:rsidR="00AF45A4" w:rsidRPr="009E7CEA" w:rsidRDefault="00AF45A4" w:rsidP="009311C4">
      <w:pPr>
        <w:spacing w:after="240" w:line="240" w:lineRule="auto"/>
        <w:ind w:left="360"/>
        <w:jc w:val="both"/>
        <w:rPr>
          <w:rFonts w:ascii="Verdana" w:hAnsi="Verdana"/>
          <w:b/>
          <w:bCs/>
          <w:color w:val="000000" w:themeColor="text1"/>
          <w:sz w:val="26"/>
          <w:szCs w:val="26"/>
          <w:lang w:val="en-US"/>
        </w:rPr>
      </w:pPr>
    </w:p>
    <w:p w14:paraId="41ACC16B" w14:textId="77777777" w:rsidR="00910794" w:rsidRPr="009E7CEA" w:rsidRDefault="00910794" w:rsidP="009311C4">
      <w:pPr>
        <w:spacing w:line="240" w:lineRule="auto"/>
        <w:jc w:val="both"/>
        <w:rPr>
          <w:rFonts w:ascii="Verdana" w:hAnsi="Verdana"/>
          <w:color w:val="000000" w:themeColor="text1"/>
          <w:sz w:val="20"/>
          <w:szCs w:val="20"/>
          <w:lang w:val="en-US"/>
        </w:rPr>
      </w:pPr>
    </w:p>
    <w:p w14:paraId="55BD9888" w14:textId="77777777" w:rsidR="00910794" w:rsidRPr="009E7CEA" w:rsidRDefault="00910794" w:rsidP="009311C4">
      <w:pPr>
        <w:spacing w:line="240" w:lineRule="auto"/>
        <w:jc w:val="both"/>
        <w:rPr>
          <w:rFonts w:ascii="Verdana" w:hAnsi="Verdana"/>
          <w:color w:val="000000" w:themeColor="text1"/>
          <w:sz w:val="20"/>
          <w:szCs w:val="20"/>
          <w:lang w:val="en-US"/>
        </w:rPr>
      </w:pPr>
    </w:p>
    <w:p w14:paraId="30A14F37" w14:textId="77777777" w:rsidR="009311C4" w:rsidRDefault="009311C4" w:rsidP="009311C4">
      <w:pPr>
        <w:spacing w:line="240" w:lineRule="auto"/>
        <w:jc w:val="both"/>
        <w:rPr>
          <w:rFonts w:ascii="Verdana" w:hAnsi="Verdana"/>
          <w:color w:val="000000" w:themeColor="text1"/>
          <w:sz w:val="20"/>
          <w:szCs w:val="20"/>
          <w:lang w:val="en-US"/>
        </w:rPr>
      </w:pPr>
    </w:p>
    <w:p w14:paraId="1A2406EF" w14:textId="77777777" w:rsidR="00F7258F" w:rsidRPr="00F7258F" w:rsidRDefault="00F7258F" w:rsidP="00F7258F">
      <w:pPr>
        <w:rPr>
          <w:rFonts w:ascii="Verdana" w:hAnsi="Verdana"/>
          <w:sz w:val="20"/>
          <w:szCs w:val="20"/>
          <w:lang w:val="en-US"/>
        </w:rPr>
      </w:pPr>
    </w:p>
    <w:p w14:paraId="47718C5F" w14:textId="77777777" w:rsidR="00F7258F" w:rsidRPr="00F7258F" w:rsidRDefault="00F7258F" w:rsidP="00F7258F">
      <w:pPr>
        <w:jc w:val="right"/>
        <w:rPr>
          <w:rFonts w:ascii="Verdana" w:hAnsi="Verdana"/>
          <w:sz w:val="20"/>
          <w:szCs w:val="20"/>
          <w:lang w:val="en-US"/>
        </w:rPr>
      </w:pPr>
    </w:p>
    <w:sectPr w:rsidR="00F7258F" w:rsidRPr="00F7258F">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64223" w14:textId="77777777" w:rsidR="00E22781" w:rsidRDefault="00E22781" w:rsidP="00084059">
      <w:pPr>
        <w:spacing w:after="0" w:line="240" w:lineRule="auto"/>
      </w:pPr>
      <w:r>
        <w:separator/>
      </w:r>
    </w:p>
  </w:endnote>
  <w:endnote w:type="continuationSeparator" w:id="0">
    <w:p w14:paraId="05DA4A0F" w14:textId="77777777" w:rsidR="00E22781" w:rsidRDefault="00E22781" w:rsidP="0008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668346"/>
      <w:docPartObj>
        <w:docPartGallery w:val="Page Numbers (Bottom of Page)"/>
        <w:docPartUnique/>
      </w:docPartObj>
    </w:sdtPr>
    <w:sdtContent>
      <w:p w14:paraId="05564530" w14:textId="3A6EF4DC" w:rsidR="00AC3A5F" w:rsidRDefault="00AC3A5F">
        <w:pPr>
          <w:pStyle w:val="Piedepgina"/>
          <w:jc w:val="right"/>
        </w:pPr>
        <w:r>
          <w:fldChar w:fldCharType="begin"/>
        </w:r>
        <w:r>
          <w:instrText>PAGE   \* MERGEFORMAT</w:instrText>
        </w:r>
        <w:r>
          <w:fldChar w:fldCharType="separate"/>
        </w:r>
        <w:r>
          <w:t>2</w:t>
        </w:r>
        <w:r>
          <w:fldChar w:fldCharType="end"/>
        </w:r>
      </w:p>
    </w:sdtContent>
  </w:sdt>
  <w:p w14:paraId="54BF7309" w14:textId="77777777" w:rsidR="00AC3A5F" w:rsidRDefault="00AC3A5F">
    <w:pPr>
      <w:pStyle w:val="Piedepgina"/>
    </w:pPr>
  </w:p>
  <w:p w14:paraId="69D9D85B" w14:textId="77777777" w:rsidR="00734C72" w:rsidRDefault="00734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B480B" w14:textId="77777777" w:rsidR="00E22781" w:rsidRDefault="00E22781" w:rsidP="00084059">
      <w:pPr>
        <w:spacing w:after="0" w:line="240" w:lineRule="auto"/>
      </w:pPr>
      <w:r>
        <w:separator/>
      </w:r>
    </w:p>
  </w:footnote>
  <w:footnote w:type="continuationSeparator" w:id="0">
    <w:p w14:paraId="0FEFC33D" w14:textId="77777777" w:rsidR="00E22781" w:rsidRDefault="00E22781" w:rsidP="00084059">
      <w:pPr>
        <w:spacing w:after="0" w:line="240" w:lineRule="auto"/>
      </w:pPr>
      <w:r>
        <w:continuationSeparator/>
      </w:r>
    </w:p>
  </w:footnote>
  <w:footnote w:id="1">
    <w:p w14:paraId="6F6A2C87" w14:textId="44FF8364" w:rsidR="00E36392" w:rsidRPr="0006646D" w:rsidRDefault="00E36392">
      <w:pPr>
        <w:pStyle w:val="Textonotapie"/>
        <w:rPr>
          <w:rFonts w:ascii="Verdana" w:hAnsi="Verdana"/>
          <w:sz w:val="16"/>
          <w:szCs w:val="16"/>
          <w:lang w:val="en-US"/>
        </w:rPr>
      </w:pPr>
      <w:r w:rsidRPr="00057268">
        <w:rPr>
          <w:rStyle w:val="Refdenotaalpie"/>
          <w:rFonts w:ascii="Verdana" w:hAnsi="Verdana"/>
          <w:sz w:val="16"/>
          <w:szCs w:val="16"/>
        </w:rPr>
        <w:footnoteRef/>
      </w:r>
      <w:r w:rsidRPr="00057268">
        <w:rPr>
          <w:rFonts w:ascii="Verdana" w:hAnsi="Verdana"/>
          <w:sz w:val="16"/>
          <w:szCs w:val="16"/>
          <w:lang w:val="en-US"/>
        </w:rPr>
        <w:t xml:space="preserve"> </w:t>
      </w:r>
      <w:r w:rsidRPr="00057268">
        <w:rPr>
          <w:rFonts w:ascii="Verdana" w:hAnsi="Verdana"/>
          <w:color w:val="000000" w:themeColor="text1"/>
          <w:sz w:val="16"/>
          <w:szCs w:val="16"/>
          <w:lang w:val="en-US"/>
        </w:rPr>
        <w:t xml:space="preserve">Andrew Maskrey's epilogue to the first edition of the Regional Assessment Report on Disaster Risk in </w:t>
      </w:r>
      <w:r w:rsidRPr="0006646D">
        <w:rPr>
          <w:rFonts w:ascii="Verdana" w:hAnsi="Verdana"/>
          <w:color w:val="000000" w:themeColor="text1"/>
          <w:sz w:val="16"/>
          <w:szCs w:val="16"/>
          <w:lang w:val="en-US"/>
        </w:rPr>
        <w:t>Latin America and the Caribbean (RAR 2021</w:t>
      </w:r>
      <w:r w:rsidRPr="0006646D">
        <w:rPr>
          <w:rFonts w:ascii="Verdana" w:hAnsi="Verdana"/>
          <w:color w:val="000000" w:themeColor="text1"/>
          <w:sz w:val="16"/>
          <w:szCs w:val="16"/>
          <w:lang w:val="en-US"/>
        </w:rPr>
        <w:t xml:space="preserve">). </w:t>
      </w:r>
      <w:r w:rsidR="00057268" w:rsidRPr="0006646D">
        <w:rPr>
          <w:rFonts w:ascii="Verdana" w:hAnsi="Verdana"/>
          <w:color w:val="000000" w:themeColor="text1"/>
          <w:sz w:val="16"/>
          <w:szCs w:val="16"/>
          <w:lang w:val="en-US"/>
        </w:rPr>
        <w:t>chrome-extension://efaidnbmnnnibpcajpcglclefindmkaj/https://www.undrr.org/media/76540/download?startDownload=true</w:t>
      </w:r>
    </w:p>
  </w:footnote>
  <w:footnote w:id="2">
    <w:p w14:paraId="4A6D9BCC" w14:textId="1BA19431" w:rsidR="003208B5" w:rsidRPr="003208B5" w:rsidRDefault="003208B5">
      <w:pPr>
        <w:pStyle w:val="Textonotapie"/>
        <w:rPr>
          <w:rFonts w:ascii="Verdana" w:hAnsi="Verdana"/>
          <w:sz w:val="16"/>
          <w:szCs w:val="16"/>
          <w:lang w:val="en-US"/>
        </w:rPr>
      </w:pPr>
      <w:r>
        <w:rPr>
          <w:rStyle w:val="Refdenotaalpie"/>
        </w:rPr>
        <w:footnoteRef/>
      </w:r>
      <w:r w:rsidRPr="003208B5">
        <w:rPr>
          <w:lang w:val="en-US"/>
        </w:rPr>
        <w:t xml:space="preserve"> </w:t>
      </w:r>
      <w:r w:rsidRPr="003208B5">
        <w:rPr>
          <w:rFonts w:ascii="Verdana" w:hAnsi="Verdana"/>
          <w:sz w:val="16"/>
          <w:szCs w:val="16"/>
          <w:lang w:val="en-US"/>
        </w:rPr>
        <w:t xml:space="preserve">Notice that </w:t>
      </w:r>
      <w:r w:rsidRPr="003208B5">
        <w:rPr>
          <w:rFonts w:ascii="Verdana" w:hAnsi="Verdana"/>
          <w:color w:val="000000"/>
          <w:sz w:val="16"/>
          <w:szCs w:val="16"/>
          <w:lang w:val="en-US"/>
        </w:rPr>
        <w:t>l</w:t>
      </w:r>
      <w:r w:rsidRPr="003208B5">
        <w:rPr>
          <w:rFonts w:ascii="Verdana" w:hAnsi="Verdana"/>
          <w:color w:val="000000"/>
          <w:sz w:val="16"/>
          <w:szCs w:val="16"/>
          <w:lang w:val="en-US"/>
        </w:rPr>
        <w:t>egal recognition of rights related to the environment has been integrated in the context of the climate crisis in recent years. Various rights relate to the drivers of human mobility in the context of climate change, environmental degradation and disasters, such as the right to water and food, the right not to be forcibly displaced by adverse environmental conditions, the right to a dignified life, free from pervasive environmental risks and threats, the right to physical integrity in these contexts, the right to dignified and risk-free housing, or even the right to communal property, which includes environmental conditions for subsistence and livelihoods of communities (IIDH, 2022).</w:t>
      </w:r>
    </w:p>
  </w:footnote>
  <w:footnote w:id="3">
    <w:p w14:paraId="55F21AA8" w14:textId="2C06F8BF" w:rsidR="0006646D" w:rsidRPr="003208B5" w:rsidRDefault="0006646D">
      <w:pPr>
        <w:pStyle w:val="Textonotapie"/>
        <w:rPr>
          <w:rFonts w:ascii="Verdana" w:hAnsi="Verdana"/>
          <w:sz w:val="16"/>
          <w:szCs w:val="16"/>
          <w:lang w:val="fr-FR"/>
        </w:rPr>
      </w:pPr>
      <w:r w:rsidRPr="0006646D">
        <w:rPr>
          <w:rStyle w:val="Refdenotaalpie"/>
          <w:rFonts w:ascii="Verdana" w:hAnsi="Verdana"/>
          <w:sz w:val="16"/>
          <w:szCs w:val="16"/>
        </w:rPr>
        <w:footnoteRef/>
      </w:r>
      <w:r w:rsidRPr="003208B5">
        <w:rPr>
          <w:rFonts w:ascii="Verdana" w:hAnsi="Verdana"/>
          <w:sz w:val="16"/>
          <w:szCs w:val="16"/>
          <w:lang w:val="fr-FR"/>
        </w:rPr>
        <w:t xml:space="preserve"> </w:t>
      </w:r>
      <w:r w:rsidRPr="003208B5">
        <w:rPr>
          <w:rFonts w:ascii="Verdana" w:eastAsia="Times New Roman" w:hAnsi="Verdana" w:cs="Times New Roman"/>
          <w:color w:val="000000"/>
          <w:kern w:val="0"/>
          <w:sz w:val="16"/>
          <w:szCs w:val="16"/>
          <w:lang w:val="fr-FR"/>
          <w14:ligatures w14:val="none"/>
        </w:rPr>
        <w:t xml:space="preserve">Gustavo </w:t>
      </w:r>
      <w:proofErr w:type="spellStart"/>
      <w:r w:rsidRPr="003208B5">
        <w:rPr>
          <w:rFonts w:ascii="Verdana" w:eastAsia="Times New Roman" w:hAnsi="Verdana" w:cs="Times New Roman"/>
          <w:color w:val="000000"/>
          <w:kern w:val="0"/>
          <w:sz w:val="16"/>
          <w:szCs w:val="16"/>
          <w:lang w:val="fr-FR"/>
          <w14:ligatures w14:val="none"/>
        </w:rPr>
        <w:t>Wilches</w:t>
      </w:r>
      <w:proofErr w:type="spellEnd"/>
      <w:r w:rsidRPr="003208B5">
        <w:rPr>
          <w:rFonts w:ascii="Verdana" w:eastAsia="Times New Roman" w:hAnsi="Verdana" w:cs="Times New Roman"/>
          <w:color w:val="000000"/>
          <w:kern w:val="0"/>
          <w:sz w:val="16"/>
          <w:szCs w:val="16"/>
          <w:lang w:val="fr-FR"/>
          <w14:ligatures w14:val="none"/>
        </w:rPr>
        <w:t>-Chau</w:t>
      </w:r>
      <w:r w:rsidRPr="003208B5">
        <w:rPr>
          <w:rFonts w:ascii="Verdana" w:eastAsia="Times New Roman" w:hAnsi="Verdana" w:cs="Times New Roman"/>
          <w:color w:val="000000"/>
          <w:kern w:val="0"/>
          <w:sz w:val="16"/>
          <w:szCs w:val="16"/>
          <w:lang w:val="fr-FR"/>
          <w14:ligatures w14:val="none"/>
        </w:rPr>
        <w:t>x.</w:t>
      </w:r>
    </w:p>
  </w:footnote>
  <w:footnote w:id="4">
    <w:p w14:paraId="340B599F" w14:textId="217604CE" w:rsidR="00C149DF" w:rsidRPr="006363E3" w:rsidRDefault="00C149DF">
      <w:pPr>
        <w:pStyle w:val="Textonotapie"/>
        <w:rPr>
          <w:sz w:val="16"/>
          <w:szCs w:val="16"/>
        </w:rPr>
      </w:pPr>
      <w:r w:rsidRPr="0006646D">
        <w:rPr>
          <w:rStyle w:val="Refdenotaalpie"/>
          <w:rFonts w:ascii="Verdana" w:hAnsi="Verdana"/>
          <w:sz w:val="16"/>
          <w:szCs w:val="16"/>
        </w:rPr>
        <w:footnoteRef/>
      </w:r>
      <w:r w:rsidRPr="0006646D">
        <w:rPr>
          <w:rFonts w:ascii="Verdana" w:hAnsi="Verdana"/>
          <w:sz w:val="16"/>
          <w:szCs w:val="16"/>
        </w:rPr>
        <w:t xml:space="preserve"> </w:t>
      </w:r>
      <w:r w:rsidR="00824180" w:rsidRPr="0006646D">
        <w:rPr>
          <w:rFonts w:ascii="Verdana" w:eastAsia="Times New Roman" w:hAnsi="Verdana" w:cs="Times New Roman"/>
          <w:color w:val="000000"/>
          <w:kern w:val="0"/>
          <w:sz w:val="16"/>
          <w:szCs w:val="16"/>
          <w14:ligatures w14:val="none"/>
        </w:rPr>
        <w:t xml:space="preserve">Ricardo Berganza </w:t>
      </w:r>
      <w:proofErr w:type="spellStart"/>
      <w:r w:rsidR="00824180" w:rsidRPr="0006646D">
        <w:rPr>
          <w:rFonts w:ascii="Verdana" w:eastAsia="Times New Roman" w:hAnsi="Verdana" w:cs="Times New Roman"/>
          <w:color w:val="000000"/>
          <w:kern w:val="0"/>
          <w:sz w:val="16"/>
          <w:szCs w:val="16"/>
          <w14:ligatures w14:val="none"/>
        </w:rPr>
        <w:t>indicates</w:t>
      </w:r>
      <w:proofErr w:type="spellEnd"/>
      <w:r w:rsidR="00824180" w:rsidRPr="006363E3">
        <w:rPr>
          <w:rFonts w:ascii="Verdana" w:eastAsia="Times New Roman" w:hAnsi="Verdana" w:cs="Times New Roman"/>
          <w:color w:val="000000"/>
          <w:kern w:val="0"/>
          <w:sz w:val="16"/>
          <w:szCs w:val="16"/>
          <w14:ligatures w14:val="none"/>
        </w:rPr>
        <w:t xml:space="preserve"> </w:t>
      </w:r>
      <w:proofErr w:type="spellStart"/>
      <w:r w:rsidR="00824180" w:rsidRPr="006363E3">
        <w:rPr>
          <w:rFonts w:ascii="Verdana" w:eastAsia="Times New Roman" w:hAnsi="Verdana" w:cs="Times New Roman"/>
          <w:color w:val="000000"/>
          <w:kern w:val="0"/>
          <w:sz w:val="16"/>
          <w:szCs w:val="16"/>
          <w14:ligatures w14:val="none"/>
        </w:rPr>
        <w:t>the</w:t>
      </w:r>
      <w:proofErr w:type="spellEnd"/>
      <w:r w:rsidR="00824180" w:rsidRPr="006363E3">
        <w:rPr>
          <w:rFonts w:ascii="Verdana" w:eastAsia="Times New Roman" w:hAnsi="Verdana" w:cs="Times New Roman"/>
          <w:color w:val="000000"/>
          <w:kern w:val="0"/>
          <w:sz w:val="16"/>
          <w:szCs w:val="16"/>
          <w14:ligatures w14:val="none"/>
        </w:rPr>
        <w:t xml:space="preserve"> concept </w:t>
      </w:r>
      <w:proofErr w:type="spellStart"/>
      <w:r w:rsidR="00824180" w:rsidRPr="006363E3">
        <w:rPr>
          <w:rFonts w:ascii="Verdana" w:eastAsia="Times New Roman" w:hAnsi="Verdana" w:cs="Times New Roman"/>
          <w:color w:val="000000"/>
          <w:kern w:val="0"/>
          <w:sz w:val="16"/>
          <w:szCs w:val="16"/>
          <w14:ligatures w14:val="none"/>
        </w:rPr>
        <w:t>of</w:t>
      </w:r>
      <w:proofErr w:type="spellEnd"/>
      <w:r w:rsidR="00824180" w:rsidRPr="006363E3">
        <w:rPr>
          <w:rFonts w:ascii="Verdana" w:eastAsia="Times New Roman" w:hAnsi="Verdana" w:cs="Times New Roman"/>
          <w:color w:val="000000"/>
          <w:kern w:val="0"/>
          <w:sz w:val="16"/>
          <w:szCs w:val="16"/>
          <w14:ligatures w14:val="none"/>
        </w:rPr>
        <w:t xml:space="preserve"> </w:t>
      </w:r>
      <w:proofErr w:type="spellStart"/>
      <w:r w:rsidR="00824180" w:rsidRPr="006363E3">
        <w:rPr>
          <w:rFonts w:ascii="Verdana" w:eastAsia="Times New Roman" w:hAnsi="Verdana" w:cs="Times New Roman"/>
          <w:color w:val="000000"/>
          <w:kern w:val="0"/>
          <w:sz w:val="16"/>
          <w:szCs w:val="16"/>
          <w14:ligatures w14:val="none"/>
        </w:rPr>
        <w:t>situated</w:t>
      </w:r>
      <w:proofErr w:type="spellEnd"/>
      <w:r w:rsidR="00824180" w:rsidRPr="006363E3">
        <w:rPr>
          <w:rFonts w:ascii="Verdana" w:eastAsia="Times New Roman" w:hAnsi="Verdana" w:cs="Times New Roman"/>
          <w:color w:val="000000"/>
          <w:kern w:val="0"/>
          <w:sz w:val="16"/>
          <w:szCs w:val="16"/>
          <w14:ligatures w14:val="none"/>
        </w:rPr>
        <w:t xml:space="preserve"> </w:t>
      </w:r>
      <w:proofErr w:type="spellStart"/>
      <w:r w:rsidR="00824180" w:rsidRPr="006363E3">
        <w:rPr>
          <w:rFonts w:ascii="Verdana" w:eastAsia="Times New Roman" w:hAnsi="Verdana" w:cs="Times New Roman"/>
          <w:color w:val="000000"/>
          <w:kern w:val="0"/>
          <w:sz w:val="16"/>
          <w:szCs w:val="16"/>
          <w14:ligatures w14:val="none"/>
        </w:rPr>
        <w:t>vulnerability</w:t>
      </w:r>
      <w:proofErr w:type="spellEnd"/>
      <w:r w:rsidR="00824180" w:rsidRPr="006363E3">
        <w:rPr>
          <w:rFonts w:ascii="Verdana" w:eastAsia="Times New Roman" w:hAnsi="Verdana" w:cs="Times New Roman"/>
          <w:color w:val="000000"/>
          <w:kern w:val="0"/>
          <w:sz w:val="16"/>
          <w:szCs w:val="16"/>
          <w14:ligatures w14:val="none"/>
        </w:rPr>
        <w:t xml:space="preserve"> in </w:t>
      </w:r>
      <w:proofErr w:type="spellStart"/>
      <w:r w:rsidR="00824180" w:rsidRPr="006363E3">
        <w:rPr>
          <w:rFonts w:ascii="Verdana" w:eastAsia="Times New Roman" w:hAnsi="Verdana" w:cs="Times New Roman"/>
          <w:color w:val="000000"/>
          <w:kern w:val="0"/>
          <w:sz w:val="16"/>
          <w:szCs w:val="16"/>
          <w14:ligatures w14:val="none"/>
        </w:rPr>
        <w:t>his</w:t>
      </w:r>
      <w:proofErr w:type="spellEnd"/>
      <w:r w:rsidR="00824180" w:rsidRPr="006363E3">
        <w:rPr>
          <w:rFonts w:ascii="Verdana" w:eastAsia="Times New Roman" w:hAnsi="Verdana" w:cs="Times New Roman"/>
          <w:color w:val="000000"/>
          <w:kern w:val="0"/>
          <w:sz w:val="16"/>
          <w:szCs w:val="16"/>
          <w14:ligatures w14:val="none"/>
        </w:rPr>
        <w:t xml:space="preserve"> doctoral </w:t>
      </w:r>
      <w:proofErr w:type="spellStart"/>
      <w:r w:rsidR="00824180" w:rsidRPr="006363E3">
        <w:rPr>
          <w:rFonts w:ascii="Verdana" w:eastAsia="Times New Roman" w:hAnsi="Verdana" w:cs="Times New Roman"/>
          <w:color w:val="000000"/>
          <w:kern w:val="0"/>
          <w:sz w:val="16"/>
          <w:szCs w:val="16"/>
          <w14:ligatures w14:val="none"/>
        </w:rPr>
        <w:t>thesis</w:t>
      </w:r>
      <w:proofErr w:type="spellEnd"/>
      <w:r w:rsidR="00824180" w:rsidRPr="006363E3">
        <w:rPr>
          <w:rFonts w:ascii="Verdana" w:eastAsia="Times New Roman" w:hAnsi="Verdana" w:cs="Times New Roman"/>
          <w:color w:val="000000"/>
          <w:kern w:val="0"/>
          <w:sz w:val="16"/>
          <w:szCs w:val="16"/>
          <w14:ligatures w14:val="none"/>
        </w:rPr>
        <w:t xml:space="preserve"> “Vulnerabilidad situada: más allá de la mano invisible de la resiliencia Una aproximación crítica al discurso de la resiliencia social ante desastres, en el contexto económico, social y cultural neoliberal y; la necesidad de un abordaje situado e interseccional de la vulnerabilidad en la gestión integral de riesgos”</w:t>
      </w:r>
      <w:r w:rsidR="007618E1">
        <w:rPr>
          <w:rFonts w:ascii="Verdana" w:eastAsia="Times New Roman" w:hAnsi="Verdana" w:cs="Times New Roman"/>
          <w:color w:val="000000"/>
          <w:kern w:val="0"/>
          <w:sz w:val="16"/>
          <w:szCs w:val="16"/>
          <w14:ligatures w14:val="none"/>
        </w:rPr>
        <w:t xml:space="preserve"> </w:t>
      </w:r>
      <w:proofErr w:type="spellStart"/>
      <w:r w:rsidRPr="006363E3">
        <w:rPr>
          <w:rFonts w:ascii="Verdana" w:eastAsia="Times New Roman" w:hAnsi="Verdana" w:cs="Times New Roman"/>
          <w:color w:val="000000"/>
          <w:kern w:val="0"/>
          <w:sz w:val="16"/>
          <w:szCs w:val="16"/>
          <w14:ligatures w14:val="none"/>
        </w:rPr>
        <w:t>presented</w:t>
      </w:r>
      <w:proofErr w:type="spellEnd"/>
      <w:r w:rsidRPr="006363E3">
        <w:rPr>
          <w:rFonts w:ascii="Verdana" w:eastAsia="Times New Roman" w:hAnsi="Verdana" w:cs="Times New Roman"/>
          <w:color w:val="000000"/>
          <w:kern w:val="0"/>
          <w:sz w:val="16"/>
          <w:szCs w:val="16"/>
          <w14:ligatures w14:val="none"/>
        </w:rPr>
        <w:t xml:space="preserve"> at </w:t>
      </w:r>
      <w:proofErr w:type="spellStart"/>
      <w:r w:rsidRPr="006363E3">
        <w:rPr>
          <w:rFonts w:ascii="Verdana" w:eastAsia="Times New Roman" w:hAnsi="Verdana" w:cs="Times New Roman"/>
          <w:color w:val="000000"/>
          <w:kern w:val="0"/>
          <w:sz w:val="16"/>
          <w:szCs w:val="16"/>
          <w14:ligatures w14:val="none"/>
        </w:rPr>
        <w:t>the</w:t>
      </w:r>
      <w:proofErr w:type="spellEnd"/>
      <w:r w:rsidRPr="006363E3">
        <w:rPr>
          <w:rFonts w:ascii="Verdana" w:eastAsia="Times New Roman" w:hAnsi="Verdana" w:cs="Times New Roman"/>
          <w:color w:val="000000"/>
          <w:kern w:val="0"/>
          <w:sz w:val="16"/>
          <w:szCs w:val="16"/>
          <w14:ligatures w14:val="none"/>
        </w:rPr>
        <w:t xml:space="preserve"> Universidad de San Carlos de Guatemala in 2022</w:t>
      </w:r>
      <w:r w:rsidR="002936E8">
        <w:rPr>
          <w:rFonts w:ascii="Verdana" w:eastAsia="Times New Roman" w:hAnsi="Verdana" w:cs="Times New Roman"/>
          <w:color w:val="000000"/>
          <w:kern w:val="0"/>
          <w:sz w:val="16"/>
          <w:szCs w:val="16"/>
          <w14:ligatures w14:val="none"/>
        </w:rPr>
        <w:t>.</w:t>
      </w:r>
    </w:p>
  </w:footnote>
  <w:footnote w:id="5">
    <w:p w14:paraId="559470EF" w14:textId="0E854F56" w:rsidR="00A43A63" w:rsidRPr="002936E8" w:rsidRDefault="00C258D7" w:rsidP="00A43A63">
      <w:pPr>
        <w:autoSpaceDE w:val="0"/>
        <w:autoSpaceDN w:val="0"/>
        <w:adjustRightInd w:val="0"/>
        <w:ind w:left="360"/>
        <w:jc w:val="both"/>
        <w:rPr>
          <w:rFonts w:ascii="Verdana" w:eastAsia="Arial Unicode MS" w:hAnsi="Verdana" w:cs="Arial"/>
          <w:sz w:val="16"/>
          <w:szCs w:val="16"/>
          <w:lang w:val="en-US"/>
        </w:rPr>
      </w:pPr>
      <w:r>
        <w:rPr>
          <w:rStyle w:val="Refdenotaalpie"/>
        </w:rPr>
        <w:footnoteRef/>
      </w:r>
      <w:r w:rsidRPr="00A43A63">
        <w:rPr>
          <w:lang w:val="en-US"/>
        </w:rPr>
        <w:t xml:space="preserve"> </w:t>
      </w:r>
      <w:r w:rsidR="00A43A63" w:rsidRPr="002936E8">
        <w:rPr>
          <w:rFonts w:ascii="Verdana" w:hAnsi="Verdana"/>
          <w:sz w:val="16"/>
          <w:szCs w:val="16"/>
          <w:lang w:val="en-US"/>
        </w:rPr>
        <w:t>In Guatemala and Nicaragua, in 2018, poverty was suffered by 40% of the population, in Honduras that rate was above 50%, while in Uruguay the value was 1.7%. In relation to the proportion of population living in extreme poverty, Nicaragua and Honduras showed values above 15%. In Uruguay for the same year, extreme poverty was recorded at 0.1% of the population.</w:t>
      </w:r>
    </w:p>
    <w:p w14:paraId="279E0220" w14:textId="3ABD62D5" w:rsidR="00C258D7" w:rsidRPr="00A43A63" w:rsidRDefault="00C258D7">
      <w:pPr>
        <w:pStyle w:val="Textonotapie"/>
        <w:rPr>
          <w:lang w:val="en-US"/>
        </w:rPr>
      </w:pPr>
    </w:p>
  </w:footnote>
  <w:footnote w:id="6">
    <w:p w14:paraId="181870A4" w14:textId="184D5299" w:rsidR="00C21B85" w:rsidRPr="002B5FEA" w:rsidRDefault="00C21B85">
      <w:pPr>
        <w:pStyle w:val="Textonotapie"/>
        <w:rPr>
          <w:rFonts w:ascii="Verdana" w:hAnsi="Verdana"/>
          <w:sz w:val="16"/>
          <w:szCs w:val="16"/>
          <w:lang w:val="en-US"/>
        </w:rPr>
      </w:pPr>
      <w:r w:rsidRPr="002B5FEA">
        <w:rPr>
          <w:rStyle w:val="Refdenotaalpie"/>
          <w:rFonts w:ascii="Verdana" w:hAnsi="Verdana"/>
          <w:sz w:val="16"/>
          <w:szCs w:val="16"/>
        </w:rPr>
        <w:footnoteRef/>
      </w:r>
      <w:r w:rsidRPr="002B5FEA">
        <w:rPr>
          <w:rFonts w:ascii="Verdana" w:hAnsi="Verdana"/>
          <w:sz w:val="16"/>
          <w:szCs w:val="16"/>
          <w:lang w:val="en-US"/>
        </w:rPr>
        <w:t xml:space="preserve"> CEPALSTAT</w:t>
      </w:r>
    </w:p>
  </w:footnote>
  <w:footnote w:id="7">
    <w:p w14:paraId="2EE7BCF5" w14:textId="2FAE62D8" w:rsidR="002B5FEA" w:rsidRPr="002B5FEA" w:rsidRDefault="002B5FEA">
      <w:pPr>
        <w:pStyle w:val="Textonotapie"/>
        <w:rPr>
          <w:rFonts w:ascii="Verdana" w:hAnsi="Verdana"/>
          <w:sz w:val="16"/>
          <w:szCs w:val="16"/>
          <w:lang w:val="en-US"/>
        </w:rPr>
      </w:pPr>
      <w:r w:rsidRPr="002B5FEA">
        <w:rPr>
          <w:rStyle w:val="Refdenotaalpie"/>
          <w:rFonts w:ascii="Verdana" w:hAnsi="Verdana"/>
          <w:sz w:val="16"/>
          <w:szCs w:val="16"/>
        </w:rPr>
        <w:footnoteRef/>
      </w:r>
      <w:r w:rsidRPr="002B5FEA">
        <w:rPr>
          <w:rFonts w:ascii="Verdana" w:hAnsi="Verdana"/>
          <w:sz w:val="16"/>
          <w:szCs w:val="16"/>
          <w:lang w:val="en-US"/>
        </w:rPr>
        <w:t xml:space="preserve"> </w:t>
      </w:r>
      <w:r w:rsidRPr="002B5FEA">
        <w:rPr>
          <w:rFonts w:ascii="Verdana" w:hAnsi="Verdana"/>
          <w:color w:val="000000" w:themeColor="text1"/>
          <w:sz w:val="16"/>
          <w:szCs w:val="16"/>
          <w:lang w:val="en-US"/>
        </w:rPr>
        <w:t>In this regard, Smith</w:t>
      </w:r>
      <w:r w:rsidRPr="002B5FEA">
        <w:rPr>
          <w:rFonts w:ascii="Verdana" w:hAnsi="Verdana"/>
          <w:sz w:val="16"/>
          <w:szCs w:val="16"/>
          <w:vertAlign w:val="superscript"/>
          <w:lang w:val="en-US"/>
        </w:rPr>
        <w:t xml:space="preserve"> </w:t>
      </w:r>
      <w:r w:rsidRPr="002B5FEA">
        <w:rPr>
          <w:rFonts w:ascii="Verdana" w:hAnsi="Verdana"/>
          <w:color w:val="000000" w:themeColor="text1"/>
          <w:sz w:val="16"/>
          <w:szCs w:val="16"/>
          <w:lang w:val="en-US"/>
        </w:rPr>
        <w:t xml:space="preserve">explains why the Huaraz earthquake of May 31, 1970, in Peru, of 7.7 on the Richter scale, although severe in any context, could be classified as the worst disaster in Peru’s history with an undetermined figure of about 70,000 casualties, 140,000 injured and 160,000 damaged or destroyed buildings. The author attributes the magnitude of the impact to historical processes initiated with the Spanish conquest and colonization. Oliver Smith, Anthony, Peru, May 31, 1970: Five Hundred Years of Disaster DISASTERS AND SOCIETY January-July 1994 / No.2 / Year 2 Special : TRAGEDY, CHANGE AND DEVELOPMENT BIANNUAL JOURNAL OF THE NETWORK OF SOCIAL STUDIES IN DISASTER PREVENTION IN LATIN AMERICA </w:t>
      </w:r>
      <w:hyperlink r:id="rId1" w:history="1">
        <w:r w:rsidRPr="002B5FEA">
          <w:rPr>
            <w:rStyle w:val="Hipervnculo"/>
            <w:rFonts w:ascii="Verdana" w:hAnsi="Verdana"/>
            <w:color w:val="000000" w:themeColor="text1"/>
            <w:sz w:val="16"/>
            <w:szCs w:val="16"/>
            <w:lang w:val="en-US"/>
          </w:rPr>
          <w:t>HTTPS://WWW.DESENREDANDO.ORG/PUBLIC/REVISTAS/DYS/RDYS02/DYS2-1.0-NOV-19-2001-PMQAD.PDF</w:t>
        </w:r>
      </w:hyperlink>
    </w:p>
  </w:footnote>
  <w:footnote w:id="8">
    <w:p w14:paraId="0D2E5B74" w14:textId="77777777" w:rsidR="00DD6547" w:rsidRPr="00057268" w:rsidRDefault="00DD6547" w:rsidP="00DD6547">
      <w:pPr>
        <w:pStyle w:val="Textonotapie"/>
        <w:rPr>
          <w:rFonts w:ascii="Verdana" w:hAnsi="Verdana"/>
          <w:color w:val="000000" w:themeColor="text1"/>
          <w:sz w:val="16"/>
          <w:szCs w:val="16"/>
          <w:lang w:val="fr-FR"/>
        </w:rPr>
      </w:pPr>
      <w:r w:rsidRPr="00057268">
        <w:rPr>
          <w:rStyle w:val="Refdenotaalpie"/>
          <w:rFonts w:ascii="Verdana" w:hAnsi="Verdana"/>
          <w:color w:val="000000" w:themeColor="text1"/>
          <w:sz w:val="16"/>
          <w:szCs w:val="16"/>
        </w:rPr>
        <w:footnoteRef/>
      </w:r>
      <w:r w:rsidRPr="00AD5FFA">
        <w:rPr>
          <w:rFonts w:ascii="Verdana" w:hAnsi="Verdana"/>
          <w:color w:val="000000" w:themeColor="text1"/>
          <w:sz w:val="16"/>
          <w:szCs w:val="16"/>
          <w:lang w:val="en-US"/>
        </w:rPr>
        <w:t xml:space="preserve"> Gamarra, Luis. 2020. </w:t>
      </w:r>
      <w:proofErr w:type="spellStart"/>
      <w:r w:rsidRPr="00057268">
        <w:rPr>
          <w:rFonts w:ascii="Verdana" w:hAnsi="Verdana"/>
          <w:color w:val="000000" w:themeColor="text1"/>
          <w:sz w:val="16"/>
          <w:szCs w:val="16"/>
          <w:lang w:val="fr-FR"/>
        </w:rPr>
        <w:t>Personal</w:t>
      </w:r>
      <w:proofErr w:type="spellEnd"/>
      <w:r w:rsidRPr="00057268">
        <w:rPr>
          <w:rFonts w:ascii="Verdana" w:hAnsi="Verdana"/>
          <w:color w:val="000000" w:themeColor="text1"/>
          <w:sz w:val="16"/>
          <w:szCs w:val="16"/>
          <w:lang w:val="fr-FR"/>
        </w:rPr>
        <w:t xml:space="preserve"> communication.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D3FEA"/>
    <w:multiLevelType w:val="hybridMultilevel"/>
    <w:tmpl w:val="45AC6F16"/>
    <w:lvl w:ilvl="0" w:tplc="3B243BB6">
      <w:start w:val="1"/>
      <w:numFmt w:val="bullet"/>
      <w:lvlText w:val=""/>
      <w:lvlJc w:val="left"/>
      <w:pPr>
        <w:tabs>
          <w:tab w:val="num" w:pos="720"/>
        </w:tabs>
        <w:ind w:left="720" w:hanging="360"/>
      </w:pPr>
      <w:rPr>
        <w:rFonts w:ascii="Wingdings" w:hAnsi="Wingdings" w:hint="default"/>
      </w:rPr>
    </w:lvl>
    <w:lvl w:ilvl="1" w:tplc="3202E34C" w:tentative="1">
      <w:start w:val="1"/>
      <w:numFmt w:val="bullet"/>
      <w:lvlText w:val=""/>
      <w:lvlJc w:val="left"/>
      <w:pPr>
        <w:tabs>
          <w:tab w:val="num" w:pos="1440"/>
        </w:tabs>
        <w:ind w:left="1440" w:hanging="360"/>
      </w:pPr>
      <w:rPr>
        <w:rFonts w:ascii="Wingdings" w:hAnsi="Wingdings" w:hint="default"/>
      </w:rPr>
    </w:lvl>
    <w:lvl w:ilvl="2" w:tplc="720E087C" w:tentative="1">
      <w:start w:val="1"/>
      <w:numFmt w:val="bullet"/>
      <w:lvlText w:val=""/>
      <w:lvlJc w:val="left"/>
      <w:pPr>
        <w:tabs>
          <w:tab w:val="num" w:pos="2160"/>
        </w:tabs>
        <w:ind w:left="2160" w:hanging="360"/>
      </w:pPr>
      <w:rPr>
        <w:rFonts w:ascii="Wingdings" w:hAnsi="Wingdings" w:hint="default"/>
      </w:rPr>
    </w:lvl>
    <w:lvl w:ilvl="3" w:tplc="F0B27C4E" w:tentative="1">
      <w:start w:val="1"/>
      <w:numFmt w:val="bullet"/>
      <w:lvlText w:val=""/>
      <w:lvlJc w:val="left"/>
      <w:pPr>
        <w:tabs>
          <w:tab w:val="num" w:pos="2880"/>
        </w:tabs>
        <w:ind w:left="2880" w:hanging="360"/>
      </w:pPr>
      <w:rPr>
        <w:rFonts w:ascii="Wingdings" w:hAnsi="Wingdings" w:hint="default"/>
      </w:rPr>
    </w:lvl>
    <w:lvl w:ilvl="4" w:tplc="6366DDD0" w:tentative="1">
      <w:start w:val="1"/>
      <w:numFmt w:val="bullet"/>
      <w:lvlText w:val=""/>
      <w:lvlJc w:val="left"/>
      <w:pPr>
        <w:tabs>
          <w:tab w:val="num" w:pos="3600"/>
        </w:tabs>
        <w:ind w:left="3600" w:hanging="360"/>
      </w:pPr>
      <w:rPr>
        <w:rFonts w:ascii="Wingdings" w:hAnsi="Wingdings" w:hint="default"/>
      </w:rPr>
    </w:lvl>
    <w:lvl w:ilvl="5" w:tplc="135C169C" w:tentative="1">
      <w:start w:val="1"/>
      <w:numFmt w:val="bullet"/>
      <w:lvlText w:val=""/>
      <w:lvlJc w:val="left"/>
      <w:pPr>
        <w:tabs>
          <w:tab w:val="num" w:pos="4320"/>
        </w:tabs>
        <w:ind w:left="4320" w:hanging="360"/>
      </w:pPr>
      <w:rPr>
        <w:rFonts w:ascii="Wingdings" w:hAnsi="Wingdings" w:hint="default"/>
      </w:rPr>
    </w:lvl>
    <w:lvl w:ilvl="6" w:tplc="B8B0ABB2" w:tentative="1">
      <w:start w:val="1"/>
      <w:numFmt w:val="bullet"/>
      <w:lvlText w:val=""/>
      <w:lvlJc w:val="left"/>
      <w:pPr>
        <w:tabs>
          <w:tab w:val="num" w:pos="5040"/>
        </w:tabs>
        <w:ind w:left="5040" w:hanging="360"/>
      </w:pPr>
      <w:rPr>
        <w:rFonts w:ascii="Wingdings" w:hAnsi="Wingdings" w:hint="default"/>
      </w:rPr>
    </w:lvl>
    <w:lvl w:ilvl="7" w:tplc="4AAC11D0" w:tentative="1">
      <w:start w:val="1"/>
      <w:numFmt w:val="bullet"/>
      <w:lvlText w:val=""/>
      <w:lvlJc w:val="left"/>
      <w:pPr>
        <w:tabs>
          <w:tab w:val="num" w:pos="5760"/>
        </w:tabs>
        <w:ind w:left="5760" w:hanging="360"/>
      </w:pPr>
      <w:rPr>
        <w:rFonts w:ascii="Wingdings" w:hAnsi="Wingdings" w:hint="default"/>
      </w:rPr>
    </w:lvl>
    <w:lvl w:ilvl="8" w:tplc="A94C318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70853"/>
    <w:multiLevelType w:val="hybridMultilevel"/>
    <w:tmpl w:val="258AA6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1D679B"/>
    <w:multiLevelType w:val="hybridMultilevel"/>
    <w:tmpl w:val="F0CC857C"/>
    <w:lvl w:ilvl="0" w:tplc="50647D16">
      <w:start w:val="1"/>
      <w:numFmt w:val="bullet"/>
      <w:lvlText w:val=""/>
      <w:lvlJc w:val="left"/>
      <w:pPr>
        <w:tabs>
          <w:tab w:val="num" w:pos="720"/>
        </w:tabs>
        <w:ind w:left="720" w:hanging="360"/>
      </w:pPr>
      <w:rPr>
        <w:rFonts w:ascii="Webdings" w:hAnsi="Webdings" w:hint="default"/>
      </w:rPr>
    </w:lvl>
    <w:lvl w:ilvl="1" w:tplc="16423DFA" w:tentative="1">
      <w:start w:val="1"/>
      <w:numFmt w:val="bullet"/>
      <w:lvlText w:val=""/>
      <w:lvlJc w:val="left"/>
      <w:pPr>
        <w:tabs>
          <w:tab w:val="num" w:pos="1440"/>
        </w:tabs>
        <w:ind w:left="1440" w:hanging="360"/>
      </w:pPr>
      <w:rPr>
        <w:rFonts w:ascii="Webdings" w:hAnsi="Webdings" w:hint="default"/>
      </w:rPr>
    </w:lvl>
    <w:lvl w:ilvl="2" w:tplc="F38A9FB4" w:tentative="1">
      <w:start w:val="1"/>
      <w:numFmt w:val="bullet"/>
      <w:lvlText w:val=""/>
      <w:lvlJc w:val="left"/>
      <w:pPr>
        <w:tabs>
          <w:tab w:val="num" w:pos="2160"/>
        </w:tabs>
        <w:ind w:left="2160" w:hanging="360"/>
      </w:pPr>
      <w:rPr>
        <w:rFonts w:ascii="Webdings" w:hAnsi="Webdings" w:hint="default"/>
      </w:rPr>
    </w:lvl>
    <w:lvl w:ilvl="3" w:tplc="51F8EFE6" w:tentative="1">
      <w:start w:val="1"/>
      <w:numFmt w:val="bullet"/>
      <w:lvlText w:val=""/>
      <w:lvlJc w:val="left"/>
      <w:pPr>
        <w:tabs>
          <w:tab w:val="num" w:pos="2880"/>
        </w:tabs>
        <w:ind w:left="2880" w:hanging="360"/>
      </w:pPr>
      <w:rPr>
        <w:rFonts w:ascii="Webdings" w:hAnsi="Webdings" w:hint="default"/>
      </w:rPr>
    </w:lvl>
    <w:lvl w:ilvl="4" w:tplc="EF60FBE2" w:tentative="1">
      <w:start w:val="1"/>
      <w:numFmt w:val="bullet"/>
      <w:lvlText w:val=""/>
      <w:lvlJc w:val="left"/>
      <w:pPr>
        <w:tabs>
          <w:tab w:val="num" w:pos="3600"/>
        </w:tabs>
        <w:ind w:left="3600" w:hanging="360"/>
      </w:pPr>
      <w:rPr>
        <w:rFonts w:ascii="Webdings" w:hAnsi="Webdings" w:hint="default"/>
      </w:rPr>
    </w:lvl>
    <w:lvl w:ilvl="5" w:tplc="A87C0CC4" w:tentative="1">
      <w:start w:val="1"/>
      <w:numFmt w:val="bullet"/>
      <w:lvlText w:val=""/>
      <w:lvlJc w:val="left"/>
      <w:pPr>
        <w:tabs>
          <w:tab w:val="num" w:pos="4320"/>
        </w:tabs>
        <w:ind w:left="4320" w:hanging="360"/>
      </w:pPr>
      <w:rPr>
        <w:rFonts w:ascii="Webdings" w:hAnsi="Webdings" w:hint="default"/>
      </w:rPr>
    </w:lvl>
    <w:lvl w:ilvl="6" w:tplc="058AC3FA" w:tentative="1">
      <w:start w:val="1"/>
      <w:numFmt w:val="bullet"/>
      <w:lvlText w:val=""/>
      <w:lvlJc w:val="left"/>
      <w:pPr>
        <w:tabs>
          <w:tab w:val="num" w:pos="5040"/>
        </w:tabs>
        <w:ind w:left="5040" w:hanging="360"/>
      </w:pPr>
      <w:rPr>
        <w:rFonts w:ascii="Webdings" w:hAnsi="Webdings" w:hint="default"/>
      </w:rPr>
    </w:lvl>
    <w:lvl w:ilvl="7" w:tplc="C3761A5A" w:tentative="1">
      <w:start w:val="1"/>
      <w:numFmt w:val="bullet"/>
      <w:lvlText w:val=""/>
      <w:lvlJc w:val="left"/>
      <w:pPr>
        <w:tabs>
          <w:tab w:val="num" w:pos="5760"/>
        </w:tabs>
        <w:ind w:left="5760" w:hanging="360"/>
      </w:pPr>
      <w:rPr>
        <w:rFonts w:ascii="Webdings" w:hAnsi="Webdings" w:hint="default"/>
      </w:rPr>
    </w:lvl>
    <w:lvl w:ilvl="8" w:tplc="5950D940" w:tentative="1">
      <w:start w:val="1"/>
      <w:numFmt w:val="bullet"/>
      <w:lvlText w:val=""/>
      <w:lvlJc w:val="left"/>
      <w:pPr>
        <w:tabs>
          <w:tab w:val="num" w:pos="6480"/>
        </w:tabs>
        <w:ind w:left="6480" w:hanging="360"/>
      </w:pPr>
      <w:rPr>
        <w:rFonts w:ascii="Webdings" w:hAnsi="Webdings" w:hint="default"/>
      </w:rPr>
    </w:lvl>
  </w:abstractNum>
  <w:abstractNum w:abstractNumId="3" w15:restartNumberingAfterBreak="0">
    <w:nsid w:val="17F01661"/>
    <w:multiLevelType w:val="hybridMultilevel"/>
    <w:tmpl w:val="8FFAEB68"/>
    <w:lvl w:ilvl="0" w:tplc="87A084DA">
      <w:start w:val="1"/>
      <w:numFmt w:val="decimal"/>
      <w:lvlText w:val="%1."/>
      <w:lvlJc w:val="left"/>
      <w:pPr>
        <w:tabs>
          <w:tab w:val="num" w:pos="720"/>
        </w:tabs>
        <w:ind w:left="720" w:hanging="360"/>
      </w:pPr>
    </w:lvl>
    <w:lvl w:ilvl="1" w:tplc="3864DF1A" w:tentative="1">
      <w:start w:val="1"/>
      <w:numFmt w:val="decimal"/>
      <w:lvlText w:val="%2."/>
      <w:lvlJc w:val="left"/>
      <w:pPr>
        <w:tabs>
          <w:tab w:val="num" w:pos="1440"/>
        </w:tabs>
        <w:ind w:left="1440" w:hanging="360"/>
      </w:pPr>
    </w:lvl>
    <w:lvl w:ilvl="2" w:tplc="82EC2F14" w:tentative="1">
      <w:start w:val="1"/>
      <w:numFmt w:val="decimal"/>
      <w:lvlText w:val="%3."/>
      <w:lvlJc w:val="left"/>
      <w:pPr>
        <w:tabs>
          <w:tab w:val="num" w:pos="2160"/>
        </w:tabs>
        <w:ind w:left="2160" w:hanging="360"/>
      </w:pPr>
    </w:lvl>
    <w:lvl w:ilvl="3" w:tplc="7F0685D4" w:tentative="1">
      <w:start w:val="1"/>
      <w:numFmt w:val="decimal"/>
      <w:lvlText w:val="%4."/>
      <w:lvlJc w:val="left"/>
      <w:pPr>
        <w:tabs>
          <w:tab w:val="num" w:pos="2880"/>
        </w:tabs>
        <w:ind w:left="2880" w:hanging="360"/>
      </w:pPr>
    </w:lvl>
    <w:lvl w:ilvl="4" w:tplc="7932D824" w:tentative="1">
      <w:start w:val="1"/>
      <w:numFmt w:val="decimal"/>
      <w:lvlText w:val="%5."/>
      <w:lvlJc w:val="left"/>
      <w:pPr>
        <w:tabs>
          <w:tab w:val="num" w:pos="3600"/>
        </w:tabs>
        <w:ind w:left="3600" w:hanging="360"/>
      </w:pPr>
    </w:lvl>
    <w:lvl w:ilvl="5" w:tplc="5B52B6A2" w:tentative="1">
      <w:start w:val="1"/>
      <w:numFmt w:val="decimal"/>
      <w:lvlText w:val="%6."/>
      <w:lvlJc w:val="left"/>
      <w:pPr>
        <w:tabs>
          <w:tab w:val="num" w:pos="4320"/>
        </w:tabs>
        <w:ind w:left="4320" w:hanging="360"/>
      </w:pPr>
    </w:lvl>
    <w:lvl w:ilvl="6" w:tplc="E7F09DFC" w:tentative="1">
      <w:start w:val="1"/>
      <w:numFmt w:val="decimal"/>
      <w:lvlText w:val="%7."/>
      <w:lvlJc w:val="left"/>
      <w:pPr>
        <w:tabs>
          <w:tab w:val="num" w:pos="5040"/>
        </w:tabs>
        <w:ind w:left="5040" w:hanging="360"/>
      </w:pPr>
    </w:lvl>
    <w:lvl w:ilvl="7" w:tplc="6442CADC" w:tentative="1">
      <w:start w:val="1"/>
      <w:numFmt w:val="decimal"/>
      <w:lvlText w:val="%8."/>
      <w:lvlJc w:val="left"/>
      <w:pPr>
        <w:tabs>
          <w:tab w:val="num" w:pos="5760"/>
        </w:tabs>
        <w:ind w:left="5760" w:hanging="360"/>
      </w:pPr>
    </w:lvl>
    <w:lvl w:ilvl="8" w:tplc="EB525302" w:tentative="1">
      <w:start w:val="1"/>
      <w:numFmt w:val="decimal"/>
      <w:lvlText w:val="%9."/>
      <w:lvlJc w:val="left"/>
      <w:pPr>
        <w:tabs>
          <w:tab w:val="num" w:pos="6480"/>
        </w:tabs>
        <w:ind w:left="6480" w:hanging="360"/>
      </w:pPr>
    </w:lvl>
  </w:abstractNum>
  <w:abstractNum w:abstractNumId="4" w15:restartNumberingAfterBreak="0">
    <w:nsid w:val="32EC5637"/>
    <w:multiLevelType w:val="hybridMultilevel"/>
    <w:tmpl w:val="783E5AF6"/>
    <w:lvl w:ilvl="0" w:tplc="FFFFFFFF">
      <w:start w:val="1"/>
      <w:numFmt w:val="decimal"/>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 w15:restartNumberingAfterBreak="0">
    <w:nsid w:val="36882F3A"/>
    <w:multiLevelType w:val="hybridMultilevel"/>
    <w:tmpl w:val="3FC6EB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8D7F21"/>
    <w:multiLevelType w:val="hybridMultilevel"/>
    <w:tmpl w:val="EB20DD64"/>
    <w:lvl w:ilvl="0" w:tplc="78A4A352">
      <w:start w:val="1"/>
      <w:numFmt w:val="decimal"/>
      <w:lvlText w:val="%1."/>
      <w:lvlJc w:val="left"/>
      <w:pPr>
        <w:ind w:left="720" w:hanging="360"/>
      </w:pPr>
      <w:rPr>
        <w:rFonts w:asciiTheme="minorHAnsi" w:hAnsiTheme="minorHAns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6C3461"/>
    <w:multiLevelType w:val="multilevel"/>
    <w:tmpl w:val="6EAA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6B26DB"/>
    <w:multiLevelType w:val="hybridMultilevel"/>
    <w:tmpl w:val="3FC6EB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014D65"/>
    <w:multiLevelType w:val="hybridMultilevel"/>
    <w:tmpl w:val="70F60A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B618CD"/>
    <w:multiLevelType w:val="hybridMultilevel"/>
    <w:tmpl w:val="38C682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17420947">
    <w:abstractNumId w:val="6"/>
  </w:num>
  <w:num w:numId="2" w16cid:durableId="652951910">
    <w:abstractNumId w:val="5"/>
  </w:num>
  <w:num w:numId="3" w16cid:durableId="1234776688">
    <w:abstractNumId w:val="8"/>
  </w:num>
  <w:num w:numId="4" w16cid:durableId="703948170">
    <w:abstractNumId w:val="4"/>
  </w:num>
  <w:num w:numId="5" w16cid:durableId="504517292">
    <w:abstractNumId w:val="3"/>
  </w:num>
  <w:num w:numId="6" w16cid:durableId="1892687220">
    <w:abstractNumId w:val="7"/>
  </w:num>
  <w:num w:numId="7" w16cid:durableId="388456810">
    <w:abstractNumId w:val="10"/>
  </w:num>
  <w:num w:numId="8" w16cid:durableId="25450102">
    <w:abstractNumId w:val="9"/>
  </w:num>
  <w:num w:numId="9" w16cid:durableId="423116213">
    <w:abstractNumId w:val="1"/>
  </w:num>
  <w:num w:numId="10" w16cid:durableId="2100756829">
    <w:abstractNumId w:val="2"/>
  </w:num>
  <w:num w:numId="11" w16cid:durableId="95678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66"/>
    <w:rsid w:val="00010FD6"/>
    <w:rsid w:val="000114CB"/>
    <w:rsid w:val="00017F11"/>
    <w:rsid w:val="0002633F"/>
    <w:rsid w:val="00031333"/>
    <w:rsid w:val="000434AA"/>
    <w:rsid w:val="00056372"/>
    <w:rsid w:val="00057268"/>
    <w:rsid w:val="0006646D"/>
    <w:rsid w:val="00076391"/>
    <w:rsid w:val="000833EE"/>
    <w:rsid w:val="00084059"/>
    <w:rsid w:val="00085457"/>
    <w:rsid w:val="00097C17"/>
    <w:rsid w:val="000A3E2E"/>
    <w:rsid w:val="000A79B3"/>
    <w:rsid w:val="000D4716"/>
    <w:rsid w:val="000D67FE"/>
    <w:rsid w:val="000E4808"/>
    <w:rsid w:val="000E5676"/>
    <w:rsid w:val="000E78A1"/>
    <w:rsid w:val="000F2B27"/>
    <w:rsid w:val="000F6EDE"/>
    <w:rsid w:val="00100F0B"/>
    <w:rsid w:val="00101A0F"/>
    <w:rsid w:val="00103A31"/>
    <w:rsid w:val="00110650"/>
    <w:rsid w:val="00121426"/>
    <w:rsid w:val="00134111"/>
    <w:rsid w:val="00145A23"/>
    <w:rsid w:val="00152F1C"/>
    <w:rsid w:val="00163264"/>
    <w:rsid w:val="001A17B0"/>
    <w:rsid w:val="001A6F74"/>
    <w:rsid w:val="001B7BCB"/>
    <w:rsid w:val="001C446C"/>
    <w:rsid w:val="001E4D87"/>
    <w:rsid w:val="001F1B69"/>
    <w:rsid w:val="00210E32"/>
    <w:rsid w:val="00211ECB"/>
    <w:rsid w:val="0021617E"/>
    <w:rsid w:val="00220993"/>
    <w:rsid w:val="0022144B"/>
    <w:rsid w:val="00226B0E"/>
    <w:rsid w:val="00226CA2"/>
    <w:rsid w:val="00262EF7"/>
    <w:rsid w:val="0026367C"/>
    <w:rsid w:val="00273724"/>
    <w:rsid w:val="002761B8"/>
    <w:rsid w:val="002762B1"/>
    <w:rsid w:val="002816DA"/>
    <w:rsid w:val="00282C7F"/>
    <w:rsid w:val="00290222"/>
    <w:rsid w:val="002936E8"/>
    <w:rsid w:val="002A62A1"/>
    <w:rsid w:val="002A749C"/>
    <w:rsid w:val="002B0ADA"/>
    <w:rsid w:val="002B5FEA"/>
    <w:rsid w:val="002B6891"/>
    <w:rsid w:val="002B7371"/>
    <w:rsid w:val="002C2EFD"/>
    <w:rsid w:val="002C3CF2"/>
    <w:rsid w:val="002C3E39"/>
    <w:rsid w:val="002D04FE"/>
    <w:rsid w:val="002E0FA7"/>
    <w:rsid w:val="002E7B4F"/>
    <w:rsid w:val="002F06BE"/>
    <w:rsid w:val="003208B5"/>
    <w:rsid w:val="00326950"/>
    <w:rsid w:val="00326AEE"/>
    <w:rsid w:val="00331F49"/>
    <w:rsid w:val="003348A5"/>
    <w:rsid w:val="00341114"/>
    <w:rsid w:val="0034565B"/>
    <w:rsid w:val="00346AA9"/>
    <w:rsid w:val="003612AB"/>
    <w:rsid w:val="003614A1"/>
    <w:rsid w:val="0036280C"/>
    <w:rsid w:val="003635F4"/>
    <w:rsid w:val="00363D3A"/>
    <w:rsid w:val="0036480D"/>
    <w:rsid w:val="00376EF5"/>
    <w:rsid w:val="0039022B"/>
    <w:rsid w:val="0039254D"/>
    <w:rsid w:val="00392C5D"/>
    <w:rsid w:val="00394BFD"/>
    <w:rsid w:val="00396B69"/>
    <w:rsid w:val="003A1738"/>
    <w:rsid w:val="003A1C67"/>
    <w:rsid w:val="003B6EBA"/>
    <w:rsid w:val="003C0444"/>
    <w:rsid w:val="003D7AFB"/>
    <w:rsid w:val="003F1FBF"/>
    <w:rsid w:val="003F2912"/>
    <w:rsid w:val="00401F00"/>
    <w:rsid w:val="00405431"/>
    <w:rsid w:val="0041667B"/>
    <w:rsid w:val="00417048"/>
    <w:rsid w:val="00427745"/>
    <w:rsid w:val="00453C2A"/>
    <w:rsid w:val="004571C1"/>
    <w:rsid w:val="00463E81"/>
    <w:rsid w:val="00467AA4"/>
    <w:rsid w:val="0047157B"/>
    <w:rsid w:val="00471AB6"/>
    <w:rsid w:val="004870D0"/>
    <w:rsid w:val="0048776D"/>
    <w:rsid w:val="0049728B"/>
    <w:rsid w:val="004C61FF"/>
    <w:rsid w:val="004D0E97"/>
    <w:rsid w:val="004D31F5"/>
    <w:rsid w:val="004E1CE7"/>
    <w:rsid w:val="004E668A"/>
    <w:rsid w:val="004F5904"/>
    <w:rsid w:val="004F65B3"/>
    <w:rsid w:val="00500235"/>
    <w:rsid w:val="00517B52"/>
    <w:rsid w:val="00523179"/>
    <w:rsid w:val="00532A26"/>
    <w:rsid w:val="00551A39"/>
    <w:rsid w:val="005650F2"/>
    <w:rsid w:val="00571265"/>
    <w:rsid w:val="005736C9"/>
    <w:rsid w:val="005751A2"/>
    <w:rsid w:val="00584F13"/>
    <w:rsid w:val="00586081"/>
    <w:rsid w:val="00596561"/>
    <w:rsid w:val="005D5DDA"/>
    <w:rsid w:val="005E5FA8"/>
    <w:rsid w:val="005E7B22"/>
    <w:rsid w:val="005F14E7"/>
    <w:rsid w:val="005F4BD4"/>
    <w:rsid w:val="0061206E"/>
    <w:rsid w:val="006337AE"/>
    <w:rsid w:val="00634288"/>
    <w:rsid w:val="006363E3"/>
    <w:rsid w:val="00636799"/>
    <w:rsid w:val="0064118B"/>
    <w:rsid w:val="006436D3"/>
    <w:rsid w:val="00651925"/>
    <w:rsid w:val="00656BC0"/>
    <w:rsid w:val="00662850"/>
    <w:rsid w:val="00666D42"/>
    <w:rsid w:val="0068004C"/>
    <w:rsid w:val="00683025"/>
    <w:rsid w:val="0069201C"/>
    <w:rsid w:val="0069311C"/>
    <w:rsid w:val="00693EAE"/>
    <w:rsid w:val="006A1FD5"/>
    <w:rsid w:val="006C1BCC"/>
    <w:rsid w:val="006C2610"/>
    <w:rsid w:val="006D0410"/>
    <w:rsid w:val="006D2B6D"/>
    <w:rsid w:val="006D3410"/>
    <w:rsid w:val="006E25B4"/>
    <w:rsid w:val="006F5B11"/>
    <w:rsid w:val="00702B0D"/>
    <w:rsid w:val="00710EFC"/>
    <w:rsid w:val="007112CA"/>
    <w:rsid w:val="00734C72"/>
    <w:rsid w:val="007529B2"/>
    <w:rsid w:val="0075382F"/>
    <w:rsid w:val="007618E1"/>
    <w:rsid w:val="007A635F"/>
    <w:rsid w:val="007B5493"/>
    <w:rsid w:val="007D673A"/>
    <w:rsid w:val="007E7DFF"/>
    <w:rsid w:val="007F0681"/>
    <w:rsid w:val="008015F9"/>
    <w:rsid w:val="00803CA7"/>
    <w:rsid w:val="00805F19"/>
    <w:rsid w:val="0082016D"/>
    <w:rsid w:val="00820F88"/>
    <w:rsid w:val="00824180"/>
    <w:rsid w:val="008436FF"/>
    <w:rsid w:val="00847821"/>
    <w:rsid w:val="008577D4"/>
    <w:rsid w:val="008622E8"/>
    <w:rsid w:val="0086628D"/>
    <w:rsid w:val="008827C3"/>
    <w:rsid w:val="00893712"/>
    <w:rsid w:val="008A0882"/>
    <w:rsid w:val="008A0EB0"/>
    <w:rsid w:val="008A749B"/>
    <w:rsid w:val="008A789E"/>
    <w:rsid w:val="008B22A5"/>
    <w:rsid w:val="008B7DEA"/>
    <w:rsid w:val="008C6CF6"/>
    <w:rsid w:val="008D0448"/>
    <w:rsid w:val="008E749C"/>
    <w:rsid w:val="008F6A41"/>
    <w:rsid w:val="00910794"/>
    <w:rsid w:val="00912C60"/>
    <w:rsid w:val="0092053A"/>
    <w:rsid w:val="009311C4"/>
    <w:rsid w:val="00932BCE"/>
    <w:rsid w:val="00934027"/>
    <w:rsid w:val="00953452"/>
    <w:rsid w:val="00954B00"/>
    <w:rsid w:val="0095527A"/>
    <w:rsid w:val="00955BAD"/>
    <w:rsid w:val="00955F97"/>
    <w:rsid w:val="0099667E"/>
    <w:rsid w:val="009B079B"/>
    <w:rsid w:val="009B3165"/>
    <w:rsid w:val="009D321C"/>
    <w:rsid w:val="009E7CEA"/>
    <w:rsid w:val="00A07C31"/>
    <w:rsid w:val="00A43A63"/>
    <w:rsid w:val="00A54E85"/>
    <w:rsid w:val="00A75ACD"/>
    <w:rsid w:val="00A87A60"/>
    <w:rsid w:val="00AC3A5F"/>
    <w:rsid w:val="00AC4261"/>
    <w:rsid w:val="00AC42F7"/>
    <w:rsid w:val="00AD5FFA"/>
    <w:rsid w:val="00AD6166"/>
    <w:rsid w:val="00AE45F5"/>
    <w:rsid w:val="00AE553E"/>
    <w:rsid w:val="00AE6126"/>
    <w:rsid w:val="00AF1AEC"/>
    <w:rsid w:val="00AF45A4"/>
    <w:rsid w:val="00AF54A6"/>
    <w:rsid w:val="00B048DE"/>
    <w:rsid w:val="00B0715C"/>
    <w:rsid w:val="00B31191"/>
    <w:rsid w:val="00B41FA0"/>
    <w:rsid w:val="00B42C12"/>
    <w:rsid w:val="00B43C86"/>
    <w:rsid w:val="00B5604F"/>
    <w:rsid w:val="00B616BE"/>
    <w:rsid w:val="00B64B54"/>
    <w:rsid w:val="00B84267"/>
    <w:rsid w:val="00B9000B"/>
    <w:rsid w:val="00B92FC2"/>
    <w:rsid w:val="00BB1813"/>
    <w:rsid w:val="00BB7167"/>
    <w:rsid w:val="00BC20E0"/>
    <w:rsid w:val="00BC5124"/>
    <w:rsid w:val="00BD6302"/>
    <w:rsid w:val="00BE32BD"/>
    <w:rsid w:val="00BE3962"/>
    <w:rsid w:val="00C10BAE"/>
    <w:rsid w:val="00C149DF"/>
    <w:rsid w:val="00C15CC3"/>
    <w:rsid w:val="00C178F0"/>
    <w:rsid w:val="00C21B85"/>
    <w:rsid w:val="00C258D7"/>
    <w:rsid w:val="00C262B5"/>
    <w:rsid w:val="00C41233"/>
    <w:rsid w:val="00C6677B"/>
    <w:rsid w:val="00C70F9E"/>
    <w:rsid w:val="00C72F62"/>
    <w:rsid w:val="00C80B20"/>
    <w:rsid w:val="00C81B87"/>
    <w:rsid w:val="00C82B41"/>
    <w:rsid w:val="00C84D18"/>
    <w:rsid w:val="00C87149"/>
    <w:rsid w:val="00C90B81"/>
    <w:rsid w:val="00C919B3"/>
    <w:rsid w:val="00CB1D38"/>
    <w:rsid w:val="00CD6E72"/>
    <w:rsid w:val="00CE1EE0"/>
    <w:rsid w:val="00D03303"/>
    <w:rsid w:val="00D102FC"/>
    <w:rsid w:val="00D12FF2"/>
    <w:rsid w:val="00D16CBA"/>
    <w:rsid w:val="00D461C8"/>
    <w:rsid w:val="00D55FFC"/>
    <w:rsid w:val="00D579B4"/>
    <w:rsid w:val="00D57CF1"/>
    <w:rsid w:val="00D57E82"/>
    <w:rsid w:val="00D721CC"/>
    <w:rsid w:val="00D75956"/>
    <w:rsid w:val="00D83142"/>
    <w:rsid w:val="00DA1C33"/>
    <w:rsid w:val="00DA6F85"/>
    <w:rsid w:val="00DB3E3B"/>
    <w:rsid w:val="00DC7C71"/>
    <w:rsid w:val="00DD032A"/>
    <w:rsid w:val="00DD6547"/>
    <w:rsid w:val="00DE0186"/>
    <w:rsid w:val="00DE6812"/>
    <w:rsid w:val="00E02284"/>
    <w:rsid w:val="00E17933"/>
    <w:rsid w:val="00E21354"/>
    <w:rsid w:val="00E21B89"/>
    <w:rsid w:val="00E22781"/>
    <w:rsid w:val="00E36392"/>
    <w:rsid w:val="00E46EDD"/>
    <w:rsid w:val="00E55E50"/>
    <w:rsid w:val="00E61CBC"/>
    <w:rsid w:val="00E63C85"/>
    <w:rsid w:val="00E91A45"/>
    <w:rsid w:val="00E92DEF"/>
    <w:rsid w:val="00EA1BB2"/>
    <w:rsid w:val="00EB30CD"/>
    <w:rsid w:val="00ED6880"/>
    <w:rsid w:val="00ED7515"/>
    <w:rsid w:val="00F05334"/>
    <w:rsid w:val="00F17C3A"/>
    <w:rsid w:val="00F32263"/>
    <w:rsid w:val="00F57602"/>
    <w:rsid w:val="00F64BD7"/>
    <w:rsid w:val="00F67863"/>
    <w:rsid w:val="00F7258F"/>
    <w:rsid w:val="00F73AAF"/>
    <w:rsid w:val="00F94392"/>
    <w:rsid w:val="00FA4F6D"/>
    <w:rsid w:val="00FD48D7"/>
    <w:rsid w:val="00FE29AB"/>
    <w:rsid w:val="00FE2F16"/>
    <w:rsid w:val="00FE308D"/>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D6835"/>
  <w15:chartTrackingRefBased/>
  <w15:docId w15:val="{C7616415-5E44-42B0-AF97-9090E2B5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F291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ain numbered paragraph,List Paragraph (numbered (a)),Normal 2,References,List_Paragraph,Multilevel para_II,List Paragraph1,Numbered List Paragraph,Bullets,Colorful List - Accent 11,123 List Paragraph,Bullet,Normal 2 DC,Liste 1"/>
    <w:basedOn w:val="Normal"/>
    <w:link w:val="PrrafodelistaCar"/>
    <w:uiPriority w:val="34"/>
    <w:qFormat/>
    <w:rsid w:val="007F0681"/>
    <w:pPr>
      <w:ind w:left="720"/>
      <w:contextualSpacing/>
    </w:pPr>
  </w:style>
  <w:style w:type="paragraph" w:styleId="Textoindependiente">
    <w:name w:val="Body Text"/>
    <w:basedOn w:val="Normal"/>
    <w:link w:val="TextoindependienteCar"/>
    <w:uiPriority w:val="1"/>
    <w:qFormat/>
    <w:rsid w:val="00651925"/>
    <w:pPr>
      <w:widowControl w:val="0"/>
      <w:autoSpaceDE w:val="0"/>
      <w:autoSpaceDN w:val="0"/>
      <w:spacing w:after="0" w:line="240" w:lineRule="auto"/>
    </w:pPr>
    <w:rPr>
      <w:rFonts w:ascii="Times New Roman" w:eastAsia="Times New Roman" w:hAnsi="Times New Roman" w:cs="Times New Roman"/>
      <w:kern w:val="0"/>
      <w:sz w:val="16"/>
      <w:szCs w:val="16"/>
      <w:lang w:val="en-US" w:eastAsia="en-US"/>
      <w14:ligatures w14:val="none"/>
    </w:rPr>
  </w:style>
  <w:style w:type="character" w:customStyle="1" w:styleId="TextoindependienteCar">
    <w:name w:val="Texto independiente Car"/>
    <w:basedOn w:val="Fuentedeprrafopredeter"/>
    <w:link w:val="Textoindependiente"/>
    <w:uiPriority w:val="1"/>
    <w:rsid w:val="00651925"/>
    <w:rPr>
      <w:rFonts w:ascii="Times New Roman" w:eastAsia="Times New Roman" w:hAnsi="Times New Roman" w:cs="Times New Roman"/>
      <w:kern w:val="0"/>
      <w:sz w:val="16"/>
      <w:szCs w:val="16"/>
      <w:lang w:val="en-US" w:eastAsia="en-US"/>
      <w14:ligatures w14:val="none"/>
    </w:rPr>
  </w:style>
  <w:style w:type="paragraph" w:styleId="Textonotapie">
    <w:name w:val="footnote text"/>
    <w:aliases w:val="fn,single space,Footnote Text Char Char,Char,Char Char Char,Char Char Char Char,Char Char Char Char Char Char,Geneva 9,Font: Geneva 9,Boston 10,Footnote,otnote Text,Fußnote,ft,footnote text,Char1,Nbpage Moens,footnote,ADB,nota,Ch"/>
    <w:basedOn w:val="Normal"/>
    <w:link w:val="TextonotapieCar"/>
    <w:uiPriority w:val="99"/>
    <w:unhideWhenUsed/>
    <w:rsid w:val="00084059"/>
    <w:pPr>
      <w:spacing w:after="0" w:line="240" w:lineRule="auto"/>
    </w:pPr>
    <w:rPr>
      <w:sz w:val="20"/>
      <w:szCs w:val="20"/>
    </w:rPr>
  </w:style>
  <w:style w:type="character" w:customStyle="1" w:styleId="TextonotapieCar">
    <w:name w:val="Texto nota pie Car"/>
    <w:aliases w:val="fn Car,single space Car,Footnote Text Char Char Car,Char Car,Char Char Char Car,Char Char Char Char Car,Char Char Char Char Char Char Car,Geneva 9 Car,Font: Geneva 9 Car,Boston 10 Car,Footnote Car,otnote Text Car,Fußnote Car,ft Car"/>
    <w:basedOn w:val="Fuentedeprrafopredeter"/>
    <w:link w:val="Textonotapie"/>
    <w:uiPriority w:val="99"/>
    <w:rsid w:val="00084059"/>
    <w:rPr>
      <w:sz w:val="20"/>
      <w:szCs w:val="20"/>
    </w:rPr>
  </w:style>
  <w:style w:type="character" w:styleId="Refdenotaalpie">
    <w:name w:val="footnote reference"/>
    <w:aliases w:val="Ref,de nota al pie,BVI fnr,16 Point,Superscript 6 Point,Superscript 6 Point + 11 pt,ftref,BVI fnr Car Car,BVI fnr Car,BVI fnr Car Car Car Car,Footnote text,脚注引用,Fußnotenzeichen DISS,fr,Ref. de nota al pie.,Footnote Reference Number,7"/>
    <w:basedOn w:val="Fuentedeprrafopredeter"/>
    <w:link w:val="CharCharCharCharCarChar"/>
    <w:uiPriority w:val="99"/>
    <w:unhideWhenUsed/>
    <w:qFormat/>
    <w:rsid w:val="00084059"/>
    <w:rPr>
      <w:vertAlign w:val="superscript"/>
    </w:rPr>
  </w:style>
  <w:style w:type="character" w:customStyle="1" w:styleId="Ttulo3Car">
    <w:name w:val="Título 3 Car"/>
    <w:basedOn w:val="Fuentedeprrafopredeter"/>
    <w:link w:val="Ttulo3"/>
    <w:uiPriority w:val="9"/>
    <w:rsid w:val="003F2912"/>
    <w:rPr>
      <w:rFonts w:ascii="Times New Roman" w:eastAsia="Times New Roman" w:hAnsi="Times New Roman" w:cs="Times New Roman"/>
      <w:b/>
      <w:bCs/>
      <w:kern w:val="0"/>
      <w:sz w:val="27"/>
      <w:szCs w:val="27"/>
      <w14:ligatures w14:val="none"/>
    </w:rPr>
  </w:style>
  <w:style w:type="character" w:styleId="Hipervnculo">
    <w:name w:val="Hyperlink"/>
    <w:basedOn w:val="Fuentedeprrafopredeter"/>
    <w:uiPriority w:val="99"/>
    <w:semiHidden/>
    <w:unhideWhenUsed/>
    <w:rsid w:val="003F2912"/>
    <w:rPr>
      <w:color w:val="0000FF"/>
      <w:u w:val="single"/>
    </w:rPr>
  </w:style>
  <w:style w:type="character" w:customStyle="1" w:styleId="Ttulo1">
    <w:name w:val="Título1"/>
    <w:basedOn w:val="Fuentedeprrafopredeter"/>
    <w:rsid w:val="003F2912"/>
  </w:style>
  <w:style w:type="paragraph" w:styleId="NormalWeb">
    <w:name w:val="Normal (Web)"/>
    <w:basedOn w:val="Normal"/>
    <w:uiPriority w:val="99"/>
    <w:unhideWhenUsed/>
    <w:rsid w:val="006628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Refdenotaalpie"/>
    <w:uiPriority w:val="99"/>
    <w:rsid w:val="00DD032A"/>
    <w:pPr>
      <w:spacing w:line="240" w:lineRule="exact"/>
      <w:jc w:val="both"/>
    </w:pPr>
    <w:rPr>
      <w:vertAlign w:val="superscript"/>
    </w:rPr>
  </w:style>
  <w:style w:type="character" w:styleId="nfasis">
    <w:name w:val="Emphasis"/>
    <w:basedOn w:val="Fuentedeprrafopredeter"/>
    <w:uiPriority w:val="20"/>
    <w:qFormat/>
    <w:rsid w:val="00282C7F"/>
    <w:rPr>
      <w:i/>
      <w:iCs/>
    </w:rPr>
  </w:style>
  <w:style w:type="paragraph" w:customStyle="1" w:styleId="Default">
    <w:name w:val="Default"/>
    <w:rsid w:val="002C2EFD"/>
    <w:pPr>
      <w:autoSpaceDE w:val="0"/>
      <w:autoSpaceDN w:val="0"/>
      <w:adjustRightInd w:val="0"/>
      <w:spacing w:after="0" w:line="240" w:lineRule="auto"/>
    </w:pPr>
    <w:rPr>
      <w:rFonts w:ascii="Verdana" w:eastAsiaTheme="minorHAnsi" w:hAnsi="Verdana" w:cs="Verdana"/>
      <w:color w:val="000000"/>
      <w:kern w:val="0"/>
      <w:sz w:val="24"/>
      <w:szCs w:val="24"/>
      <w:lang w:val="en-GB" w:eastAsia="en-US"/>
      <w14:ligatures w14:val="none"/>
    </w:rPr>
  </w:style>
  <w:style w:type="paragraph" w:styleId="Encabezado">
    <w:name w:val="header"/>
    <w:basedOn w:val="Normal"/>
    <w:link w:val="EncabezadoCar"/>
    <w:uiPriority w:val="99"/>
    <w:unhideWhenUsed/>
    <w:rsid w:val="00AC3A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3A5F"/>
  </w:style>
  <w:style w:type="paragraph" w:styleId="Piedepgina">
    <w:name w:val="footer"/>
    <w:basedOn w:val="Normal"/>
    <w:link w:val="PiedepginaCar"/>
    <w:uiPriority w:val="99"/>
    <w:unhideWhenUsed/>
    <w:rsid w:val="00AC3A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3A5F"/>
  </w:style>
  <w:style w:type="character" w:customStyle="1" w:styleId="PrrafodelistaCar">
    <w:name w:val="Párrafo de lista Car"/>
    <w:aliases w:val="Main numbered paragraph Car,List Paragraph (numbered (a)) Car,Normal 2 Car,References Car,List_Paragraph Car,Multilevel para_II Car,List Paragraph1 Car,Numbered List Paragraph Car,Bullets Car,Colorful List - Accent 11 Car,Bullet Car"/>
    <w:link w:val="Prrafodelista"/>
    <w:uiPriority w:val="34"/>
    <w:locked/>
    <w:rsid w:val="00636799"/>
  </w:style>
  <w:style w:type="paragraph" w:styleId="Textocomentario">
    <w:name w:val="annotation text"/>
    <w:basedOn w:val="Normal"/>
    <w:link w:val="TextocomentarioCar"/>
    <w:uiPriority w:val="99"/>
    <w:unhideWhenUsed/>
    <w:rsid w:val="00DD6547"/>
    <w:pPr>
      <w:spacing w:after="0" w:line="240" w:lineRule="auto"/>
    </w:pPr>
    <w:rPr>
      <w:rFonts w:ascii="Times New Roman" w:eastAsia="Times New Roman" w:hAnsi="Times New Roman" w:cs="Times New Roman"/>
      <w:kern w:val="0"/>
      <w:sz w:val="20"/>
      <w:szCs w:val="20"/>
      <w:lang w:val="en-GB" w:eastAsia="es-AR"/>
      <w14:ligatures w14:val="none"/>
    </w:rPr>
  </w:style>
  <w:style w:type="character" w:customStyle="1" w:styleId="TextocomentarioCar">
    <w:name w:val="Texto comentario Car"/>
    <w:basedOn w:val="Fuentedeprrafopredeter"/>
    <w:link w:val="Textocomentario"/>
    <w:uiPriority w:val="99"/>
    <w:rsid w:val="00DD6547"/>
    <w:rPr>
      <w:rFonts w:ascii="Times New Roman" w:eastAsia="Times New Roman" w:hAnsi="Times New Roman" w:cs="Times New Roman"/>
      <w:kern w:val="0"/>
      <w:sz w:val="20"/>
      <w:szCs w:val="20"/>
      <w:lang w:val="en-GB" w:eastAsia="es-AR"/>
      <w14:ligatures w14:val="none"/>
    </w:rPr>
  </w:style>
  <w:style w:type="character" w:styleId="Textoennegrita">
    <w:name w:val="Strong"/>
    <w:basedOn w:val="Fuentedeprrafopredeter"/>
    <w:uiPriority w:val="22"/>
    <w:qFormat/>
    <w:rsid w:val="00D461C8"/>
    <w:rPr>
      <w:b/>
      <w:bCs/>
    </w:rPr>
  </w:style>
  <w:style w:type="character" w:customStyle="1" w:styleId="tadv-color">
    <w:name w:val="tadv-color"/>
    <w:basedOn w:val="Fuentedeprrafopredeter"/>
    <w:rsid w:val="00D461C8"/>
  </w:style>
  <w:style w:type="paragraph" w:styleId="Revisin">
    <w:name w:val="Revision"/>
    <w:hidden/>
    <w:uiPriority w:val="99"/>
    <w:semiHidden/>
    <w:rsid w:val="006436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9567">
      <w:bodyDiv w:val="1"/>
      <w:marLeft w:val="0"/>
      <w:marRight w:val="0"/>
      <w:marTop w:val="0"/>
      <w:marBottom w:val="0"/>
      <w:divBdr>
        <w:top w:val="none" w:sz="0" w:space="0" w:color="auto"/>
        <w:left w:val="none" w:sz="0" w:space="0" w:color="auto"/>
        <w:bottom w:val="none" w:sz="0" w:space="0" w:color="auto"/>
        <w:right w:val="none" w:sz="0" w:space="0" w:color="auto"/>
      </w:divBdr>
    </w:div>
    <w:div w:id="87969139">
      <w:bodyDiv w:val="1"/>
      <w:marLeft w:val="0"/>
      <w:marRight w:val="0"/>
      <w:marTop w:val="0"/>
      <w:marBottom w:val="0"/>
      <w:divBdr>
        <w:top w:val="none" w:sz="0" w:space="0" w:color="auto"/>
        <w:left w:val="none" w:sz="0" w:space="0" w:color="auto"/>
        <w:bottom w:val="none" w:sz="0" w:space="0" w:color="auto"/>
        <w:right w:val="none" w:sz="0" w:space="0" w:color="auto"/>
      </w:divBdr>
    </w:div>
    <w:div w:id="199362696">
      <w:bodyDiv w:val="1"/>
      <w:marLeft w:val="0"/>
      <w:marRight w:val="0"/>
      <w:marTop w:val="0"/>
      <w:marBottom w:val="0"/>
      <w:divBdr>
        <w:top w:val="none" w:sz="0" w:space="0" w:color="auto"/>
        <w:left w:val="none" w:sz="0" w:space="0" w:color="auto"/>
        <w:bottom w:val="none" w:sz="0" w:space="0" w:color="auto"/>
        <w:right w:val="none" w:sz="0" w:space="0" w:color="auto"/>
      </w:divBdr>
    </w:div>
    <w:div w:id="342754503">
      <w:bodyDiv w:val="1"/>
      <w:marLeft w:val="0"/>
      <w:marRight w:val="0"/>
      <w:marTop w:val="0"/>
      <w:marBottom w:val="0"/>
      <w:divBdr>
        <w:top w:val="none" w:sz="0" w:space="0" w:color="auto"/>
        <w:left w:val="none" w:sz="0" w:space="0" w:color="auto"/>
        <w:bottom w:val="none" w:sz="0" w:space="0" w:color="auto"/>
        <w:right w:val="none" w:sz="0" w:space="0" w:color="auto"/>
      </w:divBdr>
    </w:div>
    <w:div w:id="692461737">
      <w:bodyDiv w:val="1"/>
      <w:marLeft w:val="0"/>
      <w:marRight w:val="0"/>
      <w:marTop w:val="0"/>
      <w:marBottom w:val="0"/>
      <w:divBdr>
        <w:top w:val="none" w:sz="0" w:space="0" w:color="auto"/>
        <w:left w:val="none" w:sz="0" w:space="0" w:color="auto"/>
        <w:bottom w:val="none" w:sz="0" w:space="0" w:color="auto"/>
        <w:right w:val="none" w:sz="0" w:space="0" w:color="auto"/>
      </w:divBdr>
      <w:divsChild>
        <w:div w:id="1291550253">
          <w:marLeft w:val="446"/>
          <w:marRight w:val="0"/>
          <w:marTop w:val="0"/>
          <w:marBottom w:val="0"/>
          <w:divBdr>
            <w:top w:val="none" w:sz="0" w:space="0" w:color="auto"/>
            <w:left w:val="none" w:sz="0" w:space="0" w:color="auto"/>
            <w:bottom w:val="none" w:sz="0" w:space="0" w:color="auto"/>
            <w:right w:val="none" w:sz="0" w:space="0" w:color="auto"/>
          </w:divBdr>
        </w:div>
        <w:div w:id="1195341379">
          <w:marLeft w:val="446"/>
          <w:marRight w:val="0"/>
          <w:marTop w:val="0"/>
          <w:marBottom w:val="0"/>
          <w:divBdr>
            <w:top w:val="none" w:sz="0" w:space="0" w:color="auto"/>
            <w:left w:val="none" w:sz="0" w:space="0" w:color="auto"/>
            <w:bottom w:val="none" w:sz="0" w:space="0" w:color="auto"/>
            <w:right w:val="none" w:sz="0" w:space="0" w:color="auto"/>
          </w:divBdr>
        </w:div>
        <w:div w:id="1358044740">
          <w:marLeft w:val="446"/>
          <w:marRight w:val="0"/>
          <w:marTop w:val="0"/>
          <w:marBottom w:val="0"/>
          <w:divBdr>
            <w:top w:val="none" w:sz="0" w:space="0" w:color="auto"/>
            <w:left w:val="none" w:sz="0" w:space="0" w:color="auto"/>
            <w:bottom w:val="none" w:sz="0" w:space="0" w:color="auto"/>
            <w:right w:val="none" w:sz="0" w:space="0" w:color="auto"/>
          </w:divBdr>
        </w:div>
      </w:divsChild>
    </w:div>
    <w:div w:id="730427591">
      <w:bodyDiv w:val="1"/>
      <w:marLeft w:val="0"/>
      <w:marRight w:val="0"/>
      <w:marTop w:val="0"/>
      <w:marBottom w:val="0"/>
      <w:divBdr>
        <w:top w:val="none" w:sz="0" w:space="0" w:color="auto"/>
        <w:left w:val="none" w:sz="0" w:space="0" w:color="auto"/>
        <w:bottom w:val="none" w:sz="0" w:space="0" w:color="auto"/>
        <w:right w:val="none" w:sz="0" w:space="0" w:color="auto"/>
      </w:divBdr>
      <w:divsChild>
        <w:div w:id="466163576">
          <w:marLeft w:val="547"/>
          <w:marRight w:val="0"/>
          <w:marTop w:val="0"/>
          <w:marBottom w:val="0"/>
          <w:divBdr>
            <w:top w:val="none" w:sz="0" w:space="0" w:color="auto"/>
            <w:left w:val="none" w:sz="0" w:space="0" w:color="auto"/>
            <w:bottom w:val="none" w:sz="0" w:space="0" w:color="auto"/>
            <w:right w:val="none" w:sz="0" w:space="0" w:color="auto"/>
          </w:divBdr>
        </w:div>
        <w:div w:id="1980498948">
          <w:marLeft w:val="547"/>
          <w:marRight w:val="0"/>
          <w:marTop w:val="0"/>
          <w:marBottom w:val="0"/>
          <w:divBdr>
            <w:top w:val="none" w:sz="0" w:space="0" w:color="auto"/>
            <w:left w:val="none" w:sz="0" w:space="0" w:color="auto"/>
            <w:bottom w:val="none" w:sz="0" w:space="0" w:color="auto"/>
            <w:right w:val="none" w:sz="0" w:space="0" w:color="auto"/>
          </w:divBdr>
        </w:div>
        <w:div w:id="34040411">
          <w:marLeft w:val="547"/>
          <w:marRight w:val="0"/>
          <w:marTop w:val="0"/>
          <w:marBottom w:val="0"/>
          <w:divBdr>
            <w:top w:val="none" w:sz="0" w:space="0" w:color="auto"/>
            <w:left w:val="none" w:sz="0" w:space="0" w:color="auto"/>
            <w:bottom w:val="none" w:sz="0" w:space="0" w:color="auto"/>
            <w:right w:val="none" w:sz="0" w:space="0" w:color="auto"/>
          </w:divBdr>
        </w:div>
        <w:div w:id="759453355">
          <w:marLeft w:val="547"/>
          <w:marRight w:val="0"/>
          <w:marTop w:val="0"/>
          <w:marBottom w:val="0"/>
          <w:divBdr>
            <w:top w:val="none" w:sz="0" w:space="0" w:color="auto"/>
            <w:left w:val="none" w:sz="0" w:space="0" w:color="auto"/>
            <w:bottom w:val="none" w:sz="0" w:space="0" w:color="auto"/>
            <w:right w:val="none" w:sz="0" w:space="0" w:color="auto"/>
          </w:divBdr>
        </w:div>
        <w:div w:id="1846628088">
          <w:marLeft w:val="547"/>
          <w:marRight w:val="0"/>
          <w:marTop w:val="0"/>
          <w:marBottom w:val="0"/>
          <w:divBdr>
            <w:top w:val="none" w:sz="0" w:space="0" w:color="auto"/>
            <w:left w:val="none" w:sz="0" w:space="0" w:color="auto"/>
            <w:bottom w:val="none" w:sz="0" w:space="0" w:color="auto"/>
            <w:right w:val="none" w:sz="0" w:space="0" w:color="auto"/>
          </w:divBdr>
        </w:div>
        <w:div w:id="2029409151">
          <w:marLeft w:val="547"/>
          <w:marRight w:val="0"/>
          <w:marTop w:val="0"/>
          <w:marBottom w:val="0"/>
          <w:divBdr>
            <w:top w:val="none" w:sz="0" w:space="0" w:color="auto"/>
            <w:left w:val="none" w:sz="0" w:space="0" w:color="auto"/>
            <w:bottom w:val="none" w:sz="0" w:space="0" w:color="auto"/>
            <w:right w:val="none" w:sz="0" w:space="0" w:color="auto"/>
          </w:divBdr>
        </w:div>
        <w:div w:id="1020856171">
          <w:marLeft w:val="547"/>
          <w:marRight w:val="0"/>
          <w:marTop w:val="0"/>
          <w:marBottom w:val="0"/>
          <w:divBdr>
            <w:top w:val="none" w:sz="0" w:space="0" w:color="auto"/>
            <w:left w:val="none" w:sz="0" w:space="0" w:color="auto"/>
            <w:bottom w:val="none" w:sz="0" w:space="0" w:color="auto"/>
            <w:right w:val="none" w:sz="0" w:space="0" w:color="auto"/>
          </w:divBdr>
        </w:div>
      </w:divsChild>
    </w:div>
    <w:div w:id="745997239">
      <w:bodyDiv w:val="1"/>
      <w:marLeft w:val="0"/>
      <w:marRight w:val="0"/>
      <w:marTop w:val="0"/>
      <w:marBottom w:val="0"/>
      <w:divBdr>
        <w:top w:val="none" w:sz="0" w:space="0" w:color="auto"/>
        <w:left w:val="none" w:sz="0" w:space="0" w:color="auto"/>
        <w:bottom w:val="none" w:sz="0" w:space="0" w:color="auto"/>
        <w:right w:val="none" w:sz="0" w:space="0" w:color="auto"/>
      </w:divBdr>
    </w:div>
    <w:div w:id="912474217">
      <w:bodyDiv w:val="1"/>
      <w:marLeft w:val="0"/>
      <w:marRight w:val="0"/>
      <w:marTop w:val="0"/>
      <w:marBottom w:val="0"/>
      <w:divBdr>
        <w:top w:val="none" w:sz="0" w:space="0" w:color="auto"/>
        <w:left w:val="none" w:sz="0" w:space="0" w:color="auto"/>
        <w:bottom w:val="none" w:sz="0" w:space="0" w:color="auto"/>
        <w:right w:val="none" w:sz="0" w:space="0" w:color="auto"/>
      </w:divBdr>
    </w:div>
    <w:div w:id="1071387025">
      <w:bodyDiv w:val="1"/>
      <w:marLeft w:val="0"/>
      <w:marRight w:val="0"/>
      <w:marTop w:val="0"/>
      <w:marBottom w:val="0"/>
      <w:divBdr>
        <w:top w:val="none" w:sz="0" w:space="0" w:color="auto"/>
        <w:left w:val="none" w:sz="0" w:space="0" w:color="auto"/>
        <w:bottom w:val="none" w:sz="0" w:space="0" w:color="auto"/>
        <w:right w:val="none" w:sz="0" w:space="0" w:color="auto"/>
      </w:divBdr>
      <w:divsChild>
        <w:div w:id="417025630">
          <w:marLeft w:val="547"/>
          <w:marRight w:val="0"/>
          <w:marTop w:val="0"/>
          <w:marBottom w:val="0"/>
          <w:divBdr>
            <w:top w:val="none" w:sz="0" w:space="0" w:color="auto"/>
            <w:left w:val="none" w:sz="0" w:space="0" w:color="auto"/>
            <w:bottom w:val="none" w:sz="0" w:space="0" w:color="auto"/>
            <w:right w:val="none" w:sz="0" w:space="0" w:color="auto"/>
          </w:divBdr>
        </w:div>
        <w:div w:id="1345277968">
          <w:marLeft w:val="547"/>
          <w:marRight w:val="0"/>
          <w:marTop w:val="0"/>
          <w:marBottom w:val="0"/>
          <w:divBdr>
            <w:top w:val="none" w:sz="0" w:space="0" w:color="auto"/>
            <w:left w:val="none" w:sz="0" w:space="0" w:color="auto"/>
            <w:bottom w:val="none" w:sz="0" w:space="0" w:color="auto"/>
            <w:right w:val="none" w:sz="0" w:space="0" w:color="auto"/>
          </w:divBdr>
        </w:div>
        <w:div w:id="1757171999">
          <w:marLeft w:val="547"/>
          <w:marRight w:val="0"/>
          <w:marTop w:val="0"/>
          <w:marBottom w:val="0"/>
          <w:divBdr>
            <w:top w:val="none" w:sz="0" w:space="0" w:color="auto"/>
            <w:left w:val="none" w:sz="0" w:space="0" w:color="auto"/>
            <w:bottom w:val="none" w:sz="0" w:space="0" w:color="auto"/>
            <w:right w:val="none" w:sz="0" w:space="0" w:color="auto"/>
          </w:divBdr>
        </w:div>
      </w:divsChild>
    </w:div>
    <w:div w:id="1081482575">
      <w:bodyDiv w:val="1"/>
      <w:marLeft w:val="0"/>
      <w:marRight w:val="0"/>
      <w:marTop w:val="0"/>
      <w:marBottom w:val="0"/>
      <w:divBdr>
        <w:top w:val="none" w:sz="0" w:space="0" w:color="auto"/>
        <w:left w:val="none" w:sz="0" w:space="0" w:color="auto"/>
        <w:bottom w:val="none" w:sz="0" w:space="0" w:color="auto"/>
        <w:right w:val="none" w:sz="0" w:space="0" w:color="auto"/>
      </w:divBdr>
    </w:div>
    <w:div w:id="1418013581">
      <w:bodyDiv w:val="1"/>
      <w:marLeft w:val="0"/>
      <w:marRight w:val="0"/>
      <w:marTop w:val="0"/>
      <w:marBottom w:val="0"/>
      <w:divBdr>
        <w:top w:val="none" w:sz="0" w:space="0" w:color="auto"/>
        <w:left w:val="none" w:sz="0" w:space="0" w:color="auto"/>
        <w:bottom w:val="none" w:sz="0" w:space="0" w:color="auto"/>
        <w:right w:val="none" w:sz="0" w:space="0" w:color="auto"/>
      </w:divBdr>
    </w:div>
    <w:div w:id="1576813855">
      <w:bodyDiv w:val="1"/>
      <w:marLeft w:val="0"/>
      <w:marRight w:val="0"/>
      <w:marTop w:val="0"/>
      <w:marBottom w:val="0"/>
      <w:divBdr>
        <w:top w:val="none" w:sz="0" w:space="0" w:color="auto"/>
        <w:left w:val="none" w:sz="0" w:space="0" w:color="auto"/>
        <w:bottom w:val="none" w:sz="0" w:space="0" w:color="auto"/>
        <w:right w:val="none" w:sz="0" w:space="0" w:color="auto"/>
      </w:divBdr>
    </w:div>
    <w:div w:id="19156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esenredando.org/public/revistas/dys/rdys02/dys2-1.0-nov-19-2001-PMQA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input-2</Doctype>
    <Contributor xmlns="d42e65b2-cf21-49c1-b27d-d23f90380c0e">Raquel Lejtreger</Contributor>
  </documentManagement>
</p:properties>
</file>

<file path=customXml/itemProps1.xml><?xml version="1.0" encoding="utf-8"?>
<ds:datastoreItem xmlns:ds="http://schemas.openxmlformats.org/officeDocument/2006/customXml" ds:itemID="{E753D22E-1C49-404D-816E-4847FB5389D9}">
  <ds:schemaRefs>
    <ds:schemaRef ds:uri="http://schemas.openxmlformats.org/officeDocument/2006/bibliography"/>
  </ds:schemaRefs>
</ds:datastoreItem>
</file>

<file path=customXml/itemProps2.xml><?xml version="1.0" encoding="utf-8"?>
<ds:datastoreItem xmlns:ds="http://schemas.openxmlformats.org/officeDocument/2006/customXml" ds:itemID="{EAAB5376-3D0B-4161-8D62-E3D71C089B6E}"/>
</file>

<file path=customXml/itemProps3.xml><?xml version="1.0" encoding="utf-8"?>
<ds:datastoreItem xmlns:ds="http://schemas.openxmlformats.org/officeDocument/2006/customXml" ds:itemID="{203E4C4B-FF1E-4FC8-BCBD-09EEA4FC7430}"/>
</file>

<file path=customXml/itemProps4.xml><?xml version="1.0" encoding="utf-8"?>
<ds:datastoreItem xmlns:ds="http://schemas.openxmlformats.org/officeDocument/2006/customXml" ds:itemID="{D98D4A41-50E8-4773-B873-DB50CFC13616}"/>
</file>

<file path=docProps/app.xml><?xml version="1.0" encoding="utf-8"?>
<Properties xmlns="http://schemas.openxmlformats.org/officeDocument/2006/extended-properties" xmlns:vt="http://schemas.openxmlformats.org/officeDocument/2006/docPropsVTypes">
  <Template>Normal</Template>
  <TotalTime>0</TotalTime>
  <Pages>6</Pages>
  <Words>2499</Words>
  <Characters>13670</Characters>
  <Application>Microsoft Office Word</Application>
  <DocSecurity>0</DocSecurity>
  <Lines>235</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lejtreger</dc:creator>
  <cp:keywords/>
  <dc:description/>
  <cp:lastModifiedBy>raquel lejtreger</cp:lastModifiedBy>
  <cp:revision>64</cp:revision>
  <dcterms:created xsi:type="dcterms:W3CDTF">2024-04-01T16:44:00Z</dcterms:created>
  <dcterms:modified xsi:type="dcterms:W3CDTF">2024-04-01T18:33:00Z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2f9438e6f6c68eb5355f61597afe4902552795fde3e47912171e92375e1748c6</vt:lpwstr>
  </property>
  <property fmtid="{D5CDD505-2E9C-101B-9397-08002B2CF9AE}" pid="3" name="ContentTypeId">
    <vt:lpwstr>0x0101009D953D6983EF5F4EB0B6A5354F975E96</vt:lpwstr>
  </property>
</Properties>
</file>