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DA83" w14:textId="58EFAF84" w:rsidR="004441C8" w:rsidRPr="00A8367A" w:rsidRDefault="007829AC" w:rsidP="007829AC">
      <w:pPr>
        <w:pStyle w:val="Heading2"/>
        <w:jc w:val="both"/>
        <w:rPr>
          <w:b w:val="0"/>
          <w:sz w:val="70"/>
          <w:szCs w:val="70"/>
        </w:rPr>
      </w:pPr>
      <w:r w:rsidRPr="00A8367A">
        <w:rPr>
          <w:b w:val="0"/>
          <w:sz w:val="24"/>
          <w:szCs w:val="24"/>
        </w:rPr>
        <w:t>Input for the HRC</w:t>
      </w:r>
      <w:r w:rsidR="00B86273" w:rsidRPr="00A8367A">
        <w:rPr>
          <w:b w:val="0"/>
          <w:sz w:val="24"/>
          <w:szCs w:val="24"/>
        </w:rPr>
        <w:t>56</w:t>
      </w:r>
      <w:r w:rsidRPr="00A8367A">
        <w:rPr>
          <w:b w:val="0"/>
          <w:sz w:val="24"/>
          <w:szCs w:val="24"/>
        </w:rPr>
        <w:t xml:space="preserve"> thematic report on climate change and internal displacement</w:t>
      </w:r>
      <w:r w:rsidR="004441C8" w:rsidRPr="00A8367A">
        <w:rPr>
          <w:b w:val="0"/>
          <w:sz w:val="56"/>
          <w:szCs w:val="56"/>
        </w:rPr>
        <w:t xml:space="preserve"> </w:t>
      </w:r>
    </w:p>
    <w:p w14:paraId="6F250B43" w14:textId="77777777" w:rsidR="00F65548" w:rsidRPr="00A8367A" w:rsidRDefault="00F65548" w:rsidP="007829AC">
      <w:pPr>
        <w:spacing w:line="276" w:lineRule="auto"/>
        <w:jc w:val="both"/>
        <w:rPr>
          <w:rFonts w:cstheme="minorHAnsi"/>
          <w:b/>
          <w:bCs/>
          <w:color w:val="084179"/>
          <w:sz w:val="38"/>
          <w:szCs w:val="38"/>
          <w:lang w:val="en-GB"/>
        </w:rPr>
      </w:pPr>
    </w:p>
    <w:p w14:paraId="4CBA0F19" w14:textId="3C7B9DBA" w:rsidR="00D3500D" w:rsidRPr="00A8367A" w:rsidRDefault="007829AC" w:rsidP="007829AC">
      <w:pPr>
        <w:pStyle w:val="Heading2"/>
        <w:jc w:val="both"/>
        <w:rPr>
          <w:rFonts w:cstheme="minorHAnsi"/>
          <w:sz w:val="36"/>
          <w:szCs w:val="36"/>
        </w:rPr>
      </w:pPr>
      <w:r w:rsidRPr="00A8367A">
        <w:rPr>
          <w:rFonts w:cstheme="minorHAnsi"/>
          <w:sz w:val="36"/>
          <w:szCs w:val="36"/>
        </w:rPr>
        <w:t>Defining risk areas and protecting land rights in a context of climate-related relocation</w:t>
      </w:r>
    </w:p>
    <w:p w14:paraId="26D4FA4A" w14:textId="580AA181" w:rsidR="00CE1854" w:rsidRPr="004814D6" w:rsidRDefault="007829AC" w:rsidP="007829AC">
      <w:pPr>
        <w:pStyle w:val="Subtitle"/>
        <w:jc w:val="both"/>
        <w:rPr>
          <w:b w:val="0"/>
          <w:bCs w:val="0"/>
          <w:i/>
          <w:iCs/>
          <w:sz w:val="22"/>
          <w:szCs w:val="22"/>
          <w:lang w:val="en-GB"/>
        </w:rPr>
      </w:pPr>
      <w:r w:rsidRPr="004814D6">
        <w:rPr>
          <w:b w:val="0"/>
          <w:bCs w:val="0"/>
          <w:i/>
          <w:iCs/>
          <w:sz w:val="22"/>
          <w:szCs w:val="22"/>
          <w:lang w:val="en-GB"/>
        </w:rPr>
        <w:t>Carolien Jacobs and Bernardo Almeida, Van Vollenhoven Institute for Law, Governance and Society, Leiden University, the Netherlands</w:t>
      </w:r>
    </w:p>
    <w:p w14:paraId="2E964CFB" w14:textId="77777777" w:rsidR="007829AC" w:rsidRPr="00A8367A" w:rsidRDefault="007829AC" w:rsidP="007829AC">
      <w:pPr>
        <w:spacing w:line="276" w:lineRule="auto"/>
        <w:jc w:val="both"/>
        <w:rPr>
          <w:color w:val="084179"/>
          <w:lang w:val="en-GB"/>
        </w:rPr>
      </w:pPr>
    </w:p>
    <w:p w14:paraId="1B0C2669" w14:textId="77777777"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A growing number of people are at risk of the adverse effects of climate change and disasters . To reduce these risks, governments increasingly consider planned relocation: to remove people from high risk areas to safer places, and the importance of this strategy of risk reduction is recognized within international climate policies (Bower, Weerasinghe and </w:t>
      </w:r>
      <w:proofErr w:type="spellStart"/>
      <w:r w:rsidRPr="007829AC">
        <w:rPr>
          <w:rFonts w:eastAsia="Times New Roman" w:cs="Arial"/>
          <w:color w:val="084179"/>
          <w:sz w:val="22"/>
          <w:szCs w:val="22"/>
          <w:lang w:val="en-GB" w:eastAsia="nl-NL"/>
        </w:rPr>
        <w:t>Mokhnacheva</w:t>
      </w:r>
      <w:proofErr w:type="spellEnd"/>
      <w:r w:rsidRPr="007829AC">
        <w:rPr>
          <w:rFonts w:eastAsia="Times New Roman" w:cs="Arial"/>
          <w:color w:val="084179"/>
          <w:sz w:val="22"/>
          <w:szCs w:val="22"/>
          <w:lang w:val="en-GB" w:eastAsia="nl-NL"/>
        </w:rPr>
        <w:t xml:space="preserve">, 2022). Planned relocation is a complex and long-term process and it is widely acknowledged that it requires careful preparation and community engagement to increase the likelihood that people are relocated in a durable manner (Durand-Delacre </w:t>
      </w:r>
      <w:r w:rsidRPr="007829AC">
        <w:rPr>
          <w:rFonts w:eastAsia="Times New Roman" w:cs="Arial"/>
          <w:i/>
          <w:iCs/>
          <w:color w:val="084179"/>
          <w:sz w:val="22"/>
          <w:szCs w:val="22"/>
          <w:lang w:val="en-GB" w:eastAsia="nl-NL"/>
        </w:rPr>
        <w:t>et al.</w:t>
      </w:r>
      <w:r w:rsidRPr="007829AC">
        <w:rPr>
          <w:rFonts w:eastAsia="Times New Roman" w:cs="Arial"/>
          <w:color w:val="084179"/>
          <w:sz w:val="22"/>
          <w:szCs w:val="22"/>
          <w:lang w:val="en-GB" w:eastAsia="nl-NL"/>
        </w:rPr>
        <w:t xml:space="preserve">, 2023). </w:t>
      </w:r>
      <w:r w:rsidRPr="007829AC">
        <w:rPr>
          <w:rFonts w:eastAsia="Times New Roman" w:cs="Times New Roman"/>
          <w:color w:val="084179"/>
          <w:sz w:val="22"/>
          <w:szCs w:val="22"/>
          <w:lang w:val="en-GB" w:eastAsia="nl-NL"/>
        </w:rPr>
        <w:t>The forward looking orientation of planned relocation brings the focus to questions such:</w:t>
      </w:r>
      <w:r w:rsidRPr="007829AC">
        <w:rPr>
          <w:rFonts w:eastAsia="Times New Roman" w:cs="Arial"/>
          <w:color w:val="084179"/>
          <w:sz w:val="22"/>
          <w:szCs w:val="22"/>
          <w:lang w:val="en-GB" w:eastAsia="nl-NL"/>
        </w:rPr>
        <w:t xml:space="preserve"> How to find suitable places for relocation? What is needed to convince people to move elsewhere? How can lives be rebuilt in a durable way?</w:t>
      </w:r>
    </w:p>
    <w:p w14:paraId="3C2A4C4F" w14:textId="77777777"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Our reflection note intends to take a step back and draw attention to the period preceding planned relocation, when an area is assessed as not suitable (anymore) for habitation, cultivation, or other uses, while a new and supposedly safer area is chosen for relocation. The realization that an area is no longer habitable may come from a community itself, but more often, it is a rather top-down, state-led decision which at most engages community members in the planning of the relocation. Yet, the acceptable level of risk is a subjective and individual judgment, dependent on exposure to risk but also criteria such as alternatives to livelihoods and people’s attachment to land. Recent comments have emphasized the importance of conceptualizing risks and habitability in a participatory manner, paying attention to diverging perceptions, including people’s preferences to not move (Piggot-McKeller </w:t>
      </w:r>
      <w:r w:rsidRPr="007829AC">
        <w:rPr>
          <w:rFonts w:eastAsia="Times New Roman" w:cs="Arial"/>
          <w:i/>
          <w:iCs/>
          <w:color w:val="084179"/>
          <w:sz w:val="22"/>
          <w:szCs w:val="22"/>
          <w:lang w:val="en-GB" w:eastAsia="nl-NL"/>
        </w:rPr>
        <w:t>et al</w:t>
      </w:r>
      <w:r w:rsidRPr="007829AC">
        <w:rPr>
          <w:rFonts w:eastAsia="Times New Roman" w:cs="Arial"/>
          <w:color w:val="084179"/>
          <w:sz w:val="22"/>
          <w:szCs w:val="22"/>
          <w:lang w:val="en-GB" w:eastAsia="nl-NL"/>
        </w:rPr>
        <w:t xml:space="preserve">., </w:t>
      </w:r>
      <w:proofErr w:type="spellStart"/>
      <w:r w:rsidRPr="007829AC">
        <w:rPr>
          <w:rFonts w:eastAsia="Times New Roman" w:cs="Arial"/>
          <w:color w:val="084179"/>
          <w:sz w:val="22"/>
          <w:szCs w:val="22"/>
          <w:lang w:val="en-GB" w:eastAsia="nl-NL"/>
        </w:rPr>
        <w:t>forthc</w:t>
      </w:r>
      <w:proofErr w:type="spellEnd"/>
      <w:r w:rsidRPr="007829AC">
        <w:rPr>
          <w:rFonts w:eastAsia="Times New Roman" w:cs="Arial"/>
          <w:color w:val="084179"/>
          <w:sz w:val="22"/>
          <w:szCs w:val="22"/>
          <w:lang w:val="en-GB" w:eastAsia="nl-NL"/>
        </w:rPr>
        <w:t xml:space="preserve">.; </w:t>
      </w:r>
      <w:proofErr w:type="spellStart"/>
      <w:r w:rsidRPr="007829AC">
        <w:rPr>
          <w:rFonts w:eastAsia="Times New Roman" w:cs="Arial"/>
          <w:color w:val="084179"/>
          <w:sz w:val="22"/>
          <w:szCs w:val="22"/>
          <w:lang w:val="en-GB" w:eastAsia="nl-NL"/>
        </w:rPr>
        <w:t>Farbotko</w:t>
      </w:r>
      <w:proofErr w:type="spellEnd"/>
      <w:r w:rsidRPr="007829AC">
        <w:rPr>
          <w:rFonts w:eastAsia="Times New Roman" w:cs="Arial"/>
          <w:color w:val="084179"/>
          <w:sz w:val="22"/>
          <w:szCs w:val="22"/>
          <w:lang w:val="en-GB" w:eastAsia="nl-NL"/>
        </w:rPr>
        <w:t xml:space="preserve"> </w:t>
      </w:r>
      <w:r w:rsidRPr="007829AC">
        <w:rPr>
          <w:rFonts w:eastAsia="Times New Roman" w:cs="Arial"/>
          <w:i/>
          <w:iCs/>
          <w:color w:val="084179"/>
          <w:sz w:val="22"/>
          <w:szCs w:val="22"/>
          <w:lang w:val="en-GB" w:eastAsia="nl-NL"/>
        </w:rPr>
        <w:t>et al.</w:t>
      </w:r>
      <w:r w:rsidRPr="007829AC">
        <w:rPr>
          <w:rFonts w:eastAsia="Times New Roman" w:cs="Arial"/>
          <w:color w:val="084179"/>
          <w:sz w:val="22"/>
          <w:szCs w:val="22"/>
          <w:lang w:val="en-GB" w:eastAsia="nl-NL"/>
        </w:rPr>
        <w:t>, 2023).Moving might not bring a better life. Moreover, planned relocation can have serious consequences on the land rights, both for those who move, but also for those whose land is being used for relocation. Finally, other factors not related with risk, such as cheap access to land - especially when strategically located - might also play a role in the classification of risk areas and identification of safer relocation places</w:t>
      </w:r>
    </w:p>
    <w:p w14:paraId="3DBE3516" w14:textId="77777777"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In this reflection note, we take a socio-legal perspective to draw attention to the thorny sides of mapping risk areas and identifying safer locations for relocation. Both need to be done in a careful manner to avoid violation of fundamental rights of those who are relocated and of hosting communities.  Drawing on the case of Mozambique, this note underlines the importance of promoting clearly defined legal frameworks and carefully designed administrative processes to provide orientations to governments for an approach based on both rights and needs . Whereas international organizations have been incentivising governments to develop National Adaptation Plans  as a way to identify ‘medium-and long-term adaptation needs at a national level and developing and implementing strategies and programmes to address those needs’ (UNHCR, 2018: 7), these plans are not enough to protect the rights of those affected. Further realization of such plans will need clear and protective laws and administrative procedures (IFRC/UNDP, 2015: 16).</w:t>
      </w:r>
    </w:p>
    <w:p w14:paraId="45076449" w14:textId="77777777" w:rsidR="007829AC" w:rsidRPr="00A8367A" w:rsidRDefault="007829AC" w:rsidP="007829AC">
      <w:pPr>
        <w:spacing w:before="240" w:after="240" w:line="276" w:lineRule="auto"/>
        <w:jc w:val="both"/>
        <w:rPr>
          <w:rFonts w:eastAsia="Times New Roman" w:cs="Arial"/>
          <w:color w:val="084179"/>
          <w:sz w:val="22"/>
          <w:szCs w:val="22"/>
          <w:lang w:val="en-GB" w:eastAsia="nl-NL"/>
        </w:rPr>
      </w:pPr>
      <w:r w:rsidRPr="007829AC">
        <w:rPr>
          <w:rFonts w:eastAsia="Times New Roman" w:cs="Arial"/>
          <w:color w:val="084179"/>
          <w:sz w:val="22"/>
          <w:szCs w:val="22"/>
          <w:lang w:val="en-GB" w:eastAsia="nl-NL"/>
        </w:rPr>
        <w:t xml:space="preserve">The case of Mozambique is relevant because it is one of the countries most affected by climate change (Eckstein, </w:t>
      </w:r>
      <w:proofErr w:type="spellStart"/>
      <w:r w:rsidRPr="007829AC">
        <w:rPr>
          <w:rFonts w:eastAsia="Times New Roman" w:cs="Arial"/>
          <w:color w:val="084179"/>
          <w:sz w:val="22"/>
          <w:szCs w:val="22"/>
          <w:lang w:val="en-GB" w:eastAsia="nl-NL"/>
        </w:rPr>
        <w:t>Künzel</w:t>
      </w:r>
      <w:proofErr w:type="spellEnd"/>
      <w:r w:rsidRPr="007829AC">
        <w:rPr>
          <w:rFonts w:eastAsia="Times New Roman" w:cs="Arial"/>
          <w:color w:val="084179"/>
          <w:sz w:val="22"/>
          <w:szCs w:val="22"/>
          <w:lang w:val="en-GB" w:eastAsia="nl-NL"/>
        </w:rPr>
        <w:t xml:space="preserve"> and Schäfer, 2021: 8). Besides, government-led relocations have repeatedly taken place in the country’s history; as part of colonial estate schemes, villagization and socialization policies, large-scale development and investment projects, or nature conservation (Jacobs and Almeida, 2020). In more recent times, relocation has taken place in the aftermath of major cyclones, such as cyclone </w:t>
      </w:r>
      <w:r w:rsidRPr="007829AC">
        <w:rPr>
          <w:rFonts w:eastAsia="Times New Roman" w:cs="Arial"/>
          <w:color w:val="084179"/>
          <w:sz w:val="22"/>
          <w:szCs w:val="22"/>
          <w:lang w:val="en-GB" w:eastAsia="nl-NL"/>
        </w:rPr>
        <w:lastRenderedPageBreak/>
        <w:t>Idai in 2019, when around 88 000 individuals were relocated to 66 newly established permanent relocation sites (IOM/INGC, 2019).  </w:t>
      </w:r>
    </w:p>
    <w:p w14:paraId="479F0F73" w14:textId="77777777" w:rsidR="007829AC" w:rsidRPr="00A8367A" w:rsidRDefault="007829AC" w:rsidP="00B86273">
      <w:pPr>
        <w:pStyle w:val="Subtitle"/>
        <w:rPr>
          <w:rFonts w:cs="Times New Roman"/>
          <w:lang w:val="en-GB" w:eastAsia="nl-NL"/>
        </w:rPr>
      </w:pPr>
      <w:r w:rsidRPr="00A8367A">
        <w:rPr>
          <w:lang w:val="en-GB" w:eastAsia="nl-NL"/>
        </w:rPr>
        <w:t>Risk areas</w:t>
      </w:r>
    </w:p>
    <w:p w14:paraId="3C207AD5" w14:textId="77777777"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To protect people from risks and impacts related to disasters, environmental change and climate-related hazards and vulnerabilities, governments need to have a good understanding of risks. Risk assessments, and legal instruments such as land use regulations, construction standards and land use plans may be of help to assess and reduce risks. Identifying an area as a risk area can provide a strong legal instrument to governments to develop risk reduction measures.</w:t>
      </w:r>
    </w:p>
    <w:p w14:paraId="4514FEDE" w14:textId="04BB2725"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At present, the concept of ‘risk areas’ is referred to in various pieces of Mozambique’s legislation and policy frameworks, but it is nowhere clearly defined, not in legislation on spatial planning</w:t>
      </w:r>
      <w:r w:rsidR="00B86273" w:rsidRPr="00A8367A">
        <w:rPr>
          <w:rFonts w:eastAsia="Times New Roman" w:cs="Arial"/>
          <w:color w:val="084179"/>
          <w:sz w:val="22"/>
          <w:szCs w:val="22"/>
          <w:lang w:val="en-GB" w:eastAsia="nl-NL"/>
        </w:rPr>
        <w:t>,</w:t>
      </w:r>
      <w:r w:rsidR="00B86273" w:rsidRPr="00A8367A">
        <w:rPr>
          <w:rStyle w:val="FootnoteReference"/>
          <w:rFonts w:eastAsia="Times New Roman" w:cs="Arial"/>
          <w:sz w:val="22"/>
          <w:szCs w:val="22"/>
          <w:lang w:val="en-GB" w:eastAsia="nl-NL"/>
        </w:rPr>
        <w:footnoteReference w:id="1"/>
      </w:r>
      <w:r w:rsidRPr="007829AC">
        <w:rPr>
          <w:rFonts w:eastAsia="Times New Roman" w:cs="Arial"/>
          <w:color w:val="084179"/>
          <w:sz w:val="22"/>
          <w:szCs w:val="22"/>
          <w:lang w:val="en-GB" w:eastAsia="nl-NL"/>
        </w:rPr>
        <w:t xml:space="preserve"> nor in legislation on disaster risk management.</w:t>
      </w:r>
      <w:r w:rsidR="00B86273" w:rsidRPr="00A8367A">
        <w:rPr>
          <w:rStyle w:val="FootnoteReference"/>
          <w:rFonts w:eastAsia="Times New Roman" w:cs="Arial"/>
          <w:sz w:val="22"/>
          <w:szCs w:val="22"/>
          <w:lang w:val="en-GB" w:eastAsia="nl-NL"/>
        </w:rPr>
        <w:footnoteReference w:id="2"/>
      </w:r>
      <w:r w:rsidRPr="007829AC">
        <w:rPr>
          <w:rFonts w:eastAsia="Times New Roman" w:cs="Arial"/>
          <w:color w:val="084179"/>
          <w:sz w:val="22"/>
          <w:szCs w:val="22"/>
          <w:lang w:val="en-GB" w:eastAsia="nl-NL"/>
        </w:rPr>
        <w:t xml:space="preserve"> Art. 22.1 of Decree 76/2020 however states that ‘[t]he mapping of risk areas aims to identify, locate and trace geographic contours of resources, infrastructures and populations in a region exposed to a possibility of being affected by hazards’.</w:t>
      </w:r>
      <w:r w:rsidR="00B86273" w:rsidRPr="00A8367A">
        <w:rPr>
          <w:rStyle w:val="FootnoteReference"/>
          <w:rFonts w:eastAsia="Times New Roman" w:cs="Arial"/>
          <w:sz w:val="22"/>
          <w:szCs w:val="22"/>
          <w:lang w:val="en-GB" w:eastAsia="nl-NL"/>
        </w:rPr>
        <w:footnoteReference w:id="3"/>
      </w:r>
      <w:r w:rsidRPr="007829AC">
        <w:rPr>
          <w:rFonts w:eastAsia="Times New Roman" w:cs="Arial"/>
          <w:color w:val="084179"/>
          <w:sz w:val="22"/>
          <w:szCs w:val="22"/>
          <w:lang w:val="en-GB" w:eastAsia="nl-NL"/>
        </w:rPr>
        <w:t xml:space="preserve"> Moreover, the process through which risk areas are classified and the competence to do so is also not clearly established in law. Although it is not exactly clear when an area is classified as a risk area, nor how and by whom they are classified, there are important legal consequences of this classification, most notably 1) the restriction to occupy or acquire land use and usufruct rights (DUAT; </w:t>
      </w:r>
      <w:proofErr w:type="spellStart"/>
      <w:r w:rsidRPr="007829AC">
        <w:rPr>
          <w:rFonts w:eastAsia="Times New Roman" w:cs="Arial"/>
          <w:i/>
          <w:iCs/>
          <w:color w:val="084179"/>
          <w:sz w:val="22"/>
          <w:szCs w:val="22"/>
          <w:lang w:val="en-GB" w:eastAsia="nl-NL"/>
        </w:rPr>
        <w:t>direito</w:t>
      </w:r>
      <w:proofErr w:type="spellEnd"/>
      <w:r w:rsidRPr="007829AC">
        <w:rPr>
          <w:rFonts w:eastAsia="Times New Roman" w:cs="Arial"/>
          <w:i/>
          <w:iCs/>
          <w:color w:val="084179"/>
          <w:sz w:val="22"/>
          <w:szCs w:val="22"/>
          <w:lang w:val="en-GB" w:eastAsia="nl-NL"/>
        </w:rPr>
        <w:t xml:space="preserve"> de </w:t>
      </w:r>
      <w:proofErr w:type="spellStart"/>
      <w:r w:rsidRPr="007829AC">
        <w:rPr>
          <w:rFonts w:eastAsia="Times New Roman" w:cs="Arial"/>
          <w:i/>
          <w:iCs/>
          <w:color w:val="084179"/>
          <w:sz w:val="22"/>
          <w:szCs w:val="22"/>
          <w:lang w:val="en-GB" w:eastAsia="nl-NL"/>
        </w:rPr>
        <w:t>uso</w:t>
      </w:r>
      <w:proofErr w:type="spellEnd"/>
      <w:r w:rsidRPr="007829AC">
        <w:rPr>
          <w:rFonts w:eastAsia="Times New Roman" w:cs="Arial"/>
          <w:i/>
          <w:iCs/>
          <w:color w:val="084179"/>
          <w:sz w:val="22"/>
          <w:szCs w:val="22"/>
          <w:lang w:val="en-GB" w:eastAsia="nl-NL"/>
        </w:rPr>
        <w:t xml:space="preserve"> e </w:t>
      </w:r>
      <w:proofErr w:type="spellStart"/>
      <w:r w:rsidRPr="007829AC">
        <w:rPr>
          <w:rFonts w:eastAsia="Times New Roman" w:cs="Arial"/>
          <w:i/>
          <w:iCs/>
          <w:color w:val="084179"/>
          <w:sz w:val="22"/>
          <w:szCs w:val="22"/>
          <w:lang w:val="en-GB" w:eastAsia="nl-NL"/>
        </w:rPr>
        <w:t>aproveitamento</w:t>
      </w:r>
      <w:proofErr w:type="spellEnd"/>
      <w:r w:rsidRPr="007829AC">
        <w:rPr>
          <w:rFonts w:eastAsia="Times New Roman" w:cs="Arial"/>
          <w:i/>
          <w:iCs/>
          <w:color w:val="084179"/>
          <w:sz w:val="22"/>
          <w:szCs w:val="22"/>
          <w:lang w:val="en-GB" w:eastAsia="nl-NL"/>
        </w:rPr>
        <w:t xml:space="preserve"> da terra</w:t>
      </w:r>
      <w:r w:rsidRPr="007829AC">
        <w:rPr>
          <w:rFonts w:eastAsia="Times New Roman" w:cs="Arial"/>
          <w:color w:val="084179"/>
          <w:sz w:val="22"/>
          <w:szCs w:val="22"/>
          <w:lang w:val="en-GB" w:eastAsia="nl-NL"/>
        </w:rPr>
        <w:t>); 2) restriction on using the land in practice; 3) the possibility of forced removal; 4) restriction of service provision in these areas.</w:t>
      </w:r>
    </w:p>
    <w:p w14:paraId="51825B0C" w14:textId="77777777"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By giving politicians and state officials such unclear, arbitrary, and hefty power for classifying risk areas, this legal framework exposes people to much uncertainty and provides no incentives to make the assessment and management of risk a joint exercise of state and citizens. For instance, what may be an acceptable risk for one person, may not be acceptable for another person; If permanent living in an area is not allowed, it may still be fine for people to use a field for agricultural purposes on a less-than-daily basis. The case of Mozambique shows that classifying an area as ‘risk area’ is hence not straightforward, but requires careful consideration and may not be possible in an unequivocal manner.</w:t>
      </w:r>
    </w:p>
    <w:p w14:paraId="10EBB161" w14:textId="77777777" w:rsidR="007829AC" w:rsidRPr="00A8367A" w:rsidRDefault="007829AC" w:rsidP="00B86273">
      <w:pPr>
        <w:pStyle w:val="Subtitle"/>
        <w:rPr>
          <w:rFonts w:cs="Times New Roman"/>
          <w:lang w:val="en-GB" w:eastAsia="nl-NL"/>
        </w:rPr>
      </w:pPr>
      <w:r w:rsidRPr="00A8367A">
        <w:rPr>
          <w:lang w:val="en-GB" w:eastAsia="nl-NL"/>
        </w:rPr>
        <w:t>Land rights</w:t>
      </w:r>
    </w:p>
    <w:p w14:paraId="3D009DCC" w14:textId="77777777"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Once it is established that an area is a risk area, restrictions on land uses (e.g., residence) or total loss of land rights are imposed. This raises the question: To what extent are people entitled to compensation for their losses? Within the international climate regime, it has been established that planned relocation straddles the pillars of both adaptation and loss &amp; damage, and that compensation may be needed (Mosneaga and Jacobs, 2022). However, within legal frameworks where the land rights of poor dwellers often receive little or no recognition by state law, and where expropriation laws and other dispossession mechanisms do not acknowledge the real value invested by dwellers on their lands, those accepting to be relocated often do it at a loss. Moreover, a similar process often happens at the relocation sites, where the rights and losses of those giving away land are poorly acknowledged by law, and little compensated in practice.    </w:t>
      </w:r>
    </w:p>
    <w:p w14:paraId="5BB2607E" w14:textId="77777777"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Again, taking the example of Mozambique, several issues need to be carefully considered in this regard, as we have argued elsewhere (Almeida and Jacobs, 2022). A first point of attention is that in many areas of the world, including Mozambique, large parts of the population may lack formal titles over their lands, but their rights are based on customary, non-state agreements and communal recognition of ownership. According to the 1997 Land Law, all land in Mozambique belongs to the state, but people can have rights of use and usufruct, also on the basis of customary rights, or if they can prove occupation in good faith for more than 10 years (art.12, Law 19/1997). However, this approach to land rights is undermined by regulations and weak rule of law, which in practice allows state officials to ignore the rights of dwellers of informal settlements (ibid: 3). In case of a disaster like Cyclone Idai in 2019, we found that the only compensation which people received was a residential plot in one of the relocation sites and material assistance to rebuild their lives and livelihoods, but this was not based on a process of negotiation and consultation. Leaving risk areas would represent for many a considerable loss on their life investment in their houses and livelihoods. </w:t>
      </w:r>
    </w:p>
    <w:p w14:paraId="652CA341" w14:textId="77777777"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In the absence of a clear legal framework on the management of risk areas and expropriation, which lay out the procedure to be followed, capacity to implement this procedure, and mechanisms to ensure a due process, people in risk areas may no longer face environmental risks when they are relocated, but they may face considerable losses if legal safeguards are not in place to protect and acknowledge their existing land rights prior to relocation, also if these land rights are based on customary law, and not on a formal land title. </w:t>
      </w:r>
    </w:p>
    <w:p w14:paraId="4FEED4FE" w14:textId="2D95B7E0" w:rsidR="007829AC" w:rsidRPr="00A8367A" w:rsidRDefault="007829AC" w:rsidP="00B86273">
      <w:pPr>
        <w:pStyle w:val="Subtitle"/>
        <w:rPr>
          <w:rFonts w:cs="Times New Roman"/>
          <w:lang w:val="en-GB" w:eastAsia="nl-NL"/>
        </w:rPr>
      </w:pPr>
      <w:r w:rsidRPr="00A8367A">
        <w:rPr>
          <w:lang w:val="en-GB" w:eastAsia="nl-NL"/>
        </w:rPr>
        <w:t>Recommendations</w:t>
      </w:r>
    </w:p>
    <w:p w14:paraId="186DE26D" w14:textId="77777777"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In a context in which climate change is increasing risks of extreme weather events, planned relocation may be a way to reduce risks. But planned relocation is a process that does not start with the actual relocation and preparation of the relocation site: it is not only about looking at the future, but also looking at the actual situation: Who is using a risk area; how do these users assess these risks themselves; and to what extent is some type of usage possible considering the risks levels? It requires careful consideration of what is considered a risk area, by whom, and for what. People’s attachments to a particular part of land may be strong, for social, economic, emotional, or religious reasons, and it may not always be necessary to prohibit every type of land use in a risk area. A participatory approach to map risk areas may be a first step in ensuring tailor-made solutions that are accepted by the people affected. Next, the classification of risk areas may still allow some modes of use. This would then require a clear regulatory framework, accompanied by enforcement mechanisms to implement this framework.</w:t>
      </w:r>
    </w:p>
    <w:p w14:paraId="32AA63B3" w14:textId="60032CEA"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Secondly, in relation to land rights and expropriation of people’s land as part of relocation processes, we urge governments to adopt proper legal frameworks to provide guidance on how to improve the recognition of land rights and regulate expropriation, </w:t>
      </w:r>
      <w:r w:rsidR="00A8367A">
        <w:rPr>
          <w:rFonts w:eastAsia="Times New Roman" w:cs="Arial"/>
          <w:color w:val="084179"/>
          <w:sz w:val="22"/>
          <w:szCs w:val="22"/>
          <w:lang w:val="en-GB" w:eastAsia="nl-NL"/>
        </w:rPr>
        <w:t xml:space="preserve">but also </w:t>
      </w:r>
      <w:r w:rsidRPr="007829AC">
        <w:rPr>
          <w:rFonts w:eastAsia="Times New Roman" w:cs="Arial"/>
          <w:color w:val="084179"/>
          <w:sz w:val="22"/>
          <w:szCs w:val="22"/>
          <w:lang w:val="en-GB" w:eastAsia="nl-NL"/>
        </w:rPr>
        <w:t>to ensure that the government has appropriate capacity to implement this legal framework. This can be of help in ensuring that legal certainty is guaranteed, the rule of law is followed</w:t>
      </w:r>
      <w:r w:rsidR="00A8367A">
        <w:rPr>
          <w:rFonts w:eastAsia="Times New Roman" w:cs="Arial"/>
          <w:color w:val="084179"/>
          <w:sz w:val="22"/>
          <w:szCs w:val="22"/>
          <w:lang w:val="en-GB" w:eastAsia="nl-NL"/>
        </w:rPr>
        <w:t>,</w:t>
      </w:r>
      <w:r w:rsidRPr="007829AC">
        <w:rPr>
          <w:rFonts w:eastAsia="Times New Roman" w:cs="Arial"/>
          <w:color w:val="084179"/>
          <w:sz w:val="22"/>
          <w:szCs w:val="22"/>
          <w:lang w:val="en-GB" w:eastAsia="nl-NL"/>
        </w:rPr>
        <w:t xml:space="preserve"> and </w:t>
      </w:r>
      <w:r w:rsidR="00A8367A">
        <w:rPr>
          <w:rFonts w:eastAsia="Times New Roman" w:cs="Arial"/>
          <w:color w:val="084179"/>
          <w:sz w:val="22"/>
          <w:szCs w:val="22"/>
          <w:lang w:val="en-GB" w:eastAsia="nl-NL"/>
        </w:rPr>
        <w:t xml:space="preserve">that </w:t>
      </w:r>
      <w:r w:rsidRPr="007829AC">
        <w:rPr>
          <w:rFonts w:eastAsia="Times New Roman" w:cs="Arial"/>
          <w:color w:val="084179"/>
          <w:sz w:val="22"/>
          <w:szCs w:val="22"/>
          <w:lang w:val="en-GB" w:eastAsia="nl-NL"/>
        </w:rPr>
        <w:t>no unlawful dispossession takes place.</w:t>
      </w:r>
    </w:p>
    <w:p w14:paraId="4DBFAA89" w14:textId="77777777" w:rsidR="007829AC" w:rsidRPr="00A8367A" w:rsidRDefault="007829AC" w:rsidP="00B86273">
      <w:pPr>
        <w:pStyle w:val="Subtitle"/>
        <w:rPr>
          <w:rFonts w:cs="Times New Roman"/>
          <w:lang w:val="en-GB" w:eastAsia="nl-NL"/>
        </w:rPr>
      </w:pPr>
      <w:r w:rsidRPr="00A8367A">
        <w:rPr>
          <w:lang w:val="en-GB" w:eastAsia="nl-NL"/>
        </w:rPr>
        <w:t>Bibliography</w:t>
      </w:r>
    </w:p>
    <w:p w14:paraId="4CFE21CF" w14:textId="5F4065ED"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Almeida, B. and Jacobs, C. (2022) ‘Land expropriation – The hidden danger of climate change response in Mozambique’, </w:t>
      </w:r>
      <w:r w:rsidRPr="007829AC">
        <w:rPr>
          <w:rFonts w:eastAsia="Times New Roman" w:cs="Arial"/>
          <w:i/>
          <w:iCs/>
          <w:color w:val="084179"/>
          <w:sz w:val="22"/>
          <w:szCs w:val="22"/>
          <w:lang w:val="en-GB" w:eastAsia="nl-NL"/>
        </w:rPr>
        <w:t>Land Use Policy</w:t>
      </w:r>
      <w:r w:rsidRPr="007829AC">
        <w:rPr>
          <w:rFonts w:eastAsia="Times New Roman" w:cs="Arial"/>
          <w:color w:val="084179"/>
          <w:sz w:val="22"/>
          <w:szCs w:val="22"/>
          <w:lang w:val="en-GB" w:eastAsia="nl-NL"/>
        </w:rPr>
        <w:t>.</w:t>
      </w:r>
      <w:r w:rsidR="00252C0B" w:rsidRPr="00A8367A">
        <w:rPr>
          <w:rFonts w:eastAsia="Times New Roman" w:cs="Arial"/>
          <w:color w:val="084179"/>
          <w:sz w:val="22"/>
          <w:szCs w:val="22"/>
          <w:lang w:val="en-GB" w:eastAsia="nl-NL"/>
        </w:rPr>
        <w:t xml:space="preserve"> </w:t>
      </w:r>
      <w:r w:rsidRPr="007829AC">
        <w:rPr>
          <w:rFonts w:eastAsia="Times New Roman" w:cs="Arial"/>
          <w:color w:val="084179"/>
          <w:sz w:val="22"/>
          <w:szCs w:val="22"/>
          <w:lang w:val="en-GB" w:eastAsia="nl-NL"/>
        </w:rPr>
        <w:t>123(September)</w:t>
      </w:r>
      <w:r w:rsidR="00252C0B" w:rsidRPr="00A8367A">
        <w:rPr>
          <w:rFonts w:eastAsia="Times New Roman" w:cs="Arial"/>
          <w:color w:val="084179"/>
          <w:sz w:val="22"/>
          <w:szCs w:val="22"/>
          <w:lang w:val="en-GB" w:eastAsia="nl-NL"/>
        </w:rPr>
        <w:t xml:space="preserve">: </w:t>
      </w:r>
      <w:r w:rsidRPr="007829AC">
        <w:rPr>
          <w:rFonts w:eastAsia="Times New Roman" w:cs="Arial"/>
          <w:color w:val="084179"/>
          <w:sz w:val="22"/>
          <w:szCs w:val="22"/>
          <w:lang w:val="en-GB" w:eastAsia="nl-NL"/>
        </w:rPr>
        <w:t xml:space="preserve">106408. </w:t>
      </w:r>
      <w:proofErr w:type="spellStart"/>
      <w:r w:rsidRPr="007829AC">
        <w:rPr>
          <w:rFonts w:eastAsia="Times New Roman" w:cs="Arial"/>
          <w:color w:val="084179"/>
          <w:sz w:val="22"/>
          <w:szCs w:val="22"/>
          <w:lang w:val="en-GB" w:eastAsia="nl-NL"/>
        </w:rPr>
        <w:t>doi</w:t>
      </w:r>
      <w:proofErr w:type="spellEnd"/>
      <w:r w:rsidRPr="007829AC">
        <w:rPr>
          <w:rFonts w:eastAsia="Times New Roman" w:cs="Arial"/>
          <w:color w:val="084179"/>
          <w:sz w:val="22"/>
          <w:szCs w:val="22"/>
          <w:lang w:val="en-GB" w:eastAsia="nl-NL"/>
        </w:rPr>
        <w:t>: 10.1016/j.landusepol.2022.106408.</w:t>
      </w:r>
    </w:p>
    <w:p w14:paraId="4C63EC72" w14:textId="136D8179"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Bower, E., Weerasinghe, S. and </w:t>
      </w:r>
      <w:proofErr w:type="spellStart"/>
      <w:r w:rsidRPr="007829AC">
        <w:rPr>
          <w:rFonts w:eastAsia="Times New Roman" w:cs="Arial"/>
          <w:color w:val="084179"/>
          <w:sz w:val="22"/>
          <w:szCs w:val="22"/>
          <w:lang w:val="en-GB" w:eastAsia="nl-NL"/>
        </w:rPr>
        <w:t>Mokhnacheva</w:t>
      </w:r>
      <w:proofErr w:type="spellEnd"/>
      <w:r w:rsidRPr="007829AC">
        <w:rPr>
          <w:rFonts w:eastAsia="Times New Roman" w:cs="Arial"/>
          <w:color w:val="084179"/>
          <w:sz w:val="22"/>
          <w:szCs w:val="22"/>
          <w:lang w:val="en-GB" w:eastAsia="nl-NL"/>
        </w:rPr>
        <w:t xml:space="preserve">, D. (2022) ‘Mapping of planned relocation cases: a foundation for evidence-based policy and practice’, </w:t>
      </w:r>
      <w:r w:rsidRPr="007829AC">
        <w:rPr>
          <w:rFonts w:eastAsia="Times New Roman" w:cs="Arial"/>
          <w:i/>
          <w:iCs/>
          <w:color w:val="084179"/>
          <w:sz w:val="22"/>
          <w:szCs w:val="22"/>
          <w:lang w:val="en-GB" w:eastAsia="nl-NL"/>
        </w:rPr>
        <w:t>Forced Migration Review</w:t>
      </w:r>
      <w:r w:rsidR="00252C0B" w:rsidRPr="00A8367A">
        <w:rPr>
          <w:rFonts w:eastAsia="Times New Roman" w:cs="Arial"/>
          <w:color w:val="084179"/>
          <w:sz w:val="22"/>
          <w:szCs w:val="22"/>
          <w:lang w:val="en-GB" w:eastAsia="nl-NL"/>
        </w:rPr>
        <w:t xml:space="preserve"> </w:t>
      </w:r>
      <w:r w:rsidRPr="007829AC">
        <w:rPr>
          <w:rFonts w:eastAsia="Times New Roman" w:cs="Arial"/>
          <w:color w:val="084179"/>
          <w:sz w:val="22"/>
          <w:szCs w:val="22"/>
          <w:lang w:val="en-GB" w:eastAsia="nl-NL"/>
        </w:rPr>
        <w:t>69</w:t>
      </w:r>
      <w:r w:rsidR="00252C0B" w:rsidRPr="00A8367A">
        <w:rPr>
          <w:rFonts w:eastAsia="Times New Roman" w:cs="Arial"/>
          <w:color w:val="084179"/>
          <w:sz w:val="22"/>
          <w:szCs w:val="22"/>
          <w:lang w:val="en-GB" w:eastAsia="nl-NL"/>
        </w:rPr>
        <w:t xml:space="preserve"> :</w:t>
      </w:r>
      <w:r w:rsidRPr="007829AC">
        <w:rPr>
          <w:rFonts w:eastAsia="Times New Roman" w:cs="Arial"/>
          <w:color w:val="084179"/>
          <w:sz w:val="22"/>
          <w:szCs w:val="22"/>
          <w:lang w:val="en-GB" w:eastAsia="nl-NL"/>
        </w:rPr>
        <w:t xml:space="preserve"> 48–51.</w:t>
      </w:r>
    </w:p>
    <w:p w14:paraId="3072C0FC" w14:textId="635C816A"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Durand-Delacre, D. </w:t>
      </w:r>
      <w:r w:rsidRPr="007829AC">
        <w:rPr>
          <w:rFonts w:eastAsia="Times New Roman" w:cs="Arial"/>
          <w:i/>
          <w:iCs/>
          <w:color w:val="084179"/>
          <w:sz w:val="22"/>
          <w:szCs w:val="22"/>
          <w:lang w:val="en-GB" w:eastAsia="nl-NL"/>
        </w:rPr>
        <w:t>et al.</w:t>
      </w:r>
      <w:r w:rsidRPr="007829AC">
        <w:rPr>
          <w:rFonts w:eastAsia="Times New Roman" w:cs="Arial"/>
          <w:color w:val="084179"/>
          <w:sz w:val="22"/>
          <w:szCs w:val="22"/>
          <w:lang w:val="en-GB" w:eastAsia="nl-NL"/>
        </w:rPr>
        <w:t xml:space="preserve"> (2023) </w:t>
      </w:r>
      <w:r w:rsidRPr="007829AC">
        <w:rPr>
          <w:rFonts w:eastAsia="Times New Roman" w:cs="Arial"/>
          <w:i/>
          <w:iCs/>
          <w:color w:val="084179"/>
          <w:sz w:val="22"/>
          <w:szCs w:val="22"/>
          <w:lang w:val="en-GB" w:eastAsia="nl-NL"/>
        </w:rPr>
        <w:t>Integrating Planned Relocation in National Climate Action</w:t>
      </w:r>
      <w:r w:rsidRPr="007829AC">
        <w:rPr>
          <w:rFonts w:eastAsia="Times New Roman" w:cs="Arial"/>
          <w:color w:val="084179"/>
          <w:sz w:val="22"/>
          <w:szCs w:val="22"/>
          <w:lang w:val="en-GB" w:eastAsia="nl-NL"/>
        </w:rPr>
        <w:t>. Bonn</w:t>
      </w:r>
      <w:r w:rsidR="00252C0B" w:rsidRPr="00A8367A">
        <w:rPr>
          <w:rFonts w:eastAsia="Times New Roman" w:cs="Arial"/>
          <w:color w:val="084179"/>
          <w:sz w:val="22"/>
          <w:szCs w:val="22"/>
          <w:lang w:val="en-GB" w:eastAsia="nl-NL"/>
        </w:rPr>
        <w:t>: United Nations University- Institute for Environment and Human Security</w:t>
      </w:r>
    </w:p>
    <w:p w14:paraId="3D6248C8" w14:textId="6EF59275"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Eckstein, D., </w:t>
      </w:r>
      <w:proofErr w:type="spellStart"/>
      <w:r w:rsidRPr="007829AC">
        <w:rPr>
          <w:rFonts w:eastAsia="Times New Roman" w:cs="Arial"/>
          <w:color w:val="084179"/>
          <w:sz w:val="22"/>
          <w:szCs w:val="22"/>
          <w:lang w:val="en-GB" w:eastAsia="nl-NL"/>
        </w:rPr>
        <w:t>Künzel</w:t>
      </w:r>
      <w:proofErr w:type="spellEnd"/>
      <w:r w:rsidRPr="007829AC">
        <w:rPr>
          <w:rFonts w:eastAsia="Times New Roman" w:cs="Arial"/>
          <w:color w:val="084179"/>
          <w:sz w:val="22"/>
          <w:szCs w:val="22"/>
          <w:lang w:val="en-GB" w:eastAsia="nl-NL"/>
        </w:rPr>
        <w:t xml:space="preserve">, V. and Schäfer, L. (2021) </w:t>
      </w:r>
      <w:r w:rsidRPr="007829AC">
        <w:rPr>
          <w:rFonts w:eastAsia="Times New Roman" w:cs="Arial"/>
          <w:i/>
          <w:iCs/>
          <w:color w:val="084179"/>
          <w:sz w:val="22"/>
          <w:szCs w:val="22"/>
          <w:lang w:val="en-GB" w:eastAsia="nl-NL"/>
        </w:rPr>
        <w:t>Global climate risk index 2021</w:t>
      </w:r>
      <w:r w:rsidRPr="007829AC">
        <w:rPr>
          <w:rFonts w:eastAsia="Times New Roman" w:cs="Arial"/>
          <w:color w:val="084179"/>
          <w:sz w:val="22"/>
          <w:szCs w:val="22"/>
          <w:lang w:val="en-GB" w:eastAsia="nl-NL"/>
        </w:rPr>
        <w:t>. Bonn/Berlin</w:t>
      </w:r>
      <w:r w:rsidR="00252C0B" w:rsidRPr="00A8367A">
        <w:rPr>
          <w:rFonts w:eastAsia="Times New Roman" w:cs="Arial"/>
          <w:color w:val="084179"/>
          <w:sz w:val="22"/>
          <w:szCs w:val="22"/>
          <w:lang w:val="en-GB" w:eastAsia="nl-NL"/>
        </w:rPr>
        <w:t xml:space="preserve">: </w:t>
      </w:r>
      <w:proofErr w:type="spellStart"/>
      <w:r w:rsidR="00252C0B" w:rsidRPr="00A8367A">
        <w:rPr>
          <w:rFonts w:eastAsia="Times New Roman" w:cs="Arial"/>
          <w:color w:val="084179"/>
          <w:sz w:val="22"/>
          <w:szCs w:val="22"/>
          <w:lang w:val="en-GB" w:eastAsia="nl-NL"/>
        </w:rPr>
        <w:t>Germanwatch</w:t>
      </w:r>
      <w:proofErr w:type="spellEnd"/>
      <w:r w:rsidRPr="007829AC">
        <w:rPr>
          <w:rFonts w:eastAsia="Times New Roman" w:cs="Arial"/>
          <w:color w:val="084179"/>
          <w:sz w:val="22"/>
          <w:szCs w:val="22"/>
          <w:lang w:val="en-GB" w:eastAsia="nl-NL"/>
        </w:rPr>
        <w:t>. Available at: http://germanwatch.org/en/download/8551.pdf.</w:t>
      </w:r>
    </w:p>
    <w:p w14:paraId="7E8EF433" w14:textId="1D5BE01B"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proofErr w:type="spellStart"/>
      <w:r w:rsidRPr="007829AC">
        <w:rPr>
          <w:rFonts w:eastAsia="Times New Roman" w:cs="Arial"/>
          <w:color w:val="084179"/>
          <w:sz w:val="22"/>
          <w:szCs w:val="22"/>
          <w:lang w:val="en-GB" w:eastAsia="nl-NL"/>
        </w:rPr>
        <w:t>Farbotko</w:t>
      </w:r>
      <w:proofErr w:type="spellEnd"/>
      <w:r w:rsidRPr="007829AC">
        <w:rPr>
          <w:rFonts w:eastAsia="Times New Roman" w:cs="Arial"/>
          <w:color w:val="084179"/>
          <w:sz w:val="22"/>
          <w:szCs w:val="22"/>
          <w:lang w:val="en-GB" w:eastAsia="nl-NL"/>
        </w:rPr>
        <w:t xml:space="preserve">, C. </w:t>
      </w:r>
      <w:r w:rsidRPr="007829AC">
        <w:rPr>
          <w:rFonts w:eastAsia="Times New Roman" w:cs="Arial"/>
          <w:i/>
          <w:iCs/>
          <w:color w:val="084179"/>
          <w:sz w:val="22"/>
          <w:szCs w:val="22"/>
          <w:lang w:val="en-GB" w:eastAsia="nl-NL"/>
        </w:rPr>
        <w:t>et al.</w:t>
      </w:r>
      <w:r w:rsidRPr="007829AC">
        <w:rPr>
          <w:rFonts w:eastAsia="Times New Roman" w:cs="Arial"/>
          <w:color w:val="084179"/>
          <w:sz w:val="22"/>
          <w:szCs w:val="22"/>
          <w:lang w:val="en-GB" w:eastAsia="nl-NL"/>
        </w:rPr>
        <w:t xml:space="preserve"> (2023) ‘Reclaiming open climate adaptation futures’, </w:t>
      </w:r>
      <w:r w:rsidRPr="007829AC">
        <w:rPr>
          <w:rFonts w:eastAsia="Times New Roman" w:cs="Arial"/>
          <w:i/>
          <w:iCs/>
          <w:color w:val="084179"/>
          <w:sz w:val="22"/>
          <w:szCs w:val="22"/>
          <w:lang w:val="en-GB" w:eastAsia="nl-NL"/>
        </w:rPr>
        <w:t>Nature Climate Change</w:t>
      </w:r>
      <w:r w:rsidRPr="007829AC">
        <w:rPr>
          <w:rFonts w:eastAsia="Times New Roman" w:cs="Arial"/>
          <w:color w:val="084179"/>
          <w:sz w:val="22"/>
          <w:szCs w:val="22"/>
          <w:lang w:val="en-GB" w:eastAsia="nl-NL"/>
        </w:rPr>
        <w:t xml:space="preserve"> 13(8)</w:t>
      </w:r>
      <w:r w:rsidR="00252C0B" w:rsidRPr="00A8367A">
        <w:rPr>
          <w:rFonts w:eastAsia="Times New Roman" w:cs="Arial"/>
          <w:color w:val="084179"/>
          <w:sz w:val="22"/>
          <w:szCs w:val="22"/>
          <w:lang w:val="en-GB" w:eastAsia="nl-NL"/>
        </w:rPr>
        <w:t xml:space="preserve">: </w:t>
      </w:r>
      <w:r w:rsidRPr="007829AC">
        <w:rPr>
          <w:rFonts w:eastAsia="Times New Roman" w:cs="Arial"/>
          <w:color w:val="084179"/>
          <w:sz w:val="22"/>
          <w:szCs w:val="22"/>
          <w:lang w:val="en-GB" w:eastAsia="nl-NL"/>
        </w:rPr>
        <w:t xml:space="preserve">750–751. </w:t>
      </w:r>
      <w:proofErr w:type="spellStart"/>
      <w:r w:rsidRPr="007829AC">
        <w:rPr>
          <w:rFonts w:eastAsia="Times New Roman" w:cs="Arial"/>
          <w:color w:val="084179"/>
          <w:sz w:val="22"/>
          <w:szCs w:val="22"/>
          <w:lang w:val="en-GB" w:eastAsia="nl-NL"/>
        </w:rPr>
        <w:t>doi</w:t>
      </w:r>
      <w:proofErr w:type="spellEnd"/>
      <w:r w:rsidRPr="007829AC">
        <w:rPr>
          <w:rFonts w:eastAsia="Times New Roman" w:cs="Arial"/>
          <w:color w:val="084179"/>
          <w:sz w:val="22"/>
          <w:szCs w:val="22"/>
          <w:lang w:val="en-GB" w:eastAsia="nl-NL"/>
        </w:rPr>
        <w:t>: 10.1038/s41558-023-01733-1.</w:t>
      </w:r>
    </w:p>
    <w:p w14:paraId="4D3B36AC" w14:textId="77777777"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IFRC/UNDP (2015) </w:t>
      </w:r>
      <w:r w:rsidRPr="007829AC">
        <w:rPr>
          <w:rFonts w:eastAsia="Times New Roman" w:cs="Arial"/>
          <w:i/>
          <w:iCs/>
          <w:color w:val="084179"/>
          <w:sz w:val="22"/>
          <w:szCs w:val="22"/>
          <w:lang w:val="en-GB" w:eastAsia="nl-NL"/>
        </w:rPr>
        <w:t>The Handbook on Law and Disaster Risk Reduction</w:t>
      </w:r>
      <w:r w:rsidRPr="007829AC">
        <w:rPr>
          <w:rFonts w:eastAsia="Times New Roman" w:cs="Arial"/>
          <w:color w:val="084179"/>
          <w:sz w:val="22"/>
          <w:szCs w:val="22"/>
          <w:lang w:val="en-GB" w:eastAsia="nl-NL"/>
        </w:rPr>
        <w:t>. IFRC/UNDP</w:t>
      </w:r>
    </w:p>
    <w:p w14:paraId="73AD3EEC" w14:textId="77777777"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IOM/INGC (2019) </w:t>
      </w:r>
      <w:r w:rsidRPr="007829AC">
        <w:rPr>
          <w:rFonts w:eastAsia="Times New Roman" w:cs="Arial"/>
          <w:i/>
          <w:iCs/>
          <w:color w:val="084179"/>
          <w:sz w:val="22"/>
          <w:szCs w:val="22"/>
          <w:lang w:val="en-GB" w:eastAsia="nl-NL"/>
        </w:rPr>
        <w:t>Mozambique: Tropical cyclone Idai Multi-Sectoral Location Assessment- Round x</w:t>
      </w:r>
      <w:r w:rsidRPr="007829AC">
        <w:rPr>
          <w:rFonts w:eastAsia="Times New Roman" w:cs="Arial"/>
          <w:color w:val="084179"/>
          <w:sz w:val="22"/>
          <w:szCs w:val="22"/>
          <w:lang w:val="en-GB" w:eastAsia="nl-NL"/>
        </w:rPr>
        <w:t xml:space="preserve">, </w:t>
      </w:r>
      <w:r w:rsidRPr="007829AC">
        <w:rPr>
          <w:rFonts w:eastAsia="Times New Roman" w:cs="Arial"/>
          <w:i/>
          <w:iCs/>
          <w:color w:val="084179"/>
          <w:sz w:val="22"/>
          <w:szCs w:val="22"/>
          <w:lang w:val="en-GB" w:eastAsia="nl-NL"/>
        </w:rPr>
        <w:t>IOM Displacement Tracking Matrix</w:t>
      </w:r>
      <w:r w:rsidRPr="007829AC">
        <w:rPr>
          <w:rFonts w:eastAsia="Times New Roman" w:cs="Arial"/>
          <w:color w:val="084179"/>
          <w:sz w:val="22"/>
          <w:szCs w:val="22"/>
          <w:lang w:val="en-GB" w:eastAsia="nl-NL"/>
        </w:rPr>
        <w:t>.</w:t>
      </w:r>
    </w:p>
    <w:p w14:paraId="5853C6CA" w14:textId="43C09E2A"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Jacobs, C. and Almeida, B. (2020) </w:t>
      </w:r>
      <w:hyperlink r:id="rId8" w:history="1">
        <w:r w:rsidRPr="00FF05DB">
          <w:rPr>
            <w:rStyle w:val="Hyperlink"/>
            <w:rFonts w:eastAsia="Times New Roman" w:cs="Arial"/>
            <w:i/>
            <w:iCs/>
            <w:sz w:val="22"/>
            <w:szCs w:val="22"/>
            <w:lang w:val="en-GB" w:eastAsia="nl-NL"/>
          </w:rPr>
          <w:t>Land and climate change: Rights and environmental displacement in Mozambique</w:t>
        </w:r>
      </w:hyperlink>
      <w:r w:rsidRPr="007829AC">
        <w:rPr>
          <w:rFonts w:eastAsia="Times New Roman" w:cs="Arial"/>
          <w:color w:val="084179"/>
          <w:sz w:val="22"/>
          <w:szCs w:val="22"/>
          <w:lang w:val="en-GB" w:eastAsia="nl-NL"/>
        </w:rPr>
        <w:t>. Leiden</w:t>
      </w:r>
      <w:r w:rsidR="00252C0B" w:rsidRPr="00A8367A">
        <w:rPr>
          <w:rFonts w:eastAsia="Times New Roman" w:cs="Arial"/>
          <w:color w:val="084179"/>
          <w:sz w:val="22"/>
          <w:szCs w:val="22"/>
          <w:lang w:val="en-GB" w:eastAsia="nl-NL"/>
        </w:rPr>
        <w:t>, Leiden University</w:t>
      </w:r>
      <w:r w:rsidRPr="007829AC">
        <w:rPr>
          <w:rFonts w:eastAsia="Times New Roman" w:cs="Arial"/>
          <w:color w:val="084179"/>
          <w:sz w:val="22"/>
          <w:szCs w:val="22"/>
          <w:lang w:val="en-GB" w:eastAsia="nl-NL"/>
        </w:rPr>
        <w:t xml:space="preserve">. </w:t>
      </w:r>
    </w:p>
    <w:p w14:paraId="20FE1252" w14:textId="537A2EC0"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Mosneaga, A. and Jacobs, C. (2022) ‘Understanding human mobility in the global climate regime through a </w:t>
      </w:r>
      <w:proofErr w:type="spellStart"/>
      <w:r w:rsidRPr="007829AC">
        <w:rPr>
          <w:rFonts w:eastAsia="Times New Roman" w:cs="Arial"/>
          <w:color w:val="084179"/>
          <w:sz w:val="22"/>
          <w:szCs w:val="22"/>
          <w:lang w:val="en-GB" w:eastAsia="nl-NL"/>
        </w:rPr>
        <w:t>translocal</w:t>
      </w:r>
      <w:proofErr w:type="spellEnd"/>
      <w:r w:rsidRPr="007829AC">
        <w:rPr>
          <w:rFonts w:eastAsia="Times New Roman" w:cs="Arial"/>
          <w:color w:val="084179"/>
          <w:sz w:val="22"/>
          <w:szCs w:val="22"/>
          <w:lang w:val="en-GB" w:eastAsia="nl-NL"/>
        </w:rPr>
        <w:t xml:space="preserve"> lens’, </w:t>
      </w:r>
      <w:r w:rsidRPr="007829AC">
        <w:rPr>
          <w:rFonts w:eastAsia="Times New Roman" w:cs="Arial"/>
          <w:i/>
          <w:iCs/>
          <w:color w:val="084179"/>
          <w:sz w:val="22"/>
          <w:szCs w:val="22"/>
          <w:lang w:val="en-GB" w:eastAsia="nl-NL"/>
        </w:rPr>
        <w:t>Transnational Legal Theory</w:t>
      </w:r>
      <w:r w:rsidRPr="007829AC">
        <w:rPr>
          <w:rFonts w:eastAsia="Times New Roman" w:cs="Arial"/>
          <w:color w:val="084179"/>
          <w:sz w:val="22"/>
          <w:szCs w:val="22"/>
          <w:lang w:val="en-GB" w:eastAsia="nl-NL"/>
        </w:rPr>
        <w:t xml:space="preserve"> 13(2–3)</w:t>
      </w:r>
      <w:r w:rsidR="00252C0B" w:rsidRPr="00A8367A">
        <w:rPr>
          <w:rFonts w:eastAsia="Times New Roman" w:cs="Arial"/>
          <w:color w:val="084179"/>
          <w:sz w:val="22"/>
          <w:szCs w:val="22"/>
          <w:lang w:val="en-GB" w:eastAsia="nl-NL"/>
        </w:rPr>
        <w:t xml:space="preserve">: </w:t>
      </w:r>
      <w:r w:rsidRPr="007829AC">
        <w:rPr>
          <w:rFonts w:eastAsia="Times New Roman" w:cs="Arial"/>
          <w:color w:val="084179"/>
          <w:sz w:val="22"/>
          <w:szCs w:val="22"/>
          <w:lang w:val="en-GB" w:eastAsia="nl-NL"/>
        </w:rPr>
        <w:t xml:space="preserve">237–260. </w:t>
      </w:r>
      <w:proofErr w:type="spellStart"/>
      <w:r w:rsidRPr="007829AC">
        <w:rPr>
          <w:rFonts w:eastAsia="Times New Roman" w:cs="Arial"/>
          <w:color w:val="084179"/>
          <w:sz w:val="22"/>
          <w:szCs w:val="22"/>
          <w:lang w:val="en-GB" w:eastAsia="nl-NL"/>
        </w:rPr>
        <w:t>doi</w:t>
      </w:r>
      <w:proofErr w:type="spellEnd"/>
      <w:r w:rsidRPr="007829AC">
        <w:rPr>
          <w:rFonts w:eastAsia="Times New Roman" w:cs="Arial"/>
          <w:color w:val="084179"/>
          <w:sz w:val="22"/>
          <w:szCs w:val="22"/>
          <w:lang w:val="en-GB" w:eastAsia="nl-NL"/>
        </w:rPr>
        <w:t>: 10.1080/20414005.2023.2171348.</w:t>
      </w:r>
    </w:p>
    <w:p w14:paraId="4E118C96" w14:textId="058D910D"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Piggot-McKell</w:t>
      </w:r>
      <w:r w:rsidR="00B86273" w:rsidRPr="00A8367A">
        <w:rPr>
          <w:rFonts w:eastAsia="Times New Roman" w:cs="Arial"/>
          <w:color w:val="084179"/>
          <w:sz w:val="22"/>
          <w:szCs w:val="22"/>
          <w:lang w:val="en-GB" w:eastAsia="nl-NL"/>
        </w:rPr>
        <w:t>a</w:t>
      </w:r>
      <w:r w:rsidRPr="007829AC">
        <w:rPr>
          <w:rFonts w:eastAsia="Times New Roman" w:cs="Arial"/>
          <w:color w:val="084179"/>
          <w:sz w:val="22"/>
          <w:szCs w:val="22"/>
          <w:lang w:val="en-GB" w:eastAsia="nl-NL"/>
        </w:rPr>
        <w:t xml:space="preserve">r, A. </w:t>
      </w:r>
      <w:r w:rsidRPr="007829AC">
        <w:rPr>
          <w:rFonts w:eastAsia="Times New Roman" w:cs="Arial"/>
          <w:i/>
          <w:iCs/>
          <w:color w:val="084179"/>
          <w:sz w:val="22"/>
          <w:szCs w:val="22"/>
          <w:lang w:val="en-GB" w:eastAsia="nl-NL"/>
        </w:rPr>
        <w:t>et al</w:t>
      </w:r>
      <w:r w:rsidRPr="007829AC">
        <w:rPr>
          <w:rFonts w:eastAsia="Times New Roman" w:cs="Arial"/>
          <w:color w:val="084179"/>
          <w:sz w:val="22"/>
          <w:szCs w:val="22"/>
          <w:lang w:val="en-GB" w:eastAsia="nl-NL"/>
        </w:rPr>
        <w:t>. (no date) ‘Navigating tensions in climate change-related planned relocation’. Unpublished manuscript.</w:t>
      </w:r>
    </w:p>
    <w:p w14:paraId="124B2432" w14:textId="1F182082" w:rsidR="007829AC" w:rsidRPr="007829AC" w:rsidRDefault="007829AC" w:rsidP="007829AC">
      <w:pPr>
        <w:spacing w:before="240" w:after="240" w:line="276" w:lineRule="auto"/>
        <w:jc w:val="both"/>
        <w:rPr>
          <w:rFonts w:eastAsia="Times New Roman" w:cs="Times New Roman"/>
          <w:color w:val="084179"/>
          <w:sz w:val="22"/>
          <w:szCs w:val="22"/>
          <w:lang w:val="en-GB" w:eastAsia="nl-NL"/>
        </w:rPr>
      </w:pPr>
      <w:r w:rsidRPr="007829AC">
        <w:rPr>
          <w:rFonts w:eastAsia="Times New Roman" w:cs="Arial"/>
          <w:color w:val="084179"/>
          <w:sz w:val="22"/>
          <w:szCs w:val="22"/>
          <w:lang w:val="en-GB" w:eastAsia="nl-NL"/>
        </w:rPr>
        <w:t xml:space="preserve">UNHCR (2018) </w:t>
      </w:r>
      <w:r w:rsidRPr="007829AC">
        <w:rPr>
          <w:rFonts w:eastAsia="Times New Roman" w:cs="Arial"/>
          <w:i/>
          <w:iCs/>
          <w:color w:val="084179"/>
          <w:sz w:val="22"/>
          <w:szCs w:val="22"/>
          <w:lang w:val="en-GB" w:eastAsia="nl-NL"/>
        </w:rPr>
        <w:t>Mapping of existing international and regional guidance and tools on averting, minimizing, addressing and facilitating durable solutions to displacement related to the adverse impacts of climate change</w:t>
      </w:r>
      <w:r w:rsidRPr="007829AC">
        <w:rPr>
          <w:rFonts w:eastAsia="Times New Roman" w:cs="Arial"/>
          <w:color w:val="084179"/>
          <w:sz w:val="22"/>
          <w:szCs w:val="22"/>
          <w:lang w:val="en-GB" w:eastAsia="nl-NL"/>
        </w:rPr>
        <w:t xml:space="preserve">, </w:t>
      </w:r>
      <w:r w:rsidRPr="007829AC">
        <w:rPr>
          <w:rFonts w:eastAsia="Times New Roman" w:cs="Arial"/>
          <w:i/>
          <w:iCs/>
          <w:color w:val="084179"/>
          <w:sz w:val="22"/>
          <w:szCs w:val="22"/>
          <w:lang w:val="en-GB" w:eastAsia="nl-NL"/>
        </w:rPr>
        <w:t>Task Force on Displacement, Activity II.4</w:t>
      </w:r>
      <w:r w:rsidRPr="007829AC">
        <w:rPr>
          <w:rFonts w:eastAsia="Times New Roman" w:cs="Arial"/>
          <w:color w:val="084179"/>
          <w:sz w:val="22"/>
          <w:szCs w:val="22"/>
          <w:lang w:val="en-GB" w:eastAsia="nl-NL"/>
        </w:rPr>
        <w:t>. Available at: https://unfccc.int/sites/default/files/resource/WIM TFD II.4 Output.pdf.</w:t>
      </w:r>
    </w:p>
    <w:sectPr w:rsidR="007829AC" w:rsidRPr="007829AC" w:rsidSect="007C35C3">
      <w:footerReference w:type="even" r:id="rId9"/>
      <w:footerReference w:type="default" r:id="rId10"/>
      <w:pgSz w:w="11900" w:h="16840"/>
      <w:pgMar w:top="1134" w:right="1134" w:bottom="1985" w:left="1134"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87C8" w14:textId="77777777" w:rsidR="007C35C3" w:rsidRDefault="007C35C3" w:rsidP="0006672D">
      <w:r>
        <w:separator/>
      </w:r>
    </w:p>
  </w:endnote>
  <w:endnote w:type="continuationSeparator" w:id="0">
    <w:p w14:paraId="1030FE8B" w14:textId="77777777" w:rsidR="007C35C3" w:rsidRDefault="007C35C3" w:rsidP="0006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stula">
    <w:altName w:val="Calibri"/>
    <w:panose1 w:val="020B05030503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stula-Black">
    <w:panose1 w:val="020B0A03060302020204"/>
    <w:charset w:val="00"/>
    <w:family w:val="auto"/>
    <w:pitch w:val="variable"/>
    <w:sig w:usb0="00000003" w:usb1="00000000" w:usb2="00000000" w:usb3="00000000" w:csb0="00000001" w:csb1="00000000"/>
  </w:font>
  <w:font w:name="Vestula Light">
    <w:panose1 w:val="020B0303030302020204"/>
    <w:charset w:val="00"/>
    <w:family w:val="swiss"/>
    <w:notTrueType/>
    <w:pitch w:val="variable"/>
    <w:sig w:usb0="00000003" w:usb1="00000000" w:usb2="00000000" w:usb3="00000000" w:csb0="00000001" w:csb1="00000000"/>
  </w:font>
  <w:font w:name="Vestula SemiBold">
    <w:panose1 w:val="020B06030303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EF01" w14:textId="77777777" w:rsidR="006F246C" w:rsidRDefault="006F246C" w:rsidP="00A04E2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DE82F" w14:textId="77777777" w:rsidR="006F246C" w:rsidRDefault="006F246C" w:rsidP="006F246C">
    <w:pPr>
      <w:pStyle w:val="Footer"/>
      <w:ind w:right="360"/>
    </w:pPr>
  </w:p>
  <w:p w14:paraId="06311F5B" w14:textId="77777777" w:rsidR="002A368C" w:rsidRDefault="002A36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B465" w14:textId="77777777" w:rsidR="006F246C" w:rsidRDefault="006F246C" w:rsidP="00A04E2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0E2B">
      <w:rPr>
        <w:rStyle w:val="PageNumber"/>
        <w:noProof/>
      </w:rPr>
      <w:t>4</w:t>
    </w:r>
    <w:r>
      <w:rPr>
        <w:rStyle w:val="PageNumber"/>
      </w:rPr>
      <w:fldChar w:fldCharType="end"/>
    </w:r>
  </w:p>
  <w:p w14:paraId="08233779" w14:textId="616528F1" w:rsidR="0006672D" w:rsidRDefault="0006672D" w:rsidP="006F246C">
    <w:pPr>
      <w:pStyle w:val="Footer"/>
      <w:ind w:right="360"/>
    </w:pPr>
    <w:r w:rsidRPr="0006672D">
      <w:rPr>
        <w:noProof/>
        <w:lang w:val="nl-NL" w:eastAsia="nl-NL"/>
      </w:rPr>
      <w:drawing>
        <wp:anchor distT="0" distB="0" distL="114300" distR="114300" simplePos="0" relativeHeight="251658240" behindDoc="1" locked="0" layoutInCell="1" allowOverlap="1" wp14:anchorId="0A88FA30" wp14:editId="43F2B7E3">
          <wp:simplePos x="0" y="0"/>
          <wp:positionH relativeFrom="column">
            <wp:posOffset>-375920</wp:posOffset>
          </wp:positionH>
          <wp:positionV relativeFrom="paragraph">
            <wp:posOffset>-40640</wp:posOffset>
          </wp:positionV>
          <wp:extent cx="330200" cy="241300"/>
          <wp:effectExtent l="0" t="0" r="0" b="12700"/>
          <wp:wrapNone/>
          <wp:docPr id="5" name="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0200" cy="241300"/>
                  </a:xfrm>
                  <a:prstGeom prst="rect">
                    <a:avLst/>
                  </a:prstGeom>
                </pic:spPr>
              </pic:pic>
            </a:graphicData>
          </a:graphic>
          <wp14:sizeRelV relativeFrom="margin">
            <wp14:pctHeight>0</wp14:pctHeight>
          </wp14:sizeRelV>
        </wp:anchor>
      </w:drawing>
    </w:r>
    <w:r>
      <w:t xml:space="preserve">Van Vollenhoven Institute </w:t>
    </w:r>
    <w:r w:rsidR="007829AC">
      <w:rPr>
        <w:rStyle w:val="Footerdate"/>
      </w:rPr>
      <w:t>March 2024</w:t>
    </w:r>
  </w:p>
  <w:p w14:paraId="4A13D9F3" w14:textId="77777777" w:rsidR="0006672D" w:rsidRDefault="0006672D">
    <w:pPr>
      <w:pStyle w:val="Footer"/>
    </w:pPr>
  </w:p>
  <w:p w14:paraId="769D1392" w14:textId="77777777" w:rsidR="002A368C" w:rsidRDefault="002A36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7E68" w14:textId="77777777" w:rsidR="007C35C3" w:rsidRDefault="007C35C3" w:rsidP="0006672D">
      <w:r>
        <w:separator/>
      </w:r>
    </w:p>
  </w:footnote>
  <w:footnote w:type="continuationSeparator" w:id="0">
    <w:p w14:paraId="02D3B5B3" w14:textId="77777777" w:rsidR="007C35C3" w:rsidRDefault="007C35C3" w:rsidP="0006672D">
      <w:r>
        <w:continuationSeparator/>
      </w:r>
    </w:p>
  </w:footnote>
  <w:footnote w:id="1">
    <w:p w14:paraId="5D56F9A2" w14:textId="60244005" w:rsidR="00B86273" w:rsidRPr="00B86273" w:rsidRDefault="00B86273" w:rsidP="00B86273">
      <w:pPr>
        <w:spacing w:line="276" w:lineRule="auto"/>
        <w:jc w:val="both"/>
        <w:rPr>
          <w:rFonts w:eastAsia="Times New Roman" w:cs="Times New Roman"/>
          <w:color w:val="084179"/>
          <w:sz w:val="20"/>
          <w:szCs w:val="20"/>
          <w:lang w:eastAsia="nl-NL"/>
        </w:rPr>
      </w:pPr>
      <w:r w:rsidRPr="00B86273">
        <w:rPr>
          <w:rStyle w:val="FootnoteReference"/>
          <w:sz w:val="20"/>
          <w:szCs w:val="20"/>
        </w:rPr>
        <w:footnoteRef/>
      </w:r>
      <w:r w:rsidRPr="00B86273">
        <w:rPr>
          <w:sz w:val="20"/>
          <w:szCs w:val="20"/>
        </w:rPr>
        <w:t xml:space="preserve"> </w:t>
      </w:r>
      <w:r w:rsidRPr="007829AC">
        <w:rPr>
          <w:rFonts w:eastAsia="Times New Roman" w:cs="Arial"/>
          <w:color w:val="084179"/>
          <w:sz w:val="20"/>
          <w:szCs w:val="20"/>
          <w:lang w:eastAsia="nl-NL"/>
        </w:rPr>
        <w:t>Decree 60/2006 that regulates urban planning; Resolution 18/2007 that approves the Policy on Spatial Planning; Law 19/2007 on Spatial Planning; and Decree 27/2008 that regulates the Law on Spatial Planning</w:t>
      </w:r>
      <w:r>
        <w:rPr>
          <w:rFonts w:eastAsia="Times New Roman" w:cs="Arial"/>
          <w:color w:val="084179"/>
          <w:sz w:val="20"/>
          <w:szCs w:val="20"/>
          <w:lang w:eastAsia="nl-NL"/>
        </w:rPr>
        <w:t>.</w:t>
      </w:r>
    </w:p>
  </w:footnote>
  <w:footnote w:id="2">
    <w:p w14:paraId="0BE5753E" w14:textId="4CE61D89" w:rsidR="00B86273" w:rsidRPr="00B86273" w:rsidRDefault="00B86273" w:rsidP="00B86273">
      <w:pPr>
        <w:spacing w:line="276" w:lineRule="auto"/>
        <w:jc w:val="both"/>
        <w:rPr>
          <w:sz w:val="20"/>
          <w:szCs w:val="20"/>
        </w:rPr>
      </w:pPr>
      <w:r w:rsidRPr="00B86273">
        <w:rPr>
          <w:rStyle w:val="FootnoteReference"/>
          <w:sz w:val="20"/>
          <w:szCs w:val="20"/>
        </w:rPr>
        <w:footnoteRef/>
      </w:r>
      <w:r w:rsidRPr="00B86273">
        <w:rPr>
          <w:sz w:val="20"/>
          <w:szCs w:val="20"/>
        </w:rPr>
        <w:t xml:space="preserve"> </w:t>
      </w:r>
      <w:r w:rsidRPr="007829AC">
        <w:rPr>
          <w:rFonts w:eastAsia="Times New Roman" w:cs="Arial"/>
          <w:color w:val="084179"/>
          <w:sz w:val="20"/>
          <w:szCs w:val="20"/>
          <w:lang w:eastAsia="nl-NL"/>
        </w:rPr>
        <w:t>Law 10/2020 which establishes the Regime for Management and Reduction of Disaster Risks and Decree 76/2020 that further regulates this law.</w:t>
      </w:r>
    </w:p>
  </w:footnote>
  <w:footnote w:id="3">
    <w:p w14:paraId="2E52D2EB" w14:textId="77777777" w:rsidR="00B86273" w:rsidRPr="007829AC" w:rsidRDefault="00B86273" w:rsidP="00B86273">
      <w:pPr>
        <w:spacing w:line="276" w:lineRule="auto"/>
        <w:jc w:val="both"/>
        <w:rPr>
          <w:rFonts w:eastAsia="Times New Roman" w:cs="Times New Roman"/>
          <w:color w:val="084179"/>
          <w:sz w:val="20"/>
          <w:szCs w:val="20"/>
          <w:lang w:eastAsia="nl-NL"/>
        </w:rPr>
      </w:pPr>
      <w:r w:rsidRPr="00B86273">
        <w:rPr>
          <w:rStyle w:val="FootnoteReference"/>
          <w:sz w:val="20"/>
          <w:szCs w:val="20"/>
        </w:rPr>
        <w:footnoteRef/>
      </w:r>
      <w:r w:rsidRPr="00B86273">
        <w:rPr>
          <w:sz w:val="20"/>
          <w:szCs w:val="20"/>
        </w:rPr>
        <w:t xml:space="preserve"> </w:t>
      </w:r>
      <w:r w:rsidRPr="007829AC">
        <w:rPr>
          <w:rFonts w:eastAsia="Times New Roman" w:cs="Arial"/>
          <w:color w:val="084179"/>
          <w:sz w:val="20"/>
          <w:szCs w:val="20"/>
          <w:lang w:eastAsia="nl-NL"/>
        </w:rPr>
        <w:t>Despite lacking a definition of risk area, Decree 76/2020 classifies risk areas into high-, medium-, and low-risk, and determines that separate manuals will guide this classification (art. 22.2; 22.3). To our knowledge no manuals were approved.</w:t>
      </w:r>
    </w:p>
    <w:p w14:paraId="2EF51C76" w14:textId="3A7245A2" w:rsidR="00B86273" w:rsidRDefault="00B8627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3A37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4823D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122A9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E238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0CCA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3257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78CA9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7DC93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CB694C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A23E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BC6CF3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EF363F"/>
    <w:multiLevelType w:val="hybridMultilevel"/>
    <w:tmpl w:val="349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74DD3"/>
    <w:multiLevelType w:val="hybridMultilevel"/>
    <w:tmpl w:val="BF7EF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9E5861"/>
    <w:multiLevelType w:val="hybridMultilevel"/>
    <w:tmpl w:val="78E4442C"/>
    <w:lvl w:ilvl="0" w:tplc="3780B96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D712422"/>
    <w:multiLevelType w:val="hybridMultilevel"/>
    <w:tmpl w:val="72CED44C"/>
    <w:lvl w:ilvl="0" w:tplc="BFD4AF9C">
      <w:numFmt w:val="bullet"/>
      <w:lvlText w:val="-"/>
      <w:lvlJc w:val="left"/>
      <w:pPr>
        <w:ind w:left="1070" w:hanging="360"/>
      </w:pPr>
      <w:rPr>
        <w:rFonts w:ascii="Calibri" w:eastAsiaTheme="minorHAnsi" w:hAnsi="Calibri" w:cs="Calibr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5" w15:restartNumberingAfterBreak="0">
    <w:nsid w:val="1F8E343B"/>
    <w:multiLevelType w:val="hybridMultilevel"/>
    <w:tmpl w:val="E63888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B5B1E"/>
    <w:multiLevelType w:val="hybridMultilevel"/>
    <w:tmpl w:val="A244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70453"/>
    <w:multiLevelType w:val="hybridMultilevel"/>
    <w:tmpl w:val="5E5A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A754D"/>
    <w:multiLevelType w:val="hybridMultilevel"/>
    <w:tmpl w:val="AF3C3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594B60"/>
    <w:multiLevelType w:val="hybridMultilevel"/>
    <w:tmpl w:val="CE74E7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A86017"/>
    <w:multiLevelType w:val="hybridMultilevel"/>
    <w:tmpl w:val="21C27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C606B"/>
    <w:multiLevelType w:val="hybridMultilevel"/>
    <w:tmpl w:val="04603D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CB44FC7"/>
    <w:multiLevelType w:val="hybridMultilevel"/>
    <w:tmpl w:val="05AE32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13438514">
    <w:abstractNumId w:val="16"/>
  </w:num>
  <w:num w:numId="2" w16cid:durableId="1917324833">
    <w:abstractNumId w:val="17"/>
  </w:num>
  <w:num w:numId="3" w16cid:durableId="366178596">
    <w:abstractNumId w:val="11"/>
  </w:num>
  <w:num w:numId="4" w16cid:durableId="953441292">
    <w:abstractNumId w:val="20"/>
  </w:num>
  <w:num w:numId="5" w16cid:durableId="685059820">
    <w:abstractNumId w:val="12"/>
  </w:num>
  <w:num w:numId="6" w16cid:durableId="1574117547">
    <w:abstractNumId w:val="15"/>
  </w:num>
  <w:num w:numId="7" w16cid:durableId="656299830">
    <w:abstractNumId w:val="0"/>
  </w:num>
  <w:num w:numId="8" w16cid:durableId="963464408">
    <w:abstractNumId w:val="1"/>
  </w:num>
  <w:num w:numId="9" w16cid:durableId="841701455">
    <w:abstractNumId w:val="2"/>
  </w:num>
  <w:num w:numId="10" w16cid:durableId="709570730">
    <w:abstractNumId w:val="3"/>
  </w:num>
  <w:num w:numId="11" w16cid:durableId="397095616">
    <w:abstractNumId w:val="4"/>
  </w:num>
  <w:num w:numId="12" w16cid:durableId="1938781856">
    <w:abstractNumId w:val="9"/>
  </w:num>
  <w:num w:numId="13" w16cid:durableId="1415275248">
    <w:abstractNumId w:val="5"/>
  </w:num>
  <w:num w:numId="14" w16cid:durableId="1804695304">
    <w:abstractNumId w:val="6"/>
  </w:num>
  <w:num w:numId="15" w16cid:durableId="543250967">
    <w:abstractNumId w:val="7"/>
  </w:num>
  <w:num w:numId="16" w16cid:durableId="1564946876">
    <w:abstractNumId w:val="8"/>
  </w:num>
  <w:num w:numId="17" w16cid:durableId="2146702644">
    <w:abstractNumId w:val="10"/>
  </w:num>
  <w:num w:numId="18" w16cid:durableId="1750955553">
    <w:abstractNumId w:val="19"/>
  </w:num>
  <w:num w:numId="19" w16cid:durableId="87968402">
    <w:abstractNumId w:val="22"/>
  </w:num>
  <w:num w:numId="20" w16cid:durableId="653216842">
    <w:abstractNumId w:val="13"/>
  </w:num>
  <w:num w:numId="21" w16cid:durableId="176968102">
    <w:abstractNumId w:val="18"/>
  </w:num>
  <w:num w:numId="22" w16cid:durableId="931469930">
    <w:abstractNumId w:val="21"/>
  </w:num>
  <w:num w:numId="23" w16cid:durableId="419839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DE1"/>
    <w:rsid w:val="00001BC9"/>
    <w:rsid w:val="000037D6"/>
    <w:rsid w:val="00006812"/>
    <w:rsid w:val="00060EB6"/>
    <w:rsid w:val="0006672D"/>
    <w:rsid w:val="00072BCF"/>
    <w:rsid w:val="00077B84"/>
    <w:rsid w:val="00084185"/>
    <w:rsid w:val="00085EB2"/>
    <w:rsid w:val="000933BD"/>
    <w:rsid w:val="000E0554"/>
    <w:rsid w:val="000F511F"/>
    <w:rsid w:val="001337D6"/>
    <w:rsid w:val="001523E9"/>
    <w:rsid w:val="0015306C"/>
    <w:rsid w:val="0018321B"/>
    <w:rsid w:val="0018614B"/>
    <w:rsid w:val="001864D8"/>
    <w:rsid w:val="001B5578"/>
    <w:rsid w:val="001C18C1"/>
    <w:rsid w:val="001D0874"/>
    <w:rsid w:val="00252C0B"/>
    <w:rsid w:val="0029080B"/>
    <w:rsid w:val="0029600E"/>
    <w:rsid w:val="002A368C"/>
    <w:rsid w:val="002B3E5D"/>
    <w:rsid w:val="00331247"/>
    <w:rsid w:val="00340753"/>
    <w:rsid w:val="00351F77"/>
    <w:rsid w:val="00397F96"/>
    <w:rsid w:val="003C2C38"/>
    <w:rsid w:val="003E25EC"/>
    <w:rsid w:val="003E3137"/>
    <w:rsid w:val="004147F5"/>
    <w:rsid w:val="0041660D"/>
    <w:rsid w:val="00427B9F"/>
    <w:rsid w:val="004420E6"/>
    <w:rsid w:val="004441C8"/>
    <w:rsid w:val="004814D6"/>
    <w:rsid w:val="0048453F"/>
    <w:rsid w:val="00492D23"/>
    <w:rsid w:val="004E4D51"/>
    <w:rsid w:val="0051000A"/>
    <w:rsid w:val="0051413A"/>
    <w:rsid w:val="00522FA6"/>
    <w:rsid w:val="00530671"/>
    <w:rsid w:val="00555EEC"/>
    <w:rsid w:val="00557053"/>
    <w:rsid w:val="00563984"/>
    <w:rsid w:val="005B68C1"/>
    <w:rsid w:val="005C214A"/>
    <w:rsid w:val="005D2972"/>
    <w:rsid w:val="006110F2"/>
    <w:rsid w:val="006220E4"/>
    <w:rsid w:val="006517DC"/>
    <w:rsid w:val="0069529E"/>
    <w:rsid w:val="006A275B"/>
    <w:rsid w:val="006A74AC"/>
    <w:rsid w:val="006B3460"/>
    <w:rsid w:val="006B7910"/>
    <w:rsid w:val="006C3454"/>
    <w:rsid w:val="006F246C"/>
    <w:rsid w:val="00715BE6"/>
    <w:rsid w:val="007212C4"/>
    <w:rsid w:val="007464D0"/>
    <w:rsid w:val="00755386"/>
    <w:rsid w:val="0077584A"/>
    <w:rsid w:val="0078176B"/>
    <w:rsid w:val="007829AC"/>
    <w:rsid w:val="007A63D4"/>
    <w:rsid w:val="007B4697"/>
    <w:rsid w:val="007B7117"/>
    <w:rsid w:val="007C35C3"/>
    <w:rsid w:val="007D730A"/>
    <w:rsid w:val="00876EF8"/>
    <w:rsid w:val="00894C58"/>
    <w:rsid w:val="008A69A0"/>
    <w:rsid w:val="008B36E3"/>
    <w:rsid w:val="008D620F"/>
    <w:rsid w:val="008E77D7"/>
    <w:rsid w:val="008F3538"/>
    <w:rsid w:val="00942DE1"/>
    <w:rsid w:val="00955B1D"/>
    <w:rsid w:val="0096282C"/>
    <w:rsid w:val="009A3237"/>
    <w:rsid w:val="009B7288"/>
    <w:rsid w:val="009C3C20"/>
    <w:rsid w:val="009C447F"/>
    <w:rsid w:val="009C4ADE"/>
    <w:rsid w:val="009D14B6"/>
    <w:rsid w:val="009D57AC"/>
    <w:rsid w:val="00A00D13"/>
    <w:rsid w:val="00A31AEC"/>
    <w:rsid w:val="00A8367A"/>
    <w:rsid w:val="00AA0EA5"/>
    <w:rsid w:val="00AB67C4"/>
    <w:rsid w:val="00AC0729"/>
    <w:rsid w:val="00B03F0A"/>
    <w:rsid w:val="00B14424"/>
    <w:rsid w:val="00B32101"/>
    <w:rsid w:val="00B36BEE"/>
    <w:rsid w:val="00B54A68"/>
    <w:rsid w:val="00B600F2"/>
    <w:rsid w:val="00B86273"/>
    <w:rsid w:val="00BA7519"/>
    <w:rsid w:val="00C1275C"/>
    <w:rsid w:val="00C21BFE"/>
    <w:rsid w:val="00C33C19"/>
    <w:rsid w:val="00C50E2B"/>
    <w:rsid w:val="00C75400"/>
    <w:rsid w:val="00C86581"/>
    <w:rsid w:val="00C94672"/>
    <w:rsid w:val="00CA14B9"/>
    <w:rsid w:val="00CA37FF"/>
    <w:rsid w:val="00CB40C5"/>
    <w:rsid w:val="00CE1854"/>
    <w:rsid w:val="00CF1B0E"/>
    <w:rsid w:val="00CF4053"/>
    <w:rsid w:val="00CF74C4"/>
    <w:rsid w:val="00CF7F30"/>
    <w:rsid w:val="00D123E2"/>
    <w:rsid w:val="00D14C37"/>
    <w:rsid w:val="00D3500D"/>
    <w:rsid w:val="00DB61DF"/>
    <w:rsid w:val="00E20AEE"/>
    <w:rsid w:val="00E236C6"/>
    <w:rsid w:val="00E27BAD"/>
    <w:rsid w:val="00E27BBA"/>
    <w:rsid w:val="00E27E62"/>
    <w:rsid w:val="00E30803"/>
    <w:rsid w:val="00E63FBE"/>
    <w:rsid w:val="00E710E5"/>
    <w:rsid w:val="00E9597F"/>
    <w:rsid w:val="00EA6C7B"/>
    <w:rsid w:val="00F12456"/>
    <w:rsid w:val="00F647C4"/>
    <w:rsid w:val="00F65548"/>
    <w:rsid w:val="00FA1076"/>
    <w:rsid w:val="00FB25C3"/>
    <w:rsid w:val="00FC76E8"/>
    <w:rsid w:val="00FF05DB"/>
    <w:rsid w:val="00FF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A1108"/>
  <w14:defaultImageDpi w14:val="32767"/>
  <w15:docId w15:val="{619DD4DA-56F5-4C29-BBAF-F68D405A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30A"/>
    <w:rPr>
      <w:rFonts w:ascii="Vestula" w:hAnsi="Vestula"/>
    </w:rPr>
  </w:style>
  <w:style w:type="paragraph" w:styleId="Heading1">
    <w:name w:val="heading 1"/>
    <w:aliases w:val="type of doc"/>
    <w:basedOn w:val="Normal"/>
    <w:next w:val="Normal"/>
    <w:link w:val="Heading1Char"/>
    <w:uiPriority w:val="9"/>
    <w:qFormat/>
    <w:rsid w:val="006220E4"/>
    <w:pPr>
      <w:spacing w:line="360" w:lineRule="auto"/>
      <w:outlineLvl w:val="0"/>
    </w:pPr>
    <w:rPr>
      <w:color w:val="084179"/>
      <w:sz w:val="60"/>
      <w:szCs w:val="60"/>
      <w:lang w:val="en-GB"/>
    </w:rPr>
  </w:style>
  <w:style w:type="paragraph" w:styleId="Heading2">
    <w:name w:val="heading 2"/>
    <w:aliases w:val="title of doc"/>
    <w:basedOn w:val="Normal"/>
    <w:next w:val="Normal"/>
    <w:link w:val="Heading2Char"/>
    <w:uiPriority w:val="9"/>
    <w:unhideWhenUsed/>
    <w:qFormat/>
    <w:rsid w:val="00FC76E8"/>
    <w:pPr>
      <w:outlineLvl w:val="1"/>
    </w:pPr>
    <w:rPr>
      <w:b/>
      <w:bCs/>
      <w:color w:val="084179"/>
      <w:sz w:val="60"/>
      <w:szCs w:val="60"/>
      <w:lang w:val="en-GB"/>
    </w:rPr>
  </w:style>
  <w:style w:type="paragraph" w:styleId="Heading3">
    <w:name w:val="heading 3"/>
    <w:aliases w:val="cover text"/>
    <w:basedOn w:val="Normal"/>
    <w:next w:val="Normal"/>
    <w:link w:val="Heading3Char"/>
    <w:uiPriority w:val="9"/>
    <w:unhideWhenUsed/>
    <w:qFormat/>
    <w:rsid w:val="009C3C20"/>
    <w:pPr>
      <w:suppressAutoHyphens/>
      <w:spacing w:before="960" w:after="100" w:afterAutospacing="1" w:line="360" w:lineRule="exact"/>
      <w:outlineLvl w:val="2"/>
    </w:pPr>
    <w:rPr>
      <w:color w:val="FFFFFF" w:themeColor="background1"/>
      <w:sz w:val="32"/>
      <w:szCs w:val="60"/>
      <w:lang w:val="en-GB"/>
    </w:rPr>
  </w:style>
  <w:style w:type="paragraph" w:styleId="Heading4">
    <w:name w:val="heading 4"/>
    <w:basedOn w:val="Normal"/>
    <w:next w:val="Normal"/>
    <w:link w:val="Heading4Char"/>
    <w:uiPriority w:val="9"/>
    <w:semiHidden/>
    <w:unhideWhenUsed/>
    <w:qFormat/>
    <w:rsid w:val="006220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220E4"/>
    <w:rPr>
      <w:rFonts w:asciiTheme="majorHAnsi" w:eastAsiaTheme="majorEastAsia" w:hAnsiTheme="majorHAnsi" w:cstheme="majorBidi"/>
      <w:i/>
      <w:iCs/>
      <w:color w:val="2E74B5" w:themeColor="accent1" w:themeShade="BF"/>
    </w:rPr>
  </w:style>
  <w:style w:type="paragraph" w:customStyle="1" w:styleId="Mainsubheads">
    <w:name w:val="Main subheads"/>
    <w:basedOn w:val="Normal"/>
    <w:uiPriority w:val="99"/>
    <w:rsid w:val="003C2C38"/>
    <w:pPr>
      <w:widowControl w:val="0"/>
      <w:suppressAutoHyphens/>
      <w:autoSpaceDE w:val="0"/>
      <w:autoSpaceDN w:val="0"/>
      <w:adjustRightInd w:val="0"/>
      <w:spacing w:after="280" w:line="280" w:lineRule="atLeast"/>
      <w:textAlignment w:val="center"/>
    </w:pPr>
    <w:rPr>
      <w:rFonts w:ascii="Vestula-Black" w:hAnsi="Vestula-Black" w:cs="Vestula-Black"/>
      <w:color w:val="004388"/>
      <w:sz w:val="20"/>
      <w:szCs w:val="20"/>
    </w:rPr>
  </w:style>
  <w:style w:type="character" w:styleId="SubtleEmphasis">
    <w:name w:val="Subtle Emphasis"/>
    <w:uiPriority w:val="19"/>
    <w:qFormat/>
    <w:rsid w:val="00D14C37"/>
    <w:rPr>
      <w:rFonts w:ascii="Vestula Light" w:hAnsi="Vestula Light"/>
      <w:i/>
      <w:iCs/>
    </w:rPr>
  </w:style>
  <w:style w:type="character" w:styleId="Emphasis">
    <w:name w:val="Emphasis"/>
    <w:uiPriority w:val="20"/>
    <w:qFormat/>
    <w:rsid w:val="00D14C37"/>
    <w:rPr>
      <w:rFonts w:ascii="Vestula SemiBold" w:hAnsi="Vestula SemiBold"/>
      <w:b/>
      <w:bCs/>
    </w:rPr>
  </w:style>
  <w:style w:type="character" w:styleId="Hyperlink">
    <w:name w:val="Hyperlink"/>
    <w:basedOn w:val="DefaultParagraphFont"/>
    <w:uiPriority w:val="99"/>
    <w:unhideWhenUsed/>
    <w:rsid w:val="00755386"/>
    <w:rPr>
      <w:color w:val="0563C1" w:themeColor="hyperlink"/>
      <w:u w:val="single"/>
    </w:rPr>
  </w:style>
  <w:style w:type="paragraph" w:customStyle="1" w:styleId="Text">
    <w:name w:val="Text"/>
    <w:basedOn w:val="Normal"/>
    <w:uiPriority w:val="99"/>
    <w:rsid w:val="006F246C"/>
    <w:pPr>
      <w:tabs>
        <w:tab w:val="left" w:pos="2835"/>
      </w:tabs>
      <w:spacing w:after="240" w:line="280" w:lineRule="exact"/>
    </w:pPr>
    <w:rPr>
      <w:color w:val="084179"/>
    </w:rPr>
  </w:style>
  <w:style w:type="paragraph" w:styleId="Subtitle">
    <w:name w:val="Subtitle"/>
    <w:basedOn w:val="Text"/>
    <w:next w:val="Normal"/>
    <w:link w:val="SubtitleChar"/>
    <w:uiPriority w:val="11"/>
    <w:qFormat/>
    <w:rsid w:val="00FC76E8"/>
    <w:pPr>
      <w:spacing w:before="360" w:after="60"/>
    </w:pPr>
    <w:rPr>
      <w:b/>
      <w:bCs/>
    </w:rPr>
  </w:style>
  <w:style w:type="character" w:customStyle="1" w:styleId="SubtitleChar">
    <w:name w:val="Subtitle Char"/>
    <w:basedOn w:val="DefaultParagraphFont"/>
    <w:link w:val="Subtitle"/>
    <w:uiPriority w:val="11"/>
    <w:rsid w:val="00FC76E8"/>
    <w:rPr>
      <w:rFonts w:ascii="Vestula" w:hAnsi="Vestula"/>
      <w:b/>
      <w:bCs/>
      <w:color w:val="084179"/>
    </w:rPr>
  </w:style>
  <w:style w:type="character" w:styleId="FollowedHyperlink">
    <w:name w:val="FollowedHyperlink"/>
    <w:basedOn w:val="DefaultParagraphFont"/>
    <w:uiPriority w:val="99"/>
    <w:semiHidden/>
    <w:unhideWhenUsed/>
    <w:rsid w:val="00755386"/>
    <w:rPr>
      <w:color w:val="954F72" w:themeColor="followedHyperlink"/>
      <w:u w:val="single"/>
    </w:rPr>
  </w:style>
  <w:style w:type="paragraph" w:styleId="Title">
    <w:name w:val="Title"/>
    <w:aliases w:val="Section title"/>
    <w:basedOn w:val="Normal"/>
    <w:next w:val="Normal"/>
    <w:link w:val="TitleChar"/>
    <w:uiPriority w:val="10"/>
    <w:qFormat/>
    <w:rsid w:val="00FC76E8"/>
    <w:pPr>
      <w:spacing w:after="960"/>
    </w:pPr>
    <w:rPr>
      <w:b/>
      <w:bCs/>
      <w:color w:val="084179"/>
      <w:sz w:val="32"/>
      <w:szCs w:val="32"/>
    </w:rPr>
  </w:style>
  <w:style w:type="character" w:customStyle="1" w:styleId="TitleChar">
    <w:name w:val="Title Char"/>
    <w:aliases w:val="Section title Char"/>
    <w:basedOn w:val="DefaultParagraphFont"/>
    <w:link w:val="Title"/>
    <w:uiPriority w:val="10"/>
    <w:rsid w:val="00FC76E8"/>
    <w:rPr>
      <w:rFonts w:ascii="Vestula" w:hAnsi="Vestula"/>
      <w:b/>
      <w:bCs/>
      <w:color w:val="084179"/>
      <w:sz w:val="32"/>
      <w:szCs w:val="32"/>
    </w:rPr>
  </w:style>
  <w:style w:type="character" w:customStyle="1" w:styleId="Heading1Char">
    <w:name w:val="Heading 1 Char"/>
    <w:aliases w:val="type of doc Char"/>
    <w:basedOn w:val="DefaultParagraphFont"/>
    <w:link w:val="Heading1"/>
    <w:uiPriority w:val="9"/>
    <w:rsid w:val="006220E4"/>
    <w:rPr>
      <w:rFonts w:ascii="Vestula" w:hAnsi="Vestula"/>
      <w:color w:val="084179"/>
      <w:sz w:val="60"/>
      <w:szCs w:val="60"/>
      <w:lang w:val="en-GB"/>
    </w:rPr>
  </w:style>
  <w:style w:type="character" w:customStyle="1" w:styleId="Heading2Char">
    <w:name w:val="Heading 2 Char"/>
    <w:aliases w:val="title of doc Char"/>
    <w:basedOn w:val="DefaultParagraphFont"/>
    <w:link w:val="Heading2"/>
    <w:uiPriority w:val="9"/>
    <w:rsid w:val="00FC76E8"/>
    <w:rPr>
      <w:rFonts w:ascii="Vestula" w:hAnsi="Vestula"/>
      <w:b/>
      <w:bCs/>
      <w:color w:val="084179"/>
      <w:sz w:val="60"/>
      <w:szCs w:val="60"/>
      <w:lang w:val="en-GB"/>
    </w:rPr>
  </w:style>
  <w:style w:type="character" w:customStyle="1" w:styleId="Heading3Char">
    <w:name w:val="Heading 3 Char"/>
    <w:aliases w:val="cover text Char"/>
    <w:basedOn w:val="DefaultParagraphFont"/>
    <w:link w:val="Heading3"/>
    <w:uiPriority w:val="9"/>
    <w:rsid w:val="009C3C20"/>
    <w:rPr>
      <w:rFonts w:ascii="Vestula" w:hAnsi="Vestula"/>
      <w:color w:val="FFFFFF" w:themeColor="background1"/>
      <w:sz w:val="32"/>
      <w:szCs w:val="60"/>
      <w:lang w:val="en-GB"/>
    </w:rPr>
  </w:style>
  <w:style w:type="paragraph" w:styleId="TOC1">
    <w:name w:val="toc 1"/>
    <w:basedOn w:val="Normal"/>
    <w:next w:val="Normal"/>
    <w:autoRedefine/>
    <w:uiPriority w:val="39"/>
    <w:unhideWhenUsed/>
    <w:rsid w:val="00FC76E8"/>
    <w:pPr>
      <w:tabs>
        <w:tab w:val="right" w:pos="8505"/>
      </w:tabs>
      <w:spacing w:before="120" w:after="60" w:line="280" w:lineRule="exact"/>
    </w:pPr>
    <w:rPr>
      <w:b/>
      <w:bCs/>
      <w:noProof/>
      <w:color w:val="084179"/>
    </w:rPr>
  </w:style>
  <w:style w:type="paragraph" w:styleId="TOC2">
    <w:name w:val="toc 2"/>
    <w:basedOn w:val="Normal"/>
    <w:next w:val="Normal"/>
    <w:autoRedefine/>
    <w:uiPriority w:val="39"/>
    <w:unhideWhenUsed/>
    <w:rsid w:val="00E710E5"/>
    <w:pPr>
      <w:tabs>
        <w:tab w:val="right" w:pos="8505"/>
      </w:tabs>
      <w:spacing w:line="280" w:lineRule="exact"/>
    </w:pPr>
    <w:rPr>
      <w:noProof/>
      <w:color w:val="084179"/>
      <w:szCs w:val="22"/>
    </w:rPr>
  </w:style>
  <w:style w:type="paragraph" w:styleId="TOC3">
    <w:name w:val="toc 3"/>
    <w:basedOn w:val="Normal"/>
    <w:next w:val="Normal"/>
    <w:autoRedefine/>
    <w:uiPriority w:val="39"/>
    <w:unhideWhenUsed/>
    <w:rsid w:val="00E710E5"/>
    <w:pPr>
      <w:tabs>
        <w:tab w:val="right" w:pos="8505"/>
      </w:tabs>
      <w:spacing w:line="280" w:lineRule="exact"/>
      <w:ind w:left="284"/>
    </w:pPr>
    <w:rPr>
      <w:noProof/>
      <w:color w:val="084179"/>
      <w:szCs w:val="22"/>
    </w:rPr>
  </w:style>
  <w:style w:type="paragraph" w:styleId="TOC4">
    <w:name w:val="toc 4"/>
    <w:basedOn w:val="Normal"/>
    <w:next w:val="Normal"/>
    <w:autoRedefine/>
    <w:uiPriority w:val="39"/>
    <w:unhideWhenUsed/>
    <w:rsid w:val="00E710E5"/>
    <w:pPr>
      <w:pBdr>
        <w:between w:val="double" w:sz="6" w:space="0" w:color="auto"/>
      </w:pBdr>
      <w:tabs>
        <w:tab w:val="right" w:pos="8505"/>
      </w:tabs>
      <w:spacing w:line="280" w:lineRule="exact"/>
      <w:ind w:left="567"/>
    </w:pPr>
    <w:rPr>
      <w:noProof/>
      <w:color w:val="084179"/>
      <w:szCs w:val="20"/>
    </w:rPr>
  </w:style>
  <w:style w:type="paragraph" w:styleId="Footer">
    <w:name w:val="footer"/>
    <w:basedOn w:val="Normal"/>
    <w:link w:val="FooterChar"/>
    <w:uiPriority w:val="99"/>
    <w:unhideWhenUsed/>
    <w:rsid w:val="00FC76E8"/>
    <w:pPr>
      <w:tabs>
        <w:tab w:val="center" w:pos="4680"/>
        <w:tab w:val="right" w:pos="9360"/>
      </w:tabs>
    </w:pPr>
    <w:rPr>
      <w:b/>
      <w:bCs/>
      <w:color w:val="084179"/>
      <w:sz w:val="20"/>
    </w:rPr>
  </w:style>
  <w:style w:type="character" w:customStyle="1" w:styleId="FooterChar">
    <w:name w:val="Footer Char"/>
    <w:basedOn w:val="DefaultParagraphFont"/>
    <w:link w:val="Footer"/>
    <w:uiPriority w:val="99"/>
    <w:rsid w:val="00FC76E8"/>
    <w:rPr>
      <w:rFonts w:ascii="Vestula" w:hAnsi="Vestula"/>
      <w:b/>
      <w:bCs/>
      <w:color w:val="084179"/>
      <w:sz w:val="20"/>
    </w:rPr>
  </w:style>
  <w:style w:type="character" w:customStyle="1" w:styleId="Footerdate">
    <w:name w:val="Footer date"/>
    <w:basedOn w:val="DefaultParagraphFont"/>
    <w:uiPriority w:val="1"/>
    <w:qFormat/>
    <w:rsid w:val="0006672D"/>
    <w:rPr>
      <w:rFonts w:ascii="Vestula" w:hAnsi="Vestula"/>
      <w:b/>
      <w:bCs w:val="0"/>
      <w:i w:val="0"/>
      <w:iCs w:val="0"/>
      <w:sz w:val="20"/>
    </w:rPr>
  </w:style>
  <w:style w:type="character" w:styleId="PageNumber">
    <w:name w:val="page number"/>
    <w:basedOn w:val="DefaultParagraphFont"/>
    <w:uiPriority w:val="99"/>
    <w:semiHidden/>
    <w:unhideWhenUsed/>
    <w:rsid w:val="00397F96"/>
    <w:rPr>
      <w:rFonts w:ascii="Vestula" w:hAnsi="Vestula"/>
      <w:b w:val="0"/>
      <w:bCs w:val="0"/>
      <w:i w:val="0"/>
      <w:iCs w:val="0"/>
      <w:color w:val="084179"/>
    </w:rPr>
  </w:style>
  <w:style w:type="paragraph" w:styleId="FootnoteText">
    <w:name w:val="footnote text"/>
    <w:basedOn w:val="Normal"/>
    <w:link w:val="FootnoteTextChar"/>
    <w:uiPriority w:val="99"/>
    <w:unhideWhenUsed/>
    <w:rsid w:val="003C2C38"/>
    <w:rPr>
      <w:color w:val="084179"/>
      <w:sz w:val="21"/>
    </w:rPr>
  </w:style>
  <w:style w:type="character" w:customStyle="1" w:styleId="FootnoteTextChar">
    <w:name w:val="Footnote Text Char"/>
    <w:basedOn w:val="DefaultParagraphFont"/>
    <w:link w:val="FootnoteText"/>
    <w:uiPriority w:val="99"/>
    <w:rsid w:val="003C2C38"/>
    <w:rPr>
      <w:rFonts w:ascii="Vestula" w:hAnsi="Vestula"/>
      <w:color w:val="084179"/>
      <w:sz w:val="21"/>
    </w:rPr>
  </w:style>
  <w:style w:type="character" w:styleId="FootnoteReference">
    <w:name w:val="footnote reference"/>
    <w:basedOn w:val="DefaultParagraphFont"/>
    <w:uiPriority w:val="99"/>
    <w:unhideWhenUsed/>
    <w:rsid w:val="003C2C38"/>
    <w:rPr>
      <w:rFonts w:ascii="Vestula" w:hAnsi="Vestula"/>
      <w:b w:val="0"/>
      <w:bCs w:val="0"/>
      <w:i w:val="0"/>
      <w:iCs w:val="0"/>
      <w:color w:val="084179"/>
      <w:vertAlign w:val="superscript"/>
    </w:rPr>
  </w:style>
  <w:style w:type="paragraph" w:styleId="Header">
    <w:name w:val="header"/>
    <w:basedOn w:val="Normal"/>
    <w:link w:val="HeaderChar"/>
    <w:uiPriority w:val="99"/>
    <w:unhideWhenUsed/>
    <w:rsid w:val="007B4697"/>
    <w:pPr>
      <w:tabs>
        <w:tab w:val="center" w:pos="4680"/>
        <w:tab w:val="right" w:pos="9360"/>
      </w:tabs>
    </w:pPr>
  </w:style>
  <w:style w:type="character" w:customStyle="1" w:styleId="HeaderChar">
    <w:name w:val="Header Char"/>
    <w:basedOn w:val="DefaultParagraphFont"/>
    <w:link w:val="Header"/>
    <w:uiPriority w:val="99"/>
    <w:rsid w:val="007B4697"/>
    <w:rPr>
      <w:rFonts w:ascii="Vestula" w:hAnsi="Vestula"/>
    </w:rPr>
  </w:style>
  <w:style w:type="paragraph" w:styleId="ListParagraph">
    <w:name w:val="List Paragraph"/>
    <w:basedOn w:val="Normal"/>
    <w:uiPriority w:val="34"/>
    <w:qFormat/>
    <w:rsid w:val="0078176B"/>
    <w:pPr>
      <w:ind w:left="720"/>
      <w:contextualSpacing/>
    </w:pPr>
  </w:style>
  <w:style w:type="paragraph" w:customStyle="1" w:styleId="Imagechartcaption">
    <w:name w:val="Image/chart caption"/>
    <w:basedOn w:val="Text"/>
    <w:qFormat/>
    <w:rsid w:val="00FC76E8"/>
    <w:rPr>
      <w:b/>
      <w:bCs/>
      <w:sz w:val="20"/>
      <w:szCs w:val="20"/>
    </w:rPr>
  </w:style>
  <w:style w:type="table" w:styleId="TableGrid">
    <w:name w:val="Table Grid"/>
    <w:basedOn w:val="TableNormal"/>
    <w:uiPriority w:val="39"/>
    <w:rsid w:val="0056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21">
    <w:name w:val="Tabella semplice - 21"/>
    <w:basedOn w:val="TableNormal"/>
    <w:uiPriority w:val="42"/>
    <w:rsid w:val="005639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11">
    <w:name w:val="Tabella semplice - 11"/>
    <w:basedOn w:val="TableNormal"/>
    <w:uiPriority w:val="41"/>
    <w:rsid w:val="005639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Normal"/>
    <w:qFormat/>
    <w:rsid w:val="009C3C20"/>
    <w:pPr>
      <w:spacing w:line="480" w:lineRule="exact"/>
    </w:pPr>
    <w:rPr>
      <w:color w:val="084179"/>
      <w:sz w:val="40"/>
      <w:szCs w:val="40"/>
    </w:rPr>
  </w:style>
  <w:style w:type="paragraph" w:customStyle="1" w:styleId="Authors">
    <w:name w:val="Author(s)"/>
    <w:qFormat/>
    <w:rsid w:val="009C3C20"/>
    <w:rPr>
      <w:rFonts w:ascii="Vestula" w:hAnsi="Vestula"/>
      <w:color w:val="084179"/>
      <w:sz w:val="40"/>
      <w:szCs w:val="40"/>
    </w:rPr>
  </w:style>
  <w:style w:type="paragraph" w:customStyle="1" w:styleId="Abbreviations">
    <w:name w:val="Abbreviations"/>
    <w:basedOn w:val="Text"/>
    <w:qFormat/>
    <w:rsid w:val="00AC0729"/>
  </w:style>
  <w:style w:type="paragraph" w:styleId="BalloonText">
    <w:name w:val="Balloon Text"/>
    <w:basedOn w:val="Normal"/>
    <w:link w:val="BalloonTextChar"/>
    <w:uiPriority w:val="99"/>
    <w:semiHidden/>
    <w:unhideWhenUsed/>
    <w:rsid w:val="006B3460"/>
    <w:rPr>
      <w:rFonts w:ascii="Tahoma" w:hAnsi="Tahoma" w:cs="Tahoma"/>
      <w:sz w:val="16"/>
      <w:szCs w:val="16"/>
    </w:rPr>
  </w:style>
  <w:style w:type="character" w:customStyle="1" w:styleId="BalloonTextChar">
    <w:name w:val="Balloon Text Char"/>
    <w:basedOn w:val="DefaultParagraphFont"/>
    <w:link w:val="BalloonText"/>
    <w:uiPriority w:val="99"/>
    <w:semiHidden/>
    <w:rsid w:val="006B3460"/>
    <w:rPr>
      <w:rFonts w:ascii="Tahoma" w:hAnsi="Tahoma" w:cs="Tahoma"/>
      <w:sz w:val="16"/>
      <w:szCs w:val="16"/>
    </w:rPr>
  </w:style>
  <w:style w:type="character" w:styleId="EndnoteReference">
    <w:name w:val="endnote reference"/>
    <w:basedOn w:val="DefaultParagraphFont"/>
    <w:uiPriority w:val="99"/>
    <w:semiHidden/>
    <w:unhideWhenUsed/>
    <w:rsid w:val="005B68C1"/>
    <w:rPr>
      <w:vertAlign w:val="superscript"/>
    </w:rPr>
  </w:style>
  <w:style w:type="character" w:customStyle="1" w:styleId="cf01">
    <w:name w:val="cf01"/>
    <w:basedOn w:val="DefaultParagraphFont"/>
    <w:rsid w:val="00A00D13"/>
    <w:rPr>
      <w:rFonts w:ascii="Segoe UI" w:hAnsi="Segoe UI" w:cs="Segoe UI" w:hint="default"/>
      <w:sz w:val="18"/>
      <w:szCs w:val="18"/>
    </w:rPr>
  </w:style>
  <w:style w:type="character" w:styleId="CommentReference">
    <w:name w:val="annotation reference"/>
    <w:basedOn w:val="DefaultParagraphFont"/>
    <w:uiPriority w:val="99"/>
    <w:semiHidden/>
    <w:unhideWhenUsed/>
    <w:rsid w:val="0077584A"/>
    <w:rPr>
      <w:sz w:val="16"/>
      <w:szCs w:val="16"/>
    </w:rPr>
  </w:style>
  <w:style w:type="paragraph" w:styleId="CommentText">
    <w:name w:val="annotation text"/>
    <w:basedOn w:val="Normal"/>
    <w:link w:val="CommentTextChar"/>
    <w:uiPriority w:val="99"/>
    <w:unhideWhenUsed/>
    <w:rsid w:val="0077584A"/>
    <w:pPr>
      <w:spacing w:after="200"/>
      <w:ind w:left="-284" w:right="-680"/>
      <w:jc w:val="both"/>
    </w:pPr>
    <w:rPr>
      <w:rFonts w:asciiTheme="minorHAnsi" w:hAnsiTheme="minorHAnsi"/>
      <w:sz w:val="20"/>
      <w:szCs w:val="20"/>
      <w:lang w:val="fr-FR"/>
    </w:rPr>
  </w:style>
  <w:style w:type="character" w:customStyle="1" w:styleId="CommentTextChar">
    <w:name w:val="Comment Text Char"/>
    <w:basedOn w:val="DefaultParagraphFont"/>
    <w:link w:val="CommentText"/>
    <w:uiPriority w:val="99"/>
    <w:rsid w:val="0077584A"/>
    <w:rPr>
      <w:sz w:val="20"/>
      <w:szCs w:val="20"/>
      <w:lang w:val="fr-FR"/>
    </w:rPr>
  </w:style>
  <w:style w:type="paragraph" w:customStyle="1" w:styleId="pf0">
    <w:name w:val="pf0"/>
    <w:basedOn w:val="Normal"/>
    <w:rsid w:val="0077584A"/>
    <w:pPr>
      <w:spacing w:before="100" w:beforeAutospacing="1" w:after="100" w:afterAutospacing="1"/>
    </w:pPr>
    <w:rPr>
      <w:rFonts w:ascii="Times New Roman" w:eastAsia="Times New Roman" w:hAnsi="Times New Roman" w:cs="Times New Roman"/>
      <w:lang w:val="nl-NL" w:eastAsia="nl-NL"/>
    </w:rPr>
  </w:style>
  <w:style w:type="paragraph" w:styleId="Quote">
    <w:name w:val="Quote"/>
    <w:basedOn w:val="Normal"/>
    <w:next w:val="Normal"/>
    <w:link w:val="QuoteChar"/>
    <w:uiPriority w:val="29"/>
    <w:qFormat/>
    <w:rsid w:val="00B03F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03F0A"/>
    <w:rPr>
      <w:rFonts w:ascii="Vestula" w:hAnsi="Vestula"/>
      <w:i/>
      <w:iCs/>
      <w:color w:val="404040" w:themeColor="text1" w:themeTint="BF"/>
    </w:rPr>
  </w:style>
  <w:style w:type="character" w:customStyle="1" w:styleId="y2iqfc">
    <w:name w:val="y2iqfc"/>
    <w:basedOn w:val="DefaultParagraphFont"/>
    <w:rsid w:val="00B03F0A"/>
  </w:style>
  <w:style w:type="paragraph" w:styleId="NormalWeb">
    <w:name w:val="Normal (Web)"/>
    <w:basedOn w:val="Normal"/>
    <w:uiPriority w:val="99"/>
    <w:semiHidden/>
    <w:unhideWhenUsed/>
    <w:rsid w:val="007829AC"/>
    <w:pPr>
      <w:spacing w:before="100" w:beforeAutospacing="1" w:after="100" w:afterAutospacing="1"/>
    </w:pPr>
    <w:rPr>
      <w:rFonts w:ascii="Times New Roman" w:eastAsia="Times New Roman" w:hAnsi="Times New Roman" w:cs="Times New Roman"/>
      <w:lang w:val="nl-NL" w:eastAsia="nl-NL"/>
    </w:rPr>
  </w:style>
  <w:style w:type="character" w:customStyle="1" w:styleId="apple-tab-span">
    <w:name w:val="apple-tab-span"/>
    <w:basedOn w:val="DefaultParagraphFont"/>
    <w:rsid w:val="007829AC"/>
  </w:style>
  <w:style w:type="character" w:styleId="UnresolvedMention">
    <w:name w:val="Unresolved Mention"/>
    <w:basedOn w:val="DefaultParagraphFont"/>
    <w:uiPriority w:val="99"/>
    <w:semiHidden/>
    <w:unhideWhenUsed/>
    <w:rsid w:val="00FF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29493">
      <w:bodyDiv w:val="1"/>
      <w:marLeft w:val="0"/>
      <w:marRight w:val="0"/>
      <w:marTop w:val="0"/>
      <w:marBottom w:val="0"/>
      <w:divBdr>
        <w:top w:val="none" w:sz="0" w:space="0" w:color="auto"/>
        <w:left w:val="none" w:sz="0" w:space="0" w:color="auto"/>
        <w:bottom w:val="none" w:sz="0" w:space="0" w:color="auto"/>
        <w:right w:val="none" w:sz="0" w:space="0" w:color="auto"/>
      </w:divBdr>
    </w:div>
    <w:div w:id="574510590">
      <w:bodyDiv w:val="1"/>
      <w:marLeft w:val="0"/>
      <w:marRight w:val="0"/>
      <w:marTop w:val="0"/>
      <w:marBottom w:val="0"/>
      <w:divBdr>
        <w:top w:val="none" w:sz="0" w:space="0" w:color="auto"/>
        <w:left w:val="none" w:sz="0" w:space="0" w:color="auto"/>
        <w:bottom w:val="none" w:sz="0" w:space="0" w:color="auto"/>
        <w:right w:val="none" w:sz="0" w:space="0" w:color="auto"/>
      </w:divBdr>
    </w:div>
    <w:div w:id="756055816">
      <w:bodyDiv w:val="1"/>
      <w:marLeft w:val="0"/>
      <w:marRight w:val="0"/>
      <w:marTop w:val="0"/>
      <w:marBottom w:val="0"/>
      <w:divBdr>
        <w:top w:val="none" w:sz="0" w:space="0" w:color="auto"/>
        <w:left w:val="none" w:sz="0" w:space="0" w:color="auto"/>
        <w:bottom w:val="none" w:sz="0" w:space="0" w:color="auto"/>
        <w:right w:val="none" w:sz="0" w:space="0" w:color="auto"/>
      </w:divBdr>
    </w:div>
    <w:div w:id="1999728522">
      <w:bodyDiv w:val="1"/>
      <w:marLeft w:val="0"/>
      <w:marRight w:val="0"/>
      <w:marTop w:val="0"/>
      <w:marBottom w:val="0"/>
      <w:divBdr>
        <w:top w:val="none" w:sz="0" w:space="0" w:color="auto"/>
        <w:left w:val="none" w:sz="0" w:space="0" w:color="auto"/>
        <w:bottom w:val="none" w:sz="0" w:space="0" w:color="auto"/>
        <w:right w:val="none" w:sz="0" w:space="0" w:color="auto"/>
      </w:divBdr>
    </w:div>
    <w:div w:id="2101755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itleiden.nl/binaries/content/assets/rechtsgeleerdheid/instituut-voor-metajuridica/land-and-climate-change-rights-and-environmental-displacement-in-mozambique.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Institute for Law, Governance and Society, Leiden University, the Netherlands</Contributor>
  </documentManagement>
</p:properties>
</file>

<file path=customXml/itemProps1.xml><?xml version="1.0" encoding="utf-8"?>
<ds:datastoreItem xmlns:ds="http://schemas.openxmlformats.org/officeDocument/2006/customXml" ds:itemID="{D353D87E-2939-4727-BA49-01F59BE0B268}">
  <ds:schemaRefs>
    <ds:schemaRef ds:uri="http://schemas.openxmlformats.org/officeDocument/2006/bibliography"/>
  </ds:schemaRefs>
</ds:datastoreItem>
</file>

<file path=customXml/itemProps2.xml><?xml version="1.0" encoding="utf-8"?>
<ds:datastoreItem xmlns:ds="http://schemas.openxmlformats.org/officeDocument/2006/customXml" ds:itemID="{C5F0503E-D3B1-4940-BE01-2D1075DB8704}"/>
</file>

<file path=customXml/itemProps3.xml><?xml version="1.0" encoding="utf-8"?>
<ds:datastoreItem xmlns:ds="http://schemas.openxmlformats.org/officeDocument/2006/customXml" ds:itemID="{059F0CD4-299E-4F89-A229-634DF77C7220}"/>
</file>

<file path=customXml/itemProps4.xml><?xml version="1.0" encoding="utf-8"?>
<ds:datastoreItem xmlns:ds="http://schemas.openxmlformats.org/officeDocument/2006/customXml" ds:itemID="{4E64F69F-0027-47B9-823F-1F82B983AC57}"/>
</file>

<file path=docProps/app.xml><?xml version="1.0" encoding="utf-8"?>
<Properties xmlns="http://schemas.openxmlformats.org/officeDocument/2006/extended-properties" xmlns:vt="http://schemas.openxmlformats.org/officeDocument/2006/docPropsVTypes">
  <Template>Normal.dotm</Template>
  <TotalTime>0</TotalTime>
  <Pages>4</Pages>
  <Words>2001</Words>
  <Characters>11008</Characters>
  <Application>Microsoft Office Word</Application>
  <DocSecurity>0</DocSecurity>
  <Lines>91</Lines>
  <Paragraphs>25</Paragraphs>
  <ScaleCrop>false</ScaleCrop>
  <HeadingPairs>
    <vt:vector size="8" baseType="variant">
      <vt:variant>
        <vt:lpstr>Title</vt:lpstr>
      </vt:variant>
      <vt:variant>
        <vt:i4>1</vt:i4>
      </vt:variant>
      <vt:variant>
        <vt:lpstr>Headings</vt:lpstr>
      </vt:variant>
      <vt:variant>
        <vt:i4>2</vt:i4>
      </vt:variant>
      <vt:variant>
        <vt:lpstr>Titolo</vt:lpstr>
      </vt:variant>
      <vt:variant>
        <vt:i4>1</vt:i4>
      </vt:variant>
      <vt:variant>
        <vt:lpstr>Titel</vt:lpstr>
      </vt:variant>
      <vt:variant>
        <vt:i4>1</vt:i4>
      </vt:variant>
    </vt:vector>
  </HeadingPairs>
  <TitlesOfParts>
    <vt:vector size="5" baseType="lpstr">
      <vt:lpstr/>
      <vt:lpstr>    Input for the HRC56 thematic report on climate change and internal displacement </vt:lpstr>
      <vt:lpstr>    Defining risk areas and protecting land rights in a context of climate-related r</vt:lpstr>
      <vt:lpstr/>
      <vt:lpstr/>
    </vt:vector>
  </TitlesOfParts>
  <Company>Universiteit Leiden</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Carolien</dc:creator>
  <cp:lastModifiedBy>Jacobs, C.I.M. (Carolien)</cp:lastModifiedBy>
  <cp:revision>7</cp:revision>
  <cp:lastPrinted>2023-10-02T07:18:00Z</cp:lastPrinted>
  <dcterms:created xsi:type="dcterms:W3CDTF">2024-03-30T16:33:00Z</dcterms:created>
  <dcterms:modified xsi:type="dcterms:W3CDTF">2024-03-31T17:01:00Z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e7b9b0d3-4827-3a66-b021-1ef6b8dda5d4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http://www.zotero.org/styles/land-use-policy</vt:lpwstr>
  </property>
  <property fmtid="{D5CDD505-2E9C-101B-9397-08002B2CF9AE}" pid="18" name="Mendeley Recent Style Name 6_1">
    <vt:lpwstr>Land Use Policy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http://www.zotero.org/styles/oscola</vt:lpwstr>
  </property>
  <property fmtid="{D5CDD505-2E9C-101B-9397-08002B2CF9AE}" pid="24" name="Mendeley Recent Style Name 9_1">
    <vt:lpwstr>OSCOLA (Oxford University Standard for Citation of Legal Authorities)</vt:lpwstr>
  </property>
  <property fmtid="{D5CDD505-2E9C-101B-9397-08002B2CF9AE}" pid="25" name="ContentTypeId">
    <vt:lpwstr>0x0101009D953D6983EF5F4EB0B6A5354F975E96</vt:lpwstr>
  </property>
</Properties>
</file>