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C85369" w:rsidRPr="009C5F14" w:rsidRDefault="000A4990" w:rsidP="002D77BA">
      <w:pPr>
        <w:spacing w:before="120" w:after="120"/>
        <w:rPr>
          <w:rFonts w:asciiTheme="majorHAnsi" w:hAnsiTheme="majorHAnsi" w:cstheme="majorHAnsi"/>
          <w:b/>
          <w:sz w:val="24"/>
          <w:szCs w:val="24"/>
        </w:rPr>
      </w:pPr>
      <w:r w:rsidRPr="009C5F14">
        <w:rPr>
          <w:rFonts w:asciiTheme="majorHAnsi" w:hAnsiTheme="majorHAnsi" w:cstheme="majorHAnsi"/>
          <w:b/>
          <w:sz w:val="24"/>
          <w:szCs w:val="24"/>
        </w:rPr>
        <w:t>Expert Mechanism on the Rights of Indigenous Peoples</w:t>
      </w:r>
    </w:p>
    <w:p w14:paraId="00000002" w14:textId="77777777" w:rsidR="00C85369" w:rsidRPr="009C5F14" w:rsidRDefault="000A4990" w:rsidP="002D77BA">
      <w:pPr>
        <w:spacing w:before="120" w:after="120"/>
        <w:rPr>
          <w:rFonts w:asciiTheme="majorHAnsi" w:hAnsiTheme="majorHAnsi" w:cstheme="majorHAnsi"/>
          <w:b/>
          <w:sz w:val="24"/>
          <w:szCs w:val="24"/>
        </w:rPr>
      </w:pPr>
      <w:r w:rsidRPr="009C5F14">
        <w:rPr>
          <w:rFonts w:asciiTheme="majorHAnsi" w:hAnsiTheme="majorHAnsi" w:cstheme="majorHAnsi"/>
          <w:b/>
          <w:sz w:val="24"/>
          <w:szCs w:val="24"/>
        </w:rPr>
        <w:t xml:space="preserve">Sixteenth Session, 17 - 21 July 2023 </w:t>
      </w:r>
    </w:p>
    <w:p w14:paraId="00000004" w14:textId="0DBE9678" w:rsidR="00C85369" w:rsidRPr="009C5F14" w:rsidRDefault="004F4D20" w:rsidP="002D77BA">
      <w:pPr>
        <w:spacing w:before="120" w:after="120"/>
        <w:rPr>
          <w:rFonts w:asciiTheme="majorHAnsi" w:hAnsiTheme="majorHAnsi" w:cstheme="majorHAnsi"/>
          <w:b/>
          <w:sz w:val="24"/>
          <w:szCs w:val="24"/>
        </w:rPr>
      </w:pPr>
      <w:r w:rsidRPr="009C5F14">
        <w:rPr>
          <w:rFonts w:asciiTheme="majorHAnsi" w:hAnsiTheme="majorHAnsi" w:cstheme="majorHAnsi"/>
          <w:b/>
          <w:sz w:val="24"/>
          <w:szCs w:val="24"/>
        </w:rPr>
        <w:t xml:space="preserve">Agenda </w:t>
      </w:r>
      <w:r w:rsidR="000A4990" w:rsidRPr="009C5F14">
        <w:rPr>
          <w:rFonts w:asciiTheme="majorHAnsi" w:hAnsiTheme="majorHAnsi" w:cstheme="majorHAnsi"/>
          <w:b/>
          <w:sz w:val="24"/>
          <w:szCs w:val="24"/>
        </w:rPr>
        <w:t xml:space="preserve">Item </w:t>
      </w:r>
      <w:r w:rsidRPr="009C5F14">
        <w:rPr>
          <w:rFonts w:asciiTheme="majorHAnsi" w:hAnsiTheme="majorHAnsi" w:cstheme="majorHAnsi"/>
          <w:b/>
          <w:sz w:val="24"/>
          <w:szCs w:val="24"/>
        </w:rPr>
        <w:t>3</w:t>
      </w:r>
      <w:r w:rsidR="000A4990" w:rsidRPr="009C5F14">
        <w:rPr>
          <w:rFonts w:asciiTheme="majorHAnsi" w:hAnsiTheme="majorHAnsi" w:cstheme="majorHAnsi"/>
          <w:b/>
          <w:sz w:val="24"/>
          <w:szCs w:val="24"/>
        </w:rPr>
        <w:t xml:space="preserve">: </w:t>
      </w:r>
      <w:r w:rsidRPr="009C5F14">
        <w:rPr>
          <w:rFonts w:asciiTheme="majorHAnsi" w:hAnsiTheme="majorHAnsi" w:cstheme="majorHAnsi"/>
          <w:b/>
          <w:sz w:val="24"/>
          <w:szCs w:val="24"/>
        </w:rPr>
        <w:t>Study and advice on Constitutions, laws, legislation, policies, judicial decisions, and other mechanisms through which States have taken measures to achieve the ends of the United Nations Declaration on the Rights of Indigenous Peoples, in accordance with Article 38 of the Declaration.</w:t>
      </w:r>
    </w:p>
    <w:p w14:paraId="00000006" w14:textId="639F243A" w:rsidR="00C85369" w:rsidRPr="009C5F14" w:rsidRDefault="004F4D20" w:rsidP="002D77BA">
      <w:pPr>
        <w:spacing w:before="120" w:after="120"/>
        <w:rPr>
          <w:rFonts w:asciiTheme="majorHAnsi" w:hAnsiTheme="majorHAnsi" w:cstheme="majorHAnsi"/>
          <w:b/>
          <w:sz w:val="24"/>
          <w:szCs w:val="24"/>
        </w:rPr>
      </w:pPr>
      <w:r w:rsidRPr="009C5F14">
        <w:rPr>
          <w:rFonts w:asciiTheme="majorHAnsi" w:hAnsiTheme="majorHAnsi" w:cstheme="majorHAnsi"/>
          <w:b/>
          <w:sz w:val="24"/>
          <w:szCs w:val="24"/>
        </w:rPr>
        <w:t>Monday</w:t>
      </w:r>
      <w:r w:rsidR="000A4990" w:rsidRPr="009C5F14">
        <w:rPr>
          <w:rFonts w:asciiTheme="majorHAnsi" w:hAnsiTheme="majorHAnsi" w:cstheme="majorHAnsi"/>
          <w:b/>
          <w:sz w:val="24"/>
          <w:szCs w:val="24"/>
        </w:rPr>
        <w:t xml:space="preserve">, </w:t>
      </w:r>
      <w:r w:rsidRPr="009C5F14">
        <w:rPr>
          <w:rFonts w:asciiTheme="majorHAnsi" w:hAnsiTheme="majorHAnsi" w:cstheme="majorHAnsi"/>
          <w:b/>
          <w:sz w:val="24"/>
          <w:szCs w:val="24"/>
        </w:rPr>
        <w:t>8</w:t>
      </w:r>
      <w:r w:rsidR="000A4990" w:rsidRPr="009C5F14">
        <w:rPr>
          <w:rFonts w:asciiTheme="majorHAnsi" w:hAnsiTheme="majorHAnsi" w:cstheme="majorHAnsi"/>
          <w:b/>
          <w:sz w:val="24"/>
          <w:szCs w:val="24"/>
        </w:rPr>
        <w:t xml:space="preserve"> July 202</w:t>
      </w:r>
      <w:r w:rsidRPr="009C5F14">
        <w:rPr>
          <w:rFonts w:asciiTheme="majorHAnsi" w:hAnsiTheme="majorHAnsi" w:cstheme="majorHAnsi"/>
          <w:b/>
          <w:sz w:val="24"/>
          <w:szCs w:val="24"/>
        </w:rPr>
        <w:t>4</w:t>
      </w:r>
    </w:p>
    <w:p w14:paraId="3857E188" w14:textId="6B3DAC78" w:rsidR="00B262B0" w:rsidRDefault="000A4990" w:rsidP="002D77BA">
      <w:pPr>
        <w:spacing w:before="120" w:after="120"/>
        <w:rPr>
          <w:rFonts w:asciiTheme="majorHAnsi" w:hAnsiTheme="majorHAnsi" w:cstheme="majorHAnsi"/>
          <w:b/>
          <w:sz w:val="24"/>
          <w:szCs w:val="24"/>
        </w:rPr>
      </w:pPr>
      <w:r w:rsidRPr="009C5F14">
        <w:rPr>
          <w:rFonts w:asciiTheme="majorHAnsi" w:hAnsiTheme="majorHAnsi" w:cstheme="majorHAnsi"/>
          <w:b/>
          <w:sz w:val="24"/>
          <w:szCs w:val="24"/>
        </w:rPr>
        <w:t>Joint Statement of the Coalition for the Human Rights of Indigenous Peoples (Canada)</w:t>
      </w:r>
      <w:r w:rsidR="00082300" w:rsidRPr="009C5F14">
        <w:rPr>
          <w:rFonts w:asciiTheme="majorHAnsi" w:hAnsiTheme="majorHAnsi" w:cstheme="majorHAnsi"/>
          <w:b/>
          <w:sz w:val="24"/>
          <w:szCs w:val="24"/>
        </w:rPr>
        <w:t xml:space="preserve">: </w:t>
      </w:r>
    </w:p>
    <w:p w14:paraId="00000008" w14:textId="380E6AE9" w:rsidR="00C85369" w:rsidRPr="002D77BA" w:rsidRDefault="00B262B0" w:rsidP="002D77BA">
      <w:pPr>
        <w:spacing w:before="120" w:after="120"/>
        <w:rPr>
          <w:rFonts w:asciiTheme="majorHAnsi" w:hAnsiTheme="majorHAnsi" w:cstheme="majorHAnsi"/>
          <w:bCs/>
          <w:sz w:val="24"/>
          <w:szCs w:val="24"/>
        </w:rPr>
      </w:pPr>
      <w:proofErr w:type="spellStart"/>
      <w:r>
        <w:rPr>
          <w:rFonts w:asciiTheme="majorHAnsi" w:hAnsiTheme="majorHAnsi" w:cstheme="majorHAnsi"/>
          <w:bCs/>
          <w:sz w:val="24"/>
          <w:szCs w:val="24"/>
        </w:rPr>
        <w:t>Amnistie</w:t>
      </w:r>
      <w:proofErr w:type="spellEnd"/>
      <w:r>
        <w:rPr>
          <w:rFonts w:asciiTheme="majorHAnsi" w:hAnsiTheme="majorHAnsi" w:cstheme="majorHAnsi"/>
          <w:bCs/>
          <w:sz w:val="24"/>
          <w:szCs w:val="24"/>
        </w:rPr>
        <w:t xml:space="preserve"> Francophone; Association </w:t>
      </w:r>
      <w:proofErr w:type="spellStart"/>
      <w:r>
        <w:rPr>
          <w:rFonts w:asciiTheme="majorHAnsi" w:hAnsiTheme="majorHAnsi" w:cstheme="majorHAnsi"/>
          <w:bCs/>
          <w:sz w:val="24"/>
          <w:szCs w:val="24"/>
        </w:rPr>
        <w:t>Tinhinan</w:t>
      </w:r>
      <w:proofErr w:type="spellEnd"/>
      <w:r>
        <w:rPr>
          <w:rFonts w:asciiTheme="majorHAnsi" w:hAnsiTheme="majorHAnsi" w:cstheme="majorHAnsi"/>
          <w:bCs/>
          <w:sz w:val="24"/>
          <w:szCs w:val="24"/>
        </w:rPr>
        <w:t xml:space="preserve">; British Columbia Assembly of First Nations; British Columbia Treaty Commission; Canadian Friends Service Committee; Grand Council of the </w:t>
      </w:r>
      <w:proofErr w:type="spellStart"/>
      <w:r>
        <w:rPr>
          <w:rFonts w:asciiTheme="majorHAnsi" w:hAnsiTheme="majorHAnsi" w:cstheme="majorHAnsi"/>
          <w:bCs/>
          <w:sz w:val="24"/>
          <w:szCs w:val="24"/>
        </w:rPr>
        <w:t>Crees</w:t>
      </w:r>
      <w:proofErr w:type="spellEnd"/>
      <w:r>
        <w:rPr>
          <w:rFonts w:asciiTheme="majorHAnsi" w:hAnsiTheme="majorHAnsi" w:cstheme="majorHAnsi"/>
          <w:bCs/>
          <w:sz w:val="24"/>
          <w:szCs w:val="24"/>
        </w:rPr>
        <w:t xml:space="preserve"> (Eeyou </w:t>
      </w:r>
      <w:proofErr w:type="spellStart"/>
      <w:r>
        <w:rPr>
          <w:rFonts w:asciiTheme="majorHAnsi" w:hAnsiTheme="majorHAnsi" w:cstheme="majorHAnsi"/>
          <w:bCs/>
          <w:sz w:val="24"/>
          <w:szCs w:val="24"/>
        </w:rPr>
        <w:t>Istchee</w:t>
      </w:r>
      <w:proofErr w:type="spellEnd"/>
      <w:r>
        <w:rPr>
          <w:rFonts w:asciiTheme="majorHAnsi" w:hAnsiTheme="majorHAnsi" w:cstheme="majorHAnsi"/>
          <w:bCs/>
          <w:sz w:val="24"/>
          <w:szCs w:val="24"/>
        </w:rPr>
        <w:t xml:space="preserve">) / Cree Nation Government; Quebec Native Women - </w:t>
      </w:r>
      <w:r w:rsidRPr="00B262B0">
        <w:rPr>
          <w:rFonts w:asciiTheme="majorHAnsi" w:hAnsiTheme="majorHAnsi" w:cstheme="majorHAnsi"/>
          <w:bCs/>
          <w:sz w:val="24"/>
          <w:szCs w:val="24"/>
        </w:rPr>
        <w:t xml:space="preserve">Femmes </w:t>
      </w:r>
      <w:proofErr w:type="spellStart"/>
      <w:r w:rsidRPr="00B262B0">
        <w:rPr>
          <w:rFonts w:asciiTheme="majorHAnsi" w:hAnsiTheme="majorHAnsi" w:cstheme="majorHAnsi"/>
          <w:bCs/>
          <w:sz w:val="24"/>
          <w:szCs w:val="24"/>
        </w:rPr>
        <w:t>Autochtones</w:t>
      </w:r>
      <w:proofErr w:type="spellEnd"/>
      <w:r w:rsidRPr="00B262B0">
        <w:rPr>
          <w:rFonts w:asciiTheme="majorHAnsi" w:hAnsiTheme="majorHAnsi" w:cstheme="majorHAnsi"/>
          <w:bCs/>
          <w:sz w:val="24"/>
          <w:szCs w:val="24"/>
        </w:rPr>
        <w:t xml:space="preserve"> Quebec</w:t>
      </w:r>
      <w:r>
        <w:rPr>
          <w:rFonts w:asciiTheme="majorHAnsi" w:hAnsiTheme="majorHAnsi" w:cstheme="majorHAnsi"/>
          <w:bCs/>
          <w:sz w:val="24"/>
          <w:szCs w:val="24"/>
        </w:rPr>
        <w:t xml:space="preserve">; </w:t>
      </w:r>
      <w:r w:rsidR="001A0B24">
        <w:rPr>
          <w:rFonts w:asciiTheme="majorHAnsi" w:hAnsiTheme="majorHAnsi" w:cstheme="majorHAnsi"/>
          <w:bCs/>
          <w:sz w:val="24"/>
          <w:szCs w:val="24"/>
        </w:rPr>
        <w:t xml:space="preserve">Union of British Columbia Indian Chiefs; </w:t>
      </w:r>
      <w:r>
        <w:rPr>
          <w:rFonts w:asciiTheme="majorHAnsi" w:hAnsiTheme="majorHAnsi" w:cstheme="majorHAnsi"/>
          <w:bCs/>
          <w:sz w:val="24"/>
          <w:szCs w:val="24"/>
        </w:rPr>
        <w:t xml:space="preserve">Ellen Gabriel, </w:t>
      </w:r>
      <w:proofErr w:type="spellStart"/>
      <w:r w:rsidRPr="00B262B0">
        <w:rPr>
          <w:rFonts w:asciiTheme="majorHAnsi" w:hAnsiTheme="majorHAnsi" w:cstheme="majorHAnsi"/>
          <w:bCs/>
          <w:sz w:val="24"/>
          <w:szCs w:val="24"/>
        </w:rPr>
        <w:t>Kanehsatà:ke</w:t>
      </w:r>
      <w:proofErr w:type="spellEnd"/>
      <w:r w:rsidRPr="00B262B0">
        <w:rPr>
          <w:rFonts w:asciiTheme="majorHAnsi" w:hAnsiTheme="majorHAnsi" w:cstheme="majorHAnsi"/>
          <w:bCs/>
          <w:sz w:val="24"/>
          <w:szCs w:val="24"/>
        </w:rPr>
        <w:t xml:space="preserve"> Land Defender</w:t>
      </w:r>
      <w:r>
        <w:rPr>
          <w:rFonts w:asciiTheme="majorHAnsi" w:hAnsiTheme="majorHAnsi" w:cstheme="majorHAnsi"/>
          <w:bCs/>
          <w:sz w:val="24"/>
          <w:szCs w:val="24"/>
        </w:rPr>
        <w:t xml:space="preserve">; Hup-Wil-Lax-A, Kirby Muldoe; International Chief Wilton Littlechild; Joshua Nichols, Professor McGill University; Lea Nicholas Mackenzie; Mariam Wallet </w:t>
      </w:r>
      <w:proofErr w:type="spellStart"/>
      <w:r>
        <w:rPr>
          <w:rFonts w:asciiTheme="majorHAnsi" w:hAnsiTheme="majorHAnsi" w:cstheme="majorHAnsi"/>
          <w:bCs/>
          <w:sz w:val="24"/>
          <w:szCs w:val="24"/>
        </w:rPr>
        <w:t>Aboubak</w:t>
      </w:r>
      <w:r w:rsidR="00562B4A">
        <w:rPr>
          <w:rFonts w:asciiTheme="majorHAnsi" w:hAnsiTheme="majorHAnsi" w:cstheme="majorHAnsi"/>
          <w:bCs/>
          <w:sz w:val="24"/>
          <w:szCs w:val="24"/>
        </w:rPr>
        <w:t>r</w:t>
      </w:r>
      <w:r>
        <w:rPr>
          <w:rFonts w:asciiTheme="majorHAnsi" w:hAnsiTheme="majorHAnsi" w:cstheme="majorHAnsi"/>
          <w:bCs/>
          <w:sz w:val="24"/>
          <w:szCs w:val="24"/>
        </w:rPr>
        <w:t>ine</w:t>
      </w:r>
      <w:proofErr w:type="spellEnd"/>
      <w:r>
        <w:rPr>
          <w:rFonts w:asciiTheme="majorHAnsi" w:hAnsiTheme="majorHAnsi" w:cstheme="majorHAnsi"/>
          <w:bCs/>
          <w:sz w:val="24"/>
          <w:szCs w:val="24"/>
        </w:rPr>
        <w:t xml:space="preserve"> </w:t>
      </w:r>
    </w:p>
    <w:p w14:paraId="66C09C0F" w14:textId="1C28351A" w:rsidR="00C873FC" w:rsidRPr="009C5F14" w:rsidRDefault="004F4D20" w:rsidP="002D77BA">
      <w:pPr>
        <w:spacing w:before="120" w:after="120"/>
        <w:rPr>
          <w:rFonts w:asciiTheme="majorHAnsi" w:hAnsiTheme="majorHAnsi" w:cstheme="majorHAnsi"/>
          <w:sz w:val="24"/>
          <w:szCs w:val="24"/>
        </w:rPr>
      </w:pPr>
      <w:r w:rsidRPr="009C5F14">
        <w:rPr>
          <w:rFonts w:asciiTheme="majorHAnsi" w:hAnsiTheme="majorHAnsi" w:cstheme="majorHAnsi"/>
          <w:sz w:val="24"/>
          <w:szCs w:val="24"/>
        </w:rPr>
        <w:t xml:space="preserve">The Coalition for the Human Rights of Indigenous Peoples welcomes the Expert Mechanism’s study on implementation of the </w:t>
      </w:r>
      <w:r w:rsidRPr="0020213D">
        <w:rPr>
          <w:rFonts w:asciiTheme="majorHAnsi" w:hAnsiTheme="majorHAnsi" w:cstheme="majorHAnsi"/>
          <w:i/>
          <w:iCs/>
          <w:sz w:val="24"/>
          <w:szCs w:val="24"/>
        </w:rPr>
        <w:t>UN Declaration on the Rights of Indigenous Peoples</w:t>
      </w:r>
      <w:r w:rsidRPr="009C5F14">
        <w:rPr>
          <w:rFonts w:asciiTheme="majorHAnsi" w:hAnsiTheme="majorHAnsi" w:cstheme="majorHAnsi"/>
          <w:sz w:val="24"/>
          <w:szCs w:val="24"/>
        </w:rPr>
        <w:t xml:space="preserve"> through law reform and judicial processes. </w:t>
      </w:r>
      <w:r w:rsidR="00C873FC" w:rsidRPr="009C5F14">
        <w:rPr>
          <w:rFonts w:asciiTheme="majorHAnsi" w:hAnsiTheme="majorHAnsi" w:cstheme="majorHAnsi"/>
          <w:sz w:val="24"/>
          <w:szCs w:val="24"/>
        </w:rPr>
        <w:t>While much work remains to be done to meet global commitments to</w:t>
      </w:r>
      <w:r w:rsidR="000A4990" w:rsidRPr="009C5F14">
        <w:rPr>
          <w:rFonts w:asciiTheme="majorHAnsi" w:hAnsiTheme="majorHAnsi" w:cstheme="majorHAnsi"/>
          <w:sz w:val="24"/>
          <w:szCs w:val="24"/>
        </w:rPr>
        <w:t xml:space="preserve"> </w:t>
      </w:r>
      <w:r w:rsidR="00C873FC" w:rsidRPr="009C5F14">
        <w:rPr>
          <w:rFonts w:asciiTheme="majorHAnsi" w:hAnsiTheme="majorHAnsi" w:cstheme="majorHAnsi"/>
          <w:sz w:val="24"/>
          <w:szCs w:val="24"/>
        </w:rPr>
        <w:t xml:space="preserve">fully implement the </w:t>
      </w:r>
      <w:r w:rsidR="008C7D4A">
        <w:rPr>
          <w:rFonts w:asciiTheme="majorHAnsi" w:hAnsiTheme="majorHAnsi" w:cstheme="majorHAnsi"/>
          <w:i/>
          <w:iCs/>
          <w:sz w:val="24"/>
          <w:szCs w:val="24"/>
        </w:rPr>
        <w:t xml:space="preserve">UN </w:t>
      </w:r>
      <w:r w:rsidR="00C873FC" w:rsidRPr="0020213D">
        <w:rPr>
          <w:rFonts w:asciiTheme="majorHAnsi" w:hAnsiTheme="majorHAnsi" w:cstheme="majorHAnsi"/>
          <w:i/>
          <w:iCs/>
          <w:sz w:val="24"/>
          <w:szCs w:val="24"/>
        </w:rPr>
        <w:t>Declaration</w:t>
      </w:r>
      <w:r w:rsidR="00C873FC" w:rsidRPr="009C5F14">
        <w:rPr>
          <w:rFonts w:asciiTheme="majorHAnsi" w:hAnsiTheme="majorHAnsi" w:cstheme="majorHAnsi"/>
          <w:sz w:val="24"/>
          <w:szCs w:val="24"/>
        </w:rPr>
        <w:t>, it is heartening to see these examples from around the world.</w:t>
      </w:r>
    </w:p>
    <w:p w14:paraId="1A4F1F4A" w14:textId="4D89F2B9" w:rsidR="00C873FC" w:rsidRPr="009C5F14" w:rsidRDefault="00C873FC" w:rsidP="002D77BA">
      <w:pPr>
        <w:spacing w:before="120" w:after="120"/>
        <w:rPr>
          <w:rFonts w:asciiTheme="majorHAnsi" w:hAnsiTheme="majorHAnsi" w:cstheme="majorHAnsi"/>
          <w:sz w:val="24"/>
          <w:szCs w:val="24"/>
        </w:rPr>
      </w:pPr>
      <w:r w:rsidRPr="009C5F14">
        <w:rPr>
          <w:rFonts w:asciiTheme="majorHAnsi" w:hAnsiTheme="majorHAnsi" w:cstheme="majorHAnsi"/>
          <w:sz w:val="24"/>
          <w:szCs w:val="24"/>
        </w:rPr>
        <w:t xml:space="preserve">We would like to </w:t>
      </w:r>
      <w:r w:rsidR="001A7349">
        <w:rPr>
          <w:rFonts w:asciiTheme="majorHAnsi" w:hAnsiTheme="majorHAnsi" w:cstheme="majorHAnsi"/>
          <w:sz w:val="24"/>
          <w:szCs w:val="24"/>
        </w:rPr>
        <w:t xml:space="preserve">expand upon a portion of the report </w:t>
      </w:r>
      <w:r w:rsidRPr="009C5F14">
        <w:rPr>
          <w:rFonts w:asciiTheme="majorHAnsi" w:hAnsiTheme="majorHAnsi" w:cstheme="majorHAnsi"/>
          <w:sz w:val="24"/>
          <w:szCs w:val="24"/>
        </w:rPr>
        <w:t xml:space="preserve">dealing with implementation of the </w:t>
      </w:r>
      <w:r w:rsidR="008C7D4A">
        <w:rPr>
          <w:rFonts w:asciiTheme="majorHAnsi" w:hAnsiTheme="majorHAnsi" w:cstheme="majorHAnsi"/>
          <w:i/>
          <w:iCs/>
          <w:sz w:val="24"/>
          <w:szCs w:val="24"/>
        </w:rPr>
        <w:t xml:space="preserve">UN </w:t>
      </w:r>
      <w:r w:rsidRPr="001A7349">
        <w:rPr>
          <w:rFonts w:asciiTheme="majorHAnsi" w:hAnsiTheme="majorHAnsi" w:cstheme="majorHAnsi"/>
          <w:i/>
          <w:iCs/>
          <w:sz w:val="24"/>
          <w:szCs w:val="24"/>
        </w:rPr>
        <w:t>Declaration</w:t>
      </w:r>
      <w:r w:rsidRPr="009C5F14">
        <w:rPr>
          <w:rFonts w:asciiTheme="majorHAnsi" w:hAnsiTheme="majorHAnsi" w:cstheme="majorHAnsi"/>
          <w:sz w:val="24"/>
          <w:szCs w:val="24"/>
        </w:rPr>
        <w:t xml:space="preserve"> in Canada.</w:t>
      </w:r>
    </w:p>
    <w:p w14:paraId="1DC189B5" w14:textId="4031799A" w:rsidR="00A35B83" w:rsidRPr="009C5F14" w:rsidRDefault="00201D6C" w:rsidP="002D77BA">
      <w:pPr>
        <w:spacing w:before="120" w:after="120"/>
        <w:rPr>
          <w:rFonts w:asciiTheme="majorHAnsi" w:hAnsiTheme="majorHAnsi" w:cstheme="majorHAnsi"/>
          <w:sz w:val="24"/>
          <w:szCs w:val="24"/>
        </w:rPr>
      </w:pPr>
      <w:r w:rsidRPr="009C5F14">
        <w:rPr>
          <w:rFonts w:asciiTheme="majorHAnsi" w:hAnsiTheme="majorHAnsi" w:cstheme="majorHAnsi"/>
          <w:sz w:val="24"/>
          <w:szCs w:val="24"/>
        </w:rPr>
        <w:t>Paragraph 69 refers to a</w:t>
      </w:r>
      <w:r w:rsidR="00F26E78">
        <w:rPr>
          <w:rFonts w:asciiTheme="majorHAnsi" w:hAnsiTheme="majorHAnsi" w:cstheme="majorHAnsi"/>
          <w:sz w:val="24"/>
          <w:szCs w:val="24"/>
        </w:rPr>
        <w:t>n</w:t>
      </w:r>
      <w:r w:rsidR="00F03A17">
        <w:rPr>
          <w:rFonts w:asciiTheme="majorHAnsi" w:hAnsiTheme="majorHAnsi" w:cstheme="majorHAnsi"/>
          <w:sz w:val="24"/>
          <w:szCs w:val="24"/>
        </w:rPr>
        <w:t xml:space="preserve"> important </w:t>
      </w:r>
      <w:r w:rsidRPr="009C5F14">
        <w:rPr>
          <w:rFonts w:asciiTheme="majorHAnsi" w:hAnsiTheme="majorHAnsi" w:cstheme="majorHAnsi"/>
          <w:sz w:val="24"/>
          <w:szCs w:val="24"/>
        </w:rPr>
        <w:t xml:space="preserve">recent </w:t>
      </w:r>
      <w:r w:rsidR="001A7349">
        <w:rPr>
          <w:rFonts w:asciiTheme="majorHAnsi" w:hAnsiTheme="majorHAnsi" w:cstheme="majorHAnsi"/>
          <w:sz w:val="24"/>
          <w:szCs w:val="24"/>
        </w:rPr>
        <w:t>S</w:t>
      </w:r>
      <w:r w:rsidRPr="009C5F14">
        <w:rPr>
          <w:rFonts w:asciiTheme="majorHAnsi" w:hAnsiTheme="majorHAnsi" w:cstheme="majorHAnsi"/>
          <w:sz w:val="24"/>
          <w:szCs w:val="24"/>
        </w:rPr>
        <w:t xml:space="preserve">upreme Court of Canada </w:t>
      </w:r>
      <w:r w:rsidR="00F03A17">
        <w:rPr>
          <w:rFonts w:asciiTheme="majorHAnsi" w:hAnsiTheme="majorHAnsi" w:cstheme="majorHAnsi"/>
          <w:sz w:val="24"/>
          <w:szCs w:val="24"/>
        </w:rPr>
        <w:t xml:space="preserve">decision </w:t>
      </w:r>
      <w:r w:rsidRPr="009C5F14">
        <w:rPr>
          <w:rFonts w:asciiTheme="majorHAnsi" w:hAnsiTheme="majorHAnsi" w:cstheme="majorHAnsi"/>
          <w:sz w:val="24"/>
          <w:szCs w:val="24"/>
        </w:rPr>
        <w:t xml:space="preserve">upholding the constitutionality of 2019 legislation on child and family services for Indigenous Peoples. That legislation, co-developed with Indigenous Peoples’ organizations, affirms the right of Indigenous governments to adopt their own laws in respect to child and family services. The law also states that Indigenous laws </w:t>
      </w:r>
      <w:r w:rsidR="00F03A17">
        <w:rPr>
          <w:rFonts w:asciiTheme="majorHAnsi" w:hAnsiTheme="majorHAnsi" w:cstheme="majorHAnsi"/>
          <w:sz w:val="24"/>
          <w:szCs w:val="24"/>
        </w:rPr>
        <w:t>may</w:t>
      </w:r>
      <w:r w:rsidRPr="009C5F14">
        <w:rPr>
          <w:rFonts w:asciiTheme="majorHAnsi" w:hAnsiTheme="majorHAnsi" w:cstheme="majorHAnsi"/>
          <w:sz w:val="24"/>
          <w:szCs w:val="24"/>
        </w:rPr>
        <w:t xml:space="preserve"> take precedence over provincial and territorial laws in the event of conflict</w:t>
      </w:r>
      <w:r w:rsidR="00ED0AF5">
        <w:rPr>
          <w:rFonts w:asciiTheme="majorHAnsi" w:hAnsiTheme="majorHAnsi" w:cstheme="majorHAnsi"/>
          <w:sz w:val="24"/>
          <w:szCs w:val="24"/>
        </w:rPr>
        <w:t xml:space="preserve"> or inconsistency</w:t>
      </w:r>
      <w:r w:rsidRPr="009C5F14">
        <w:rPr>
          <w:rFonts w:asciiTheme="majorHAnsi" w:hAnsiTheme="majorHAnsi" w:cstheme="majorHAnsi"/>
          <w:sz w:val="24"/>
          <w:szCs w:val="24"/>
        </w:rPr>
        <w:t xml:space="preserve">. </w:t>
      </w:r>
    </w:p>
    <w:p w14:paraId="4CF7C5AC" w14:textId="4512CCFB" w:rsidR="00A35B83" w:rsidRPr="009C5F14" w:rsidRDefault="00201D6C" w:rsidP="002D77BA">
      <w:pPr>
        <w:spacing w:before="120" w:after="120"/>
        <w:rPr>
          <w:rFonts w:asciiTheme="majorHAnsi" w:hAnsiTheme="majorHAnsi" w:cstheme="majorHAnsi"/>
          <w:sz w:val="24"/>
          <w:szCs w:val="24"/>
        </w:rPr>
      </w:pPr>
      <w:r w:rsidRPr="009C5F14">
        <w:rPr>
          <w:rFonts w:asciiTheme="majorHAnsi" w:hAnsiTheme="majorHAnsi" w:cstheme="majorHAnsi"/>
          <w:sz w:val="24"/>
          <w:szCs w:val="24"/>
        </w:rPr>
        <w:t xml:space="preserve">The Supreme Court’s </w:t>
      </w:r>
      <w:r w:rsidR="007C57D6">
        <w:rPr>
          <w:rFonts w:asciiTheme="majorHAnsi" w:hAnsiTheme="majorHAnsi" w:cstheme="majorHAnsi"/>
          <w:sz w:val="24"/>
          <w:szCs w:val="24"/>
        </w:rPr>
        <w:t xml:space="preserve">unanimous </w:t>
      </w:r>
      <w:r w:rsidRPr="009C5F14">
        <w:rPr>
          <w:rFonts w:asciiTheme="majorHAnsi" w:hAnsiTheme="majorHAnsi" w:cstheme="majorHAnsi"/>
          <w:sz w:val="24"/>
          <w:szCs w:val="24"/>
        </w:rPr>
        <w:t xml:space="preserve">decision to uphold this law marks the first time that Canada’s highest court has used the </w:t>
      </w:r>
      <w:r w:rsidRPr="0020213D">
        <w:rPr>
          <w:rFonts w:asciiTheme="majorHAnsi" w:hAnsiTheme="majorHAnsi" w:cstheme="majorHAnsi"/>
          <w:i/>
          <w:iCs/>
          <w:sz w:val="24"/>
          <w:szCs w:val="24"/>
        </w:rPr>
        <w:t>UN Declaration</w:t>
      </w:r>
      <w:r w:rsidRPr="009C5F14">
        <w:rPr>
          <w:rFonts w:asciiTheme="majorHAnsi" w:hAnsiTheme="majorHAnsi" w:cstheme="majorHAnsi"/>
          <w:sz w:val="24"/>
          <w:szCs w:val="24"/>
        </w:rPr>
        <w:t xml:space="preserve"> as an interpretative </w:t>
      </w:r>
      <w:r w:rsidR="00E02ECD" w:rsidRPr="009C5F14">
        <w:rPr>
          <w:rFonts w:asciiTheme="majorHAnsi" w:hAnsiTheme="majorHAnsi" w:cstheme="majorHAnsi"/>
          <w:sz w:val="24"/>
          <w:szCs w:val="24"/>
        </w:rPr>
        <w:t xml:space="preserve">source </w:t>
      </w:r>
      <w:r w:rsidRPr="009C5F14">
        <w:rPr>
          <w:rFonts w:asciiTheme="majorHAnsi" w:hAnsiTheme="majorHAnsi" w:cstheme="majorHAnsi"/>
          <w:sz w:val="24"/>
          <w:szCs w:val="24"/>
        </w:rPr>
        <w:t xml:space="preserve">since </w:t>
      </w:r>
      <w:r w:rsidR="0020213D">
        <w:rPr>
          <w:rFonts w:asciiTheme="majorHAnsi" w:hAnsiTheme="majorHAnsi" w:cstheme="majorHAnsi"/>
          <w:sz w:val="24"/>
          <w:szCs w:val="24"/>
        </w:rPr>
        <w:t>it</w:t>
      </w:r>
      <w:r w:rsidRPr="009C5F14">
        <w:rPr>
          <w:rFonts w:asciiTheme="majorHAnsi" w:hAnsiTheme="majorHAnsi" w:cstheme="majorHAnsi"/>
          <w:sz w:val="24"/>
          <w:szCs w:val="24"/>
        </w:rPr>
        <w:t xml:space="preserve"> was adopted in 2007. </w:t>
      </w:r>
      <w:r w:rsidR="00347CF0">
        <w:rPr>
          <w:rFonts w:asciiTheme="majorHAnsi" w:hAnsiTheme="majorHAnsi" w:cstheme="majorHAnsi"/>
          <w:sz w:val="24"/>
          <w:szCs w:val="24"/>
        </w:rPr>
        <w:t>In its decision, t</w:t>
      </w:r>
      <w:r w:rsidR="007C57D6" w:rsidRPr="007C57D6">
        <w:rPr>
          <w:rFonts w:asciiTheme="majorHAnsi" w:hAnsiTheme="majorHAnsi" w:cstheme="majorHAnsi"/>
          <w:sz w:val="24"/>
          <w:szCs w:val="24"/>
        </w:rPr>
        <w:t xml:space="preserve">he Court refers to the </w:t>
      </w:r>
      <w:r w:rsidR="007C57D6" w:rsidRPr="007C57D6">
        <w:rPr>
          <w:rFonts w:asciiTheme="majorHAnsi" w:hAnsiTheme="majorHAnsi" w:cstheme="majorHAnsi"/>
          <w:i/>
          <w:iCs/>
          <w:sz w:val="24"/>
          <w:szCs w:val="24"/>
        </w:rPr>
        <w:t>UN Declaration</w:t>
      </w:r>
      <w:r w:rsidR="007C57D6" w:rsidRPr="007C57D6">
        <w:rPr>
          <w:rFonts w:asciiTheme="majorHAnsi" w:hAnsiTheme="majorHAnsi" w:cstheme="majorHAnsi"/>
          <w:sz w:val="24"/>
          <w:szCs w:val="24"/>
        </w:rPr>
        <w:t xml:space="preserve"> as being part of “the country’s domestic positive law.” </w:t>
      </w:r>
      <w:r w:rsidRPr="009C5F14">
        <w:rPr>
          <w:rFonts w:asciiTheme="majorHAnsi" w:hAnsiTheme="majorHAnsi" w:cstheme="majorHAnsi"/>
          <w:sz w:val="24"/>
          <w:szCs w:val="24"/>
        </w:rPr>
        <w:t xml:space="preserve">In this way, the decision </w:t>
      </w:r>
      <w:r w:rsidR="00E02ECD" w:rsidRPr="009C5F14">
        <w:rPr>
          <w:rFonts w:asciiTheme="majorHAnsi" w:hAnsiTheme="majorHAnsi" w:cstheme="majorHAnsi"/>
          <w:sz w:val="24"/>
          <w:szCs w:val="24"/>
        </w:rPr>
        <w:t>clearly</w:t>
      </w:r>
      <w:r w:rsidRPr="009C5F14">
        <w:rPr>
          <w:rFonts w:asciiTheme="majorHAnsi" w:hAnsiTheme="majorHAnsi" w:cstheme="majorHAnsi"/>
          <w:sz w:val="24"/>
          <w:szCs w:val="24"/>
        </w:rPr>
        <w:t xml:space="preserve"> affirms the </w:t>
      </w:r>
      <w:r w:rsidR="00E02ECD" w:rsidRPr="009C5F14">
        <w:rPr>
          <w:rFonts w:asciiTheme="majorHAnsi" w:hAnsiTheme="majorHAnsi" w:cstheme="majorHAnsi"/>
          <w:sz w:val="24"/>
          <w:szCs w:val="24"/>
        </w:rPr>
        <w:t>validity – and viability –</w:t>
      </w:r>
      <w:r w:rsidRPr="009C5F14">
        <w:rPr>
          <w:rFonts w:asciiTheme="majorHAnsi" w:hAnsiTheme="majorHAnsi" w:cstheme="majorHAnsi"/>
          <w:sz w:val="24"/>
          <w:szCs w:val="24"/>
        </w:rPr>
        <w:t xml:space="preserve"> of </w:t>
      </w:r>
      <w:r w:rsidR="00E02ECD" w:rsidRPr="009C5F14">
        <w:rPr>
          <w:rFonts w:asciiTheme="majorHAnsi" w:hAnsiTheme="majorHAnsi" w:cstheme="majorHAnsi"/>
          <w:sz w:val="24"/>
          <w:szCs w:val="24"/>
        </w:rPr>
        <w:t xml:space="preserve">using </w:t>
      </w:r>
      <w:r w:rsidRPr="009C5F14">
        <w:rPr>
          <w:rFonts w:asciiTheme="majorHAnsi" w:hAnsiTheme="majorHAnsi" w:cstheme="majorHAnsi"/>
          <w:sz w:val="24"/>
          <w:szCs w:val="24"/>
        </w:rPr>
        <w:t xml:space="preserve">the </w:t>
      </w:r>
      <w:r w:rsidR="008C7D4A">
        <w:rPr>
          <w:rFonts w:asciiTheme="majorHAnsi" w:hAnsiTheme="majorHAnsi" w:cstheme="majorHAnsi"/>
          <w:i/>
          <w:iCs/>
          <w:sz w:val="24"/>
          <w:szCs w:val="24"/>
        </w:rPr>
        <w:t xml:space="preserve">UN </w:t>
      </w:r>
      <w:r w:rsidRPr="008C7D4A">
        <w:rPr>
          <w:rFonts w:asciiTheme="majorHAnsi" w:hAnsiTheme="majorHAnsi" w:cstheme="majorHAnsi"/>
          <w:i/>
          <w:iCs/>
          <w:sz w:val="24"/>
          <w:szCs w:val="24"/>
        </w:rPr>
        <w:t>Declaration</w:t>
      </w:r>
      <w:r w:rsidRPr="009C5F14">
        <w:rPr>
          <w:rFonts w:asciiTheme="majorHAnsi" w:hAnsiTheme="majorHAnsi" w:cstheme="majorHAnsi"/>
          <w:sz w:val="24"/>
          <w:szCs w:val="24"/>
        </w:rPr>
        <w:t xml:space="preserve"> to interpret</w:t>
      </w:r>
      <w:r w:rsidR="00E02ECD" w:rsidRPr="009C5F14">
        <w:rPr>
          <w:rFonts w:asciiTheme="majorHAnsi" w:hAnsiTheme="majorHAnsi" w:cstheme="majorHAnsi"/>
          <w:sz w:val="24"/>
          <w:szCs w:val="24"/>
        </w:rPr>
        <w:t xml:space="preserve"> domestic</w:t>
      </w:r>
      <w:r w:rsidRPr="009C5F14">
        <w:rPr>
          <w:rFonts w:asciiTheme="majorHAnsi" w:hAnsiTheme="majorHAnsi" w:cstheme="majorHAnsi"/>
          <w:sz w:val="24"/>
          <w:szCs w:val="24"/>
        </w:rPr>
        <w:t xml:space="preserve"> laws</w:t>
      </w:r>
      <w:r w:rsidR="00A35B83" w:rsidRPr="009C5F14">
        <w:rPr>
          <w:rFonts w:asciiTheme="majorHAnsi" w:hAnsiTheme="majorHAnsi" w:cstheme="majorHAnsi"/>
          <w:sz w:val="24"/>
          <w:szCs w:val="24"/>
        </w:rPr>
        <w:t xml:space="preserve">. </w:t>
      </w:r>
      <w:r w:rsidR="00E02ECD" w:rsidRPr="009C5F14">
        <w:rPr>
          <w:rFonts w:asciiTheme="majorHAnsi" w:hAnsiTheme="majorHAnsi" w:cstheme="majorHAnsi"/>
          <w:sz w:val="24"/>
          <w:szCs w:val="24"/>
        </w:rPr>
        <w:t xml:space="preserve">The fact that the Court is </w:t>
      </w:r>
      <w:r w:rsidR="00F26E78">
        <w:rPr>
          <w:rFonts w:asciiTheme="majorHAnsi" w:hAnsiTheme="majorHAnsi" w:cstheme="majorHAnsi"/>
          <w:sz w:val="24"/>
          <w:szCs w:val="24"/>
        </w:rPr>
        <w:t xml:space="preserve">only </w:t>
      </w:r>
      <w:r w:rsidR="00E02ECD" w:rsidRPr="009C5F14">
        <w:rPr>
          <w:rFonts w:asciiTheme="majorHAnsi" w:hAnsiTheme="majorHAnsi" w:cstheme="majorHAnsi"/>
          <w:sz w:val="24"/>
          <w:szCs w:val="24"/>
        </w:rPr>
        <w:t xml:space="preserve">now using the </w:t>
      </w:r>
      <w:r w:rsidR="00E02ECD" w:rsidRPr="0020213D">
        <w:rPr>
          <w:rFonts w:asciiTheme="majorHAnsi" w:hAnsiTheme="majorHAnsi" w:cstheme="majorHAnsi"/>
          <w:i/>
          <w:iCs/>
          <w:sz w:val="24"/>
          <w:szCs w:val="24"/>
        </w:rPr>
        <w:t>Declaration</w:t>
      </w:r>
      <w:r w:rsidR="00E02ECD" w:rsidRPr="009C5F14">
        <w:rPr>
          <w:rFonts w:asciiTheme="majorHAnsi" w:hAnsiTheme="majorHAnsi" w:cstheme="majorHAnsi"/>
          <w:sz w:val="24"/>
          <w:szCs w:val="24"/>
        </w:rPr>
        <w:t xml:space="preserve"> in this</w:t>
      </w:r>
      <w:r w:rsidR="00A35B83" w:rsidRPr="009C5F14">
        <w:rPr>
          <w:rFonts w:asciiTheme="majorHAnsi" w:hAnsiTheme="majorHAnsi" w:cstheme="majorHAnsi"/>
          <w:sz w:val="24"/>
          <w:szCs w:val="24"/>
        </w:rPr>
        <w:t xml:space="preserve"> </w:t>
      </w:r>
      <w:r w:rsidR="00F03A17">
        <w:rPr>
          <w:rFonts w:asciiTheme="majorHAnsi" w:hAnsiTheme="majorHAnsi" w:cstheme="majorHAnsi"/>
          <w:sz w:val="24"/>
          <w:szCs w:val="24"/>
        </w:rPr>
        <w:t xml:space="preserve">way </w:t>
      </w:r>
      <w:r w:rsidR="00A35B83" w:rsidRPr="009C5F14">
        <w:rPr>
          <w:rFonts w:asciiTheme="majorHAnsi" w:hAnsiTheme="majorHAnsi" w:cstheme="majorHAnsi"/>
          <w:sz w:val="24"/>
          <w:szCs w:val="24"/>
        </w:rPr>
        <w:t xml:space="preserve">also demonstrates the impact on the judiciary of Canada’s adoption of </w:t>
      </w:r>
      <w:r w:rsidR="00A35B83" w:rsidRPr="0020213D">
        <w:rPr>
          <w:rFonts w:asciiTheme="majorHAnsi" w:hAnsiTheme="majorHAnsi" w:cstheme="majorHAnsi"/>
          <w:i/>
          <w:iCs/>
          <w:sz w:val="24"/>
          <w:szCs w:val="24"/>
        </w:rPr>
        <w:t>UN Declaration</w:t>
      </w:r>
      <w:r w:rsidR="00A35B83" w:rsidRPr="009C5F14">
        <w:rPr>
          <w:rFonts w:asciiTheme="majorHAnsi" w:hAnsiTheme="majorHAnsi" w:cstheme="majorHAnsi"/>
          <w:sz w:val="24"/>
          <w:szCs w:val="24"/>
        </w:rPr>
        <w:t xml:space="preserve"> implementation legislation explicitly recognizing that the </w:t>
      </w:r>
      <w:r w:rsidR="008C7D4A">
        <w:rPr>
          <w:rFonts w:asciiTheme="majorHAnsi" w:hAnsiTheme="majorHAnsi" w:cstheme="majorHAnsi"/>
          <w:i/>
          <w:iCs/>
          <w:sz w:val="24"/>
          <w:szCs w:val="24"/>
        </w:rPr>
        <w:t xml:space="preserve">UN </w:t>
      </w:r>
      <w:r w:rsidR="00A35B83" w:rsidRPr="0020213D">
        <w:rPr>
          <w:rFonts w:asciiTheme="majorHAnsi" w:hAnsiTheme="majorHAnsi" w:cstheme="majorHAnsi"/>
          <w:i/>
          <w:iCs/>
          <w:sz w:val="24"/>
          <w:szCs w:val="24"/>
        </w:rPr>
        <w:t>Declaration</w:t>
      </w:r>
      <w:r w:rsidR="00A35B83" w:rsidRPr="009C5F14">
        <w:rPr>
          <w:rFonts w:asciiTheme="majorHAnsi" w:hAnsiTheme="majorHAnsi" w:cstheme="majorHAnsi"/>
          <w:sz w:val="24"/>
          <w:szCs w:val="24"/>
        </w:rPr>
        <w:t xml:space="preserve"> has application in Canada.</w:t>
      </w:r>
    </w:p>
    <w:p w14:paraId="6B46751E" w14:textId="7D4E9052" w:rsidR="00DC2DAD" w:rsidRPr="009C5F14" w:rsidRDefault="00A35B83" w:rsidP="002D77BA">
      <w:pPr>
        <w:spacing w:before="120" w:after="120"/>
        <w:rPr>
          <w:rFonts w:asciiTheme="majorHAnsi" w:hAnsiTheme="majorHAnsi" w:cstheme="majorHAnsi"/>
          <w:sz w:val="24"/>
          <w:szCs w:val="24"/>
        </w:rPr>
      </w:pPr>
      <w:r w:rsidRPr="009C5F14">
        <w:rPr>
          <w:rFonts w:asciiTheme="majorHAnsi" w:hAnsiTheme="majorHAnsi" w:cstheme="majorHAnsi"/>
          <w:sz w:val="24"/>
          <w:szCs w:val="24"/>
        </w:rPr>
        <w:lastRenderedPageBreak/>
        <w:t>The</w:t>
      </w:r>
      <w:r w:rsidR="0020213D">
        <w:rPr>
          <w:rFonts w:asciiTheme="majorHAnsi" w:hAnsiTheme="majorHAnsi" w:cstheme="majorHAnsi"/>
          <w:sz w:val="24"/>
          <w:szCs w:val="24"/>
        </w:rPr>
        <w:t xml:space="preserve"> </w:t>
      </w:r>
      <w:r w:rsidRPr="009C5F14">
        <w:rPr>
          <w:rFonts w:asciiTheme="majorHAnsi" w:hAnsiTheme="majorHAnsi" w:cstheme="majorHAnsi"/>
          <w:sz w:val="24"/>
          <w:szCs w:val="24"/>
        </w:rPr>
        <w:t>decision is also significant because it enables First Nations, Inuit</w:t>
      </w:r>
      <w:r w:rsidR="00F26E78">
        <w:rPr>
          <w:rFonts w:asciiTheme="majorHAnsi" w:hAnsiTheme="majorHAnsi" w:cstheme="majorHAnsi"/>
          <w:sz w:val="24"/>
          <w:szCs w:val="24"/>
        </w:rPr>
        <w:t>,</w:t>
      </w:r>
      <w:r w:rsidRPr="009C5F14">
        <w:rPr>
          <w:rFonts w:asciiTheme="majorHAnsi" w:hAnsiTheme="majorHAnsi" w:cstheme="majorHAnsi"/>
          <w:sz w:val="24"/>
          <w:szCs w:val="24"/>
        </w:rPr>
        <w:t xml:space="preserve"> and Métis governments to proceed with enacting their own child and family laws, </w:t>
      </w:r>
      <w:r w:rsidR="00BF2430">
        <w:rPr>
          <w:rFonts w:asciiTheme="majorHAnsi" w:hAnsiTheme="majorHAnsi" w:cstheme="majorHAnsi"/>
          <w:sz w:val="24"/>
          <w:szCs w:val="24"/>
        </w:rPr>
        <w:t>without fear of</w:t>
      </w:r>
      <w:r w:rsidRPr="009C5F14">
        <w:rPr>
          <w:rFonts w:asciiTheme="majorHAnsi" w:hAnsiTheme="majorHAnsi" w:cstheme="majorHAnsi"/>
          <w:sz w:val="24"/>
          <w:szCs w:val="24"/>
        </w:rPr>
        <w:t xml:space="preserve"> challenges from provincial and territorial governments. In recognizing Indigenous governments as a distinct order of government, able to exercise their own jurisdiction, to function alongside and in cooperation with other orders of government, </w:t>
      </w:r>
      <w:r w:rsidR="00DC2DAD" w:rsidRPr="009C5F14">
        <w:rPr>
          <w:rFonts w:asciiTheme="majorHAnsi" w:hAnsiTheme="majorHAnsi" w:cstheme="majorHAnsi"/>
          <w:sz w:val="24"/>
          <w:szCs w:val="24"/>
        </w:rPr>
        <w:t xml:space="preserve">points to an important pathway for reconciliation and rights recognition through legislation and judicial processes.  </w:t>
      </w:r>
    </w:p>
    <w:p w14:paraId="2C7A9D7C" w14:textId="4A03A382" w:rsidR="00201D6C" w:rsidRPr="009C5F14" w:rsidRDefault="00DC2DAD" w:rsidP="002D77BA">
      <w:pPr>
        <w:spacing w:before="120" w:after="120"/>
        <w:rPr>
          <w:rFonts w:asciiTheme="majorHAnsi" w:hAnsiTheme="majorHAnsi" w:cstheme="majorHAnsi"/>
          <w:sz w:val="24"/>
          <w:szCs w:val="24"/>
        </w:rPr>
      </w:pPr>
      <w:r w:rsidRPr="009C5F14">
        <w:rPr>
          <w:rFonts w:asciiTheme="majorHAnsi" w:hAnsiTheme="majorHAnsi" w:cstheme="majorHAnsi"/>
          <w:sz w:val="24"/>
          <w:szCs w:val="24"/>
        </w:rPr>
        <w:t xml:space="preserve">The Coalition would like to encourage EMRIP and other </w:t>
      </w:r>
      <w:r w:rsidR="008B6887">
        <w:rPr>
          <w:rFonts w:asciiTheme="majorHAnsi" w:hAnsiTheme="majorHAnsi" w:cstheme="majorHAnsi"/>
          <w:sz w:val="24"/>
          <w:szCs w:val="24"/>
        </w:rPr>
        <w:t>S</w:t>
      </w:r>
      <w:r w:rsidRPr="009C5F14">
        <w:rPr>
          <w:rFonts w:asciiTheme="majorHAnsi" w:hAnsiTheme="majorHAnsi" w:cstheme="majorHAnsi"/>
          <w:sz w:val="24"/>
          <w:szCs w:val="24"/>
        </w:rPr>
        <w:t>tates to consider how this model might be applied more widely.</w:t>
      </w:r>
      <w:r w:rsidR="00607C44">
        <w:rPr>
          <w:rStyle w:val="FootnoteReference"/>
          <w:rFonts w:asciiTheme="majorHAnsi" w:hAnsiTheme="majorHAnsi" w:cstheme="majorHAnsi"/>
          <w:sz w:val="24"/>
          <w:szCs w:val="24"/>
        </w:rPr>
        <w:footnoteReference w:id="1"/>
      </w:r>
    </w:p>
    <w:p w14:paraId="0000000B" w14:textId="08A486AD" w:rsidR="00C85369" w:rsidRPr="002D77BA" w:rsidRDefault="00E02ECD" w:rsidP="002D77BA">
      <w:pPr>
        <w:spacing w:before="120" w:after="120"/>
        <w:rPr>
          <w:rFonts w:asciiTheme="majorHAnsi" w:eastAsia="Times New Roman" w:hAnsiTheme="majorHAnsi" w:cstheme="majorHAnsi"/>
          <w:sz w:val="24"/>
          <w:szCs w:val="24"/>
          <w:lang w:val="en-CA"/>
        </w:rPr>
      </w:pPr>
      <w:r w:rsidRPr="009C5F14">
        <w:rPr>
          <w:rFonts w:asciiTheme="majorHAnsi" w:hAnsiTheme="majorHAnsi" w:cstheme="majorHAnsi"/>
          <w:sz w:val="24"/>
          <w:szCs w:val="24"/>
        </w:rPr>
        <w:t xml:space="preserve">The Coalition </w:t>
      </w:r>
      <w:r w:rsidR="00F03A17">
        <w:rPr>
          <w:rFonts w:asciiTheme="majorHAnsi" w:hAnsiTheme="majorHAnsi" w:cstheme="majorHAnsi"/>
          <w:sz w:val="24"/>
          <w:szCs w:val="24"/>
        </w:rPr>
        <w:t xml:space="preserve">also </w:t>
      </w:r>
      <w:r w:rsidRPr="009C5F14">
        <w:rPr>
          <w:rFonts w:asciiTheme="majorHAnsi" w:hAnsiTheme="majorHAnsi" w:cstheme="majorHAnsi"/>
          <w:sz w:val="24"/>
          <w:szCs w:val="24"/>
        </w:rPr>
        <w:t xml:space="preserve">notes </w:t>
      </w:r>
      <w:r w:rsidR="009C5F14" w:rsidRPr="009C5F14">
        <w:rPr>
          <w:rFonts w:asciiTheme="majorHAnsi" w:hAnsiTheme="majorHAnsi" w:cstheme="majorHAnsi"/>
          <w:sz w:val="24"/>
          <w:szCs w:val="24"/>
        </w:rPr>
        <w:t>that Articles 26, 27, and 40</w:t>
      </w:r>
      <w:r w:rsidRPr="009C5F14">
        <w:rPr>
          <w:rFonts w:asciiTheme="majorHAnsi" w:hAnsiTheme="majorHAnsi" w:cstheme="majorHAnsi"/>
          <w:sz w:val="24"/>
          <w:szCs w:val="24"/>
        </w:rPr>
        <w:t xml:space="preserve"> </w:t>
      </w:r>
      <w:r w:rsidR="009C5F14" w:rsidRPr="009C5F14">
        <w:rPr>
          <w:rFonts w:asciiTheme="majorHAnsi" w:hAnsiTheme="majorHAnsi" w:cstheme="majorHAnsi"/>
          <w:sz w:val="24"/>
          <w:szCs w:val="24"/>
        </w:rPr>
        <w:t xml:space="preserve">of the </w:t>
      </w:r>
      <w:r w:rsidRPr="0086532B">
        <w:rPr>
          <w:rFonts w:asciiTheme="majorHAnsi" w:hAnsiTheme="majorHAnsi" w:cstheme="majorHAnsi"/>
          <w:i/>
          <w:iCs/>
          <w:sz w:val="24"/>
          <w:szCs w:val="24"/>
        </w:rPr>
        <w:t>UN Declaration</w:t>
      </w:r>
      <w:r w:rsidR="009C5F14" w:rsidRPr="009C5F14">
        <w:rPr>
          <w:rFonts w:asciiTheme="majorHAnsi" w:hAnsiTheme="majorHAnsi" w:cstheme="majorHAnsi"/>
          <w:sz w:val="24"/>
          <w:szCs w:val="24"/>
        </w:rPr>
        <w:t xml:space="preserve"> – which call </w:t>
      </w:r>
      <w:r w:rsidR="00AD24DA">
        <w:rPr>
          <w:rFonts w:asciiTheme="majorHAnsi" w:hAnsiTheme="majorHAnsi" w:cstheme="majorHAnsi"/>
          <w:sz w:val="24"/>
          <w:szCs w:val="24"/>
        </w:rPr>
        <w:t xml:space="preserve">for </w:t>
      </w:r>
      <w:r w:rsidR="009C5F14" w:rsidRPr="009C5F14">
        <w:rPr>
          <w:rFonts w:asciiTheme="majorHAnsi" w:hAnsiTheme="majorHAnsi" w:cstheme="majorHAnsi"/>
          <w:sz w:val="24"/>
          <w:szCs w:val="24"/>
        </w:rPr>
        <w:t xml:space="preserve">implementation of the rights of Indigenous Peoples through formal legal recognition and judicial processes – all include the requirement </w:t>
      </w:r>
      <w:r w:rsidR="002B7E17">
        <w:rPr>
          <w:rFonts w:asciiTheme="majorHAnsi" w:hAnsiTheme="majorHAnsi" w:cstheme="majorHAnsi"/>
          <w:sz w:val="24"/>
          <w:szCs w:val="24"/>
        </w:rPr>
        <w:t>of</w:t>
      </w:r>
      <w:r w:rsidR="009C5F14" w:rsidRPr="009C5F14">
        <w:rPr>
          <w:rFonts w:asciiTheme="majorHAnsi" w:hAnsiTheme="majorHAnsi" w:cstheme="majorHAnsi"/>
          <w:sz w:val="24"/>
          <w:szCs w:val="24"/>
        </w:rPr>
        <w:t xml:space="preserve"> “due recognition” </w:t>
      </w:r>
      <w:r w:rsidR="002B7E17">
        <w:rPr>
          <w:rFonts w:asciiTheme="majorHAnsi" w:hAnsiTheme="majorHAnsi" w:cstheme="majorHAnsi"/>
          <w:sz w:val="24"/>
          <w:szCs w:val="24"/>
        </w:rPr>
        <w:t>for</w:t>
      </w:r>
      <w:r w:rsidR="009C5F14" w:rsidRPr="009C5F14">
        <w:rPr>
          <w:rFonts w:asciiTheme="majorHAnsi" w:hAnsiTheme="majorHAnsi" w:cstheme="majorHAnsi"/>
          <w:sz w:val="24"/>
          <w:szCs w:val="24"/>
        </w:rPr>
        <w:t xml:space="preserve"> Indigenous Peoples laws, </w:t>
      </w:r>
      <w:r w:rsidR="009C5F14" w:rsidRPr="009C5F14">
        <w:rPr>
          <w:rFonts w:asciiTheme="majorHAnsi" w:eastAsia="Times New Roman" w:hAnsiTheme="majorHAnsi" w:cstheme="majorHAnsi"/>
          <w:sz w:val="24"/>
          <w:szCs w:val="24"/>
          <w:lang w:val="en-CA"/>
        </w:rPr>
        <w:t xml:space="preserve">customs and traditions. </w:t>
      </w:r>
    </w:p>
    <w:p w14:paraId="7AFE102F" w14:textId="37016755" w:rsidR="00D7037A" w:rsidRPr="000E6D4C" w:rsidRDefault="000E6D4C" w:rsidP="002D77BA">
      <w:pPr>
        <w:spacing w:before="120" w:after="120"/>
        <w:rPr>
          <w:rFonts w:asciiTheme="majorHAnsi" w:hAnsiTheme="majorHAnsi" w:cstheme="majorHAnsi"/>
          <w:sz w:val="24"/>
          <w:szCs w:val="24"/>
        </w:rPr>
      </w:pPr>
      <w:r>
        <w:rPr>
          <w:rFonts w:asciiTheme="majorHAnsi" w:hAnsiTheme="majorHAnsi" w:cstheme="majorHAnsi"/>
          <w:sz w:val="24"/>
          <w:szCs w:val="24"/>
        </w:rPr>
        <w:t>Finally, p</w:t>
      </w:r>
      <w:r w:rsidRPr="000E6D4C">
        <w:rPr>
          <w:rFonts w:asciiTheme="majorHAnsi" w:hAnsiTheme="majorHAnsi" w:cstheme="majorHAnsi"/>
          <w:sz w:val="24"/>
          <w:szCs w:val="24"/>
        </w:rPr>
        <w:t xml:space="preserve">aragraph </w:t>
      </w:r>
      <w:r>
        <w:rPr>
          <w:rFonts w:asciiTheme="majorHAnsi" w:hAnsiTheme="majorHAnsi" w:cstheme="majorHAnsi"/>
          <w:sz w:val="24"/>
          <w:szCs w:val="24"/>
        </w:rPr>
        <w:t>72</w:t>
      </w:r>
      <w:r w:rsidRPr="000E6D4C">
        <w:rPr>
          <w:rFonts w:asciiTheme="majorHAnsi" w:hAnsiTheme="majorHAnsi" w:cstheme="majorHAnsi"/>
          <w:sz w:val="24"/>
          <w:szCs w:val="24"/>
        </w:rPr>
        <w:t xml:space="preserve"> </w:t>
      </w:r>
      <w:r w:rsidR="0086532B">
        <w:rPr>
          <w:rFonts w:asciiTheme="majorHAnsi" w:hAnsiTheme="majorHAnsi" w:cstheme="majorHAnsi"/>
          <w:sz w:val="24"/>
          <w:szCs w:val="24"/>
        </w:rPr>
        <w:t xml:space="preserve">of the decision </w:t>
      </w:r>
      <w:r w:rsidRPr="000E6D4C">
        <w:rPr>
          <w:rFonts w:asciiTheme="majorHAnsi" w:hAnsiTheme="majorHAnsi" w:cstheme="majorHAnsi"/>
          <w:sz w:val="24"/>
          <w:szCs w:val="24"/>
        </w:rPr>
        <w:t xml:space="preserve">refers to </w:t>
      </w:r>
      <w:r>
        <w:rPr>
          <w:rFonts w:asciiTheme="majorHAnsi" w:hAnsiTheme="majorHAnsi" w:cstheme="majorHAnsi"/>
          <w:sz w:val="24"/>
          <w:szCs w:val="24"/>
        </w:rPr>
        <w:t xml:space="preserve">Canada’s adoption of an action plan </w:t>
      </w:r>
      <w:r w:rsidRPr="000E6D4C">
        <w:rPr>
          <w:rFonts w:asciiTheme="majorHAnsi" w:hAnsiTheme="majorHAnsi" w:cstheme="majorHAnsi"/>
          <w:sz w:val="24"/>
          <w:szCs w:val="24"/>
        </w:rPr>
        <w:t xml:space="preserve">for implementing the </w:t>
      </w:r>
      <w:r w:rsidRPr="0086532B">
        <w:rPr>
          <w:rFonts w:asciiTheme="majorHAnsi" w:hAnsiTheme="majorHAnsi" w:cstheme="majorHAnsi"/>
          <w:i/>
          <w:iCs/>
          <w:sz w:val="24"/>
          <w:szCs w:val="24"/>
        </w:rPr>
        <w:t>UN Declaration</w:t>
      </w:r>
      <w:r>
        <w:rPr>
          <w:rFonts w:asciiTheme="majorHAnsi" w:hAnsiTheme="majorHAnsi" w:cstheme="majorHAnsi"/>
          <w:sz w:val="24"/>
          <w:szCs w:val="24"/>
        </w:rPr>
        <w:t xml:space="preserve"> at the federal level</w:t>
      </w:r>
      <w:r w:rsidR="00F11718">
        <w:rPr>
          <w:rFonts w:asciiTheme="majorHAnsi" w:hAnsiTheme="majorHAnsi" w:cstheme="majorHAnsi"/>
          <w:sz w:val="24"/>
          <w:szCs w:val="24"/>
        </w:rPr>
        <w:t xml:space="preserve">. </w:t>
      </w:r>
      <w:r w:rsidR="00F11718" w:rsidRPr="000E6D4C">
        <w:rPr>
          <w:rFonts w:asciiTheme="majorHAnsi" w:hAnsiTheme="majorHAnsi" w:cstheme="majorHAnsi"/>
          <w:sz w:val="24"/>
          <w:szCs w:val="24"/>
        </w:rPr>
        <w:t>S</w:t>
      </w:r>
      <w:r w:rsidR="00F11718">
        <w:rPr>
          <w:rFonts w:asciiTheme="majorHAnsi" w:hAnsiTheme="majorHAnsi" w:cstheme="majorHAnsi"/>
          <w:sz w:val="24"/>
          <w:szCs w:val="24"/>
        </w:rPr>
        <w:t xml:space="preserve">hared priority </w:t>
      </w:r>
      <w:r w:rsidR="00F11718" w:rsidRPr="000E6D4C">
        <w:rPr>
          <w:rFonts w:asciiTheme="majorHAnsi" w:hAnsiTheme="majorHAnsi" w:cstheme="majorHAnsi"/>
          <w:sz w:val="24"/>
          <w:szCs w:val="24"/>
        </w:rPr>
        <w:t xml:space="preserve">19 </w:t>
      </w:r>
      <w:r w:rsidR="00F11718">
        <w:rPr>
          <w:rFonts w:asciiTheme="majorHAnsi" w:hAnsiTheme="majorHAnsi" w:cstheme="majorHAnsi"/>
          <w:sz w:val="24"/>
          <w:szCs w:val="24"/>
        </w:rPr>
        <w:t xml:space="preserve">of the action plan </w:t>
      </w:r>
      <w:r w:rsidR="00F11718" w:rsidRPr="000E6D4C">
        <w:rPr>
          <w:rFonts w:asciiTheme="majorHAnsi" w:hAnsiTheme="majorHAnsi" w:cstheme="majorHAnsi"/>
          <w:sz w:val="24"/>
          <w:szCs w:val="24"/>
        </w:rPr>
        <w:t xml:space="preserve">requires the Government of Canada, in consultation and cooperation with Indigenous </w:t>
      </w:r>
      <w:r w:rsidR="00A16610">
        <w:rPr>
          <w:rFonts w:asciiTheme="majorHAnsi" w:hAnsiTheme="majorHAnsi" w:cstheme="majorHAnsi"/>
          <w:sz w:val="24"/>
          <w:szCs w:val="24"/>
        </w:rPr>
        <w:t>P</w:t>
      </w:r>
      <w:r w:rsidR="00F11718" w:rsidRPr="000E6D4C">
        <w:rPr>
          <w:rFonts w:asciiTheme="majorHAnsi" w:hAnsiTheme="majorHAnsi" w:cstheme="majorHAnsi"/>
          <w:sz w:val="24"/>
          <w:szCs w:val="24"/>
        </w:rPr>
        <w:t xml:space="preserve">eoples, to “establish an </w:t>
      </w:r>
      <w:bookmarkStart w:id="0" w:name="_Hlk170895745"/>
      <w:r w:rsidR="00F11718" w:rsidRPr="000E6D4C">
        <w:rPr>
          <w:rFonts w:asciiTheme="majorHAnsi" w:hAnsiTheme="majorHAnsi" w:cstheme="majorHAnsi"/>
          <w:sz w:val="24"/>
          <w:szCs w:val="24"/>
        </w:rPr>
        <w:t xml:space="preserve">independent Indigenous rights monitoring, oversight, recourse or remedy mechanism or mechanisms </w:t>
      </w:r>
      <w:bookmarkEnd w:id="0"/>
      <w:r w:rsidR="00F11718" w:rsidRPr="000E6D4C">
        <w:rPr>
          <w:rFonts w:asciiTheme="majorHAnsi" w:hAnsiTheme="majorHAnsi" w:cstheme="majorHAnsi"/>
          <w:sz w:val="24"/>
          <w:szCs w:val="24"/>
        </w:rPr>
        <w:t xml:space="preserve">to provide Indigenous peoples with access to and prompt decision through just and fair procedures for dispute and conflict resolution and effective remedies for infringements/violations of their individual and collective rights”. </w:t>
      </w:r>
      <w:r w:rsidR="00D7037A">
        <w:rPr>
          <w:rFonts w:asciiTheme="majorHAnsi" w:hAnsiTheme="majorHAnsi" w:cstheme="majorHAnsi"/>
          <w:sz w:val="24"/>
          <w:szCs w:val="24"/>
        </w:rPr>
        <w:t xml:space="preserve">The </w:t>
      </w:r>
      <w:r w:rsidR="00D7037A" w:rsidRPr="00D7037A">
        <w:rPr>
          <w:rFonts w:asciiTheme="majorHAnsi" w:hAnsiTheme="majorHAnsi" w:cstheme="majorHAnsi"/>
          <w:sz w:val="24"/>
          <w:szCs w:val="24"/>
        </w:rPr>
        <w:t xml:space="preserve">functions </w:t>
      </w:r>
      <w:r w:rsidR="00D7037A">
        <w:rPr>
          <w:rFonts w:asciiTheme="majorHAnsi" w:hAnsiTheme="majorHAnsi" w:cstheme="majorHAnsi"/>
          <w:sz w:val="24"/>
          <w:szCs w:val="24"/>
        </w:rPr>
        <w:t xml:space="preserve">of such mechanisms </w:t>
      </w:r>
      <w:r w:rsidR="00D7037A" w:rsidRPr="00D7037A">
        <w:rPr>
          <w:rFonts w:asciiTheme="majorHAnsi" w:hAnsiTheme="majorHAnsi" w:cstheme="majorHAnsi"/>
          <w:sz w:val="24"/>
          <w:szCs w:val="24"/>
        </w:rPr>
        <w:t xml:space="preserve">could also include “advancing, monitoring and/or reporting on implementation of the </w:t>
      </w:r>
      <w:r w:rsidR="00D7037A" w:rsidRPr="00151033">
        <w:rPr>
          <w:rFonts w:asciiTheme="majorHAnsi" w:hAnsiTheme="majorHAnsi" w:cstheme="majorHAnsi"/>
          <w:i/>
          <w:iCs/>
          <w:sz w:val="24"/>
          <w:szCs w:val="24"/>
        </w:rPr>
        <w:t>UN Declaration</w:t>
      </w:r>
      <w:r w:rsidR="00D7037A" w:rsidRPr="00D7037A">
        <w:rPr>
          <w:rFonts w:asciiTheme="majorHAnsi" w:hAnsiTheme="majorHAnsi" w:cstheme="majorHAnsi"/>
          <w:sz w:val="24"/>
          <w:szCs w:val="24"/>
        </w:rPr>
        <w:t xml:space="preserve"> and the </w:t>
      </w:r>
      <w:r w:rsidR="00D7037A" w:rsidRPr="00151033">
        <w:rPr>
          <w:rFonts w:asciiTheme="majorHAnsi" w:hAnsiTheme="majorHAnsi" w:cstheme="majorHAnsi"/>
          <w:i/>
          <w:iCs/>
          <w:sz w:val="24"/>
          <w:szCs w:val="24"/>
        </w:rPr>
        <w:t>UN Declaration Act</w:t>
      </w:r>
      <w:r w:rsidR="00D7037A" w:rsidRPr="00D7037A">
        <w:rPr>
          <w:rFonts w:asciiTheme="majorHAnsi" w:hAnsiTheme="majorHAnsi" w:cstheme="majorHAnsi"/>
          <w:sz w:val="24"/>
          <w:szCs w:val="24"/>
        </w:rPr>
        <w:t>, as part of ensuring accountability; promoting Indigenous rights through research and education; advancing initiatives to prevent and end systemic discrimination and other human rights violations experienced by Indigenous peoples; and contributing to the goal of rebuilding Indigenous governance and ongoing implementation of international human rights instruments in Canadian law.</w:t>
      </w:r>
      <w:r w:rsidR="00486627">
        <w:rPr>
          <w:rFonts w:asciiTheme="majorHAnsi" w:hAnsiTheme="majorHAnsi" w:cstheme="majorHAnsi"/>
          <w:sz w:val="24"/>
          <w:szCs w:val="24"/>
        </w:rPr>
        <w:t>”</w:t>
      </w:r>
      <w:r w:rsidR="00D7037A">
        <w:rPr>
          <w:rFonts w:asciiTheme="majorHAnsi" w:hAnsiTheme="majorHAnsi" w:cstheme="majorHAnsi"/>
          <w:sz w:val="24"/>
          <w:szCs w:val="24"/>
        </w:rPr>
        <w:t xml:space="preserve"> </w:t>
      </w:r>
      <w:r w:rsidR="00DB196C">
        <w:rPr>
          <w:rFonts w:asciiTheme="majorHAnsi" w:hAnsiTheme="majorHAnsi" w:cstheme="majorHAnsi"/>
          <w:sz w:val="24"/>
          <w:szCs w:val="24"/>
        </w:rPr>
        <w:t xml:space="preserve">If </w:t>
      </w:r>
      <w:r w:rsidR="00A16610">
        <w:rPr>
          <w:rFonts w:asciiTheme="majorHAnsi" w:hAnsiTheme="majorHAnsi" w:cstheme="majorHAnsi"/>
          <w:sz w:val="24"/>
          <w:szCs w:val="24"/>
        </w:rPr>
        <w:t xml:space="preserve">properly established with </w:t>
      </w:r>
      <w:r w:rsidR="00DB196C">
        <w:rPr>
          <w:rFonts w:asciiTheme="majorHAnsi" w:hAnsiTheme="majorHAnsi" w:cstheme="majorHAnsi"/>
          <w:sz w:val="24"/>
          <w:szCs w:val="24"/>
        </w:rPr>
        <w:t>effective</w:t>
      </w:r>
      <w:r w:rsidR="00A16610">
        <w:rPr>
          <w:rFonts w:asciiTheme="majorHAnsi" w:hAnsiTheme="majorHAnsi" w:cstheme="majorHAnsi"/>
          <w:sz w:val="24"/>
          <w:szCs w:val="24"/>
        </w:rPr>
        <w:t xml:space="preserve"> powers and proper resources, </w:t>
      </w:r>
      <w:r w:rsidR="00DB196C">
        <w:rPr>
          <w:rFonts w:asciiTheme="majorHAnsi" w:hAnsiTheme="majorHAnsi" w:cstheme="majorHAnsi"/>
          <w:sz w:val="24"/>
          <w:szCs w:val="24"/>
        </w:rPr>
        <w:t>t</w:t>
      </w:r>
      <w:r w:rsidR="00D7037A" w:rsidRPr="000E6D4C">
        <w:rPr>
          <w:rFonts w:asciiTheme="majorHAnsi" w:hAnsiTheme="majorHAnsi" w:cstheme="majorHAnsi"/>
          <w:sz w:val="24"/>
          <w:szCs w:val="24"/>
        </w:rPr>
        <w:t>he</w:t>
      </w:r>
      <w:r w:rsidR="00D7037A">
        <w:rPr>
          <w:rFonts w:asciiTheme="majorHAnsi" w:hAnsiTheme="majorHAnsi" w:cstheme="majorHAnsi"/>
          <w:sz w:val="24"/>
          <w:szCs w:val="24"/>
        </w:rPr>
        <w:t xml:space="preserve">se </w:t>
      </w:r>
      <w:r w:rsidR="00D7037A" w:rsidRPr="000E6D4C">
        <w:rPr>
          <w:rFonts w:asciiTheme="majorHAnsi" w:hAnsiTheme="majorHAnsi" w:cstheme="majorHAnsi"/>
          <w:sz w:val="24"/>
          <w:szCs w:val="24"/>
        </w:rPr>
        <w:t>mechanism</w:t>
      </w:r>
      <w:r w:rsidR="00D7037A">
        <w:rPr>
          <w:rFonts w:asciiTheme="majorHAnsi" w:hAnsiTheme="majorHAnsi" w:cstheme="majorHAnsi"/>
          <w:sz w:val="24"/>
          <w:szCs w:val="24"/>
        </w:rPr>
        <w:t>s</w:t>
      </w:r>
      <w:r w:rsidR="00D7037A" w:rsidRPr="000E6D4C">
        <w:rPr>
          <w:rFonts w:asciiTheme="majorHAnsi" w:hAnsiTheme="majorHAnsi" w:cstheme="majorHAnsi"/>
          <w:sz w:val="24"/>
          <w:szCs w:val="24"/>
        </w:rPr>
        <w:t xml:space="preserve"> </w:t>
      </w:r>
      <w:r w:rsidR="00DB196C">
        <w:rPr>
          <w:rFonts w:asciiTheme="majorHAnsi" w:hAnsiTheme="majorHAnsi" w:cstheme="majorHAnsi"/>
          <w:sz w:val="24"/>
          <w:szCs w:val="24"/>
        </w:rPr>
        <w:t xml:space="preserve">have the potential to </w:t>
      </w:r>
      <w:r w:rsidR="00D7037A" w:rsidRPr="000E6D4C">
        <w:rPr>
          <w:rFonts w:asciiTheme="majorHAnsi" w:hAnsiTheme="majorHAnsi" w:cstheme="majorHAnsi"/>
          <w:sz w:val="24"/>
          <w:szCs w:val="24"/>
        </w:rPr>
        <w:t>remove barriers to justice for Indigenous Peoples by eliminating the need to institute costly and time-consuming legal proceedings.</w:t>
      </w:r>
    </w:p>
    <w:p w14:paraId="4EB84BD2" w14:textId="7FBFCA0A" w:rsidR="00D7037A" w:rsidRDefault="00D7037A" w:rsidP="002D77BA">
      <w:pPr>
        <w:spacing w:before="120" w:after="120"/>
        <w:rPr>
          <w:rFonts w:asciiTheme="majorHAnsi" w:hAnsiTheme="majorHAnsi" w:cstheme="majorHAnsi"/>
          <w:sz w:val="24"/>
          <w:szCs w:val="24"/>
        </w:rPr>
      </w:pPr>
    </w:p>
    <w:p w14:paraId="21820967" w14:textId="77777777" w:rsidR="00D7037A" w:rsidRDefault="00D7037A" w:rsidP="002D77BA">
      <w:pPr>
        <w:spacing w:before="120" w:after="120"/>
        <w:rPr>
          <w:rFonts w:asciiTheme="majorHAnsi" w:hAnsiTheme="majorHAnsi" w:cstheme="majorHAnsi"/>
          <w:sz w:val="24"/>
          <w:szCs w:val="24"/>
        </w:rPr>
      </w:pPr>
    </w:p>
    <w:p w14:paraId="00000010" w14:textId="542D61AE" w:rsidR="00C85369" w:rsidRPr="009C5F14" w:rsidRDefault="00C85369" w:rsidP="002D77BA">
      <w:pPr>
        <w:spacing w:before="120" w:after="120"/>
        <w:rPr>
          <w:rFonts w:asciiTheme="majorHAnsi" w:hAnsiTheme="majorHAnsi" w:cstheme="majorHAnsi"/>
          <w:sz w:val="24"/>
          <w:szCs w:val="24"/>
        </w:rPr>
      </w:pPr>
    </w:p>
    <w:sectPr w:rsidR="00C85369" w:rsidRPr="009C5F14">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C6C6" w14:textId="77777777" w:rsidR="00FA6899" w:rsidRDefault="00FA6899" w:rsidP="00082300">
      <w:pPr>
        <w:spacing w:line="240" w:lineRule="auto"/>
      </w:pPr>
      <w:r>
        <w:separator/>
      </w:r>
    </w:p>
  </w:endnote>
  <w:endnote w:type="continuationSeparator" w:id="0">
    <w:p w14:paraId="4EBAD6BD" w14:textId="77777777" w:rsidR="00FA6899" w:rsidRDefault="00FA6899" w:rsidP="00082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4822" w14:textId="77777777" w:rsidR="00F30474" w:rsidRDefault="00F30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3E3E" w14:textId="77777777" w:rsidR="00F30474" w:rsidRDefault="00F30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AB1F" w14:textId="77777777" w:rsidR="00F30474" w:rsidRDefault="00F3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511AC" w14:textId="77777777" w:rsidR="00FA6899" w:rsidRDefault="00FA6899" w:rsidP="00082300">
      <w:pPr>
        <w:spacing w:line="240" w:lineRule="auto"/>
      </w:pPr>
      <w:r>
        <w:separator/>
      </w:r>
    </w:p>
  </w:footnote>
  <w:footnote w:type="continuationSeparator" w:id="0">
    <w:p w14:paraId="4F681916" w14:textId="77777777" w:rsidR="00FA6899" w:rsidRDefault="00FA6899" w:rsidP="00082300">
      <w:pPr>
        <w:spacing w:line="240" w:lineRule="auto"/>
      </w:pPr>
      <w:r>
        <w:continuationSeparator/>
      </w:r>
    </w:p>
  </w:footnote>
  <w:footnote w:id="1">
    <w:p w14:paraId="3FE0D289" w14:textId="60C3ACDA" w:rsidR="00607C44" w:rsidRPr="00607C44" w:rsidRDefault="00607C44">
      <w:pPr>
        <w:pStyle w:val="FootnoteText"/>
        <w:rPr>
          <w:lang w:val="en-US"/>
        </w:rPr>
      </w:pPr>
      <w:r>
        <w:rPr>
          <w:rStyle w:val="FootnoteReference"/>
        </w:rPr>
        <w:footnoteRef/>
      </w:r>
      <w:r>
        <w:t xml:space="preserve"> </w:t>
      </w:r>
      <w:r>
        <w:rPr>
          <w:lang w:val="en-US"/>
        </w:rPr>
        <w:t xml:space="preserve">Further commentary on this decision, and a subsequent Supreme Court decision, can be found at: </w:t>
      </w:r>
      <w:r w:rsidR="00D3284F">
        <w:rPr>
          <w:lang w:val="en-US"/>
        </w:rPr>
        <w:t>Coalition for the Human Rights of Indigenous Peoples, “</w:t>
      </w:r>
      <w:r w:rsidR="00D3284F" w:rsidRPr="00D3284F">
        <w:rPr>
          <w:lang w:val="en-US"/>
        </w:rPr>
        <w:t>Supreme Court of Canada decisions underline the significance of the UN Declaration on the Rights of Indigenous Peoples in Canadian law</w:t>
      </w:r>
      <w:r w:rsidR="00D3284F">
        <w:rPr>
          <w:lang w:val="en-US"/>
        </w:rPr>
        <w:t xml:space="preserve">,” Public Statement, 24 May 2024. </w:t>
      </w:r>
      <w:r w:rsidR="00D3284F" w:rsidRPr="00D3284F">
        <w:rPr>
          <w:lang w:val="en-US"/>
        </w:rPr>
        <w:t>https://www.declarationcoalition.com/2024/05/24/coalition-statement-supreme-court-of-canada-decisions-underline-the-significance-of-the-un-declaration-on-the-rights-of-indigenous-peoples-in-canadian-law/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06EC" w14:textId="77777777" w:rsidR="00F30474" w:rsidRDefault="00F30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4E32A" w14:textId="77777777" w:rsidR="00F30474" w:rsidRDefault="00F30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D476" w14:textId="77777777" w:rsidR="00F30474" w:rsidRDefault="00F30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2DDA"/>
    <w:multiLevelType w:val="multilevel"/>
    <w:tmpl w:val="6FB60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09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63117899||2~2||3~2024.06.27 Coalition statement on EMRIP study of laws and legal processes (Rev. GCCEI-Cree Nation Government July 3, 2024)||5~BLANCHED||6~BLANCHED||7~WORDX||8~SOURCE||10~2024-07-03 15:02:00||11~2024-07-03 14:01:13||13~27349||14~False||17~public||18~BLANCHED||19~BLANCHED||21~True||22~True||23~False||24~GCCEI/Cree Nation Government comments July 3, 2024||25~123973||26~L78040344||27~061||28~HURLEYJ||53~ADV||54~ADV10||60~Cree Nation Government||61~International Indigenous Rights||62~Montréal||72~Advocacy||73~Indigenous Law||74~Blanchette, Denis||75~Blanchette, Denis||76~WORD 2007||77~Source Materials / Documents sources||82~docx||85~2024-07-03 15:04:48||99~0001-01-01 00:00:00||106~C:\Users\TEMP\AppData\Roaming\iManage\Work\Recent\Cree Nation Government - International Indigenous Rights (123973-L78040344)\2024.06.27 Coalition statement on EMRIP study of laws and legal processes ((63117899.2).docx||107~0001-01-01 00:00:00||109~2024-07-03 16:08:04||113~2024-07-03 14:01:13||114~2024-07-03 15:02:00||124~False||"/>
    <w:docVar w:name="zzmp10NoTrailerPromptID" w:val="ACTIVE_CA.63117899.2"/>
  </w:docVars>
  <w:rsids>
    <w:rsidRoot w:val="00C85369"/>
    <w:rsid w:val="00064EBE"/>
    <w:rsid w:val="00076E66"/>
    <w:rsid w:val="00082300"/>
    <w:rsid w:val="00092FF5"/>
    <w:rsid w:val="00093069"/>
    <w:rsid w:val="000A4990"/>
    <w:rsid w:val="000C70D7"/>
    <w:rsid w:val="000E6D4C"/>
    <w:rsid w:val="00151033"/>
    <w:rsid w:val="0017691D"/>
    <w:rsid w:val="001A0B24"/>
    <w:rsid w:val="001A7349"/>
    <w:rsid w:val="001B3C91"/>
    <w:rsid w:val="00201D6C"/>
    <w:rsid w:val="0020213D"/>
    <w:rsid w:val="002676C0"/>
    <w:rsid w:val="00276069"/>
    <w:rsid w:val="002B7E17"/>
    <w:rsid w:val="002D5EA6"/>
    <w:rsid w:val="002D77BA"/>
    <w:rsid w:val="002E6A53"/>
    <w:rsid w:val="003462DA"/>
    <w:rsid w:val="00347CF0"/>
    <w:rsid w:val="00387C74"/>
    <w:rsid w:val="00434C3C"/>
    <w:rsid w:val="00486627"/>
    <w:rsid w:val="00493EC1"/>
    <w:rsid w:val="00496C55"/>
    <w:rsid w:val="004E7F88"/>
    <w:rsid w:val="004F4D20"/>
    <w:rsid w:val="00562440"/>
    <w:rsid w:val="00562B4A"/>
    <w:rsid w:val="005B240B"/>
    <w:rsid w:val="005E35C7"/>
    <w:rsid w:val="00607C44"/>
    <w:rsid w:val="00643029"/>
    <w:rsid w:val="00740DFF"/>
    <w:rsid w:val="00781C52"/>
    <w:rsid w:val="007C03F6"/>
    <w:rsid w:val="007C57D6"/>
    <w:rsid w:val="008001B0"/>
    <w:rsid w:val="0086532B"/>
    <w:rsid w:val="008B6887"/>
    <w:rsid w:val="008C7D4A"/>
    <w:rsid w:val="008D4C8D"/>
    <w:rsid w:val="00917F0F"/>
    <w:rsid w:val="0097099E"/>
    <w:rsid w:val="00984850"/>
    <w:rsid w:val="009C5F14"/>
    <w:rsid w:val="009D2982"/>
    <w:rsid w:val="00A16610"/>
    <w:rsid w:val="00A35B83"/>
    <w:rsid w:val="00AC2BAA"/>
    <w:rsid w:val="00AD0F49"/>
    <w:rsid w:val="00AD24DA"/>
    <w:rsid w:val="00B13EBD"/>
    <w:rsid w:val="00B262B0"/>
    <w:rsid w:val="00BF1A7D"/>
    <w:rsid w:val="00BF2430"/>
    <w:rsid w:val="00C40866"/>
    <w:rsid w:val="00C64B43"/>
    <w:rsid w:val="00C735B7"/>
    <w:rsid w:val="00C8509F"/>
    <w:rsid w:val="00C85369"/>
    <w:rsid w:val="00C873FC"/>
    <w:rsid w:val="00CA6915"/>
    <w:rsid w:val="00CB0D35"/>
    <w:rsid w:val="00CC7285"/>
    <w:rsid w:val="00D3284F"/>
    <w:rsid w:val="00D7037A"/>
    <w:rsid w:val="00DB196C"/>
    <w:rsid w:val="00DC2DAD"/>
    <w:rsid w:val="00DF61B8"/>
    <w:rsid w:val="00E02ECD"/>
    <w:rsid w:val="00E0691A"/>
    <w:rsid w:val="00E35448"/>
    <w:rsid w:val="00E52585"/>
    <w:rsid w:val="00E77266"/>
    <w:rsid w:val="00E87896"/>
    <w:rsid w:val="00ED0AF5"/>
    <w:rsid w:val="00F03A17"/>
    <w:rsid w:val="00F11718"/>
    <w:rsid w:val="00F22BA6"/>
    <w:rsid w:val="00F26E78"/>
    <w:rsid w:val="00F30474"/>
    <w:rsid w:val="00F325EF"/>
    <w:rsid w:val="00FA6899"/>
    <w:rsid w:val="00FD37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D162"/>
  <w15:docId w15:val="{A23B8AB8-F858-3F43-8781-44221A7D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82300"/>
    <w:pPr>
      <w:tabs>
        <w:tab w:val="center" w:pos="4680"/>
        <w:tab w:val="right" w:pos="9360"/>
      </w:tabs>
      <w:spacing w:line="240" w:lineRule="auto"/>
    </w:pPr>
  </w:style>
  <w:style w:type="character" w:customStyle="1" w:styleId="HeaderChar">
    <w:name w:val="Header Char"/>
    <w:basedOn w:val="DefaultParagraphFont"/>
    <w:link w:val="Header"/>
    <w:uiPriority w:val="99"/>
    <w:rsid w:val="00082300"/>
  </w:style>
  <w:style w:type="paragraph" w:styleId="Footer">
    <w:name w:val="footer"/>
    <w:basedOn w:val="Normal"/>
    <w:link w:val="FooterChar"/>
    <w:uiPriority w:val="99"/>
    <w:unhideWhenUsed/>
    <w:rsid w:val="00082300"/>
    <w:pPr>
      <w:tabs>
        <w:tab w:val="center" w:pos="4680"/>
        <w:tab w:val="right" w:pos="9360"/>
      </w:tabs>
      <w:spacing w:line="240" w:lineRule="auto"/>
    </w:pPr>
  </w:style>
  <w:style w:type="character" w:customStyle="1" w:styleId="FooterChar">
    <w:name w:val="Footer Char"/>
    <w:basedOn w:val="DefaultParagraphFont"/>
    <w:link w:val="Footer"/>
    <w:uiPriority w:val="99"/>
    <w:rsid w:val="00082300"/>
  </w:style>
  <w:style w:type="paragraph" w:styleId="FootnoteText">
    <w:name w:val="footnote text"/>
    <w:basedOn w:val="Normal"/>
    <w:link w:val="FootnoteTextChar"/>
    <w:uiPriority w:val="99"/>
    <w:semiHidden/>
    <w:unhideWhenUsed/>
    <w:rsid w:val="00607C44"/>
    <w:pPr>
      <w:spacing w:line="240" w:lineRule="auto"/>
    </w:pPr>
    <w:rPr>
      <w:sz w:val="20"/>
      <w:szCs w:val="20"/>
    </w:rPr>
  </w:style>
  <w:style w:type="character" w:customStyle="1" w:styleId="FootnoteTextChar">
    <w:name w:val="Footnote Text Char"/>
    <w:basedOn w:val="DefaultParagraphFont"/>
    <w:link w:val="FootnoteText"/>
    <w:uiPriority w:val="99"/>
    <w:semiHidden/>
    <w:rsid w:val="00607C44"/>
    <w:rPr>
      <w:sz w:val="20"/>
      <w:szCs w:val="20"/>
    </w:rPr>
  </w:style>
  <w:style w:type="character" w:styleId="FootnoteReference">
    <w:name w:val="footnote reference"/>
    <w:basedOn w:val="DefaultParagraphFont"/>
    <w:uiPriority w:val="99"/>
    <w:semiHidden/>
    <w:unhideWhenUsed/>
    <w:rsid w:val="00607C44"/>
    <w:rPr>
      <w:vertAlign w:val="superscript"/>
    </w:rPr>
  </w:style>
  <w:style w:type="paragraph" w:styleId="Revision">
    <w:name w:val="Revision"/>
    <w:hidden/>
    <w:uiPriority w:val="99"/>
    <w:semiHidden/>
    <w:rsid w:val="00917F0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98363">
      <w:bodyDiv w:val="1"/>
      <w:marLeft w:val="0"/>
      <w:marRight w:val="0"/>
      <w:marTop w:val="0"/>
      <w:marBottom w:val="0"/>
      <w:divBdr>
        <w:top w:val="none" w:sz="0" w:space="0" w:color="auto"/>
        <w:left w:val="none" w:sz="0" w:space="0" w:color="auto"/>
        <w:bottom w:val="none" w:sz="0" w:space="0" w:color="auto"/>
        <w:right w:val="none" w:sz="0" w:space="0" w:color="auto"/>
      </w:divBdr>
    </w:div>
    <w:div w:id="81487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 A c t i v e _ c a ! 6 3 1 1 7 8 9 9 . 2 < / d o c u m e n t i d >  
     < s e n d e r i d > B L A N C H E D < / s e n d e r i d >  
     < s e n d e r e m a i l > D E N I S . B L A N C H E T T E @ C A . G O W L I N G W L G . C O M < / s e n d e r e m a i l >  
     < l a s t m o d i f i e d > 2 0 2 4 - 0 7 - 0 3 T 1 4 : 0 7 : 0 0 . 0 0 0 0 0 0 0 - 0 4 : 0 0 < / l a s t m o d i f i e d >  
     < d a t a b a s e > A c t i v e _ c a < / 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D15DCF-5188-E744-853F-0C92FFC04948}">
  <ds:schemaRefs>
    <ds:schemaRef ds:uri="http://www.imanage.com/work/xmlschema"/>
  </ds:schemaRefs>
</ds:datastoreItem>
</file>

<file path=customXml/itemProps2.xml><?xml version="1.0" encoding="utf-8"?>
<ds:datastoreItem xmlns:ds="http://schemas.openxmlformats.org/officeDocument/2006/customXml" ds:itemID="{2ABFA027-178C-4283-850E-B9E011DAF619}"/>
</file>

<file path=customXml/itemProps3.xml><?xml version="1.0" encoding="utf-8"?>
<ds:datastoreItem xmlns:ds="http://schemas.openxmlformats.org/officeDocument/2006/customXml" ds:itemID="{BE519B5C-E3E4-4E05-9DAC-94D1325EDFB6}"/>
</file>

<file path=customXml/itemProps4.xml><?xml version="1.0" encoding="utf-8"?>
<ds:datastoreItem xmlns:ds="http://schemas.openxmlformats.org/officeDocument/2006/customXml" ds:itemID="{B9BCFB41-4216-4CE6-8D3E-4C6BB922E6E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Belen Rodriguez de Alba Freiria</dc:title>
  <dc:creator>Jeremy Vander Hoek</dc:creator>
  <cp:lastModifiedBy>Jeremy Vander Hoek</cp:lastModifiedBy>
  <cp:revision>2</cp:revision>
  <dcterms:created xsi:type="dcterms:W3CDTF">2024-07-10T11:14:00Z</dcterms:created>
  <dcterms:modified xsi:type="dcterms:W3CDTF">2024-07-10T11:14:00Z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UPDATED&amp;#58; EMRIP 17th session-updates-DOCUMENTATION</vt:lpwstr>
  </property>
</Properties>
</file>