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5316E" w14:textId="3AE4BE68" w:rsidR="004C77B5" w:rsidRPr="002C19D0" w:rsidRDefault="00231939" w:rsidP="002C19D0">
      <w:pPr>
        <w:spacing w:before="240" w:line="276" w:lineRule="auto"/>
        <w:ind w:left="567" w:right="567"/>
        <w:jc w:val="both"/>
        <w:rPr>
          <w:b/>
          <w:bCs/>
          <w:i/>
          <w:iCs/>
          <w:color w:val="5B9BD5"/>
          <w:lang w:val="fr-FR"/>
        </w:rPr>
      </w:pPr>
      <w:r w:rsidRPr="002C19D0">
        <w:rPr>
          <w:b/>
          <w:bCs/>
          <w:i/>
          <w:iCs/>
          <w:color w:val="5B9BD5"/>
          <w:lang w:val="fr-FR"/>
        </w:rPr>
        <w:t xml:space="preserve">Mécanisme d'experts des Nations unies sur les droits des </w:t>
      </w:r>
      <w:r w:rsidR="002A7B59" w:rsidRPr="002C19D0">
        <w:rPr>
          <w:b/>
          <w:bCs/>
          <w:i/>
          <w:iCs/>
          <w:color w:val="5B9BD5"/>
          <w:lang w:val="fr-FR"/>
        </w:rPr>
        <w:t>Peuples Autochtones</w:t>
      </w:r>
    </w:p>
    <w:p w14:paraId="5605ED13" w14:textId="77777777" w:rsidR="004C77B5" w:rsidRPr="002C19D0" w:rsidRDefault="00231939" w:rsidP="002C19D0">
      <w:pPr>
        <w:spacing w:after="0" w:line="240" w:lineRule="auto"/>
        <w:ind w:left="567" w:right="567"/>
        <w:jc w:val="both"/>
        <w:rPr>
          <w:b/>
          <w:color w:val="4472C4" w:themeColor="accent1"/>
          <w:lang w:val="fr-FR"/>
        </w:rPr>
      </w:pPr>
      <w:r w:rsidRPr="002C19D0">
        <w:rPr>
          <w:b/>
          <w:color w:val="4472C4" w:themeColor="accent1"/>
          <w:lang w:val="fr-FR"/>
        </w:rPr>
        <w:t>17</w:t>
      </w:r>
      <w:r w:rsidRPr="002C19D0">
        <w:rPr>
          <w:b/>
          <w:color w:val="4472C4" w:themeColor="accent1"/>
          <w:vertAlign w:val="superscript"/>
          <w:lang w:val="fr-FR"/>
        </w:rPr>
        <w:t>th</w:t>
      </w:r>
      <w:r w:rsidRPr="002C19D0">
        <w:rPr>
          <w:b/>
          <w:color w:val="4472C4" w:themeColor="accent1"/>
          <w:lang w:val="fr-FR"/>
        </w:rPr>
        <w:t xml:space="preserve"> session</w:t>
      </w:r>
    </w:p>
    <w:p w14:paraId="3C64E0DF" w14:textId="77777777" w:rsidR="00FD3DA2" w:rsidRPr="002C19D0" w:rsidRDefault="00FD3DA2" w:rsidP="002C19D0">
      <w:pPr>
        <w:spacing w:after="0" w:line="240" w:lineRule="auto"/>
        <w:ind w:left="567" w:right="567"/>
        <w:jc w:val="both"/>
        <w:rPr>
          <w:color w:val="4472C4" w:themeColor="accent1"/>
          <w:lang w:val="fr-FR"/>
        </w:rPr>
      </w:pPr>
    </w:p>
    <w:p w14:paraId="0513A53B" w14:textId="078E29F7" w:rsidR="004C77B5" w:rsidRPr="002C19D0" w:rsidRDefault="00231939" w:rsidP="002C19D0">
      <w:pPr>
        <w:ind w:left="567" w:right="567"/>
        <w:jc w:val="both"/>
        <w:rPr>
          <w:b/>
          <w:bCs/>
          <w:i/>
          <w:iCs/>
          <w:color w:val="4472C4" w:themeColor="accent1"/>
          <w:lang w:val="fr-FR"/>
        </w:rPr>
      </w:pPr>
      <w:r w:rsidRPr="002C19D0">
        <w:rPr>
          <w:b/>
          <w:bCs/>
          <w:i/>
          <w:iCs/>
          <w:color w:val="4472C4" w:themeColor="accent1"/>
          <w:u w:val="single"/>
          <w:lang w:val="fr-FR"/>
        </w:rPr>
        <w:t xml:space="preserve">Point </w:t>
      </w:r>
      <w:r w:rsidR="0070586A" w:rsidRPr="002C19D0">
        <w:rPr>
          <w:b/>
          <w:bCs/>
          <w:i/>
          <w:iCs/>
          <w:color w:val="4472C4" w:themeColor="accent1"/>
          <w:u w:val="single"/>
          <w:lang w:val="fr-FR"/>
        </w:rPr>
        <w:t xml:space="preserve">9 </w:t>
      </w:r>
      <w:r w:rsidRPr="002C19D0">
        <w:rPr>
          <w:b/>
          <w:bCs/>
          <w:i/>
          <w:iCs/>
          <w:color w:val="4472C4" w:themeColor="accent1"/>
          <w:lang w:val="fr-FR"/>
        </w:rPr>
        <w:t xml:space="preserve">: </w:t>
      </w:r>
      <w:r w:rsidR="003C03A3" w:rsidRPr="002C19D0">
        <w:rPr>
          <w:b/>
          <w:bCs/>
          <w:i/>
          <w:iCs/>
          <w:color w:val="4472C4" w:themeColor="accent1"/>
          <w:lang w:val="fr-FR"/>
        </w:rPr>
        <w:t xml:space="preserve">Renforcer la participation des </w:t>
      </w:r>
      <w:r w:rsidR="002A7B59" w:rsidRPr="002C19D0">
        <w:rPr>
          <w:b/>
          <w:bCs/>
          <w:i/>
          <w:iCs/>
          <w:color w:val="4472C4" w:themeColor="accent1"/>
          <w:lang w:val="fr-FR"/>
        </w:rPr>
        <w:t>Peuples Autochtones</w:t>
      </w:r>
      <w:r w:rsidR="003C03A3" w:rsidRPr="002C19D0">
        <w:rPr>
          <w:b/>
          <w:bCs/>
          <w:i/>
          <w:iCs/>
          <w:color w:val="4472C4" w:themeColor="accent1"/>
          <w:lang w:val="fr-FR"/>
        </w:rPr>
        <w:t xml:space="preserve"> aux Nations </w:t>
      </w:r>
      <w:r w:rsidR="00592A59" w:rsidRPr="002C19D0">
        <w:rPr>
          <w:b/>
          <w:bCs/>
          <w:i/>
          <w:iCs/>
          <w:color w:val="4472C4" w:themeColor="accent1"/>
          <w:lang w:val="fr-FR"/>
        </w:rPr>
        <w:t>U</w:t>
      </w:r>
      <w:r w:rsidR="003C03A3" w:rsidRPr="002C19D0">
        <w:rPr>
          <w:b/>
          <w:bCs/>
          <w:i/>
          <w:iCs/>
          <w:color w:val="4472C4" w:themeColor="accent1"/>
          <w:lang w:val="fr-FR"/>
        </w:rPr>
        <w:t>nies</w:t>
      </w:r>
    </w:p>
    <w:p w14:paraId="5DB67038" w14:textId="77777777" w:rsidR="006B6BB2" w:rsidRPr="002C19D0" w:rsidRDefault="006B6BB2" w:rsidP="002C19D0">
      <w:pPr>
        <w:ind w:left="567" w:right="567"/>
        <w:jc w:val="both"/>
        <w:rPr>
          <w:b/>
          <w:bCs/>
          <w:i/>
          <w:iCs/>
          <w:color w:val="4472C4" w:themeColor="accent1"/>
          <w:lang w:val="fr-FR"/>
        </w:rPr>
      </w:pPr>
    </w:p>
    <w:p w14:paraId="3AFBFF7E" w14:textId="77777777" w:rsidR="004C77B5" w:rsidRPr="002C19D0" w:rsidRDefault="00FD3DA2" w:rsidP="002C19D0">
      <w:pPr>
        <w:ind w:left="567" w:right="567"/>
        <w:jc w:val="both"/>
        <w:rPr>
          <w:i/>
          <w:iCs/>
          <w:u w:val="single"/>
          <w:lang w:val="fr-FR"/>
        </w:rPr>
      </w:pPr>
      <w:r w:rsidRPr="002C19D0">
        <w:rPr>
          <w:i/>
          <w:iCs/>
          <w:u w:val="single"/>
          <w:lang w:val="fr-FR"/>
        </w:rPr>
        <w:t xml:space="preserve">Note de </w:t>
      </w:r>
      <w:r w:rsidR="00231939" w:rsidRPr="002C19D0">
        <w:rPr>
          <w:i/>
          <w:iCs/>
          <w:u w:val="single"/>
          <w:lang w:val="fr-FR"/>
        </w:rPr>
        <w:t>synthèse</w:t>
      </w:r>
    </w:p>
    <w:p w14:paraId="708554DF" w14:textId="77777777" w:rsidR="006B6BB2" w:rsidRPr="002C19D0" w:rsidRDefault="006B6BB2" w:rsidP="002C19D0">
      <w:pPr>
        <w:ind w:left="567" w:right="567"/>
        <w:jc w:val="both"/>
        <w:rPr>
          <w:i/>
          <w:iCs/>
          <w:u w:val="single"/>
          <w:lang w:val="fr-FR"/>
        </w:rPr>
      </w:pPr>
    </w:p>
    <w:p w14:paraId="5ADE3A53" w14:textId="77777777" w:rsidR="002A7B59" w:rsidRPr="002C19D0" w:rsidRDefault="002A7B59" w:rsidP="002C19D0">
      <w:pPr>
        <w:ind w:left="567" w:right="567"/>
        <w:jc w:val="both"/>
        <w:rPr>
          <w:i/>
          <w:iCs/>
          <w:u w:val="single"/>
          <w:lang w:val="fr-FR"/>
        </w:rPr>
      </w:pPr>
    </w:p>
    <w:p w14:paraId="4615CF85" w14:textId="77777777" w:rsidR="004C77B5" w:rsidRPr="002C19D0" w:rsidRDefault="00231939" w:rsidP="002C19D0">
      <w:pPr>
        <w:spacing w:line="276" w:lineRule="auto"/>
        <w:ind w:left="567" w:right="567"/>
        <w:jc w:val="both"/>
        <w:rPr>
          <w:b/>
          <w:bCs/>
          <w:lang w:val="fr-FR"/>
        </w:rPr>
      </w:pPr>
      <w:r w:rsidRPr="002C19D0">
        <w:rPr>
          <w:b/>
          <w:bCs/>
          <w:lang w:val="fr-FR"/>
        </w:rPr>
        <w:t xml:space="preserve">Mercredi 10 juillet </w:t>
      </w:r>
      <w:r w:rsidR="00452CB8" w:rsidRPr="002C19D0">
        <w:rPr>
          <w:b/>
          <w:bCs/>
          <w:lang w:val="fr-FR"/>
        </w:rPr>
        <w:t>2024</w:t>
      </w:r>
      <w:r w:rsidRPr="002C19D0">
        <w:rPr>
          <w:b/>
          <w:bCs/>
          <w:lang w:val="fr-FR"/>
        </w:rPr>
        <w:t>, 15h00-18h00, Palais des Nations, Salle XIX, Genève</w:t>
      </w:r>
    </w:p>
    <w:p w14:paraId="4DC6F95B" w14:textId="77777777" w:rsidR="004C77B5" w:rsidRPr="002C19D0" w:rsidRDefault="00231939" w:rsidP="002C19D0">
      <w:pPr>
        <w:spacing w:line="276" w:lineRule="auto"/>
        <w:ind w:left="567" w:right="567"/>
        <w:jc w:val="both"/>
        <w:rPr>
          <w:b/>
          <w:bCs/>
          <w:lang w:val="fr-FR"/>
        </w:rPr>
      </w:pPr>
      <w:r w:rsidRPr="002C19D0">
        <w:rPr>
          <w:lang w:val="fr-FR"/>
        </w:rPr>
        <w:t>(</w:t>
      </w:r>
      <w:proofErr w:type="gramStart"/>
      <w:r w:rsidRPr="002C19D0">
        <w:rPr>
          <w:i/>
          <w:iCs/>
          <w:lang w:val="fr-FR"/>
        </w:rPr>
        <w:t>sera</w:t>
      </w:r>
      <w:proofErr w:type="gramEnd"/>
      <w:r w:rsidRPr="002C19D0">
        <w:rPr>
          <w:i/>
          <w:iCs/>
          <w:lang w:val="fr-FR"/>
        </w:rPr>
        <w:t xml:space="preserve"> diffusé en direct et archivé sur </w:t>
      </w:r>
      <w:hyperlink r:id="rId11" w:history="1">
        <w:r w:rsidRPr="002C19D0">
          <w:rPr>
            <w:rStyle w:val="Hyperlink"/>
            <w:i/>
            <w:iCs/>
            <w:lang w:val="fr-FR"/>
          </w:rPr>
          <w:t>http://webtv.un.org</w:t>
        </w:r>
      </w:hyperlink>
      <w:r w:rsidRPr="002C19D0">
        <w:rPr>
          <w:lang w:val="fr-FR"/>
        </w:rPr>
        <w:t xml:space="preserve"> )</w:t>
      </w:r>
    </w:p>
    <w:p w14:paraId="6559024E" w14:textId="77777777" w:rsidR="006068C2" w:rsidRPr="002C19D0" w:rsidRDefault="006068C2" w:rsidP="002C19D0">
      <w:pPr>
        <w:spacing w:line="276" w:lineRule="auto"/>
        <w:ind w:left="567" w:right="567" w:firstLine="720"/>
        <w:jc w:val="both"/>
        <w:rPr>
          <w:b/>
          <w:bCs/>
          <w:lang w:val="fr-FR"/>
        </w:rPr>
      </w:pPr>
    </w:p>
    <w:p w14:paraId="22BA59E8" w14:textId="77777777" w:rsidR="004C77B5" w:rsidRPr="002C19D0" w:rsidRDefault="00231939" w:rsidP="002C19D0">
      <w:pPr>
        <w:spacing w:line="276" w:lineRule="auto"/>
        <w:ind w:left="567" w:right="567"/>
        <w:jc w:val="both"/>
        <w:rPr>
          <w:b/>
          <w:bCs/>
        </w:rPr>
      </w:pPr>
      <w:proofErr w:type="gramStart"/>
      <w:r w:rsidRPr="002C19D0">
        <w:rPr>
          <w:b/>
          <w:bCs/>
        </w:rPr>
        <w:t>Objectifs :</w:t>
      </w:r>
      <w:proofErr w:type="gramEnd"/>
      <w:r w:rsidRPr="002C19D0">
        <w:rPr>
          <w:b/>
          <w:bCs/>
        </w:rPr>
        <w:t xml:space="preserve"> </w:t>
      </w:r>
    </w:p>
    <w:p w14:paraId="6217DE83" w14:textId="1C7FC582" w:rsidR="004C77B5" w:rsidRPr="002C19D0" w:rsidRDefault="00231939" w:rsidP="002C19D0">
      <w:pPr>
        <w:pStyle w:val="ListParagraph"/>
        <w:numPr>
          <w:ilvl w:val="0"/>
          <w:numId w:val="2"/>
        </w:numPr>
        <w:spacing w:before="240" w:after="0" w:line="276" w:lineRule="auto"/>
        <w:ind w:left="567" w:right="567"/>
        <w:jc w:val="both"/>
        <w:rPr>
          <w:rStyle w:val="eop"/>
          <w:b/>
          <w:bCs/>
          <w:color w:val="4472C4" w:themeColor="accent1"/>
          <w:lang w:val="fr-FR"/>
        </w:rPr>
      </w:pPr>
      <w:r w:rsidRPr="002C19D0">
        <w:rPr>
          <w:rStyle w:val="eop"/>
          <w:b/>
          <w:bCs/>
          <w:color w:val="4472C4" w:themeColor="accent1"/>
          <w:u w:val="single"/>
          <w:lang w:val="fr-FR"/>
        </w:rPr>
        <w:t xml:space="preserve">Contribuer au processus en cours de </w:t>
      </w:r>
      <w:r w:rsidRPr="002C19D0">
        <w:rPr>
          <w:rStyle w:val="eop"/>
          <w:b/>
          <w:bCs/>
          <w:color w:val="4472C4" w:themeColor="accent1"/>
          <w:u w:val="single"/>
          <w:shd w:val="clear" w:color="auto" w:fill="FFFFFF"/>
          <w:lang w:val="fr-FR"/>
        </w:rPr>
        <w:t xml:space="preserve">renforcement de la participation des </w:t>
      </w:r>
      <w:r w:rsidR="002A7B59" w:rsidRPr="002C19D0">
        <w:rPr>
          <w:rStyle w:val="eop"/>
          <w:b/>
          <w:bCs/>
          <w:color w:val="4472C4" w:themeColor="accent1"/>
          <w:u w:val="single"/>
          <w:shd w:val="clear" w:color="auto" w:fill="FFFFFF"/>
          <w:lang w:val="fr-FR"/>
        </w:rPr>
        <w:t>Peuples Autochtones</w:t>
      </w:r>
      <w:r w:rsidRPr="002C19D0">
        <w:rPr>
          <w:rStyle w:val="eop"/>
          <w:b/>
          <w:bCs/>
          <w:color w:val="4472C4" w:themeColor="accent1"/>
          <w:u w:val="single"/>
          <w:shd w:val="clear" w:color="auto" w:fill="FFFFFF"/>
          <w:lang w:val="fr-FR"/>
        </w:rPr>
        <w:t xml:space="preserve"> </w:t>
      </w:r>
      <w:r w:rsidR="00C36430" w:rsidRPr="002C19D0">
        <w:rPr>
          <w:rStyle w:val="eop"/>
          <w:b/>
          <w:bCs/>
          <w:color w:val="4472C4" w:themeColor="accent1"/>
          <w:u w:val="single"/>
          <w:shd w:val="clear" w:color="auto" w:fill="FFFFFF"/>
          <w:lang w:val="fr-FR"/>
        </w:rPr>
        <w:t>aux Nations unies</w:t>
      </w:r>
      <w:r w:rsidRPr="002C19D0">
        <w:rPr>
          <w:rStyle w:val="eop"/>
          <w:b/>
          <w:bCs/>
          <w:color w:val="4472C4" w:themeColor="accent1"/>
          <w:shd w:val="clear" w:color="auto" w:fill="FFFFFF"/>
          <w:lang w:val="fr-FR"/>
        </w:rPr>
        <w:t xml:space="preserve">, </w:t>
      </w:r>
      <w:r w:rsidR="00C902BD" w:rsidRPr="002C19D0">
        <w:rPr>
          <w:rStyle w:val="eop"/>
          <w:b/>
          <w:bCs/>
          <w:color w:val="4472C4" w:themeColor="accent1"/>
          <w:shd w:val="clear" w:color="auto" w:fill="FFFFFF"/>
          <w:lang w:val="fr-FR"/>
        </w:rPr>
        <w:t xml:space="preserve">auquel les </w:t>
      </w:r>
      <w:r w:rsidRPr="002C19D0">
        <w:rPr>
          <w:rStyle w:val="eop"/>
          <w:b/>
          <w:bCs/>
          <w:color w:val="4472C4" w:themeColor="accent1"/>
          <w:shd w:val="clear" w:color="auto" w:fill="FFFFFF"/>
          <w:lang w:val="fr-FR"/>
        </w:rPr>
        <w:t xml:space="preserve">États membres </w:t>
      </w:r>
      <w:r w:rsidR="00C902BD" w:rsidRPr="002C19D0">
        <w:rPr>
          <w:rStyle w:val="eop"/>
          <w:b/>
          <w:bCs/>
          <w:color w:val="4472C4" w:themeColor="accent1"/>
          <w:shd w:val="clear" w:color="auto" w:fill="FFFFFF"/>
          <w:lang w:val="fr-FR"/>
        </w:rPr>
        <w:t xml:space="preserve">se sont engagés </w:t>
      </w:r>
      <w:r w:rsidRPr="002C19D0">
        <w:rPr>
          <w:rStyle w:val="eop"/>
          <w:b/>
          <w:bCs/>
          <w:color w:val="4472C4" w:themeColor="accent1"/>
          <w:shd w:val="clear" w:color="auto" w:fill="FFFFFF"/>
          <w:lang w:val="fr-FR"/>
        </w:rPr>
        <w:t xml:space="preserve">lors de la Conférence mondiale sur les </w:t>
      </w:r>
      <w:r w:rsidR="002A7B59" w:rsidRPr="002C19D0">
        <w:rPr>
          <w:rStyle w:val="eop"/>
          <w:b/>
          <w:bCs/>
          <w:color w:val="4472C4" w:themeColor="accent1"/>
          <w:shd w:val="clear" w:color="auto" w:fill="FFFFFF"/>
          <w:lang w:val="fr-FR"/>
        </w:rPr>
        <w:t>Peuples Autochtones</w:t>
      </w:r>
      <w:r w:rsidRPr="002C19D0">
        <w:rPr>
          <w:rStyle w:val="eop"/>
          <w:b/>
          <w:bCs/>
          <w:color w:val="4472C4" w:themeColor="accent1"/>
          <w:shd w:val="clear" w:color="auto" w:fill="FFFFFF"/>
          <w:lang w:val="fr-FR"/>
        </w:rPr>
        <w:t xml:space="preserve"> de 2014, en offrant une plateforme de dialogue interactif entre les </w:t>
      </w:r>
      <w:r w:rsidR="002A7B59" w:rsidRPr="002C19D0">
        <w:rPr>
          <w:rStyle w:val="eop"/>
          <w:b/>
          <w:bCs/>
          <w:color w:val="4472C4" w:themeColor="accent1"/>
          <w:lang w:val="fr-FR"/>
        </w:rPr>
        <w:t>Peuples Autochtones</w:t>
      </w:r>
      <w:r w:rsidRPr="002C19D0">
        <w:rPr>
          <w:rStyle w:val="eop"/>
          <w:b/>
          <w:bCs/>
          <w:color w:val="4472C4" w:themeColor="accent1"/>
          <w:lang w:val="fr-FR"/>
        </w:rPr>
        <w:t>, les États membres, les agences des Nations unies et d'autres parties prenantes.</w:t>
      </w:r>
    </w:p>
    <w:p w14:paraId="48C0417F" w14:textId="77777777" w:rsidR="004B7A73" w:rsidRPr="002C19D0" w:rsidRDefault="004B7A73" w:rsidP="002C19D0">
      <w:pPr>
        <w:pStyle w:val="ListParagraph"/>
        <w:spacing w:before="240" w:after="0" w:line="276" w:lineRule="auto"/>
        <w:ind w:left="567" w:right="567"/>
        <w:jc w:val="both"/>
        <w:rPr>
          <w:rStyle w:val="eop"/>
          <w:i/>
          <w:iCs/>
          <w:color w:val="4472C4" w:themeColor="accent1"/>
          <w:lang w:val="fr-FR"/>
        </w:rPr>
      </w:pPr>
    </w:p>
    <w:p w14:paraId="129D9349" w14:textId="6F6BCBA9" w:rsidR="004C77B5" w:rsidRPr="002C19D0" w:rsidRDefault="00231939" w:rsidP="002C19D0">
      <w:pPr>
        <w:pStyle w:val="ListParagraph"/>
        <w:numPr>
          <w:ilvl w:val="0"/>
          <w:numId w:val="2"/>
        </w:numPr>
        <w:spacing w:before="240" w:after="0" w:line="276" w:lineRule="auto"/>
        <w:ind w:left="567" w:right="567"/>
        <w:jc w:val="both"/>
        <w:rPr>
          <w:rStyle w:val="eop"/>
          <w:b/>
          <w:bCs/>
          <w:color w:val="4472C4" w:themeColor="accent1"/>
          <w:u w:val="single"/>
          <w:lang w:val="fr-FR"/>
        </w:rPr>
      </w:pPr>
      <w:r w:rsidRPr="002C19D0">
        <w:rPr>
          <w:rStyle w:val="eop"/>
          <w:b/>
          <w:bCs/>
          <w:color w:val="4472C4" w:themeColor="accent1"/>
          <w:u w:val="single"/>
          <w:lang w:val="fr-FR"/>
        </w:rPr>
        <w:t xml:space="preserve">Faciliter de larges discussions </w:t>
      </w:r>
      <w:r w:rsidRPr="002C19D0">
        <w:rPr>
          <w:rStyle w:val="eop"/>
          <w:b/>
          <w:bCs/>
          <w:color w:val="4472C4" w:themeColor="accent1"/>
          <w:lang w:val="fr-FR"/>
        </w:rPr>
        <w:t xml:space="preserve">entre les </w:t>
      </w:r>
      <w:r w:rsidR="002A7B59" w:rsidRPr="002C19D0">
        <w:rPr>
          <w:rStyle w:val="eop"/>
          <w:b/>
          <w:bCs/>
          <w:color w:val="4472C4" w:themeColor="accent1"/>
          <w:lang w:val="fr-FR"/>
        </w:rPr>
        <w:t>Peuples Autochtones</w:t>
      </w:r>
      <w:r w:rsidRPr="002C19D0">
        <w:rPr>
          <w:rStyle w:val="eop"/>
          <w:b/>
          <w:bCs/>
          <w:color w:val="4472C4" w:themeColor="accent1"/>
          <w:lang w:val="fr-FR"/>
        </w:rPr>
        <w:t xml:space="preserve">, les États membres et d'autres parties prenantes clés </w:t>
      </w:r>
      <w:r w:rsidRPr="002C19D0">
        <w:rPr>
          <w:rStyle w:val="eop"/>
          <w:b/>
          <w:bCs/>
          <w:color w:val="4472C4" w:themeColor="accent1"/>
          <w:u w:val="single"/>
          <w:lang w:val="fr-FR"/>
        </w:rPr>
        <w:t xml:space="preserve">en préparation de la </w:t>
      </w:r>
      <w:r w:rsidR="00E66870" w:rsidRPr="002C19D0">
        <w:rPr>
          <w:rStyle w:val="eop"/>
          <w:b/>
          <w:bCs/>
          <w:color w:val="4472C4" w:themeColor="accent1"/>
          <w:u w:val="single"/>
          <w:lang w:val="fr-FR"/>
        </w:rPr>
        <w:t xml:space="preserve">première </w:t>
      </w:r>
      <w:r w:rsidRPr="002C19D0">
        <w:rPr>
          <w:rStyle w:val="eop"/>
          <w:b/>
          <w:bCs/>
          <w:color w:val="4472C4" w:themeColor="accent1"/>
          <w:u w:val="single"/>
          <w:lang w:val="fr-FR"/>
        </w:rPr>
        <w:t xml:space="preserve">réunion intersessions de deux jours </w:t>
      </w:r>
      <w:r w:rsidR="007D7C3E" w:rsidRPr="002C19D0">
        <w:rPr>
          <w:rStyle w:val="eop"/>
          <w:b/>
          <w:bCs/>
          <w:color w:val="4472C4" w:themeColor="accent1"/>
          <w:u w:val="single"/>
          <w:lang w:val="fr-FR"/>
        </w:rPr>
        <w:t xml:space="preserve">du Conseil des </w:t>
      </w:r>
      <w:r w:rsidR="004C58F6" w:rsidRPr="002C19D0">
        <w:rPr>
          <w:rStyle w:val="eop"/>
          <w:b/>
          <w:bCs/>
          <w:color w:val="4472C4" w:themeColor="accent1"/>
          <w:u w:val="single"/>
          <w:lang w:val="fr-FR"/>
        </w:rPr>
        <w:t xml:space="preserve">droits de </w:t>
      </w:r>
      <w:r w:rsidR="007D7C3E" w:rsidRPr="002C19D0">
        <w:rPr>
          <w:rStyle w:val="eop"/>
          <w:b/>
          <w:bCs/>
          <w:color w:val="4472C4" w:themeColor="accent1"/>
          <w:u w:val="single"/>
          <w:lang w:val="fr-FR"/>
        </w:rPr>
        <w:t xml:space="preserve">l'homme sur cette question, </w:t>
      </w:r>
      <w:r w:rsidRPr="002C19D0">
        <w:rPr>
          <w:rStyle w:val="eop"/>
          <w:b/>
          <w:bCs/>
          <w:color w:val="4472C4" w:themeColor="accent1"/>
          <w:u w:val="single"/>
          <w:lang w:val="fr-FR"/>
        </w:rPr>
        <w:t xml:space="preserve">les 18 et 19 juillet </w:t>
      </w:r>
      <w:r w:rsidR="00452CB8" w:rsidRPr="002C19D0">
        <w:rPr>
          <w:rStyle w:val="eop"/>
          <w:b/>
          <w:bCs/>
          <w:color w:val="4472C4" w:themeColor="accent1"/>
          <w:u w:val="single"/>
          <w:lang w:val="fr-FR"/>
        </w:rPr>
        <w:t>2024</w:t>
      </w:r>
      <w:r w:rsidRPr="002C19D0">
        <w:rPr>
          <w:rStyle w:val="eop"/>
          <w:b/>
          <w:bCs/>
          <w:color w:val="4472C4" w:themeColor="accent1"/>
          <w:u w:val="single"/>
          <w:lang w:val="fr-FR"/>
        </w:rPr>
        <w:t>.</w:t>
      </w:r>
    </w:p>
    <w:p w14:paraId="42280B72" w14:textId="77777777" w:rsidR="004B7A73" w:rsidRPr="002C19D0" w:rsidRDefault="004B7A73" w:rsidP="002C19D0">
      <w:pPr>
        <w:pStyle w:val="ListParagraph"/>
        <w:ind w:left="567" w:right="567"/>
        <w:jc w:val="both"/>
        <w:rPr>
          <w:rStyle w:val="eop"/>
          <w:b/>
          <w:bCs/>
          <w:color w:val="4472C4" w:themeColor="accent1"/>
          <w:lang w:val="fr-FR"/>
        </w:rPr>
      </w:pPr>
    </w:p>
    <w:p w14:paraId="154BE989" w14:textId="266D1963" w:rsidR="004C77B5" w:rsidRPr="002C19D0" w:rsidRDefault="00231939" w:rsidP="002C19D0">
      <w:pPr>
        <w:pStyle w:val="ListParagraph"/>
        <w:numPr>
          <w:ilvl w:val="0"/>
          <w:numId w:val="2"/>
        </w:numPr>
        <w:spacing w:before="240" w:after="0" w:line="276" w:lineRule="auto"/>
        <w:ind w:left="567" w:right="567"/>
        <w:jc w:val="both"/>
        <w:rPr>
          <w:rStyle w:val="eop"/>
          <w:b/>
          <w:bCs/>
          <w:color w:val="4472C4" w:themeColor="accent1"/>
          <w:lang w:val="fr-FR"/>
        </w:rPr>
      </w:pPr>
      <w:r w:rsidRPr="002C19D0">
        <w:rPr>
          <w:rStyle w:val="eop"/>
          <w:b/>
          <w:bCs/>
          <w:color w:val="4472C4" w:themeColor="accent1"/>
          <w:u w:val="single"/>
          <w:lang w:val="fr-FR"/>
        </w:rPr>
        <w:t xml:space="preserve">Recueillir les avis </w:t>
      </w:r>
      <w:r w:rsidRPr="002C19D0">
        <w:rPr>
          <w:rStyle w:val="eop"/>
          <w:b/>
          <w:bCs/>
          <w:color w:val="4472C4" w:themeColor="accent1"/>
          <w:lang w:val="fr-FR"/>
        </w:rPr>
        <w:t xml:space="preserve">des </w:t>
      </w:r>
      <w:r w:rsidR="002A7B59" w:rsidRPr="002C19D0">
        <w:rPr>
          <w:rStyle w:val="eop"/>
          <w:b/>
          <w:bCs/>
          <w:color w:val="4472C4" w:themeColor="accent1"/>
          <w:lang w:val="fr-FR"/>
        </w:rPr>
        <w:t>Peuples Autochtones</w:t>
      </w:r>
      <w:r w:rsidRPr="002C19D0">
        <w:rPr>
          <w:rStyle w:val="eop"/>
          <w:b/>
          <w:bCs/>
          <w:color w:val="4472C4" w:themeColor="accent1"/>
          <w:lang w:val="fr-FR"/>
        </w:rPr>
        <w:t xml:space="preserve"> et d'autres parties prenantes sur deux questions principales :</w:t>
      </w:r>
    </w:p>
    <w:p w14:paraId="1C4AED6F" w14:textId="77777777" w:rsidR="004B7A73" w:rsidRPr="002C19D0" w:rsidRDefault="004B7A73" w:rsidP="002C19D0">
      <w:pPr>
        <w:pStyle w:val="ListParagraph"/>
        <w:ind w:left="567" w:right="567"/>
        <w:jc w:val="both"/>
        <w:rPr>
          <w:rStyle w:val="eop"/>
          <w:b/>
          <w:bCs/>
          <w:color w:val="4472C4" w:themeColor="accent1"/>
          <w:lang w:val="fr-FR"/>
        </w:rPr>
      </w:pPr>
    </w:p>
    <w:p w14:paraId="01838BCD" w14:textId="6CFBD3E5" w:rsidR="004C77B5" w:rsidRPr="002C19D0" w:rsidRDefault="00231939" w:rsidP="002C19D0">
      <w:pPr>
        <w:pStyle w:val="ListParagraph"/>
        <w:numPr>
          <w:ilvl w:val="1"/>
          <w:numId w:val="3"/>
        </w:numPr>
        <w:spacing w:before="240" w:after="0" w:line="276" w:lineRule="auto"/>
        <w:ind w:right="567"/>
        <w:jc w:val="both"/>
        <w:rPr>
          <w:b/>
          <w:bCs/>
          <w:i/>
          <w:iCs/>
          <w:color w:val="4472C4" w:themeColor="accent1"/>
          <w:lang w:val="fr-FR"/>
        </w:rPr>
      </w:pPr>
      <w:r w:rsidRPr="002C19D0">
        <w:rPr>
          <w:rStyle w:val="eop"/>
          <w:b/>
          <w:bCs/>
          <w:i/>
          <w:iCs/>
          <w:color w:val="4472C4" w:themeColor="accent1"/>
          <w:u w:val="single"/>
          <w:lang w:val="fr-FR"/>
        </w:rPr>
        <w:t xml:space="preserve">Critères d'accréditation </w:t>
      </w:r>
      <w:r w:rsidRPr="002C19D0">
        <w:rPr>
          <w:b/>
          <w:bCs/>
          <w:i/>
          <w:iCs/>
          <w:color w:val="4472C4" w:themeColor="accent1"/>
          <w:lang w:val="fr-FR"/>
        </w:rPr>
        <w:t xml:space="preserve">pour la participation significative et effective des </w:t>
      </w:r>
      <w:r w:rsidR="002A7B59" w:rsidRPr="002C19D0">
        <w:rPr>
          <w:b/>
          <w:bCs/>
          <w:i/>
          <w:iCs/>
          <w:color w:val="4472C4" w:themeColor="accent1"/>
          <w:lang w:val="fr-FR"/>
        </w:rPr>
        <w:t>Peuples Autochtones</w:t>
      </w:r>
      <w:r w:rsidRPr="002C19D0">
        <w:rPr>
          <w:b/>
          <w:bCs/>
          <w:i/>
          <w:iCs/>
          <w:color w:val="4472C4" w:themeColor="accent1"/>
          <w:lang w:val="fr-FR"/>
        </w:rPr>
        <w:t xml:space="preserve"> aux travaux du Conseil des droits de l'homme</w:t>
      </w:r>
    </w:p>
    <w:p w14:paraId="2E96EE19" w14:textId="77777777" w:rsidR="004B7A73" w:rsidRPr="002C19D0" w:rsidRDefault="004B7A73" w:rsidP="002C19D0">
      <w:pPr>
        <w:pStyle w:val="ListParagraph"/>
        <w:spacing w:before="240" w:after="0" w:line="276" w:lineRule="auto"/>
        <w:ind w:left="567" w:right="567"/>
        <w:jc w:val="both"/>
        <w:rPr>
          <w:rStyle w:val="eop"/>
          <w:b/>
          <w:bCs/>
          <w:i/>
          <w:iCs/>
          <w:color w:val="4472C4" w:themeColor="accent1"/>
          <w:lang w:val="fr-FR"/>
        </w:rPr>
      </w:pPr>
    </w:p>
    <w:p w14:paraId="6F38F884" w14:textId="6981BBA4" w:rsidR="004C77B5" w:rsidRPr="002C19D0" w:rsidRDefault="00231939" w:rsidP="002C19D0">
      <w:pPr>
        <w:pStyle w:val="ListParagraph"/>
        <w:numPr>
          <w:ilvl w:val="1"/>
          <w:numId w:val="4"/>
        </w:numPr>
        <w:spacing w:before="240" w:after="0" w:line="276" w:lineRule="auto"/>
        <w:ind w:right="567"/>
        <w:jc w:val="both"/>
        <w:rPr>
          <w:rStyle w:val="eop"/>
          <w:b/>
          <w:bCs/>
          <w:i/>
          <w:iCs/>
          <w:color w:val="4472C4" w:themeColor="accent1"/>
          <w:lang w:val="fr-FR"/>
        </w:rPr>
      </w:pPr>
      <w:r w:rsidRPr="002C19D0">
        <w:rPr>
          <w:rStyle w:val="eop"/>
          <w:b/>
          <w:bCs/>
          <w:i/>
          <w:iCs/>
          <w:color w:val="4472C4" w:themeColor="accent1"/>
          <w:u w:val="single"/>
          <w:lang w:val="fr-FR"/>
        </w:rPr>
        <w:t xml:space="preserve">Modalités de participation </w:t>
      </w:r>
      <w:r w:rsidR="007D7C3E" w:rsidRPr="002C19D0">
        <w:rPr>
          <w:rStyle w:val="eop"/>
          <w:b/>
          <w:bCs/>
          <w:i/>
          <w:iCs/>
          <w:color w:val="4472C4" w:themeColor="accent1"/>
          <w:u w:val="single"/>
          <w:lang w:val="fr-FR"/>
        </w:rPr>
        <w:t xml:space="preserve">des </w:t>
      </w:r>
      <w:r w:rsidR="002A7B59" w:rsidRPr="002C19D0">
        <w:rPr>
          <w:rStyle w:val="eop"/>
          <w:b/>
          <w:bCs/>
          <w:i/>
          <w:iCs/>
          <w:color w:val="4472C4" w:themeColor="accent1"/>
          <w:u w:val="single"/>
          <w:lang w:val="fr-FR"/>
        </w:rPr>
        <w:t>Peuples Autochtones</w:t>
      </w:r>
      <w:r w:rsidR="007D7C3E" w:rsidRPr="002C19D0">
        <w:rPr>
          <w:rStyle w:val="eop"/>
          <w:b/>
          <w:bCs/>
          <w:i/>
          <w:iCs/>
          <w:color w:val="4472C4" w:themeColor="accent1"/>
          <w:u w:val="single"/>
          <w:lang w:val="fr-FR"/>
        </w:rPr>
        <w:t xml:space="preserve"> au Conseil des droits de l'homme</w:t>
      </w:r>
    </w:p>
    <w:p w14:paraId="77A2D793" w14:textId="77777777" w:rsidR="004B7A73" w:rsidRPr="002C19D0" w:rsidRDefault="004B7A73" w:rsidP="002C19D0">
      <w:pPr>
        <w:pStyle w:val="ListParagraph"/>
        <w:spacing w:before="240" w:after="0" w:line="276" w:lineRule="auto"/>
        <w:ind w:left="567" w:right="567"/>
        <w:jc w:val="both"/>
        <w:rPr>
          <w:rStyle w:val="eop"/>
          <w:b/>
          <w:bCs/>
          <w:color w:val="4472C4" w:themeColor="accent1"/>
          <w:lang w:val="fr-FR"/>
        </w:rPr>
      </w:pPr>
    </w:p>
    <w:p w14:paraId="3D350F20" w14:textId="77777777" w:rsidR="004C77B5" w:rsidRPr="002C19D0" w:rsidRDefault="00231939" w:rsidP="002C19D0">
      <w:pPr>
        <w:pStyle w:val="ListParagraph"/>
        <w:numPr>
          <w:ilvl w:val="0"/>
          <w:numId w:val="2"/>
        </w:numPr>
        <w:spacing w:before="240" w:after="0" w:line="276" w:lineRule="auto"/>
        <w:ind w:left="567" w:right="567"/>
        <w:jc w:val="both"/>
        <w:rPr>
          <w:rStyle w:val="eop"/>
          <w:b/>
          <w:bCs/>
          <w:color w:val="4472C4" w:themeColor="accent1"/>
          <w:lang w:val="fr-FR"/>
        </w:rPr>
      </w:pPr>
      <w:r w:rsidRPr="002C19D0">
        <w:rPr>
          <w:rStyle w:val="eop"/>
          <w:b/>
          <w:bCs/>
          <w:color w:val="4472C4" w:themeColor="accent1"/>
          <w:u w:val="single"/>
          <w:lang w:val="fr-FR"/>
        </w:rPr>
        <w:t xml:space="preserve">Identifier des recommandations concrètes </w:t>
      </w:r>
      <w:r w:rsidRPr="002C19D0">
        <w:rPr>
          <w:rStyle w:val="eop"/>
          <w:b/>
          <w:bCs/>
          <w:color w:val="4472C4" w:themeColor="accent1"/>
          <w:lang w:val="fr-FR"/>
        </w:rPr>
        <w:t xml:space="preserve">pour lever les obstacles à la participation et proposer des mécanismes efficaces pour une participation significative des peuples </w:t>
      </w:r>
      <w:r w:rsidRPr="002C19D0">
        <w:rPr>
          <w:rStyle w:val="eop"/>
          <w:b/>
          <w:bCs/>
          <w:color w:val="4472C4" w:themeColor="accent1"/>
          <w:shd w:val="clear" w:color="auto" w:fill="FFFFFF"/>
          <w:lang w:val="fr-FR"/>
        </w:rPr>
        <w:t xml:space="preserve">et institutions </w:t>
      </w:r>
      <w:r w:rsidRPr="002C19D0">
        <w:rPr>
          <w:rStyle w:val="eop"/>
          <w:b/>
          <w:bCs/>
          <w:color w:val="4472C4" w:themeColor="accent1"/>
          <w:lang w:val="fr-FR"/>
        </w:rPr>
        <w:t xml:space="preserve">autochtones </w:t>
      </w:r>
      <w:r w:rsidRPr="002C19D0">
        <w:rPr>
          <w:rStyle w:val="eop"/>
          <w:b/>
          <w:bCs/>
          <w:color w:val="4472C4" w:themeColor="accent1"/>
          <w:shd w:val="clear" w:color="auto" w:fill="FFFFFF"/>
          <w:lang w:val="fr-FR"/>
        </w:rPr>
        <w:t xml:space="preserve">aux réunions et processus des </w:t>
      </w:r>
      <w:r w:rsidRPr="002C19D0">
        <w:rPr>
          <w:rStyle w:val="eop"/>
          <w:b/>
          <w:bCs/>
          <w:color w:val="4472C4" w:themeColor="accent1"/>
          <w:lang w:val="fr-FR"/>
        </w:rPr>
        <w:t xml:space="preserve">organes des Nations unies, en particulier aux travaux du Conseil des droits de l'homme. </w:t>
      </w:r>
    </w:p>
    <w:p w14:paraId="379207AE" w14:textId="77777777" w:rsidR="004B7A73" w:rsidRPr="002C19D0" w:rsidRDefault="004B7A73" w:rsidP="002C19D0">
      <w:pPr>
        <w:spacing w:line="276" w:lineRule="auto"/>
        <w:ind w:right="567"/>
        <w:jc w:val="both"/>
        <w:rPr>
          <w:b/>
          <w:bCs/>
          <w:lang w:val="fr-FR"/>
        </w:rPr>
      </w:pPr>
    </w:p>
    <w:p w14:paraId="783D7BDE" w14:textId="77777777" w:rsidR="006B6BB2" w:rsidRPr="002C19D0" w:rsidRDefault="006B6BB2" w:rsidP="002C19D0">
      <w:pPr>
        <w:spacing w:line="276" w:lineRule="auto"/>
        <w:ind w:right="567"/>
        <w:jc w:val="both"/>
        <w:rPr>
          <w:b/>
          <w:bCs/>
          <w:lang w:val="fr-FR"/>
        </w:rPr>
      </w:pPr>
    </w:p>
    <w:p w14:paraId="69C5F5CC" w14:textId="77777777" w:rsidR="006B6BB2" w:rsidRPr="002C19D0" w:rsidRDefault="006B6BB2" w:rsidP="002C19D0">
      <w:pPr>
        <w:spacing w:line="276" w:lineRule="auto"/>
        <w:ind w:right="567"/>
        <w:jc w:val="both"/>
        <w:rPr>
          <w:b/>
          <w:bCs/>
          <w:lang w:val="fr-FR"/>
        </w:rPr>
      </w:pPr>
    </w:p>
    <w:p w14:paraId="43E3B31C" w14:textId="77777777" w:rsidR="002A7B59" w:rsidRPr="002C19D0" w:rsidRDefault="002A7B59" w:rsidP="002C19D0">
      <w:pPr>
        <w:spacing w:line="276" w:lineRule="auto"/>
        <w:ind w:right="567"/>
        <w:jc w:val="both"/>
        <w:rPr>
          <w:b/>
          <w:bCs/>
          <w:lang w:val="fr-FR"/>
        </w:rPr>
      </w:pPr>
    </w:p>
    <w:p w14:paraId="6A738094" w14:textId="77777777" w:rsidR="004C77B5" w:rsidRPr="002C19D0" w:rsidRDefault="00FD3DA2" w:rsidP="002C19D0">
      <w:pPr>
        <w:spacing w:line="276" w:lineRule="auto"/>
        <w:ind w:right="567" w:firstLine="207"/>
        <w:jc w:val="both"/>
        <w:rPr>
          <w:b/>
          <w:bCs/>
          <w:lang w:val="fr-FR"/>
        </w:rPr>
      </w:pPr>
      <w:r w:rsidRPr="002C19D0">
        <w:rPr>
          <w:b/>
          <w:bCs/>
          <w:lang w:val="fr-FR"/>
        </w:rPr>
        <w:t>Contexte</w:t>
      </w:r>
    </w:p>
    <w:p w14:paraId="6C189610" w14:textId="3228702E" w:rsidR="004C77B5" w:rsidRPr="002C19D0" w:rsidRDefault="00231939" w:rsidP="002C19D0">
      <w:pPr>
        <w:spacing w:line="276" w:lineRule="auto"/>
        <w:ind w:left="567" w:right="567"/>
        <w:jc w:val="both"/>
        <w:rPr>
          <w:rStyle w:val="ui-provider"/>
          <w:lang w:val="fr-FR"/>
        </w:rPr>
      </w:pPr>
      <w:r w:rsidRPr="002C19D0">
        <w:rPr>
          <w:rStyle w:val="ui-provider"/>
          <w:lang w:val="fr-FR"/>
        </w:rPr>
        <w:t xml:space="preserve">Depuis les années 1980, les </w:t>
      </w:r>
      <w:r w:rsidR="002A7B59" w:rsidRPr="002C19D0">
        <w:rPr>
          <w:rStyle w:val="ui-provider"/>
          <w:lang w:val="fr-FR"/>
        </w:rPr>
        <w:t>Peuples Autochtones</w:t>
      </w:r>
      <w:r w:rsidRPr="002C19D0">
        <w:rPr>
          <w:rStyle w:val="ui-provider"/>
          <w:lang w:val="fr-FR"/>
        </w:rPr>
        <w:t xml:space="preserve"> participent à des degrés divers aux réunions de certains organes et mécanismes des Nations unies. Il s'agit notamment des mécanismes qui traitent spécifiquement des questions relatives aux </w:t>
      </w:r>
      <w:r w:rsidR="002A7B59" w:rsidRPr="002C19D0">
        <w:rPr>
          <w:rStyle w:val="ui-provider"/>
          <w:lang w:val="fr-FR"/>
        </w:rPr>
        <w:t>Peuples Autochtones</w:t>
      </w:r>
      <w:r w:rsidRPr="002C19D0">
        <w:rPr>
          <w:rStyle w:val="ui-provider"/>
          <w:lang w:val="fr-FR"/>
        </w:rPr>
        <w:t xml:space="preserve">, tels que le groupe de travail sur les populations autochtones (sous l'égide de la Commission des droits de l'homme), l'Instance permanente des Nations unies sur les questions autochtones (organe subsidiaire de l'ECOSOC) et le mécanisme d'experts sur les droits des </w:t>
      </w:r>
      <w:r w:rsidR="002A7B59" w:rsidRPr="002C19D0">
        <w:rPr>
          <w:rStyle w:val="ui-provider"/>
          <w:lang w:val="fr-FR"/>
        </w:rPr>
        <w:t>Peuples Autochtones</w:t>
      </w:r>
      <w:r w:rsidRPr="002C19D0">
        <w:rPr>
          <w:rStyle w:val="ui-provider"/>
          <w:lang w:val="fr-FR"/>
        </w:rPr>
        <w:t xml:space="preserve"> (organe subsidiaire du Conseil des droits de l'homme). Le renforcement de la participation des </w:t>
      </w:r>
      <w:r w:rsidR="002A7B59" w:rsidRPr="002C19D0">
        <w:rPr>
          <w:rStyle w:val="ui-provider"/>
          <w:lang w:val="fr-FR"/>
        </w:rPr>
        <w:t>Peuples Autochtones</w:t>
      </w:r>
      <w:r w:rsidRPr="002C19D0">
        <w:rPr>
          <w:rStyle w:val="ui-provider"/>
          <w:lang w:val="fr-FR"/>
        </w:rPr>
        <w:t xml:space="preserve"> aux Nations unies a également été l'une des questions centrales abordées lors de la Conférence mondiale sur les </w:t>
      </w:r>
      <w:r w:rsidR="002A7B59" w:rsidRPr="002C19D0">
        <w:rPr>
          <w:rStyle w:val="ui-provider"/>
          <w:lang w:val="fr-FR"/>
        </w:rPr>
        <w:t>Peuples Autochtones</w:t>
      </w:r>
      <w:r w:rsidRPr="002C19D0">
        <w:rPr>
          <w:rStyle w:val="ui-provider"/>
          <w:lang w:val="fr-FR"/>
        </w:rPr>
        <w:t xml:space="preserve"> (2014) et dans son document final (résolution 69/2 de l'Assemblée générale).</w:t>
      </w:r>
    </w:p>
    <w:p w14:paraId="0641DE06" w14:textId="5587CD94" w:rsidR="004C77B5" w:rsidRPr="002C19D0" w:rsidRDefault="00231939" w:rsidP="002C19D0">
      <w:pPr>
        <w:spacing w:line="276" w:lineRule="auto"/>
        <w:ind w:left="567" w:right="567"/>
        <w:jc w:val="both"/>
        <w:rPr>
          <w:lang w:val="fr-FR"/>
        </w:rPr>
      </w:pPr>
      <w:r w:rsidRPr="002C19D0">
        <w:rPr>
          <w:rStyle w:val="ui-provider"/>
          <w:lang w:val="fr-FR"/>
        </w:rPr>
        <w:t xml:space="preserve">L'adoption de la déclaration des Nations unies sur les droits des </w:t>
      </w:r>
      <w:r w:rsidR="002A7B59" w:rsidRPr="002C19D0">
        <w:rPr>
          <w:rStyle w:val="ui-provider"/>
          <w:lang w:val="fr-FR"/>
        </w:rPr>
        <w:t>Peuples Autochtones</w:t>
      </w:r>
      <w:r w:rsidRPr="002C19D0">
        <w:rPr>
          <w:rStyle w:val="ui-provider"/>
          <w:lang w:val="fr-FR"/>
        </w:rPr>
        <w:t xml:space="preserve"> par l'Assemblée générale en 2007 a fait date. La déclaration consacre le droit des </w:t>
      </w:r>
      <w:r w:rsidR="002A7B59" w:rsidRPr="002C19D0">
        <w:rPr>
          <w:rStyle w:val="ui-provider"/>
          <w:lang w:val="fr-FR"/>
        </w:rPr>
        <w:t>Peuples Autochtones</w:t>
      </w:r>
      <w:r w:rsidRPr="002C19D0">
        <w:rPr>
          <w:rStyle w:val="ui-provider"/>
          <w:lang w:val="fr-FR"/>
        </w:rPr>
        <w:t xml:space="preserve"> à participer à la prise de décision sur les questions susceptibles de les concerner (article 12, entre autres), y compris dans le contexte spécifique du système des Nations unies (article 41). Le droit à l'autodétermination (article 3) et le principe du consentement préalable, libre et éclairé (article 19, entre autres) sont également au cœur de toute discussion sur la participation des </w:t>
      </w:r>
      <w:r w:rsidR="002A7B59" w:rsidRPr="002C19D0">
        <w:rPr>
          <w:rStyle w:val="ui-provider"/>
          <w:lang w:val="fr-FR"/>
        </w:rPr>
        <w:t>Peuples Autochtones</w:t>
      </w:r>
      <w:r w:rsidRPr="002C19D0">
        <w:rPr>
          <w:rStyle w:val="ui-provider"/>
          <w:lang w:val="fr-FR"/>
        </w:rPr>
        <w:t xml:space="preserve"> aux Nations unies.</w:t>
      </w:r>
    </w:p>
    <w:p w14:paraId="27EF498C" w14:textId="541E1DE6" w:rsidR="004C77B5" w:rsidRPr="002C19D0" w:rsidRDefault="00231939" w:rsidP="002C19D0">
      <w:pPr>
        <w:spacing w:line="276" w:lineRule="auto"/>
        <w:ind w:left="567" w:right="567"/>
        <w:jc w:val="both"/>
        <w:rPr>
          <w:rStyle w:val="ui-provider"/>
          <w:lang w:val="fr-FR"/>
        </w:rPr>
      </w:pPr>
      <w:r w:rsidRPr="002C19D0">
        <w:rPr>
          <w:rStyle w:val="ui-provider"/>
          <w:lang w:val="fr-FR"/>
        </w:rPr>
        <w:t xml:space="preserve">Dans le cadre du Conseil des droits de l'homme, les principaux lieux de participation ont été les sessions du mécanisme d'experts sur les droits des </w:t>
      </w:r>
      <w:r w:rsidR="002A7B59" w:rsidRPr="002C19D0">
        <w:rPr>
          <w:rStyle w:val="ui-provider"/>
          <w:lang w:val="fr-FR"/>
        </w:rPr>
        <w:t>Peuples Autochtones</w:t>
      </w:r>
      <w:r w:rsidRPr="002C19D0">
        <w:rPr>
          <w:rStyle w:val="ui-provider"/>
          <w:lang w:val="fr-FR"/>
        </w:rPr>
        <w:t xml:space="preserve">, pour lesquelles les </w:t>
      </w:r>
      <w:r w:rsidR="002A7B59" w:rsidRPr="002C19D0">
        <w:rPr>
          <w:rStyle w:val="ui-provider"/>
          <w:lang w:val="fr-FR"/>
        </w:rPr>
        <w:t>Peuples Autochtones</w:t>
      </w:r>
      <w:r w:rsidRPr="002C19D0">
        <w:rPr>
          <w:rStyle w:val="ui-provider"/>
          <w:lang w:val="fr-FR"/>
        </w:rPr>
        <w:t xml:space="preserve"> peuvent demander une accréditation en tant que représentants de leurs propres organisations et institutions, et les dialogues interactifs avec l'EMRIP et le rapporteur spécial sur les droits des </w:t>
      </w:r>
      <w:r w:rsidR="002A7B59" w:rsidRPr="002C19D0">
        <w:rPr>
          <w:rStyle w:val="ui-provider"/>
          <w:lang w:val="fr-FR"/>
        </w:rPr>
        <w:t>Peuples Autochtones</w:t>
      </w:r>
      <w:r w:rsidRPr="002C19D0">
        <w:rPr>
          <w:rStyle w:val="ui-provider"/>
          <w:lang w:val="fr-FR"/>
        </w:rPr>
        <w:t xml:space="preserve">, qui ont lieu chaque année lors de la session de septembre du Conseil. Cependant, lors des réunions formelles du CDH, les représentants des </w:t>
      </w:r>
      <w:r w:rsidR="002A7B59" w:rsidRPr="002C19D0">
        <w:rPr>
          <w:rStyle w:val="ui-provider"/>
          <w:lang w:val="fr-FR"/>
        </w:rPr>
        <w:t>Peuples Autochtones</w:t>
      </w:r>
      <w:r w:rsidRPr="002C19D0">
        <w:rPr>
          <w:rStyle w:val="ui-provider"/>
          <w:lang w:val="fr-FR"/>
        </w:rPr>
        <w:t xml:space="preserve"> doivent être accrédités par une ONG dotée du statut consultatif auprès de l'ECOSOC et ils ne peuvent pas participer de leur propre chef dans le cadre des procédures d'accréditation actuelles.</w:t>
      </w:r>
    </w:p>
    <w:p w14:paraId="21E550A2" w14:textId="51E88CD6" w:rsidR="004C77B5" w:rsidRPr="002C19D0" w:rsidRDefault="00231939" w:rsidP="002C19D0">
      <w:pPr>
        <w:spacing w:line="276" w:lineRule="auto"/>
        <w:ind w:left="567" w:right="567"/>
        <w:jc w:val="both"/>
        <w:rPr>
          <w:rStyle w:val="ui-provider"/>
          <w:lang w:val="fr-FR"/>
        </w:rPr>
      </w:pPr>
      <w:r w:rsidRPr="002C19D0">
        <w:rPr>
          <w:lang w:val="fr-FR"/>
        </w:rPr>
        <w:t xml:space="preserve">Les </w:t>
      </w:r>
      <w:r w:rsidR="002A7B59" w:rsidRPr="002C19D0">
        <w:rPr>
          <w:lang w:val="fr-FR"/>
        </w:rPr>
        <w:t>Peuples Autochtones</w:t>
      </w:r>
      <w:r w:rsidRPr="002C19D0">
        <w:rPr>
          <w:lang w:val="fr-FR"/>
        </w:rPr>
        <w:t xml:space="preserve"> ont plaidé pour une participation accrue au Conseil depuis sa création (voir par exemple A/HRC/21/24). À la suite de l'adoption du document final de la Conférence mondiale sur les </w:t>
      </w:r>
      <w:r w:rsidR="002A7B59" w:rsidRPr="002C19D0">
        <w:rPr>
          <w:lang w:val="fr-FR"/>
        </w:rPr>
        <w:t>Peuples Autochtones</w:t>
      </w:r>
      <w:r w:rsidRPr="002C19D0">
        <w:rPr>
          <w:lang w:val="fr-FR"/>
        </w:rPr>
        <w:t xml:space="preserve"> en 2014, le président de l'Assemblée générale a lancé divers processus de consultation, en personne et par voie électronique, afin de recueillir des contributions sur le renforcement de la participation des </w:t>
      </w:r>
      <w:r w:rsidR="002A7B59" w:rsidRPr="002C19D0">
        <w:rPr>
          <w:lang w:val="fr-FR"/>
        </w:rPr>
        <w:t>Peuples Autochtones</w:t>
      </w:r>
      <w:r w:rsidRPr="002C19D0">
        <w:rPr>
          <w:lang w:val="fr-FR"/>
        </w:rPr>
        <w:t xml:space="preserve"> au sein du système des </w:t>
      </w:r>
      <w:r w:rsidRPr="002C19D0">
        <w:rPr>
          <w:lang w:val="fr-FR"/>
        </w:rPr>
        <w:lastRenderedPageBreak/>
        <w:t xml:space="preserve">Nations unies. En septembre 2017, l'Assemblée générale a adopté la résolution </w:t>
      </w:r>
      <w:hyperlink r:id="rId12" w:tgtFrame="_blank" w:tooltip="https://documents.un.org/doc/undoc/gen/n17/281/69/pdf/n1728169.pdf?token=nwwj0etgfqhin9m44s&amp;fe=true" w:history="1">
        <w:r w:rsidRPr="002C19D0">
          <w:rPr>
            <w:color w:val="0000FF"/>
            <w:u w:val="single"/>
            <w:lang w:val="fr-FR"/>
          </w:rPr>
          <w:t>71/321</w:t>
        </w:r>
      </w:hyperlink>
      <w:r w:rsidRPr="002C19D0">
        <w:rPr>
          <w:lang w:val="fr-FR"/>
        </w:rPr>
        <w:t xml:space="preserve"> sur le renforcement de la participation des </w:t>
      </w:r>
      <w:r w:rsidR="002A7B59" w:rsidRPr="002C19D0">
        <w:rPr>
          <w:lang w:val="fr-FR"/>
        </w:rPr>
        <w:t>Peuples Autochtones</w:t>
      </w:r>
      <w:r w:rsidRPr="002C19D0">
        <w:rPr>
          <w:lang w:val="fr-FR"/>
        </w:rPr>
        <w:t xml:space="preserve">. Cependant, en raison de l'absence de consensus, l'Assemblée n'a pas adopté de nouvelle procédure et a demandé l'organisation de trois autres auditions interactives. Ces auditions interactives se sont achevées en 2023. Le processus se poursuit à l'Assemblée générale des Nations unies à New York. Parallèlement, les agences du système des Nations Unies ont travaillé à renforcer la participation des </w:t>
      </w:r>
      <w:r w:rsidR="002A7B59" w:rsidRPr="002C19D0">
        <w:rPr>
          <w:lang w:val="fr-FR"/>
        </w:rPr>
        <w:t>Peuples Autochtones</w:t>
      </w:r>
      <w:r w:rsidRPr="002C19D0">
        <w:rPr>
          <w:lang w:val="fr-FR"/>
        </w:rPr>
        <w:t xml:space="preserve"> conformément au 6ème élément du </w:t>
      </w:r>
      <w:hyperlink r:id="rId13" w:tgtFrame="_blank" w:tooltip="https://social.desa.un.org/issues/indigenous-peoples/system-wide-action-plan-swap" w:history="1">
        <w:r w:rsidRPr="002C19D0">
          <w:rPr>
            <w:color w:val="0000FF"/>
            <w:u w:val="single"/>
            <w:lang w:val="fr-FR"/>
          </w:rPr>
          <w:t xml:space="preserve">Plan d'action à l'échelle du système sur les </w:t>
        </w:r>
        <w:r w:rsidR="002A7B59" w:rsidRPr="002C19D0">
          <w:rPr>
            <w:color w:val="0000FF"/>
            <w:u w:val="single"/>
            <w:lang w:val="fr-FR"/>
          </w:rPr>
          <w:t>Peuples Autochtones</w:t>
        </w:r>
      </w:hyperlink>
      <w:r w:rsidRPr="002C19D0">
        <w:rPr>
          <w:lang w:val="fr-FR"/>
        </w:rPr>
        <w:t>.</w:t>
      </w:r>
    </w:p>
    <w:p w14:paraId="75532958" w14:textId="463E141C" w:rsidR="004C77B5" w:rsidRPr="002C19D0" w:rsidRDefault="00231939" w:rsidP="002C19D0">
      <w:pPr>
        <w:spacing w:line="276" w:lineRule="auto"/>
        <w:ind w:left="567" w:right="567"/>
        <w:jc w:val="both"/>
        <w:rPr>
          <w:lang w:val="fr-FR"/>
        </w:rPr>
      </w:pPr>
      <w:r w:rsidRPr="002C19D0">
        <w:rPr>
          <w:lang w:val="fr-FR"/>
        </w:rPr>
        <w:t xml:space="preserve">Entre-temps, en 2018, le Conseil des droits de l'homme, dans sa résolution </w:t>
      </w:r>
      <w:hyperlink r:id="rId14" w:tgtFrame="_blank" w:tooltip="https://documents.un.org/doc/undoc/gen/g18/296/56/pdf/g1829656.pdf?token=5zjyhrblxtekfbtxni&amp;fe=true" w:history="1">
        <w:r w:rsidRPr="002C19D0">
          <w:rPr>
            <w:color w:val="0000FF"/>
            <w:u w:val="single"/>
            <w:lang w:val="fr-FR"/>
          </w:rPr>
          <w:t>39/13</w:t>
        </w:r>
      </w:hyperlink>
      <w:r w:rsidRPr="002C19D0">
        <w:rPr>
          <w:lang w:val="fr-FR"/>
        </w:rPr>
        <w:t xml:space="preserve">, s'est félicité des efforts déployés par l'Assemblée générale pour renforcer la participation des </w:t>
      </w:r>
      <w:r w:rsidR="002A7B59" w:rsidRPr="002C19D0">
        <w:rPr>
          <w:lang w:val="fr-FR"/>
        </w:rPr>
        <w:t>Peuples Autochtones</w:t>
      </w:r>
      <w:r w:rsidRPr="002C19D0">
        <w:rPr>
          <w:lang w:val="fr-FR"/>
        </w:rPr>
        <w:t xml:space="preserve"> et a décidé d'organiser un dialogue interactif intersessions d'une demi-journée sur les moyens de renforcer la participation des représentants et des institutions des </w:t>
      </w:r>
      <w:r w:rsidR="002A7B59" w:rsidRPr="002C19D0">
        <w:rPr>
          <w:lang w:val="fr-FR"/>
        </w:rPr>
        <w:t>Peuples Autochtones</w:t>
      </w:r>
      <w:r w:rsidRPr="002C19D0">
        <w:rPr>
          <w:lang w:val="fr-FR"/>
        </w:rPr>
        <w:t xml:space="preserve"> aux réunions du Conseil des droits de l'homme consacrées aux questions qui les concernent, en s'appuyant sur les travaux réalisés par l'Assemblée générale.</w:t>
      </w:r>
    </w:p>
    <w:p w14:paraId="422410BB" w14:textId="6A284DB1" w:rsidR="002C19D0" w:rsidRPr="002C19D0" w:rsidRDefault="002C19D0" w:rsidP="002C19D0">
      <w:pPr>
        <w:ind w:left="567" w:right="662"/>
        <w:jc w:val="both"/>
        <w:rPr>
          <w:lang w:val="fr-FR"/>
        </w:rPr>
      </w:pPr>
      <w:r w:rsidRPr="002C19D0">
        <w:rPr>
          <w:lang w:val="fr-FR"/>
        </w:rPr>
        <w:t xml:space="preserve">Conformément à la résolution 48/11 du Conseil des droits de l'homme, l'OHCHR a organisé un atelier d'experts sur les moyens possibles de renforcer la participation des Peuples Autochtones aux travaux du Conseil des droits de l'homme, qui s'est tenu du 21 au 24 novembre 2022. Entre autres conclusions, l'atelier a affirmé que les représentants et les institutions des peuples autochtones devraient être en mesure de participer à toutes les instances du Conseil des droits de l'homme que les peuples autochtones eux-mêmes jugent les concerner.  </w:t>
      </w:r>
    </w:p>
    <w:p w14:paraId="085BC267" w14:textId="16F2BAC9" w:rsidR="002C19D0" w:rsidRPr="002C19D0" w:rsidRDefault="002C19D0" w:rsidP="002C19D0">
      <w:pPr>
        <w:ind w:left="567" w:right="662"/>
        <w:jc w:val="both"/>
        <w:rPr>
          <w:lang w:val="fr-FR"/>
        </w:rPr>
      </w:pPr>
      <w:r w:rsidRPr="002C19D0">
        <w:rPr>
          <w:lang w:val="fr-FR"/>
        </w:rPr>
        <w:t>Le Mécanisme d'experts a soumis une contribution écrite à l'atelier d'experts de novembre 2022 sur les moyens possibles de renforcer la participation des Peuples Autochtones aux travaux du Conseil des droits de l'homme, dans laquelle il a abordé les lieux de participation, les modalités de participation, les critères de sélection, les modalités de sélection et les prochaines étapes.</w:t>
      </w:r>
    </w:p>
    <w:p w14:paraId="126614A6" w14:textId="6020ADE8" w:rsidR="004C77B5" w:rsidRPr="002C19D0" w:rsidRDefault="00231939" w:rsidP="002C19D0">
      <w:pPr>
        <w:spacing w:line="276" w:lineRule="auto"/>
        <w:ind w:left="567" w:right="567"/>
        <w:jc w:val="both"/>
        <w:rPr>
          <w:lang w:val="fr-FR"/>
        </w:rPr>
      </w:pPr>
      <w:r w:rsidRPr="002C19D0">
        <w:rPr>
          <w:rStyle w:val="ui-provider"/>
          <w:lang w:val="fr-FR"/>
        </w:rPr>
        <w:t xml:space="preserve">Le </w:t>
      </w:r>
      <w:r w:rsidR="00D04E65" w:rsidRPr="002C19D0">
        <w:rPr>
          <w:rStyle w:val="ui-provider"/>
          <w:lang w:val="fr-FR"/>
        </w:rPr>
        <w:t xml:space="preserve">Conseil des </w:t>
      </w:r>
      <w:r w:rsidR="0083568D" w:rsidRPr="002C19D0">
        <w:rPr>
          <w:rStyle w:val="ui-provider"/>
          <w:lang w:val="fr-FR"/>
        </w:rPr>
        <w:t xml:space="preserve">droits de </w:t>
      </w:r>
      <w:r w:rsidRPr="002C19D0">
        <w:rPr>
          <w:rStyle w:val="ui-provider"/>
          <w:lang w:val="fr-FR"/>
        </w:rPr>
        <w:t xml:space="preserve">l'homme a </w:t>
      </w:r>
      <w:r w:rsidR="00D04E65" w:rsidRPr="002C19D0">
        <w:rPr>
          <w:rStyle w:val="ui-provider"/>
          <w:lang w:val="fr-FR"/>
        </w:rPr>
        <w:t>continué d'</w:t>
      </w:r>
      <w:r w:rsidR="0083568D" w:rsidRPr="002C19D0">
        <w:rPr>
          <w:rStyle w:val="ui-provider"/>
          <w:lang w:val="fr-FR"/>
        </w:rPr>
        <w:t xml:space="preserve">aborder cette question dans le cadre d'un dialogue interactif intersessions en 2019 (voir A/HRC/44/35), d'une table ronde intersessions en 2021 (voir A/HRC/49/69) et, plus récemment, d'un atelier d'experts de quatre jours sur les moyens possibles de renforcer la participation des </w:t>
      </w:r>
      <w:r w:rsidR="002A7B59" w:rsidRPr="002C19D0">
        <w:rPr>
          <w:rStyle w:val="ui-provider"/>
          <w:lang w:val="fr-FR"/>
        </w:rPr>
        <w:t>Peuples Autochtones</w:t>
      </w:r>
      <w:r w:rsidR="0083568D" w:rsidRPr="002C19D0">
        <w:rPr>
          <w:rStyle w:val="ui-provider"/>
          <w:lang w:val="fr-FR"/>
        </w:rPr>
        <w:t xml:space="preserve"> à ses travaux en 2023 (voir A/HRC/53/44). Le Conseil se penchera à nouveau sur cette question lors de deux réunions intersessions en 2024 (18-19 juillet et 17-18 octobre). </w:t>
      </w:r>
    </w:p>
    <w:p w14:paraId="7132EB8F" w14:textId="77777777" w:rsidR="00FD3DA2" w:rsidRPr="002C19D0" w:rsidRDefault="00FD3DA2" w:rsidP="002C19D0">
      <w:pPr>
        <w:spacing w:before="240" w:after="0" w:line="276" w:lineRule="auto"/>
        <w:ind w:left="567" w:right="567"/>
        <w:jc w:val="both"/>
        <w:rPr>
          <w:caps/>
          <w:lang w:val="fr-FR"/>
        </w:rPr>
      </w:pPr>
    </w:p>
    <w:sectPr w:rsidR="00FD3DA2" w:rsidRPr="002C19D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3B44A" w14:textId="77777777" w:rsidR="006960C7" w:rsidRDefault="006960C7" w:rsidP="008A6D18">
      <w:pPr>
        <w:spacing w:after="0" w:line="240" w:lineRule="auto"/>
      </w:pPr>
      <w:r>
        <w:separator/>
      </w:r>
    </w:p>
  </w:endnote>
  <w:endnote w:type="continuationSeparator" w:id="0">
    <w:p w14:paraId="1E4B0CDE" w14:textId="77777777" w:rsidR="006960C7" w:rsidRDefault="006960C7" w:rsidP="008A6D18">
      <w:pPr>
        <w:spacing w:after="0" w:line="240" w:lineRule="auto"/>
      </w:pPr>
      <w:r>
        <w:continuationSeparator/>
      </w:r>
    </w:p>
  </w:endnote>
  <w:endnote w:type="continuationNotice" w:id="1">
    <w:p w14:paraId="7698D08A" w14:textId="77777777" w:rsidR="006960C7" w:rsidRDefault="00696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42AA7" w14:textId="77777777" w:rsidR="000C3780" w:rsidRDefault="000C3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8168058"/>
      <w:docPartObj>
        <w:docPartGallery w:val="Page Numbers (Bottom of Page)"/>
        <w:docPartUnique/>
      </w:docPartObj>
    </w:sdtPr>
    <w:sdtEndPr>
      <w:rPr>
        <w:noProof/>
      </w:rPr>
    </w:sdtEndPr>
    <w:sdtContent>
      <w:p w14:paraId="31956F0C" w14:textId="77777777" w:rsidR="004C77B5" w:rsidRDefault="002319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D1E8CA" w14:textId="77777777" w:rsidR="00167B70" w:rsidRDefault="00167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C0887" w14:textId="77777777" w:rsidR="000C3780" w:rsidRDefault="000C3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3D430" w14:textId="77777777" w:rsidR="006960C7" w:rsidRDefault="006960C7" w:rsidP="008A6D18">
      <w:pPr>
        <w:spacing w:after="0" w:line="240" w:lineRule="auto"/>
      </w:pPr>
      <w:r>
        <w:separator/>
      </w:r>
    </w:p>
  </w:footnote>
  <w:footnote w:type="continuationSeparator" w:id="0">
    <w:p w14:paraId="4F12DE2D" w14:textId="77777777" w:rsidR="006960C7" w:rsidRDefault="006960C7" w:rsidP="008A6D18">
      <w:pPr>
        <w:spacing w:after="0" w:line="240" w:lineRule="auto"/>
      </w:pPr>
      <w:r>
        <w:continuationSeparator/>
      </w:r>
    </w:p>
  </w:footnote>
  <w:footnote w:type="continuationNotice" w:id="1">
    <w:p w14:paraId="7EAC724A" w14:textId="77777777" w:rsidR="006960C7" w:rsidRDefault="006960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6FCD2" w14:textId="77777777" w:rsidR="000C3780" w:rsidRDefault="000C3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BB224" w14:textId="77777777" w:rsidR="00167B70" w:rsidRDefault="00167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C46DD" w14:textId="77777777" w:rsidR="000C3780" w:rsidRDefault="000C3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B131F"/>
    <w:multiLevelType w:val="hybridMultilevel"/>
    <w:tmpl w:val="8D905E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63B500D"/>
    <w:multiLevelType w:val="hybridMultilevel"/>
    <w:tmpl w:val="7304D83E"/>
    <w:lvl w:ilvl="0" w:tplc="5A86415C">
      <w:numFmt w:val="bullet"/>
      <w:lvlText w:val="-"/>
      <w:lvlJc w:val="left"/>
      <w:pPr>
        <w:ind w:left="1287" w:hanging="360"/>
      </w:pPr>
      <w:rPr>
        <w:rFonts w:ascii="Calibri" w:eastAsiaTheme="minorHAnsi" w:hAnsi="Calibri" w:cs="Calibri" w:hint="default"/>
      </w:rPr>
    </w:lvl>
    <w:lvl w:ilvl="1" w:tplc="613231D8">
      <w:start w:val="14"/>
      <w:numFmt w:val="bullet"/>
      <w:lvlText w:val="-"/>
      <w:lvlJc w:val="left"/>
      <w:pPr>
        <w:ind w:left="2007" w:hanging="360"/>
      </w:pPr>
      <w:rPr>
        <w:rFonts w:ascii="Calibri Light" w:eastAsiaTheme="minorHAnsi" w:hAnsi="Calibri Light" w:cs="Calibri Light"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7B2B7A86"/>
    <w:multiLevelType w:val="hybridMultilevel"/>
    <w:tmpl w:val="BAACC892"/>
    <w:lvl w:ilvl="0" w:tplc="5A86415C">
      <w:numFmt w:val="bullet"/>
      <w:lvlText w:val="-"/>
      <w:lvlJc w:val="left"/>
      <w:pPr>
        <w:ind w:left="1287" w:hanging="360"/>
      </w:pPr>
      <w:rPr>
        <w:rFonts w:ascii="Calibri" w:eastAsiaTheme="minorHAnsi" w:hAnsi="Calibri" w:cs="Calibri" w:hint="default"/>
      </w:rPr>
    </w:lvl>
    <w:lvl w:ilvl="1" w:tplc="6EC60E0E">
      <w:numFmt w:val="bullet"/>
      <w:lvlText w:val="-"/>
      <w:lvlJc w:val="left"/>
      <w:pPr>
        <w:ind w:left="2007" w:hanging="360"/>
      </w:pPr>
      <w:rPr>
        <w:rFonts w:ascii="Times New Roman" w:eastAsiaTheme="minorHAnsi"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7E740E6D"/>
    <w:multiLevelType w:val="hybridMultilevel"/>
    <w:tmpl w:val="CC94EAD4"/>
    <w:lvl w:ilvl="0" w:tplc="08090001">
      <w:start w:val="1"/>
      <w:numFmt w:val="bullet"/>
      <w:lvlText w:val=""/>
      <w:lvlJc w:val="left"/>
      <w:pPr>
        <w:ind w:left="1440" w:hanging="360"/>
      </w:pPr>
      <w:rPr>
        <w:rFonts w:ascii="Symbol" w:hAnsi="Symbol" w:hint="default"/>
      </w:rPr>
    </w:lvl>
    <w:lvl w:ilvl="1" w:tplc="6EC60E0E">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02751916">
    <w:abstractNumId w:val="0"/>
  </w:num>
  <w:num w:numId="2" w16cid:durableId="2082831858">
    <w:abstractNumId w:val="3"/>
  </w:num>
  <w:num w:numId="3" w16cid:durableId="1545368724">
    <w:abstractNumId w:val="1"/>
  </w:num>
  <w:num w:numId="4" w16cid:durableId="331642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3A3"/>
    <w:rsid w:val="00002CBF"/>
    <w:rsid w:val="00006914"/>
    <w:rsid w:val="00006C3E"/>
    <w:rsid w:val="00034849"/>
    <w:rsid w:val="000369C1"/>
    <w:rsid w:val="00042BAC"/>
    <w:rsid w:val="00046150"/>
    <w:rsid w:val="00047098"/>
    <w:rsid w:val="000632F9"/>
    <w:rsid w:val="000729ED"/>
    <w:rsid w:val="000731B0"/>
    <w:rsid w:val="00083D09"/>
    <w:rsid w:val="00092B43"/>
    <w:rsid w:val="000A624A"/>
    <w:rsid w:val="000B31F6"/>
    <w:rsid w:val="000B3319"/>
    <w:rsid w:val="000B338F"/>
    <w:rsid w:val="000B495B"/>
    <w:rsid w:val="000B6DE5"/>
    <w:rsid w:val="000C03CE"/>
    <w:rsid w:val="000C3780"/>
    <w:rsid w:val="000C686D"/>
    <w:rsid w:val="000D42E3"/>
    <w:rsid w:val="000D7595"/>
    <w:rsid w:val="000F421A"/>
    <w:rsid w:val="0012387F"/>
    <w:rsid w:val="001326F3"/>
    <w:rsid w:val="00152852"/>
    <w:rsid w:val="001529A6"/>
    <w:rsid w:val="001541E7"/>
    <w:rsid w:val="00162EC7"/>
    <w:rsid w:val="001643AD"/>
    <w:rsid w:val="001647C9"/>
    <w:rsid w:val="00167B70"/>
    <w:rsid w:val="00173727"/>
    <w:rsid w:val="001846C8"/>
    <w:rsid w:val="00185D05"/>
    <w:rsid w:val="00196727"/>
    <w:rsid w:val="0019746C"/>
    <w:rsid w:val="001A7B5D"/>
    <w:rsid w:val="001D00C4"/>
    <w:rsid w:val="001E4854"/>
    <w:rsid w:val="001E5121"/>
    <w:rsid w:val="001E5AEB"/>
    <w:rsid w:val="001F1FCC"/>
    <w:rsid w:val="002040E6"/>
    <w:rsid w:val="002074AD"/>
    <w:rsid w:val="0021262C"/>
    <w:rsid w:val="0021419E"/>
    <w:rsid w:val="002171D8"/>
    <w:rsid w:val="00225F63"/>
    <w:rsid w:val="00231939"/>
    <w:rsid w:val="002376FC"/>
    <w:rsid w:val="00240C14"/>
    <w:rsid w:val="00246A40"/>
    <w:rsid w:val="00250D60"/>
    <w:rsid w:val="0025486D"/>
    <w:rsid w:val="0028407D"/>
    <w:rsid w:val="00294F5C"/>
    <w:rsid w:val="00296782"/>
    <w:rsid w:val="002A3848"/>
    <w:rsid w:val="002A7B59"/>
    <w:rsid w:val="002B48A6"/>
    <w:rsid w:val="002B6B8C"/>
    <w:rsid w:val="002C0884"/>
    <w:rsid w:val="002C19D0"/>
    <w:rsid w:val="002C35BA"/>
    <w:rsid w:val="002C489D"/>
    <w:rsid w:val="002D37EE"/>
    <w:rsid w:val="002D6140"/>
    <w:rsid w:val="002D62F2"/>
    <w:rsid w:val="002E017B"/>
    <w:rsid w:val="002F3591"/>
    <w:rsid w:val="002F4B94"/>
    <w:rsid w:val="00305DC8"/>
    <w:rsid w:val="00307FB7"/>
    <w:rsid w:val="00321812"/>
    <w:rsid w:val="00321CCE"/>
    <w:rsid w:val="0032252A"/>
    <w:rsid w:val="003305F5"/>
    <w:rsid w:val="003454EB"/>
    <w:rsid w:val="003513F8"/>
    <w:rsid w:val="003620D1"/>
    <w:rsid w:val="00364FAE"/>
    <w:rsid w:val="00373B43"/>
    <w:rsid w:val="00377F64"/>
    <w:rsid w:val="00386A62"/>
    <w:rsid w:val="0039073E"/>
    <w:rsid w:val="00393948"/>
    <w:rsid w:val="0039539A"/>
    <w:rsid w:val="003A7946"/>
    <w:rsid w:val="003B1CD9"/>
    <w:rsid w:val="003B5DB3"/>
    <w:rsid w:val="003C0346"/>
    <w:rsid w:val="003C03A3"/>
    <w:rsid w:val="003C1B92"/>
    <w:rsid w:val="003D5A39"/>
    <w:rsid w:val="003D5E6B"/>
    <w:rsid w:val="003D6F0C"/>
    <w:rsid w:val="003E103F"/>
    <w:rsid w:val="003E654B"/>
    <w:rsid w:val="003E7801"/>
    <w:rsid w:val="004012E6"/>
    <w:rsid w:val="004034A0"/>
    <w:rsid w:val="004152D6"/>
    <w:rsid w:val="004154D6"/>
    <w:rsid w:val="00422E21"/>
    <w:rsid w:val="00432741"/>
    <w:rsid w:val="00444998"/>
    <w:rsid w:val="00451367"/>
    <w:rsid w:val="00452CB8"/>
    <w:rsid w:val="0046305C"/>
    <w:rsid w:val="004732A7"/>
    <w:rsid w:val="00476F02"/>
    <w:rsid w:val="0047790F"/>
    <w:rsid w:val="004801AB"/>
    <w:rsid w:val="00490BE6"/>
    <w:rsid w:val="0049470F"/>
    <w:rsid w:val="00495517"/>
    <w:rsid w:val="00497EE7"/>
    <w:rsid w:val="004B7A73"/>
    <w:rsid w:val="004C4C17"/>
    <w:rsid w:val="004C5190"/>
    <w:rsid w:val="004C58F6"/>
    <w:rsid w:val="004C6603"/>
    <w:rsid w:val="004C77B5"/>
    <w:rsid w:val="004D4BEC"/>
    <w:rsid w:val="004D527F"/>
    <w:rsid w:val="004D7D9D"/>
    <w:rsid w:val="004E18AC"/>
    <w:rsid w:val="004F0063"/>
    <w:rsid w:val="0050219D"/>
    <w:rsid w:val="005144A3"/>
    <w:rsid w:val="005147BD"/>
    <w:rsid w:val="00516628"/>
    <w:rsid w:val="00520F3F"/>
    <w:rsid w:val="0052503B"/>
    <w:rsid w:val="00531525"/>
    <w:rsid w:val="00535176"/>
    <w:rsid w:val="00544CF8"/>
    <w:rsid w:val="00562FBF"/>
    <w:rsid w:val="00564CAF"/>
    <w:rsid w:val="005740D9"/>
    <w:rsid w:val="00592A59"/>
    <w:rsid w:val="00597784"/>
    <w:rsid w:val="005B5B2F"/>
    <w:rsid w:val="005E2C93"/>
    <w:rsid w:val="005E76E2"/>
    <w:rsid w:val="005F2348"/>
    <w:rsid w:val="005F566B"/>
    <w:rsid w:val="00600DF1"/>
    <w:rsid w:val="006015A3"/>
    <w:rsid w:val="006068C2"/>
    <w:rsid w:val="00615565"/>
    <w:rsid w:val="00617905"/>
    <w:rsid w:val="00632374"/>
    <w:rsid w:val="00632C3B"/>
    <w:rsid w:val="00636A6E"/>
    <w:rsid w:val="0064274D"/>
    <w:rsid w:val="006461CC"/>
    <w:rsid w:val="00650507"/>
    <w:rsid w:val="006579E3"/>
    <w:rsid w:val="00661DB5"/>
    <w:rsid w:val="00666719"/>
    <w:rsid w:val="006719C4"/>
    <w:rsid w:val="006960C7"/>
    <w:rsid w:val="006A0C2D"/>
    <w:rsid w:val="006A5EC1"/>
    <w:rsid w:val="006B33E1"/>
    <w:rsid w:val="006B656F"/>
    <w:rsid w:val="006B6BB2"/>
    <w:rsid w:val="006B7562"/>
    <w:rsid w:val="006B764D"/>
    <w:rsid w:val="006D123F"/>
    <w:rsid w:val="006D26C5"/>
    <w:rsid w:val="006D2DA3"/>
    <w:rsid w:val="006D4614"/>
    <w:rsid w:val="006D6AAB"/>
    <w:rsid w:val="006E4265"/>
    <w:rsid w:val="006E4EB2"/>
    <w:rsid w:val="006F2DE2"/>
    <w:rsid w:val="006F3231"/>
    <w:rsid w:val="006F7AFD"/>
    <w:rsid w:val="00702526"/>
    <w:rsid w:val="00704A81"/>
    <w:rsid w:val="0070586A"/>
    <w:rsid w:val="00710E05"/>
    <w:rsid w:val="0072272F"/>
    <w:rsid w:val="00726E5A"/>
    <w:rsid w:val="00730C6A"/>
    <w:rsid w:val="00733B47"/>
    <w:rsid w:val="00735829"/>
    <w:rsid w:val="00740E9E"/>
    <w:rsid w:val="007451CA"/>
    <w:rsid w:val="007455CE"/>
    <w:rsid w:val="00747E86"/>
    <w:rsid w:val="00750FA0"/>
    <w:rsid w:val="0075400B"/>
    <w:rsid w:val="00755DCD"/>
    <w:rsid w:val="0076243B"/>
    <w:rsid w:val="007633D2"/>
    <w:rsid w:val="0076351F"/>
    <w:rsid w:val="007655C7"/>
    <w:rsid w:val="00766EEB"/>
    <w:rsid w:val="00770106"/>
    <w:rsid w:val="00773AB6"/>
    <w:rsid w:val="00780E29"/>
    <w:rsid w:val="007A0227"/>
    <w:rsid w:val="007A270B"/>
    <w:rsid w:val="007A54B7"/>
    <w:rsid w:val="007B59C0"/>
    <w:rsid w:val="007B65CE"/>
    <w:rsid w:val="007B6DD4"/>
    <w:rsid w:val="007C1712"/>
    <w:rsid w:val="007C2569"/>
    <w:rsid w:val="007C7CC9"/>
    <w:rsid w:val="007D1A0D"/>
    <w:rsid w:val="007D63FA"/>
    <w:rsid w:val="007D7C3E"/>
    <w:rsid w:val="007E6E42"/>
    <w:rsid w:val="007E748B"/>
    <w:rsid w:val="007F177C"/>
    <w:rsid w:val="007F617B"/>
    <w:rsid w:val="00804685"/>
    <w:rsid w:val="00804E78"/>
    <w:rsid w:val="00830272"/>
    <w:rsid w:val="008310F5"/>
    <w:rsid w:val="00833BE9"/>
    <w:rsid w:val="0083568D"/>
    <w:rsid w:val="00842580"/>
    <w:rsid w:val="00850A7F"/>
    <w:rsid w:val="00851728"/>
    <w:rsid w:val="00861D74"/>
    <w:rsid w:val="00865ACA"/>
    <w:rsid w:val="0087190E"/>
    <w:rsid w:val="00891396"/>
    <w:rsid w:val="008940E4"/>
    <w:rsid w:val="008A01D7"/>
    <w:rsid w:val="008A24D9"/>
    <w:rsid w:val="008A3C0E"/>
    <w:rsid w:val="008A6D18"/>
    <w:rsid w:val="008B0D3E"/>
    <w:rsid w:val="008B2E7E"/>
    <w:rsid w:val="008C4595"/>
    <w:rsid w:val="008D249C"/>
    <w:rsid w:val="008D7205"/>
    <w:rsid w:val="008E5443"/>
    <w:rsid w:val="008F2B52"/>
    <w:rsid w:val="008F3C3C"/>
    <w:rsid w:val="008F4D09"/>
    <w:rsid w:val="008F5C1F"/>
    <w:rsid w:val="00911317"/>
    <w:rsid w:val="00913618"/>
    <w:rsid w:val="00915238"/>
    <w:rsid w:val="009209B3"/>
    <w:rsid w:val="00924D9F"/>
    <w:rsid w:val="00937C88"/>
    <w:rsid w:val="00942EF4"/>
    <w:rsid w:val="00953F58"/>
    <w:rsid w:val="0095523B"/>
    <w:rsid w:val="00955980"/>
    <w:rsid w:val="00966EC4"/>
    <w:rsid w:val="00973D5D"/>
    <w:rsid w:val="009A33F9"/>
    <w:rsid w:val="009A5A36"/>
    <w:rsid w:val="009B3CCD"/>
    <w:rsid w:val="009B501D"/>
    <w:rsid w:val="009C28BD"/>
    <w:rsid w:val="009E70AC"/>
    <w:rsid w:val="009F1D24"/>
    <w:rsid w:val="009F49C2"/>
    <w:rsid w:val="00A00E50"/>
    <w:rsid w:val="00A06BAB"/>
    <w:rsid w:val="00A14D07"/>
    <w:rsid w:val="00A1709F"/>
    <w:rsid w:val="00A17B38"/>
    <w:rsid w:val="00A3059B"/>
    <w:rsid w:val="00A32646"/>
    <w:rsid w:val="00A33CA0"/>
    <w:rsid w:val="00A34B5C"/>
    <w:rsid w:val="00A44DD1"/>
    <w:rsid w:val="00A50814"/>
    <w:rsid w:val="00A70365"/>
    <w:rsid w:val="00A71B0F"/>
    <w:rsid w:val="00A751A3"/>
    <w:rsid w:val="00A80908"/>
    <w:rsid w:val="00A8369B"/>
    <w:rsid w:val="00A93052"/>
    <w:rsid w:val="00A94D59"/>
    <w:rsid w:val="00AD0EAB"/>
    <w:rsid w:val="00AD2315"/>
    <w:rsid w:val="00AD23FC"/>
    <w:rsid w:val="00AD4CFA"/>
    <w:rsid w:val="00AE6949"/>
    <w:rsid w:val="00B040B5"/>
    <w:rsid w:val="00B05FC1"/>
    <w:rsid w:val="00B06FFD"/>
    <w:rsid w:val="00B26A8E"/>
    <w:rsid w:val="00B3312C"/>
    <w:rsid w:val="00B42949"/>
    <w:rsid w:val="00B4729B"/>
    <w:rsid w:val="00B65271"/>
    <w:rsid w:val="00B669B9"/>
    <w:rsid w:val="00B730DD"/>
    <w:rsid w:val="00B74941"/>
    <w:rsid w:val="00B81C67"/>
    <w:rsid w:val="00B95DB3"/>
    <w:rsid w:val="00B96E51"/>
    <w:rsid w:val="00B97148"/>
    <w:rsid w:val="00BA1694"/>
    <w:rsid w:val="00BB0E0B"/>
    <w:rsid w:val="00BB2543"/>
    <w:rsid w:val="00BB3220"/>
    <w:rsid w:val="00BB62AB"/>
    <w:rsid w:val="00BC559A"/>
    <w:rsid w:val="00BC6558"/>
    <w:rsid w:val="00BE04D8"/>
    <w:rsid w:val="00BE3E2A"/>
    <w:rsid w:val="00BE575F"/>
    <w:rsid w:val="00BE5F69"/>
    <w:rsid w:val="00BF6D6E"/>
    <w:rsid w:val="00C03FE4"/>
    <w:rsid w:val="00C04092"/>
    <w:rsid w:val="00C0468A"/>
    <w:rsid w:val="00C14DE0"/>
    <w:rsid w:val="00C16B41"/>
    <w:rsid w:val="00C25CDB"/>
    <w:rsid w:val="00C33B25"/>
    <w:rsid w:val="00C36430"/>
    <w:rsid w:val="00C36579"/>
    <w:rsid w:val="00C36DE0"/>
    <w:rsid w:val="00C428CA"/>
    <w:rsid w:val="00C45347"/>
    <w:rsid w:val="00C57C51"/>
    <w:rsid w:val="00C61184"/>
    <w:rsid w:val="00C74F75"/>
    <w:rsid w:val="00C87AFD"/>
    <w:rsid w:val="00C902BD"/>
    <w:rsid w:val="00C91B51"/>
    <w:rsid w:val="00C9215C"/>
    <w:rsid w:val="00CA3F25"/>
    <w:rsid w:val="00CA627D"/>
    <w:rsid w:val="00CD497C"/>
    <w:rsid w:val="00CE74AE"/>
    <w:rsid w:val="00CF6E40"/>
    <w:rsid w:val="00D04E65"/>
    <w:rsid w:val="00D05E83"/>
    <w:rsid w:val="00D23449"/>
    <w:rsid w:val="00D31945"/>
    <w:rsid w:val="00D366DA"/>
    <w:rsid w:val="00D4185F"/>
    <w:rsid w:val="00D44309"/>
    <w:rsid w:val="00D50E24"/>
    <w:rsid w:val="00D50EB3"/>
    <w:rsid w:val="00D563B7"/>
    <w:rsid w:val="00D66955"/>
    <w:rsid w:val="00D73E87"/>
    <w:rsid w:val="00D81BA2"/>
    <w:rsid w:val="00D91489"/>
    <w:rsid w:val="00D930E6"/>
    <w:rsid w:val="00DA4B28"/>
    <w:rsid w:val="00DB0B8C"/>
    <w:rsid w:val="00DC707B"/>
    <w:rsid w:val="00DC7257"/>
    <w:rsid w:val="00DD0F32"/>
    <w:rsid w:val="00DE3792"/>
    <w:rsid w:val="00DE6609"/>
    <w:rsid w:val="00DE7608"/>
    <w:rsid w:val="00E00B33"/>
    <w:rsid w:val="00E155C0"/>
    <w:rsid w:val="00E15CF7"/>
    <w:rsid w:val="00E244D5"/>
    <w:rsid w:val="00E32F4E"/>
    <w:rsid w:val="00E40DE3"/>
    <w:rsid w:val="00E419DD"/>
    <w:rsid w:val="00E4442E"/>
    <w:rsid w:val="00E51219"/>
    <w:rsid w:val="00E60E2E"/>
    <w:rsid w:val="00E625DE"/>
    <w:rsid w:val="00E626EE"/>
    <w:rsid w:val="00E63AC1"/>
    <w:rsid w:val="00E64254"/>
    <w:rsid w:val="00E6441E"/>
    <w:rsid w:val="00E6667B"/>
    <w:rsid w:val="00E66870"/>
    <w:rsid w:val="00E707D0"/>
    <w:rsid w:val="00E755FD"/>
    <w:rsid w:val="00E76154"/>
    <w:rsid w:val="00E92A62"/>
    <w:rsid w:val="00E9430D"/>
    <w:rsid w:val="00E97C4B"/>
    <w:rsid w:val="00EA1C2A"/>
    <w:rsid w:val="00EB723F"/>
    <w:rsid w:val="00EC1EE8"/>
    <w:rsid w:val="00EC25EB"/>
    <w:rsid w:val="00EC5C9E"/>
    <w:rsid w:val="00ED597A"/>
    <w:rsid w:val="00EE1D93"/>
    <w:rsid w:val="00EE4937"/>
    <w:rsid w:val="00EF455A"/>
    <w:rsid w:val="00F01B76"/>
    <w:rsid w:val="00F03D37"/>
    <w:rsid w:val="00F04A70"/>
    <w:rsid w:val="00F12307"/>
    <w:rsid w:val="00F264A1"/>
    <w:rsid w:val="00F321EF"/>
    <w:rsid w:val="00F420D3"/>
    <w:rsid w:val="00F439AD"/>
    <w:rsid w:val="00F43BA1"/>
    <w:rsid w:val="00F4411F"/>
    <w:rsid w:val="00F5086B"/>
    <w:rsid w:val="00F556B9"/>
    <w:rsid w:val="00F60002"/>
    <w:rsid w:val="00F64715"/>
    <w:rsid w:val="00F700CB"/>
    <w:rsid w:val="00F72459"/>
    <w:rsid w:val="00F8042D"/>
    <w:rsid w:val="00F91DE0"/>
    <w:rsid w:val="00F97D02"/>
    <w:rsid w:val="00FA0496"/>
    <w:rsid w:val="00FD31A6"/>
    <w:rsid w:val="00FD3DA2"/>
    <w:rsid w:val="00FD5919"/>
    <w:rsid w:val="00FE3770"/>
    <w:rsid w:val="00FE4AA2"/>
    <w:rsid w:val="00FE5132"/>
    <w:rsid w:val="00FF1E22"/>
    <w:rsid w:val="00FF382F"/>
    <w:rsid w:val="00FF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EFC6"/>
  <w15:chartTrackingRefBased/>
  <w15:docId w15:val="{367EA846-0C84-4527-94DA-9AE8F6C9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3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03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03A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03A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C03A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C03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C03A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C03A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C03A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3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03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03A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03A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C03A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C03A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C03A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C03A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C03A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C0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3A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3A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C03A3"/>
    <w:pPr>
      <w:spacing w:before="160"/>
      <w:jc w:val="center"/>
    </w:pPr>
    <w:rPr>
      <w:i/>
      <w:iCs/>
      <w:color w:val="404040" w:themeColor="text1" w:themeTint="BF"/>
    </w:rPr>
  </w:style>
  <w:style w:type="character" w:customStyle="1" w:styleId="QuoteChar">
    <w:name w:val="Quote Char"/>
    <w:basedOn w:val="DefaultParagraphFont"/>
    <w:link w:val="Quote"/>
    <w:uiPriority w:val="29"/>
    <w:rsid w:val="003C03A3"/>
    <w:rPr>
      <w:i/>
      <w:iCs/>
      <w:color w:val="404040" w:themeColor="text1" w:themeTint="BF"/>
    </w:rPr>
  </w:style>
  <w:style w:type="paragraph" w:styleId="ListParagraph">
    <w:name w:val="List Paragraph"/>
    <w:basedOn w:val="Normal"/>
    <w:uiPriority w:val="34"/>
    <w:qFormat/>
    <w:rsid w:val="003C03A3"/>
    <w:pPr>
      <w:ind w:left="720"/>
      <w:contextualSpacing/>
    </w:pPr>
  </w:style>
  <w:style w:type="character" w:styleId="IntenseEmphasis">
    <w:name w:val="Intense Emphasis"/>
    <w:basedOn w:val="DefaultParagraphFont"/>
    <w:uiPriority w:val="21"/>
    <w:qFormat/>
    <w:rsid w:val="003C03A3"/>
    <w:rPr>
      <w:i/>
      <w:iCs/>
      <w:color w:val="2F5496" w:themeColor="accent1" w:themeShade="BF"/>
    </w:rPr>
  </w:style>
  <w:style w:type="paragraph" w:styleId="IntenseQuote">
    <w:name w:val="Intense Quote"/>
    <w:basedOn w:val="Normal"/>
    <w:next w:val="Normal"/>
    <w:link w:val="IntenseQuoteChar"/>
    <w:uiPriority w:val="30"/>
    <w:qFormat/>
    <w:rsid w:val="003C03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03A3"/>
    <w:rPr>
      <w:i/>
      <w:iCs/>
      <w:color w:val="2F5496" w:themeColor="accent1" w:themeShade="BF"/>
    </w:rPr>
  </w:style>
  <w:style w:type="character" w:styleId="IntenseReference">
    <w:name w:val="Intense Reference"/>
    <w:basedOn w:val="DefaultParagraphFont"/>
    <w:uiPriority w:val="32"/>
    <w:qFormat/>
    <w:rsid w:val="003C03A3"/>
    <w:rPr>
      <w:b/>
      <w:bCs/>
      <w:smallCaps/>
      <w:color w:val="2F5496" w:themeColor="accent1" w:themeShade="BF"/>
      <w:spacing w:val="5"/>
    </w:rPr>
  </w:style>
  <w:style w:type="character" w:styleId="Hyperlink">
    <w:name w:val="Hyperlink"/>
    <w:basedOn w:val="DefaultParagraphFont"/>
    <w:uiPriority w:val="99"/>
    <w:unhideWhenUsed/>
    <w:rsid w:val="003C03A3"/>
    <w:rPr>
      <w:color w:val="0563C1" w:themeColor="hyperlink"/>
      <w:u w:val="single"/>
    </w:rPr>
  </w:style>
  <w:style w:type="character" w:styleId="UnresolvedMention">
    <w:name w:val="Unresolved Mention"/>
    <w:basedOn w:val="DefaultParagraphFont"/>
    <w:uiPriority w:val="99"/>
    <w:semiHidden/>
    <w:unhideWhenUsed/>
    <w:rsid w:val="003C03A3"/>
    <w:rPr>
      <w:color w:val="605E5C"/>
      <w:shd w:val="clear" w:color="auto" w:fill="E1DFDD"/>
    </w:rPr>
  </w:style>
  <w:style w:type="paragraph" w:styleId="FootnoteText">
    <w:name w:val="footnote text"/>
    <w:basedOn w:val="Normal"/>
    <w:link w:val="FootnoteTextChar"/>
    <w:uiPriority w:val="99"/>
    <w:semiHidden/>
    <w:unhideWhenUsed/>
    <w:rsid w:val="008A6D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6D18"/>
    <w:rPr>
      <w:sz w:val="20"/>
      <w:szCs w:val="20"/>
    </w:rPr>
  </w:style>
  <w:style w:type="character" w:styleId="FootnoteReference">
    <w:name w:val="footnote reference"/>
    <w:basedOn w:val="DefaultParagraphFont"/>
    <w:uiPriority w:val="99"/>
    <w:semiHidden/>
    <w:unhideWhenUsed/>
    <w:rsid w:val="008A6D18"/>
    <w:rPr>
      <w:vertAlign w:val="superscript"/>
    </w:rPr>
  </w:style>
  <w:style w:type="character" w:customStyle="1" w:styleId="normaltextrun">
    <w:name w:val="normaltextrun"/>
    <w:basedOn w:val="DefaultParagraphFont"/>
    <w:rsid w:val="00851728"/>
  </w:style>
  <w:style w:type="character" w:customStyle="1" w:styleId="eop">
    <w:name w:val="eop"/>
    <w:basedOn w:val="DefaultParagraphFont"/>
    <w:rsid w:val="00851728"/>
  </w:style>
  <w:style w:type="paragraph" w:styleId="Header">
    <w:name w:val="header"/>
    <w:basedOn w:val="Normal"/>
    <w:link w:val="HeaderChar"/>
    <w:uiPriority w:val="99"/>
    <w:unhideWhenUsed/>
    <w:rsid w:val="00167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B70"/>
  </w:style>
  <w:style w:type="paragraph" w:styleId="Footer">
    <w:name w:val="footer"/>
    <w:basedOn w:val="Normal"/>
    <w:link w:val="FooterChar"/>
    <w:uiPriority w:val="99"/>
    <w:unhideWhenUsed/>
    <w:rsid w:val="00167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B70"/>
  </w:style>
  <w:style w:type="table" w:styleId="TableGrid">
    <w:name w:val="Table Grid"/>
    <w:basedOn w:val="TableNormal"/>
    <w:rsid w:val="007455CE"/>
    <w:pPr>
      <w:spacing w:after="0" w:line="240" w:lineRule="auto"/>
    </w:pPr>
    <w:rPr>
      <w:rFonts w:ascii="Calibri" w:eastAsia="Times New Roman" w:hAnsi="Calibri"/>
      <w:color w:val="000000"/>
      <w:kern w:val="0"/>
      <w:sz w:val="22"/>
      <w:szCs w:val="20"/>
      <w:lang w:val="ru-RU"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8F2B52"/>
    <w:rPr>
      <w:sz w:val="16"/>
      <w:szCs w:val="16"/>
    </w:rPr>
  </w:style>
  <w:style w:type="paragraph" w:styleId="CommentText">
    <w:name w:val="annotation text"/>
    <w:basedOn w:val="Normal"/>
    <w:link w:val="CommentTextChar"/>
    <w:uiPriority w:val="99"/>
    <w:unhideWhenUsed/>
    <w:rsid w:val="008F2B52"/>
    <w:pPr>
      <w:spacing w:line="240" w:lineRule="auto"/>
    </w:pPr>
    <w:rPr>
      <w:sz w:val="20"/>
      <w:szCs w:val="20"/>
    </w:rPr>
  </w:style>
  <w:style w:type="character" w:customStyle="1" w:styleId="CommentTextChar">
    <w:name w:val="Comment Text Char"/>
    <w:basedOn w:val="DefaultParagraphFont"/>
    <w:link w:val="CommentText"/>
    <w:uiPriority w:val="99"/>
    <w:rsid w:val="008F2B52"/>
    <w:rPr>
      <w:sz w:val="20"/>
      <w:szCs w:val="20"/>
    </w:rPr>
  </w:style>
  <w:style w:type="paragraph" w:styleId="CommentSubject">
    <w:name w:val="annotation subject"/>
    <w:basedOn w:val="CommentText"/>
    <w:next w:val="CommentText"/>
    <w:link w:val="CommentSubjectChar"/>
    <w:uiPriority w:val="99"/>
    <w:semiHidden/>
    <w:unhideWhenUsed/>
    <w:rsid w:val="008F2B52"/>
    <w:rPr>
      <w:b/>
      <w:bCs/>
    </w:rPr>
  </w:style>
  <w:style w:type="character" w:customStyle="1" w:styleId="CommentSubjectChar">
    <w:name w:val="Comment Subject Char"/>
    <w:basedOn w:val="CommentTextChar"/>
    <w:link w:val="CommentSubject"/>
    <w:uiPriority w:val="99"/>
    <w:semiHidden/>
    <w:rsid w:val="008F2B52"/>
    <w:rPr>
      <w:b/>
      <w:bCs/>
      <w:sz w:val="20"/>
      <w:szCs w:val="20"/>
    </w:rPr>
  </w:style>
  <w:style w:type="paragraph" w:styleId="Revision">
    <w:name w:val="Revision"/>
    <w:hidden/>
    <w:uiPriority w:val="99"/>
    <w:semiHidden/>
    <w:rsid w:val="00BE575F"/>
    <w:pPr>
      <w:spacing w:after="0" w:line="240" w:lineRule="auto"/>
    </w:pPr>
  </w:style>
  <w:style w:type="paragraph" w:styleId="EndnoteText">
    <w:name w:val="endnote text"/>
    <w:basedOn w:val="Normal"/>
    <w:link w:val="EndnoteTextChar"/>
    <w:uiPriority w:val="99"/>
    <w:semiHidden/>
    <w:unhideWhenUsed/>
    <w:rsid w:val="00E40D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0DE3"/>
    <w:rPr>
      <w:sz w:val="20"/>
      <w:szCs w:val="20"/>
    </w:rPr>
  </w:style>
  <w:style w:type="character" w:styleId="EndnoteReference">
    <w:name w:val="endnote reference"/>
    <w:basedOn w:val="DefaultParagraphFont"/>
    <w:uiPriority w:val="99"/>
    <w:semiHidden/>
    <w:unhideWhenUsed/>
    <w:rsid w:val="00E40DE3"/>
    <w:rPr>
      <w:vertAlign w:val="superscript"/>
    </w:rPr>
  </w:style>
  <w:style w:type="character" w:customStyle="1" w:styleId="ui-provider">
    <w:name w:val="ui-provider"/>
    <w:basedOn w:val="DefaultParagraphFont"/>
    <w:rsid w:val="00BE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171401">
      <w:bodyDiv w:val="1"/>
      <w:marLeft w:val="0"/>
      <w:marRight w:val="0"/>
      <w:marTop w:val="0"/>
      <w:marBottom w:val="0"/>
      <w:divBdr>
        <w:top w:val="none" w:sz="0" w:space="0" w:color="auto"/>
        <w:left w:val="none" w:sz="0" w:space="0" w:color="auto"/>
        <w:bottom w:val="none" w:sz="0" w:space="0" w:color="auto"/>
        <w:right w:val="none" w:sz="0" w:space="0" w:color="auto"/>
      </w:divBdr>
    </w:div>
    <w:div w:id="12623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ocial.desa.un.org/issues/indigenous-peoples/system-wide-action-plan-swa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cuments.un.org/doc/undoc/gen/n17/281/69/pdf/n1728169.pdf?token=nWWj0ETGfQhin9m44s&amp;fe=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tv.u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s.un.org/doc/undoc/gen/g18/296/56/pdf/g1829656.pdf?token=5zjYHrBlxteKFBTXni&amp;fe=tru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f1b3b7b4398fed777f1f496b0f6bc9d1">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a4665b6b86df49e6b06deec0a95ea6e4"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E2A76-18F1-4FF3-9CB3-447291379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e4704-0775-4695-8863-0eaf85aa4c88"/>
    <ds:schemaRef ds:uri="304475a1-6c54-4015-83e8-a6831e8ab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636F7-30CC-4964-B6A5-9CA255A83346}">
  <ds:schemaRefs>
    <ds:schemaRef ds:uri="http://schemas.microsoft.com/office/2006/metadata/properties"/>
    <ds:schemaRef ds:uri="http://schemas.microsoft.com/office/infopath/2007/PartnerControls"/>
    <ds:schemaRef ds:uri="da0e4704-0775-4695-8863-0eaf85aa4c88"/>
    <ds:schemaRef ds:uri="304475a1-6c54-4015-83e8-a6831e8ab09f"/>
  </ds:schemaRefs>
</ds:datastoreItem>
</file>

<file path=customXml/itemProps3.xml><?xml version="1.0" encoding="utf-8"?>
<ds:datastoreItem xmlns:ds="http://schemas.openxmlformats.org/officeDocument/2006/customXml" ds:itemID="{8D5ABEDC-1237-4D4A-93CF-80FA404D2D91}">
  <ds:schemaRefs>
    <ds:schemaRef ds:uri="http://schemas.openxmlformats.org/officeDocument/2006/bibliography"/>
  </ds:schemaRefs>
</ds:datastoreItem>
</file>

<file path=customXml/itemProps4.xml><?xml version="1.0" encoding="utf-8"?>
<ds:datastoreItem xmlns:ds="http://schemas.openxmlformats.org/officeDocument/2006/customXml" ds:itemID="{90E36210-5B9D-4760-8297-B2A2A8990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7732</CharactersWithSpaces>
  <SharedDoc>false</SharedDoc>
  <HLinks>
    <vt:vector size="24" baseType="variant">
      <vt:variant>
        <vt:i4>3539060</vt:i4>
      </vt:variant>
      <vt:variant>
        <vt:i4>9</vt:i4>
      </vt:variant>
      <vt:variant>
        <vt:i4>0</vt:i4>
      </vt:variant>
      <vt:variant>
        <vt:i4>5</vt:i4>
      </vt:variant>
      <vt:variant>
        <vt:lpwstr>https://documents.un.org/doc/undoc/gen/g18/296/56/pdf/g1829656.pdf?token=5zjYHrBlxteKFBTXni&amp;fe=true</vt:lpwstr>
      </vt:variant>
      <vt:variant>
        <vt:lpwstr/>
      </vt:variant>
      <vt:variant>
        <vt:i4>589850</vt:i4>
      </vt:variant>
      <vt:variant>
        <vt:i4>6</vt:i4>
      </vt:variant>
      <vt:variant>
        <vt:i4>0</vt:i4>
      </vt:variant>
      <vt:variant>
        <vt:i4>5</vt:i4>
      </vt:variant>
      <vt:variant>
        <vt:lpwstr>https://social.desa.un.org/issues/indigenous-peoples/system-wide-action-plan-swap</vt:lpwstr>
      </vt:variant>
      <vt:variant>
        <vt:lpwstr/>
      </vt:variant>
      <vt:variant>
        <vt:i4>7078006</vt:i4>
      </vt:variant>
      <vt:variant>
        <vt:i4>3</vt:i4>
      </vt:variant>
      <vt:variant>
        <vt:i4>0</vt:i4>
      </vt:variant>
      <vt:variant>
        <vt:i4>5</vt:i4>
      </vt:variant>
      <vt:variant>
        <vt:lpwstr>https://documents.un.org/doc/undoc/gen/n17/281/69/pdf/n1728169.pdf?token=nWWj0ETGfQhin9m44s&amp;fe=true</vt:lpwstr>
      </vt:variant>
      <vt:variant>
        <vt:lpwstr/>
      </vt:variant>
      <vt:variant>
        <vt:i4>5111888</vt:i4>
      </vt:variant>
      <vt:variant>
        <vt:i4>0</vt:i4>
      </vt:variant>
      <vt:variant>
        <vt:i4>0</vt:i4>
      </vt:variant>
      <vt:variant>
        <vt:i4>5</vt:i4>
      </vt:variant>
      <vt:variant>
        <vt:lpwstr>http://webtv.un.org/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Atina Pamei Gaare</dc:creator>
  <cp:keywords>, docId:1016A74B2B9751A921086A1996AF1E69</cp:keywords>
  <dc:description/>
  <cp:lastModifiedBy>Atina Pamei Gaare</cp:lastModifiedBy>
  <cp:revision>5</cp:revision>
  <dcterms:created xsi:type="dcterms:W3CDTF">2024-05-15T14:57:00Z</dcterms:created>
  <dcterms:modified xsi:type="dcterms:W3CDTF">2024-05-16T10:54:00Z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