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1E577" w14:textId="77777777" w:rsidR="00400B88" w:rsidRPr="00964705" w:rsidRDefault="00230701" w:rsidP="0066255A">
      <w:pPr>
        <w:spacing w:before="240" w:line="276" w:lineRule="auto"/>
        <w:ind w:left="567" w:right="567"/>
        <w:jc w:val="center"/>
        <w:rPr>
          <w:rFonts w:ascii="Futura Std Book" w:hAnsi="Futura Std Book"/>
          <w:b/>
          <w:bCs/>
          <w:i/>
          <w:iCs/>
          <w:color w:val="5B9BD5"/>
          <w:lang w:val="es-ES"/>
        </w:rPr>
      </w:pPr>
      <w:r w:rsidRPr="00964705">
        <w:rPr>
          <w:rFonts w:ascii="Futura Std Book" w:hAnsi="Futura Std Book" w:hint="cs"/>
          <w:b/>
          <w:bCs/>
          <w:i/>
          <w:iCs/>
          <w:color w:val="5B9BD5"/>
          <w:lang w:val="es-ES"/>
        </w:rPr>
        <w:t>Mecanismo de Expertos de las Naciones Unidas sobre los Derechos de los Pueblos Indígenas</w:t>
      </w:r>
    </w:p>
    <w:p w14:paraId="618CC82A" w14:textId="77777777" w:rsidR="00400B88" w:rsidRPr="00964705" w:rsidRDefault="00230701" w:rsidP="0066255A">
      <w:pPr>
        <w:spacing w:after="0" w:line="240" w:lineRule="auto"/>
        <w:ind w:left="567" w:right="567"/>
        <w:jc w:val="center"/>
        <w:rPr>
          <w:b/>
          <w:color w:val="4472C4" w:themeColor="accent1"/>
          <w:lang w:val="es-ES"/>
        </w:rPr>
      </w:pPr>
      <w:r w:rsidRPr="00964705">
        <w:rPr>
          <w:b/>
          <w:color w:val="4472C4" w:themeColor="accent1"/>
          <w:lang w:val="es-ES"/>
        </w:rPr>
        <w:t>17</w:t>
      </w:r>
      <w:r w:rsidRPr="00964705">
        <w:rPr>
          <w:b/>
          <w:color w:val="4472C4" w:themeColor="accent1"/>
          <w:vertAlign w:val="superscript"/>
          <w:lang w:val="es-ES"/>
        </w:rPr>
        <w:t>th</w:t>
      </w:r>
      <w:r w:rsidRPr="00964705">
        <w:rPr>
          <w:b/>
          <w:color w:val="4472C4" w:themeColor="accent1"/>
          <w:lang w:val="es-ES"/>
        </w:rPr>
        <w:t xml:space="preserve"> sesión</w:t>
      </w:r>
    </w:p>
    <w:p w14:paraId="70E7ED77" w14:textId="77777777" w:rsidR="00FD3DA2" w:rsidRPr="00964705" w:rsidRDefault="00FD3DA2" w:rsidP="0066255A">
      <w:pPr>
        <w:spacing w:after="0" w:line="240" w:lineRule="auto"/>
        <w:ind w:left="567" w:right="567"/>
        <w:jc w:val="center"/>
        <w:rPr>
          <w:color w:val="4472C4" w:themeColor="accent1"/>
          <w:lang w:val="es-ES"/>
        </w:rPr>
      </w:pPr>
    </w:p>
    <w:p w14:paraId="0C8DD1E3" w14:textId="1FC2E28E" w:rsidR="00400B88" w:rsidRPr="00964705" w:rsidRDefault="00230701" w:rsidP="0066255A">
      <w:pPr>
        <w:ind w:left="567" w:right="567"/>
        <w:jc w:val="center"/>
        <w:rPr>
          <w:b/>
          <w:bCs/>
          <w:i/>
          <w:iCs/>
          <w:color w:val="4472C4" w:themeColor="accent1"/>
          <w:lang w:val="es-ES"/>
        </w:rPr>
      </w:pPr>
      <w:r w:rsidRPr="00964705">
        <w:rPr>
          <w:b/>
          <w:bCs/>
          <w:i/>
          <w:iCs/>
          <w:color w:val="4472C4" w:themeColor="accent1"/>
          <w:u w:val="single"/>
          <w:lang w:val="es-ES"/>
        </w:rPr>
        <w:t xml:space="preserve">Tema </w:t>
      </w:r>
      <w:r w:rsidR="0070586A" w:rsidRPr="00964705">
        <w:rPr>
          <w:b/>
          <w:bCs/>
          <w:i/>
          <w:iCs/>
          <w:color w:val="4472C4" w:themeColor="accent1"/>
          <w:u w:val="single"/>
          <w:lang w:val="es-ES"/>
        </w:rPr>
        <w:t>9</w:t>
      </w:r>
      <w:r w:rsidRPr="00964705">
        <w:rPr>
          <w:b/>
          <w:bCs/>
          <w:i/>
          <w:iCs/>
          <w:color w:val="4472C4" w:themeColor="accent1"/>
          <w:lang w:val="es-ES"/>
        </w:rPr>
        <w:t xml:space="preserve">: </w:t>
      </w:r>
      <w:r w:rsidR="006F7357" w:rsidRPr="00964705">
        <w:rPr>
          <w:b/>
          <w:bCs/>
          <w:i/>
          <w:iCs/>
          <w:color w:val="4472C4" w:themeColor="accent1"/>
          <w:lang w:val="es-ES"/>
        </w:rPr>
        <w:t>Fortalecimiento</w:t>
      </w:r>
      <w:r w:rsidR="003C03A3" w:rsidRPr="00964705">
        <w:rPr>
          <w:b/>
          <w:bCs/>
          <w:i/>
          <w:iCs/>
          <w:color w:val="4472C4" w:themeColor="accent1"/>
          <w:lang w:val="es-ES"/>
        </w:rPr>
        <w:t xml:space="preserve"> de la participación de los </w:t>
      </w:r>
      <w:r w:rsidR="003166CE" w:rsidRPr="00964705">
        <w:rPr>
          <w:b/>
          <w:bCs/>
          <w:i/>
          <w:iCs/>
          <w:color w:val="4472C4" w:themeColor="accent1"/>
          <w:lang w:val="es-ES"/>
        </w:rPr>
        <w:t>P</w:t>
      </w:r>
      <w:r w:rsidR="003C03A3" w:rsidRPr="00964705">
        <w:rPr>
          <w:b/>
          <w:bCs/>
          <w:i/>
          <w:iCs/>
          <w:color w:val="4472C4" w:themeColor="accent1"/>
          <w:lang w:val="es-ES"/>
        </w:rPr>
        <w:t xml:space="preserve">ueblos </w:t>
      </w:r>
      <w:r w:rsidR="003166CE" w:rsidRPr="00964705">
        <w:rPr>
          <w:b/>
          <w:bCs/>
          <w:i/>
          <w:iCs/>
          <w:color w:val="4472C4" w:themeColor="accent1"/>
          <w:lang w:val="es-ES"/>
        </w:rPr>
        <w:t>I</w:t>
      </w:r>
      <w:r w:rsidR="003C03A3" w:rsidRPr="00964705">
        <w:rPr>
          <w:b/>
          <w:bCs/>
          <w:i/>
          <w:iCs/>
          <w:color w:val="4472C4" w:themeColor="accent1"/>
          <w:lang w:val="es-ES"/>
        </w:rPr>
        <w:t>ndígenas en las Naciones Unidas</w:t>
      </w:r>
    </w:p>
    <w:p w14:paraId="37B9BB6B" w14:textId="77777777" w:rsidR="006B6BB2" w:rsidRPr="00964705" w:rsidRDefault="006B6BB2" w:rsidP="0066255A">
      <w:pPr>
        <w:ind w:left="567" w:right="567"/>
        <w:jc w:val="center"/>
        <w:rPr>
          <w:b/>
          <w:bCs/>
          <w:i/>
          <w:iCs/>
          <w:color w:val="4472C4" w:themeColor="accent1"/>
          <w:lang w:val="es-ES"/>
        </w:rPr>
      </w:pPr>
    </w:p>
    <w:p w14:paraId="6B57DC6C" w14:textId="77777777" w:rsidR="00400B88" w:rsidRPr="00964705" w:rsidRDefault="00FD3DA2" w:rsidP="0066255A">
      <w:pPr>
        <w:ind w:left="567" w:right="567"/>
        <w:jc w:val="center"/>
        <w:rPr>
          <w:i/>
          <w:iCs/>
          <w:u w:val="single"/>
          <w:lang w:val="es-ES"/>
        </w:rPr>
      </w:pPr>
      <w:r w:rsidRPr="00964705">
        <w:rPr>
          <w:i/>
          <w:iCs/>
          <w:u w:val="single"/>
          <w:lang w:val="es-ES"/>
        </w:rPr>
        <w:t>Nota conceptual</w:t>
      </w:r>
    </w:p>
    <w:p w14:paraId="2E219C3D" w14:textId="77777777" w:rsidR="00230701" w:rsidRPr="00964705" w:rsidRDefault="00230701" w:rsidP="0066255A">
      <w:pPr>
        <w:ind w:right="567"/>
        <w:jc w:val="center"/>
        <w:rPr>
          <w:i/>
          <w:iCs/>
          <w:u w:val="single"/>
          <w:lang w:val="es-ES"/>
        </w:rPr>
      </w:pPr>
    </w:p>
    <w:p w14:paraId="11BAB937" w14:textId="77777777" w:rsidR="00400B88" w:rsidRPr="0066255A" w:rsidRDefault="00230701" w:rsidP="0066255A">
      <w:pPr>
        <w:spacing w:line="276" w:lineRule="auto"/>
        <w:ind w:left="567" w:right="567"/>
        <w:jc w:val="center"/>
        <w:rPr>
          <w:b/>
          <w:bCs/>
          <w:lang w:val="fr-FR"/>
        </w:rPr>
      </w:pPr>
      <w:r w:rsidRPr="0066255A">
        <w:rPr>
          <w:b/>
          <w:bCs/>
          <w:lang w:val="fr-FR"/>
        </w:rPr>
        <w:t xml:space="preserve">Miércoles 10 de julio de </w:t>
      </w:r>
      <w:r w:rsidR="00452CB8" w:rsidRPr="0066255A">
        <w:rPr>
          <w:b/>
          <w:bCs/>
          <w:lang w:val="fr-FR"/>
        </w:rPr>
        <w:t>2024</w:t>
      </w:r>
      <w:r w:rsidRPr="0066255A">
        <w:rPr>
          <w:b/>
          <w:bCs/>
          <w:lang w:val="fr-FR"/>
        </w:rPr>
        <w:t>, 15h00-18h00, Palais des Nations, Sala XIX, Ginebra</w:t>
      </w:r>
    </w:p>
    <w:p w14:paraId="43603105" w14:textId="77777777" w:rsidR="00400B88" w:rsidRPr="00964705" w:rsidRDefault="00230701" w:rsidP="0066255A">
      <w:pPr>
        <w:spacing w:line="276" w:lineRule="auto"/>
        <w:ind w:left="567" w:right="567"/>
        <w:jc w:val="center"/>
        <w:rPr>
          <w:b/>
          <w:bCs/>
          <w:lang w:val="es-ES"/>
        </w:rPr>
      </w:pPr>
      <w:r w:rsidRPr="00964705">
        <w:rPr>
          <w:lang w:val="es-ES"/>
        </w:rPr>
        <w:t>(</w:t>
      </w:r>
      <w:r w:rsidRPr="00964705">
        <w:rPr>
          <w:i/>
          <w:iCs/>
          <w:lang w:val="es-ES"/>
        </w:rPr>
        <w:t xml:space="preserve">se retransmitirá en directo y se archivará en </w:t>
      </w:r>
      <w:hyperlink r:id="rId11" w:history="1">
        <w:r w:rsidRPr="00964705">
          <w:rPr>
            <w:rStyle w:val="Hyperlink"/>
            <w:i/>
            <w:iCs/>
            <w:lang w:val="es-ES"/>
          </w:rPr>
          <w:t>http://webtv.un.org</w:t>
        </w:r>
      </w:hyperlink>
      <w:r w:rsidRPr="00964705">
        <w:rPr>
          <w:lang w:val="es-ES"/>
        </w:rPr>
        <w:t xml:space="preserve"> )</w:t>
      </w:r>
    </w:p>
    <w:p w14:paraId="5C4575F0" w14:textId="77777777" w:rsidR="006068C2" w:rsidRPr="00964705" w:rsidRDefault="006068C2" w:rsidP="004B7A73">
      <w:pPr>
        <w:spacing w:line="276" w:lineRule="auto"/>
        <w:ind w:left="567" w:right="567" w:firstLine="720"/>
        <w:rPr>
          <w:b/>
          <w:bCs/>
          <w:lang w:val="es-ES"/>
        </w:rPr>
      </w:pPr>
    </w:p>
    <w:p w14:paraId="6FCA7251" w14:textId="67EB7503" w:rsidR="00400B88" w:rsidRPr="00964705" w:rsidRDefault="00230701">
      <w:pPr>
        <w:spacing w:line="276" w:lineRule="auto"/>
        <w:ind w:left="567" w:right="567"/>
        <w:rPr>
          <w:b/>
          <w:bCs/>
        </w:rPr>
      </w:pPr>
      <w:proofErr w:type="spellStart"/>
      <w:r w:rsidRPr="00964705">
        <w:rPr>
          <w:b/>
          <w:bCs/>
        </w:rPr>
        <w:t>Objetivos</w:t>
      </w:r>
      <w:proofErr w:type="spellEnd"/>
    </w:p>
    <w:p w14:paraId="4490907A" w14:textId="3AFCA855" w:rsidR="00400B88" w:rsidRPr="00964705" w:rsidRDefault="00230701">
      <w:pPr>
        <w:pStyle w:val="ListParagraph"/>
        <w:numPr>
          <w:ilvl w:val="0"/>
          <w:numId w:val="2"/>
        </w:numPr>
        <w:spacing w:before="240" w:after="0" w:line="276" w:lineRule="auto"/>
        <w:ind w:left="567" w:right="567"/>
        <w:jc w:val="both"/>
        <w:rPr>
          <w:rStyle w:val="eop"/>
          <w:b/>
          <w:bCs/>
          <w:color w:val="4472C4" w:themeColor="accent1"/>
          <w:lang w:val="es-ES"/>
        </w:rPr>
      </w:pPr>
      <w:r w:rsidRPr="00964705">
        <w:rPr>
          <w:rStyle w:val="eop"/>
          <w:b/>
          <w:bCs/>
          <w:color w:val="4472C4" w:themeColor="accent1"/>
          <w:u w:val="single"/>
          <w:lang w:val="es-ES"/>
        </w:rPr>
        <w:t xml:space="preserve">Contribuir al proceso en curso </w:t>
      </w:r>
      <w:r w:rsidRPr="00964705">
        <w:rPr>
          <w:rStyle w:val="eop"/>
          <w:b/>
          <w:bCs/>
          <w:color w:val="4472C4" w:themeColor="accent1"/>
          <w:u w:val="single"/>
          <w:shd w:val="clear" w:color="auto" w:fill="FFFFFF"/>
          <w:lang w:val="es-ES"/>
        </w:rPr>
        <w:t xml:space="preserve">de </w:t>
      </w:r>
      <w:r w:rsidR="006F7357" w:rsidRPr="00964705">
        <w:rPr>
          <w:rStyle w:val="eop"/>
          <w:b/>
          <w:bCs/>
          <w:color w:val="4472C4" w:themeColor="accent1"/>
          <w:u w:val="single"/>
          <w:shd w:val="clear" w:color="auto" w:fill="FFFFFF"/>
          <w:lang w:val="es-ES"/>
        </w:rPr>
        <w:t>fortalecimiento</w:t>
      </w:r>
      <w:r w:rsidRPr="00964705">
        <w:rPr>
          <w:rStyle w:val="eop"/>
          <w:b/>
          <w:bCs/>
          <w:color w:val="4472C4" w:themeColor="accent1"/>
          <w:u w:val="single"/>
          <w:shd w:val="clear" w:color="auto" w:fill="FFFFFF"/>
          <w:lang w:val="es-ES"/>
        </w:rPr>
        <w:t xml:space="preserve"> de la participación de los </w:t>
      </w:r>
      <w:r w:rsidR="003166CE" w:rsidRPr="00964705">
        <w:rPr>
          <w:rStyle w:val="eop"/>
          <w:b/>
          <w:bCs/>
          <w:color w:val="4472C4" w:themeColor="accent1"/>
          <w:u w:val="single"/>
          <w:shd w:val="clear" w:color="auto" w:fill="FFFFFF"/>
          <w:lang w:val="es-ES"/>
        </w:rPr>
        <w:t>P</w:t>
      </w:r>
      <w:r w:rsidRPr="00964705">
        <w:rPr>
          <w:rStyle w:val="eop"/>
          <w:b/>
          <w:bCs/>
          <w:color w:val="4472C4" w:themeColor="accent1"/>
          <w:u w:val="single"/>
          <w:shd w:val="clear" w:color="auto" w:fill="FFFFFF"/>
          <w:lang w:val="es-ES"/>
        </w:rPr>
        <w:t xml:space="preserve">ueblos </w:t>
      </w:r>
      <w:r w:rsidR="003166CE" w:rsidRPr="00964705">
        <w:rPr>
          <w:rStyle w:val="eop"/>
          <w:b/>
          <w:bCs/>
          <w:color w:val="4472C4" w:themeColor="accent1"/>
          <w:u w:val="single"/>
          <w:shd w:val="clear" w:color="auto" w:fill="FFFFFF"/>
          <w:lang w:val="es-ES"/>
        </w:rPr>
        <w:t>I</w:t>
      </w:r>
      <w:r w:rsidRPr="00964705">
        <w:rPr>
          <w:rStyle w:val="eop"/>
          <w:b/>
          <w:bCs/>
          <w:color w:val="4472C4" w:themeColor="accent1"/>
          <w:u w:val="single"/>
          <w:shd w:val="clear" w:color="auto" w:fill="FFFFFF"/>
          <w:lang w:val="es-ES"/>
        </w:rPr>
        <w:t xml:space="preserve">ndígenas en las </w:t>
      </w:r>
      <w:r w:rsidR="00C36430" w:rsidRPr="00964705">
        <w:rPr>
          <w:rStyle w:val="eop"/>
          <w:b/>
          <w:bCs/>
          <w:color w:val="4472C4" w:themeColor="accent1"/>
          <w:u w:val="single"/>
          <w:shd w:val="clear" w:color="auto" w:fill="FFFFFF"/>
          <w:lang w:val="es-ES"/>
        </w:rPr>
        <w:t>Naciones Unidas</w:t>
      </w:r>
      <w:r w:rsidRPr="00964705">
        <w:rPr>
          <w:rStyle w:val="eop"/>
          <w:b/>
          <w:bCs/>
          <w:color w:val="4472C4" w:themeColor="accent1"/>
          <w:shd w:val="clear" w:color="auto" w:fill="FFFFFF"/>
          <w:lang w:val="es-ES"/>
        </w:rPr>
        <w:t xml:space="preserve">, </w:t>
      </w:r>
      <w:r w:rsidR="00C902BD" w:rsidRPr="00964705">
        <w:rPr>
          <w:rStyle w:val="eop"/>
          <w:b/>
          <w:bCs/>
          <w:color w:val="4472C4" w:themeColor="accent1"/>
          <w:shd w:val="clear" w:color="auto" w:fill="FFFFFF"/>
          <w:lang w:val="es-ES"/>
        </w:rPr>
        <w:t xml:space="preserve">al que se comprometieron </w:t>
      </w:r>
      <w:r w:rsidRPr="00964705">
        <w:rPr>
          <w:rStyle w:val="eop"/>
          <w:b/>
          <w:bCs/>
          <w:color w:val="4472C4" w:themeColor="accent1"/>
          <w:shd w:val="clear" w:color="auto" w:fill="FFFFFF"/>
          <w:lang w:val="es-ES"/>
        </w:rPr>
        <w:t xml:space="preserve">los Estados miembros durante la Conferencia Mundial sobre los Pueblos Indígenas de 2014, proporcionando una plataforma para el diálogo interactivo entre </w:t>
      </w:r>
      <w:r w:rsidRPr="00964705">
        <w:rPr>
          <w:rStyle w:val="eop"/>
          <w:b/>
          <w:bCs/>
          <w:color w:val="4472C4" w:themeColor="accent1"/>
          <w:lang w:val="es-ES"/>
        </w:rPr>
        <w:t>los pueblos indígenas, los Estados miembros, los organismos de las Naciones Unidas y otras partes interesadas.</w:t>
      </w:r>
    </w:p>
    <w:p w14:paraId="79036651" w14:textId="77777777" w:rsidR="004B7A73" w:rsidRPr="00964705" w:rsidRDefault="004B7A73" w:rsidP="004B7A73">
      <w:pPr>
        <w:pStyle w:val="ListParagraph"/>
        <w:spacing w:before="240" w:after="0" w:line="276" w:lineRule="auto"/>
        <w:ind w:left="567" w:right="567"/>
        <w:jc w:val="both"/>
        <w:rPr>
          <w:rStyle w:val="eop"/>
          <w:i/>
          <w:iCs/>
          <w:color w:val="4472C4" w:themeColor="accent1"/>
          <w:lang w:val="es-ES"/>
        </w:rPr>
      </w:pPr>
    </w:p>
    <w:p w14:paraId="12793501" w14:textId="77777777" w:rsidR="00400B88" w:rsidRPr="00964705" w:rsidRDefault="00230701">
      <w:pPr>
        <w:pStyle w:val="ListParagraph"/>
        <w:numPr>
          <w:ilvl w:val="0"/>
          <w:numId w:val="2"/>
        </w:numPr>
        <w:spacing w:before="240" w:after="0" w:line="276" w:lineRule="auto"/>
        <w:ind w:left="567" w:right="567"/>
        <w:jc w:val="both"/>
        <w:rPr>
          <w:rStyle w:val="eop"/>
          <w:b/>
          <w:bCs/>
          <w:color w:val="4472C4" w:themeColor="accent1"/>
          <w:u w:val="single"/>
          <w:lang w:val="es-ES"/>
        </w:rPr>
      </w:pPr>
      <w:r w:rsidRPr="00964705">
        <w:rPr>
          <w:rStyle w:val="eop"/>
          <w:b/>
          <w:bCs/>
          <w:color w:val="4472C4" w:themeColor="accent1"/>
          <w:u w:val="single"/>
          <w:lang w:val="es-ES"/>
        </w:rPr>
        <w:t xml:space="preserve">Facilitar amplios debates </w:t>
      </w:r>
      <w:r w:rsidRPr="00964705">
        <w:rPr>
          <w:rStyle w:val="eop"/>
          <w:b/>
          <w:bCs/>
          <w:color w:val="4472C4" w:themeColor="accent1"/>
          <w:lang w:val="es-ES"/>
        </w:rPr>
        <w:t xml:space="preserve">entre los Pueblos Indígenas, los Estados Miembros y otras partes interesadas clave </w:t>
      </w:r>
      <w:r w:rsidRPr="00964705">
        <w:rPr>
          <w:rStyle w:val="eop"/>
          <w:b/>
          <w:bCs/>
          <w:color w:val="4472C4" w:themeColor="accent1"/>
          <w:u w:val="single"/>
          <w:lang w:val="es-ES"/>
        </w:rPr>
        <w:t xml:space="preserve">para preparar </w:t>
      </w:r>
      <w:r w:rsidR="00E66870" w:rsidRPr="00964705">
        <w:rPr>
          <w:rStyle w:val="eop"/>
          <w:b/>
          <w:bCs/>
          <w:color w:val="4472C4" w:themeColor="accent1"/>
          <w:u w:val="single"/>
          <w:lang w:val="es-ES"/>
        </w:rPr>
        <w:t xml:space="preserve">la primera </w:t>
      </w:r>
      <w:r w:rsidRPr="00964705">
        <w:rPr>
          <w:rStyle w:val="eop"/>
          <w:b/>
          <w:bCs/>
          <w:color w:val="4472C4" w:themeColor="accent1"/>
          <w:u w:val="single"/>
          <w:lang w:val="es-ES"/>
        </w:rPr>
        <w:t xml:space="preserve">reunión </w:t>
      </w:r>
      <w:proofErr w:type="spellStart"/>
      <w:r w:rsidRPr="00964705">
        <w:rPr>
          <w:rStyle w:val="eop"/>
          <w:b/>
          <w:bCs/>
          <w:color w:val="4472C4" w:themeColor="accent1"/>
          <w:u w:val="single"/>
          <w:lang w:val="es-ES"/>
        </w:rPr>
        <w:t>intersesional</w:t>
      </w:r>
      <w:proofErr w:type="spellEnd"/>
      <w:r w:rsidRPr="00964705">
        <w:rPr>
          <w:rStyle w:val="eop"/>
          <w:b/>
          <w:bCs/>
          <w:color w:val="4472C4" w:themeColor="accent1"/>
          <w:u w:val="single"/>
          <w:lang w:val="es-ES"/>
        </w:rPr>
        <w:t xml:space="preserve"> de dos días </w:t>
      </w:r>
      <w:r w:rsidR="007D7C3E" w:rsidRPr="00964705">
        <w:rPr>
          <w:rStyle w:val="eop"/>
          <w:b/>
          <w:bCs/>
          <w:color w:val="4472C4" w:themeColor="accent1"/>
          <w:u w:val="single"/>
          <w:lang w:val="es-ES"/>
        </w:rPr>
        <w:t xml:space="preserve">del Consejo de </w:t>
      </w:r>
      <w:r w:rsidR="004C58F6" w:rsidRPr="00964705">
        <w:rPr>
          <w:rStyle w:val="eop"/>
          <w:b/>
          <w:bCs/>
          <w:color w:val="4472C4" w:themeColor="accent1"/>
          <w:u w:val="single"/>
          <w:lang w:val="es-ES"/>
        </w:rPr>
        <w:t xml:space="preserve">Derechos Humanos </w:t>
      </w:r>
      <w:r w:rsidR="007D7C3E" w:rsidRPr="00964705">
        <w:rPr>
          <w:rStyle w:val="eop"/>
          <w:b/>
          <w:bCs/>
          <w:color w:val="4472C4" w:themeColor="accent1"/>
          <w:u w:val="single"/>
          <w:lang w:val="es-ES"/>
        </w:rPr>
        <w:t xml:space="preserve">sobre esta cuestión, </w:t>
      </w:r>
      <w:r w:rsidRPr="00964705">
        <w:rPr>
          <w:rStyle w:val="eop"/>
          <w:b/>
          <w:bCs/>
          <w:color w:val="4472C4" w:themeColor="accent1"/>
          <w:u w:val="single"/>
          <w:lang w:val="es-ES"/>
        </w:rPr>
        <w:t xml:space="preserve">los días 18 y 19 de julio </w:t>
      </w:r>
      <w:r w:rsidR="00452CB8" w:rsidRPr="00964705">
        <w:rPr>
          <w:rStyle w:val="eop"/>
          <w:b/>
          <w:bCs/>
          <w:color w:val="4472C4" w:themeColor="accent1"/>
          <w:u w:val="single"/>
          <w:lang w:val="es-ES"/>
        </w:rPr>
        <w:t>de 2024</w:t>
      </w:r>
      <w:r w:rsidRPr="00964705">
        <w:rPr>
          <w:rStyle w:val="eop"/>
          <w:b/>
          <w:bCs/>
          <w:color w:val="4472C4" w:themeColor="accent1"/>
          <w:u w:val="single"/>
          <w:lang w:val="es-ES"/>
        </w:rPr>
        <w:t>.</w:t>
      </w:r>
    </w:p>
    <w:p w14:paraId="4EF31957" w14:textId="77777777" w:rsidR="004B7A73" w:rsidRPr="00964705" w:rsidRDefault="004B7A73" w:rsidP="004B7A73">
      <w:pPr>
        <w:pStyle w:val="ListParagraph"/>
        <w:ind w:left="567" w:right="567"/>
        <w:rPr>
          <w:rStyle w:val="eop"/>
          <w:b/>
          <w:bCs/>
          <w:color w:val="4472C4" w:themeColor="accent1"/>
          <w:lang w:val="es-ES"/>
        </w:rPr>
      </w:pPr>
    </w:p>
    <w:p w14:paraId="5F1FFE5D" w14:textId="79A1619F" w:rsidR="00400B88" w:rsidRPr="00964705" w:rsidRDefault="00230701">
      <w:pPr>
        <w:pStyle w:val="ListParagraph"/>
        <w:numPr>
          <w:ilvl w:val="0"/>
          <w:numId w:val="2"/>
        </w:numPr>
        <w:spacing w:before="240" w:after="0" w:line="276" w:lineRule="auto"/>
        <w:ind w:left="567" w:right="567"/>
        <w:jc w:val="both"/>
        <w:rPr>
          <w:rStyle w:val="eop"/>
          <w:b/>
          <w:bCs/>
          <w:color w:val="4472C4" w:themeColor="accent1"/>
          <w:lang w:val="es-ES"/>
        </w:rPr>
      </w:pPr>
      <w:r w:rsidRPr="00964705">
        <w:rPr>
          <w:rStyle w:val="eop"/>
          <w:b/>
          <w:bCs/>
          <w:color w:val="4472C4" w:themeColor="accent1"/>
          <w:u w:val="single"/>
          <w:lang w:val="es-ES"/>
        </w:rPr>
        <w:t xml:space="preserve">Recoger las opiniones </w:t>
      </w:r>
      <w:r w:rsidRPr="00964705">
        <w:rPr>
          <w:rStyle w:val="eop"/>
          <w:b/>
          <w:bCs/>
          <w:color w:val="4472C4" w:themeColor="accent1"/>
          <w:lang w:val="es-ES"/>
        </w:rPr>
        <w:t xml:space="preserve">de los </w:t>
      </w:r>
      <w:r w:rsidR="003166CE" w:rsidRPr="00964705">
        <w:rPr>
          <w:rStyle w:val="eop"/>
          <w:b/>
          <w:bCs/>
          <w:color w:val="4472C4" w:themeColor="accent1"/>
          <w:lang w:val="es-ES"/>
        </w:rPr>
        <w:t>P</w:t>
      </w:r>
      <w:r w:rsidRPr="00964705">
        <w:rPr>
          <w:rStyle w:val="eop"/>
          <w:b/>
          <w:bCs/>
          <w:color w:val="4472C4" w:themeColor="accent1"/>
          <w:lang w:val="es-ES"/>
        </w:rPr>
        <w:t xml:space="preserve">ueblos </w:t>
      </w:r>
      <w:r w:rsidR="003166CE" w:rsidRPr="00964705">
        <w:rPr>
          <w:rStyle w:val="eop"/>
          <w:b/>
          <w:bCs/>
          <w:color w:val="4472C4" w:themeColor="accent1"/>
          <w:lang w:val="es-ES"/>
        </w:rPr>
        <w:t>I</w:t>
      </w:r>
      <w:r w:rsidRPr="00964705">
        <w:rPr>
          <w:rStyle w:val="eop"/>
          <w:b/>
          <w:bCs/>
          <w:color w:val="4472C4" w:themeColor="accent1"/>
          <w:lang w:val="es-ES"/>
        </w:rPr>
        <w:t>ndígenas y otras partes interesadas sobre dos cuestiones principales:</w:t>
      </w:r>
    </w:p>
    <w:p w14:paraId="696E14DE" w14:textId="77777777" w:rsidR="004B7A73" w:rsidRPr="00964705" w:rsidRDefault="004B7A73" w:rsidP="004B7A73">
      <w:pPr>
        <w:pStyle w:val="ListParagraph"/>
        <w:ind w:left="567" w:right="567"/>
        <w:rPr>
          <w:rStyle w:val="eop"/>
          <w:b/>
          <w:bCs/>
          <w:color w:val="4472C4" w:themeColor="accent1"/>
          <w:lang w:val="es-ES"/>
        </w:rPr>
      </w:pPr>
    </w:p>
    <w:p w14:paraId="3F2375BF" w14:textId="77777777" w:rsidR="00400B88" w:rsidRPr="00964705" w:rsidRDefault="00230701">
      <w:pPr>
        <w:pStyle w:val="ListParagraph"/>
        <w:numPr>
          <w:ilvl w:val="1"/>
          <w:numId w:val="3"/>
        </w:numPr>
        <w:spacing w:before="240" w:after="0" w:line="276" w:lineRule="auto"/>
        <w:ind w:right="567"/>
        <w:jc w:val="both"/>
        <w:rPr>
          <w:b/>
          <w:bCs/>
          <w:i/>
          <w:iCs/>
          <w:color w:val="4472C4" w:themeColor="accent1"/>
          <w:lang w:val="es-ES"/>
        </w:rPr>
      </w:pPr>
      <w:r w:rsidRPr="00964705">
        <w:rPr>
          <w:rStyle w:val="eop"/>
          <w:b/>
          <w:bCs/>
          <w:i/>
          <w:iCs/>
          <w:color w:val="4472C4" w:themeColor="accent1"/>
          <w:u w:val="single"/>
          <w:lang w:val="es-ES"/>
        </w:rPr>
        <w:t xml:space="preserve">Criterios de acreditación </w:t>
      </w:r>
      <w:r w:rsidRPr="00964705">
        <w:rPr>
          <w:b/>
          <w:bCs/>
          <w:i/>
          <w:iCs/>
          <w:color w:val="4472C4" w:themeColor="accent1"/>
          <w:lang w:val="es-ES"/>
        </w:rPr>
        <w:t>para la participación significativa y efectiva de los Pueblos Indígenas en el trabajo del Consejo de Derechos Humanos</w:t>
      </w:r>
    </w:p>
    <w:p w14:paraId="4E68E5D8" w14:textId="77777777" w:rsidR="004B7A73" w:rsidRPr="00964705" w:rsidRDefault="004B7A73" w:rsidP="004B7A73">
      <w:pPr>
        <w:pStyle w:val="ListParagraph"/>
        <w:spacing w:before="240" w:after="0" w:line="276" w:lineRule="auto"/>
        <w:ind w:left="567" w:right="567"/>
        <w:jc w:val="both"/>
        <w:rPr>
          <w:rStyle w:val="eop"/>
          <w:b/>
          <w:bCs/>
          <w:i/>
          <w:iCs/>
          <w:color w:val="4472C4" w:themeColor="accent1"/>
          <w:lang w:val="es-ES"/>
        </w:rPr>
      </w:pPr>
    </w:p>
    <w:p w14:paraId="294677EC" w14:textId="08ED98C2" w:rsidR="00400B88" w:rsidRPr="00964705" w:rsidRDefault="00230701">
      <w:pPr>
        <w:pStyle w:val="ListParagraph"/>
        <w:numPr>
          <w:ilvl w:val="1"/>
          <w:numId w:val="4"/>
        </w:numPr>
        <w:spacing w:before="240" w:after="0" w:line="276" w:lineRule="auto"/>
        <w:ind w:right="567"/>
        <w:jc w:val="both"/>
        <w:rPr>
          <w:rStyle w:val="eop"/>
          <w:b/>
          <w:bCs/>
          <w:i/>
          <w:iCs/>
          <w:color w:val="4472C4" w:themeColor="accent1"/>
          <w:lang w:val="es-ES"/>
        </w:rPr>
      </w:pPr>
      <w:r w:rsidRPr="00964705">
        <w:rPr>
          <w:rStyle w:val="eop"/>
          <w:b/>
          <w:bCs/>
          <w:i/>
          <w:iCs/>
          <w:color w:val="4472C4" w:themeColor="accent1"/>
          <w:u w:val="single"/>
          <w:lang w:val="es-ES"/>
        </w:rPr>
        <w:t xml:space="preserve">Modalidades de participación </w:t>
      </w:r>
      <w:r w:rsidR="007D7C3E" w:rsidRPr="00964705">
        <w:rPr>
          <w:rStyle w:val="eop"/>
          <w:b/>
          <w:bCs/>
          <w:i/>
          <w:iCs/>
          <w:color w:val="4472C4" w:themeColor="accent1"/>
          <w:u w:val="single"/>
          <w:lang w:val="es-ES"/>
        </w:rPr>
        <w:t xml:space="preserve">de los </w:t>
      </w:r>
      <w:r w:rsidR="003166CE" w:rsidRPr="00964705">
        <w:rPr>
          <w:rStyle w:val="eop"/>
          <w:b/>
          <w:bCs/>
          <w:i/>
          <w:iCs/>
          <w:color w:val="4472C4" w:themeColor="accent1"/>
          <w:u w:val="single"/>
          <w:lang w:val="es-ES"/>
        </w:rPr>
        <w:t>P</w:t>
      </w:r>
      <w:r w:rsidR="007D7C3E" w:rsidRPr="00964705">
        <w:rPr>
          <w:rStyle w:val="eop"/>
          <w:b/>
          <w:bCs/>
          <w:i/>
          <w:iCs/>
          <w:color w:val="4472C4" w:themeColor="accent1"/>
          <w:u w:val="single"/>
          <w:lang w:val="es-ES"/>
        </w:rPr>
        <w:t xml:space="preserve">ueblos </w:t>
      </w:r>
      <w:r w:rsidR="003166CE" w:rsidRPr="00964705">
        <w:rPr>
          <w:rStyle w:val="eop"/>
          <w:b/>
          <w:bCs/>
          <w:i/>
          <w:iCs/>
          <w:color w:val="4472C4" w:themeColor="accent1"/>
          <w:u w:val="single"/>
          <w:lang w:val="es-ES"/>
        </w:rPr>
        <w:t>I</w:t>
      </w:r>
      <w:r w:rsidR="007D7C3E" w:rsidRPr="00964705">
        <w:rPr>
          <w:rStyle w:val="eop"/>
          <w:b/>
          <w:bCs/>
          <w:i/>
          <w:iCs/>
          <w:color w:val="4472C4" w:themeColor="accent1"/>
          <w:u w:val="single"/>
          <w:lang w:val="es-ES"/>
        </w:rPr>
        <w:t>ndígenas en el Consejo de Derechos Humanos</w:t>
      </w:r>
    </w:p>
    <w:p w14:paraId="0F735428" w14:textId="77777777" w:rsidR="004B7A73" w:rsidRPr="00964705" w:rsidRDefault="004B7A73" w:rsidP="004B7A73">
      <w:pPr>
        <w:pStyle w:val="ListParagraph"/>
        <w:spacing w:before="240" w:after="0" w:line="276" w:lineRule="auto"/>
        <w:ind w:left="567" w:right="567"/>
        <w:rPr>
          <w:rStyle w:val="eop"/>
          <w:b/>
          <w:bCs/>
          <w:color w:val="4472C4" w:themeColor="accent1"/>
          <w:lang w:val="es-ES"/>
        </w:rPr>
      </w:pPr>
    </w:p>
    <w:p w14:paraId="21C3672B" w14:textId="28A6A889" w:rsidR="00230701" w:rsidRPr="0012704D" w:rsidRDefault="00230701" w:rsidP="004B7A73">
      <w:pPr>
        <w:pStyle w:val="ListParagraph"/>
        <w:numPr>
          <w:ilvl w:val="0"/>
          <w:numId w:val="2"/>
        </w:numPr>
        <w:spacing w:before="240" w:after="0" w:line="276" w:lineRule="auto"/>
        <w:ind w:left="567" w:right="567"/>
        <w:jc w:val="both"/>
        <w:rPr>
          <w:b/>
          <w:bCs/>
          <w:color w:val="4472C4" w:themeColor="accent1"/>
          <w:lang w:val="es-ES"/>
        </w:rPr>
      </w:pPr>
      <w:r w:rsidRPr="00964705">
        <w:rPr>
          <w:rStyle w:val="eop"/>
          <w:b/>
          <w:bCs/>
          <w:color w:val="4472C4" w:themeColor="accent1"/>
          <w:u w:val="single"/>
          <w:lang w:val="es-ES"/>
        </w:rPr>
        <w:t xml:space="preserve">Identificar recomendaciones concretas </w:t>
      </w:r>
      <w:r w:rsidRPr="00964705">
        <w:rPr>
          <w:rStyle w:val="eop"/>
          <w:b/>
          <w:bCs/>
          <w:color w:val="4472C4" w:themeColor="accent1"/>
          <w:lang w:val="es-ES"/>
        </w:rPr>
        <w:t xml:space="preserve">para hacer frente a los obstáculos a la participación y proponer mecanismos eficaces para la participación significativa de los Pueblos Indígenas </w:t>
      </w:r>
      <w:r w:rsidRPr="00964705">
        <w:rPr>
          <w:rStyle w:val="eop"/>
          <w:b/>
          <w:bCs/>
          <w:color w:val="4472C4" w:themeColor="accent1"/>
          <w:shd w:val="clear" w:color="auto" w:fill="FFFFFF"/>
          <w:lang w:val="es-ES"/>
        </w:rPr>
        <w:t xml:space="preserve">y las instituciones en las reuniones y </w:t>
      </w:r>
      <w:r w:rsidRPr="00964705">
        <w:rPr>
          <w:rStyle w:val="eop"/>
          <w:b/>
          <w:bCs/>
          <w:color w:val="4472C4" w:themeColor="accent1"/>
          <w:shd w:val="clear" w:color="auto" w:fill="FFFFFF"/>
          <w:lang w:val="es-ES"/>
        </w:rPr>
        <w:lastRenderedPageBreak/>
        <w:t xml:space="preserve">procesos de los </w:t>
      </w:r>
      <w:r w:rsidRPr="00964705">
        <w:rPr>
          <w:rStyle w:val="eop"/>
          <w:b/>
          <w:bCs/>
          <w:color w:val="4472C4" w:themeColor="accent1"/>
          <w:lang w:val="es-ES"/>
        </w:rPr>
        <w:t xml:space="preserve">órganos de las Naciones Unidas, en particular en la labor del Consejo de Derechos Humanos. </w:t>
      </w:r>
    </w:p>
    <w:p w14:paraId="69330725" w14:textId="77777777" w:rsidR="00230701" w:rsidRPr="00964705" w:rsidRDefault="00230701" w:rsidP="004B7A73">
      <w:pPr>
        <w:spacing w:line="276" w:lineRule="auto"/>
        <w:ind w:right="567"/>
        <w:rPr>
          <w:b/>
          <w:bCs/>
          <w:lang w:val="es-ES"/>
        </w:rPr>
      </w:pPr>
    </w:p>
    <w:p w14:paraId="541CDF27" w14:textId="4669C9D2" w:rsidR="00400B88" w:rsidRPr="00964705" w:rsidRDefault="00230701">
      <w:pPr>
        <w:spacing w:line="276" w:lineRule="auto"/>
        <w:ind w:right="567" w:firstLine="207"/>
        <w:rPr>
          <w:b/>
          <w:bCs/>
          <w:lang w:val="es-ES"/>
        </w:rPr>
      </w:pPr>
      <w:r w:rsidRPr="00964705">
        <w:rPr>
          <w:b/>
          <w:bCs/>
          <w:lang w:val="es-ES"/>
        </w:rPr>
        <w:t>Antecedentes</w:t>
      </w:r>
    </w:p>
    <w:p w14:paraId="72A9C9C2" w14:textId="6CFFEC87" w:rsidR="00400B88" w:rsidRPr="00964705" w:rsidRDefault="00230701">
      <w:pPr>
        <w:spacing w:line="276" w:lineRule="auto"/>
        <w:ind w:left="567" w:right="567"/>
        <w:jc w:val="both"/>
        <w:rPr>
          <w:rStyle w:val="ui-provider"/>
          <w:lang w:val="es-ES"/>
        </w:rPr>
      </w:pPr>
      <w:r w:rsidRPr="00964705">
        <w:rPr>
          <w:rStyle w:val="ui-provider"/>
          <w:lang w:val="es-ES"/>
        </w:rPr>
        <w:t xml:space="preserve">Desde la década de 1980, los </w:t>
      </w:r>
      <w:r w:rsidR="003166CE" w:rsidRPr="00964705">
        <w:rPr>
          <w:rStyle w:val="ui-provider"/>
          <w:lang w:val="es-ES"/>
        </w:rPr>
        <w:t>P</w:t>
      </w:r>
      <w:r w:rsidRPr="00964705">
        <w:rPr>
          <w:rStyle w:val="ui-provider"/>
          <w:lang w:val="es-ES"/>
        </w:rPr>
        <w:t xml:space="preserve">ueblos </w:t>
      </w:r>
      <w:r w:rsidR="003166CE" w:rsidRPr="00964705">
        <w:rPr>
          <w:rStyle w:val="ui-provider"/>
          <w:lang w:val="es-ES"/>
        </w:rPr>
        <w:t>I</w:t>
      </w:r>
      <w:r w:rsidRPr="00964705">
        <w:rPr>
          <w:rStyle w:val="ui-provider"/>
          <w:lang w:val="es-ES"/>
        </w:rPr>
        <w:t xml:space="preserve">ndígenas han venido participando en distintos grados en las reuniones de determinados órganos y mecanismos de las Naciones Unidas. Entre ellos destacan los mecanismos que se ocupan específicamente de las cuestiones de los pueblos indígenas, como el Grupo de Trabajo sobre Poblaciones Indígenas (dependiente de la Comisión de Derechos Humanos), el Foro Permanente para las Cuestiones Indígenas (órgano subsidiario del ECOSOC) y el Mecanismo de Expertos sobre los Derechos de los Pueblos Indígenas (órgano subsidiario del Consejo de Derechos Humanos). La mayor participación de los </w:t>
      </w:r>
      <w:r w:rsidR="003166CE" w:rsidRPr="00964705">
        <w:rPr>
          <w:rStyle w:val="ui-provider"/>
          <w:lang w:val="es-ES"/>
        </w:rPr>
        <w:t>P</w:t>
      </w:r>
      <w:r w:rsidRPr="00964705">
        <w:rPr>
          <w:rStyle w:val="ui-provider"/>
          <w:lang w:val="es-ES"/>
        </w:rPr>
        <w:t xml:space="preserve">ueblos </w:t>
      </w:r>
      <w:r w:rsidR="003166CE" w:rsidRPr="00964705">
        <w:rPr>
          <w:rStyle w:val="ui-provider"/>
          <w:lang w:val="es-ES"/>
        </w:rPr>
        <w:t>I</w:t>
      </w:r>
      <w:r w:rsidRPr="00964705">
        <w:rPr>
          <w:rStyle w:val="ui-provider"/>
          <w:lang w:val="es-ES"/>
        </w:rPr>
        <w:t>ndígenas en las Naciones Unidas fue también una de las cuestiones centrales abordadas durante la Conferencia Mundial sobre los Pueblos Indígenas (2014) y su documento final (resolución 69/2 de la Asamblea General).</w:t>
      </w:r>
    </w:p>
    <w:p w14:paraId="76AE1B92" w14:textId="7BC1BEFE" w:rsidR="00400B88" w:rsidRPr="00964705" w:rsidRDefault="00230701">
      <w:pPr>
        <w:spacing w:line="276" w:lineRule="auto"/>
        <w:ind w:left="567" w:right="567"/>
        <w:jc w:val="both"/>
        <w:rPr>
          <w:lang w:val="es-ES"/>
        </w:rPr>
      </w:pPr>
      <w:r w:rsidRPr="00964705">
        <w:rPr>
          <w:rStyle w:val="ui-provider"/>
          <w:lang w:val="es-ES"/>
        </w:rPr>
        <w:t>La adopción de la Declaración de las Naciones Unidas sobre los Derechos de los Pueblos Indígenas</w:t>
      </w:r>
      <w:r w:rsidR="003166CE" w:rsidRPr="00964705">
        <w:rPr>
          <w:rStyle w:val="ui-provider"/>
          <w:lang w:val="es-ES"/>
        </w:rPr>
        <w:t xml:space="preserve"> </w:t>
      </w:r>
      <w:r w:rsidRPr="00964705">
        <w:rPr>
          <w:rStyle w:val="ui-provider"/>
          <w:lang w:val="es-ES"/>
        </w:rPr>
        <w:t xml:space="preserve">por la Asamblea General en 2007 marcó un hito. La Declaración consagra el derecho de los </w:t>
      </w:r>
      <w:r w:rsidR="003166CE" w:rsidRPr="00964705">
        <w:rPr>
          <w:rStyle w:val="ui-provider"/>
          <w:lang w:val="es-ES"/>
        </w:rPr>
        <w:t>P</w:t>
      </w:r>
      <w:r w:rsidRPr="00964705">
        <w:rPr>
          <w:rStyle w:val="ui-provider"/>
          <w:lang w:val="es-ES"/>
        </w:rPr>
        <w:t xml:space="preserve">ueblos </w:t>
      </w:r>
      <w:r w:rsidR="003166CE" w:rsidRPr="00964705">
        <w:rPr>
          <w:rStyle w:val="ui-provider"/>
          <w:lang w:val="es-ES"/>
        </w:rPr>
        <w:t>I</w:t>
      </w:r>
      <w:r w:rsidRPr="00964705">
        <w:rPr>
          <w:rStyle w:val="ui-provider"/>
          <w:lang w:val="es-ES"/>
        </w:rPr>
        <w:t xml:space="preserve">ndígenas a participar en la adopción de decisiones sobre cuestiones que puedan afectarles (artículo 12, entre otros), incluso en el contexto específico del sistema de las Naciones Unidas (artículo 41). El derecho a la libre determinación (artículo 3) y el principio del consentimiento libre, previo e informado (artículo 19, entre otros) también son fundamentales en cualquier debate sobre la participación de los </w:t>
      </w:r>
      <w:r w:rsidR="003166CE" w:rsidRPr="00964705">
        <w:rPr>
          <w:rStyle w:val="ui-provider"/>
          <w:lang w:val="es-ES"/>
        </w:rPr>
        <w:t>P</w:t>
      </w:r>
      <w:r w:rsidRPr="00964705">
        <w:rPr>
          <w:rStyle w:val="ui-provider"/>
          <w:lang w:val="es-ES"/>
        </w:rPr>
        <w:t xml:space="preserve">ueblos </w:t>
      </w:r>
      <w:r w:rsidR="003166CE" w:rsidRPr="00964705">
        <w:rPr>
          <w:rStyle w:val="ui-provider"/>
          <w:lang w:val="es-ES"/>
        </w:rPr>
        <w:t>I</w:t>
      </w:r>
      <w:r w:rsidRPr="00964705">
        <w:rPr>
          <w:rStyle w:val="ui-provider"/>
          <w:lang w:val="es-ES"/>
        </w:rPr>
        <w:t>ndígenas en las Naciones Unidas.</w:t>
      </w:r>
    </w:p>
    <w:p w14:paraId="1064B93C" w14:textId="77777777" w:rsidR="00400B88" w:rsidRPr="00964705" w:rsidRDefault="00230701">
      <w:pPr>
        <w:spacing w:line="276" w:lineRule="auto"/>
        <w:ind w:left="567" w:right="567"/>
        <w:jc w:val="both"/>
        <w:rPr>
          <w:rStyle w:val="ui-provider"/>
          <w:lang w:val="es-ES"/>
        </w:rPr>
      </w:pPr>
      <w:r w:rsidRPr="00964705">
        <w:rPr>
          <w:rStyle w:val="ui-provider"/>
          <w:lang w:val="es-ES"/>
        </w:rPr>
        <w:t xml:space="preserve">En el contexto del Consejo de Derechos Humanos, los principales lugares de participación han sido las sesiones del Mecanismo de Expertos sobre los Derechos de los Pueblos Indígenas, en las que los Pueblos Indígenas pueden solicitar acreditación como representantes de sus propias organizaciones e instituciones, y los diálogos interactivos con el MEDPI y el Relator Especial sobre los Derechos de los Pueblos Indígenas, que tienen lugar anualmente durante la sesión de septiembre del Consejo. Sin embargo, en las reuniones formales del </w:t>
      </w:r>
      <w:proofErr w:type="spellStart"/>
      <w:r w:rsidRPr="00964705">
        <w:rPr>
          <w:rStyle w:val="ui-provider"/>
          <w:lang w:val="es-ES"/>
        </w:rPr>
        <w:t>CoDH</w:t>
      </w:r>
      <w:proofErr w:type="spellEnd"/>
      <w:r w:rsidRPr="00964705">
        <w:rPr>
          <w:rStyle w:val="ui-provider"/>
          <w:lang w:val="es-ES"/>
        </w:rPr>
        <w:t>, los representantes de los Pueblos Indígenas deben estar acreditados por una ONG reconocida como entidad consultiva por el ECOSOC y no pueden participar por derecho propio según los actuales procedimientos de acreditación.</w:t>
      </w:r>
    </w:p>
    <w:p w14:paraId="0322FCC1" w14:textId="1ADEB13A" w:rsidR="00400B88" w:rsidRPr="00964705" w:rsidRDefault="00230701">
      <w:pPr>
        <w:spacing w:line="276" w:lineRule="auto"/>
        <w:ind w:left="567" w:right="567"/>
        <w:jc w:val="both"/>
        <w:rPr>
          <w:rStyle w:val="ui-provider"/>
          <w:lang w:val="es-ES"/>
        </w:rPr>
      </w:pPr>
      <w:r w:rsidRPr="00964705">
        <w:rPr>
          <w:lang w:val="es-ES"/>
        </w:rPr>
        <w:t xml:space="preserve">Los </w:t>
      </w:r>
      <w:r w:rsidR="003166CE" w:rsidRPr="00964705">
        <w:rPr>
          <w:lang w:val="es-ES"/>
        </w:rPr>
        <w:t>P</w:t>
      </w:r>
      <w:r w:rsidRPr="00964705">
        <w:rPr>
          <w:lang w:val="es-ES"/>
        </w:rPr>
        <w:t xml:space="preserve">ueblos indígenas han abogado por una mayor participación en el Consejo desde su creación (véase, por ejemplo, A/HRC/21/24). Tras la adopción del documento final de la Conferencia Mundial sobre los Pueblos Indígenas en 2014, el </w:t>
      </w:r>
      <w:proofErr w:type="gramStart"/>
      <w:r w:rsidRPr="00964705">
        <w:rPr>
          <w:lang w:val="es-ES"/>
        </w:rPr>
        <w:t>Presidente</w:t>
      </w:r>
      <w:proofErr w:type="gramEnd"/>
      <w:r w:rsidRPr="00964705">
        <w:rPr>
          <w:lang w:val="es-ES"/>
        </w:rPr>
        <w:t xml:space="preserve"> de la Asamblea General inició varios procesos de consulta, tanto presenciales como electrónicos, para recabar aportaciones sobre la mejora de la participación de los </w:t>
      </w:r>
      <w:r w:rsidR="003166CE" w:rsidRPr="00964705">
        <w:rPr>
          <w:lang w:val="es-ES"/>
        </w:rPr>
        <w:t>P</w:t>
      </w:r>
      <w:r w:rsidRPr="00964705">
        <w:rPr>
          <w:lang w:val="es-ES"/>
        </w:rPr>
        <w:t xml:space="preserve">ueblos </w:t>
      </w:r>
      <w:r w:rsidR="003166CE" w:rsidRPr="00964705">
        <w:rPr>
          <w:lang w:val="es-ES"/>
        </w:rPr>
        <w:t>I</w:t>
      </w:r>
      <w:r w:rsidRPr="00964705">
        <w:rPr>
          <w:lang w:val="es-ES"/>
        </w:rPr>
        <w:t xml:space="preserve">ndígenas en el sistema de las Naciones Unidas. En </w:t>
      </w:r>
      <w:r w:rsidRPr="00964705">
        <w:rPr>
          <w:lang w:val="es-ES"/>
        </w:rPr>
        <w:lastRenderedPageBreak/>
        <w:t xml:space="preserve">septiembre de 2017, la Asamblea General adoptó la resolución </w:t>
      </w:r>
      <w:hyperlink r:id="rId12" w:tgtFrame="_blank" w:tooltip="https://documents.un.org/doc/undoc/gen/n17/281/69/pdf/n1728169.pdf?token=nwwj0etgfqhin9m44s&amp;fe=true" w:history="1">
        <w:r w:rsidRPr="00964705">
          <w:rPr>
            <w:color w:val="0000FF"/>
            <w:u w:val="single"/>
            <w:lang w:val="es-ES"/>
          </w:rPr>
          <w:t>71/321</w:t>
        </w:r>
      </w:hyperlink>
      <w:r w:rsidRPr="00964705">
        <w:rPr>
          <w:lang w:val="es-ES"/>
        </w:rPr>
        <w:t xml:space="preserve"> sobre el aumento de la participación de los pueblos indígenas. Sin embargo, debido a la falta de consenso, la Asamblea no adoptó ningún nuevo procedimiento y solicitó que se organizaran tres audiencias interactivas más. Estas audiencias interactivas concluyeron en 2023. El proceso en la Asamblea General de la ONU en Nueva York continúa. Al mismo tiempo, las agencias del sistema de las Naciones Unidas han estado trabajando para mejorar la participación de los </w:t>
      </w:r>
      <w:r w:rsidR="003166CE" w:rsidRPr="00964705">
        <w:rPr>
          <w:lang w:val="es-ES"/>
        </w:rPr>
        <w:t>P</w:t>
      </w:r>
      <w:r w:rsidRPr="00964705">
        <w:rPr>
          <w:lang w:val="es-ES"/>
        </w:rPr>
        <w:t xml:space="preserve">ueblos </w:t>
      </w:r>
      <w:r w:rsidR="003166CE" w:rsidRPr="00964705">
        <w:rPr>
          <w:lang w:val="es-ES"/>
        </w:rPr>
        <w:t>I</w:t>
      </w:r>
      <w:r w:rsidRPr="00964705">
        <w:rPr>
          <w:lang w:val="es-ES"/>
        </w:rPr>
        <w:t xml:space="preserve">ndígenas de acuerdo con el 6º elemento del </w:t>
      </w:r>
      <w:hyperlink r:id="rId13" w:tgtFrame="_blank" w:tooltip="https://social.desa.un.org/issues/indigenous-peoples/system-wide-action-plan-swap" w:history="1">
        <w:r w:rsidRPr="00964705">
          <w:rPr>
            <w:color w:val="0000FF"/>
            <w:u w:val="single"/>
            <w:lang w:val="es-ES"/>
          </w:rPr>
          <w:t>Plan de Acción para todo el sistema sobre los pueblos</w:t>
        </w:r>
      </w:hyperlink>
      <w:r w:rsidRPr="00964705">
        <w:rPr>
          <w:lang w:val="es-ES"/>
        </w:rPr>
        <w:t xml:space="preserve"> indígenas.</w:t>
      </w:r>
    </w:p>
    <w:p w14:paraId="7047364D" w14:textId="224D4501" w:rsidR="00400B88" w:rsidRPr="00964705" w:rsidRDefault="00230701">
      <w:pPr>
        <w:spacing w:line="276" w:lineRule="auto"/>
        <w:ind w:left="567" w:right="567"/>
        <w:jc w:val="both"/>
        <w:rPr>
          <w:lang w:val="es-ES"/>
        </w:rPr>
      </w:pPr>
      <w:r w:rsidRPr="00964705">
        <w:rPr>
          <w:lang w:val="es-ES"/>
        </w:rPr>
        <w:t xml:space="preserve">Mientras tanto, en 2018, el Consejo de Derechos Humanos, en su resolución </w:t>
      </w:r>
      <w:hyperlink r:id="rId14" w:tgtFrame="_blank" w:tooltip="https://documents.un.org/doc/undoc/gen/g18/296/56/pdf/g1829656.pdf?token=5zjyhrblxtekfbtxni&amp;fe=true" w:history="1">
        <w:r w:rsidRPr="00964705">
          <w:rPr>
            <w:color w:val="0000FF"/>
            <w:u w:val="single"/>
            <w:lang w:val="es-ES"/>
          </w:rPr>
          <w:t>39/13</w:t>
        </w:r>
      </w:hyperlink>
      <w:r w:rsidRPr="00964705">
        <w:rPr>
          <w:lang w:val="es-ES"/>
        </w:rPr>
        <w:t xml:space="preserve">, apreció los esfuerzos de la Asamblea General para mejorar la participación de los </w:t>
      </w:r>
      <w:r w:rsidR="006C6BA8" w:rsidRPr="00964705">
        <w:rPr>
          <w:lang w:val="es-ES"/>
        </w:rPr>
        <w:t>P</w:t>
      </w:r>
      <w:r w:rsidRPr="00964705">
        <w:rPr>
          <w:lang w:val="es-ES"/>
        </w:rPr>
        <w:t xml:space="preserve">ueblos indígenas y decidió organizar un diálogo interactivo entre períodos de sesiones de medio día de duración sobre las formas de mejorar la participación de los representantes y las instituciones de los </w:t>
      </w:r>
      <w:r w:rsidR="006C6BA8" w:rsidRPr="00964705">
        <w:rPr>
          <w:lang w:val="es-ES"/>
        </w:rPr>
        <w:t>P</w:t>
      </w:r>
      <w:r w:rsidRPr="00964705">
        <w:rPr>
          <w:lang w:val="es-ES"/>
        </w:rPr>
        <w:t>ueblos indígenas en las reuniones del Consejo de Derechos Humanos sobre cuestiones que les afectan, basándose en el trabajo realizado por la Asamblea General.</w:t>
      </w:r>
    </w:p>
    <w:p w14:paraId="3264803B" w14:textId="117F4EEC" w:rsidR="00964705" w:rsidRPr="00964705" w:rsidRDefault="00964705" w:rsidP="0012704D">
      <w:pPr>
        <w:ind w:left="567" w:right="545"/>
        <w:jc w:val="both"/>
        <w:rPr>
          <w:lang w:val="es-ES"/>
        </w:rPr>
      </w:pPr>
      <w:r w:rsidRPr="00964705">
        <w:rPr>
          <w:lang w:val="es-ES"/>
        </w:rPr>
        <w:t xml:space="preserve">De conformidad con la resolución 48/11 del Consejo de Derechos Humanos, la OACDH organizó un taller de expertos sobre posibles formas de mejorar la participación de los Pueblos Indígenas en la labor del Consejo de Derechos Humanos, que se celebró del 21 al 24 de noviembre de 2022. Entre otras conclusiones, el taller afirmó que los representantes e instituciones de los Pueblos Indígenas deberían poder participar en todas las vías del Consejo de Derechos Humanos que los propios Pueblos Indígenas consideren que les afectan.  </w:t>
      </w:r>
    </w:p>
    <w:p w14:paraId="5172378E" w14:textId="56183316" w:rsidR="00964705" w:rsidRPr="00964705" w:rsidRDefault="00964705" w:rsidP="0012704D">
      <w:pPr>
        <w:ind w:left="567" w:right="545"/>
        <w:jc w:val="both"/>
        <w:rPr>
          <w:lang w:val="es-ES"/>
        </w:rPr>
      </w:pPr>
      <w:r w:rsidRPr="00964705">
        <w:rPr>
          <w:lang w:val="es-ES"/>
        </w:rPr>
        <w:t>El Mecanismo de Expertos presentó una contribución por escrito al taller de expertos de noviembre de 2022 sobre posibles formas de mejorar la participación de los Pueblos Indígenas en la labor del Consejo de Derechos Humanos, en la que abordó los lugares de participación, las modalidades de participación, los criterios de selección, las modalidades de selección y los próximos pasos.</w:t>
      </w:r>
    </w:p>
    <w:p w14:paraId="76FB1F08" w14:textId="6B96977E" w:rsidR="00400B88" w:rsidRPr="00964705" w:rsidRDefault="00230701">
      <w:pPr>
        <w:spacing w:line="276" w:lineRule="auto"/>
        <w:ind w:left="567" w:right="567"/>
        <w:jc w:val="both"/>
        <w:rPr>
          <w:lang w:val="es-ES"/>
        </w:rPr>
      </w:pPr>
      <w:r w:rsidRPr="00964705">
        <w:rPr>
          <w:rStyle w:val="ui-provider"/>
          <w:lang w:val="es-ES"/>
        </w:rPr>
        <w:t xml:space="preserve">El Consejo </w:t>
      </w:r>
      <w:r w:rsidR="00D04E65" w:rsidRPr="00964705">
        <w:rPr>
          <w:rStyle w:val="ui-provider"/>
          <w:lang w:val="es-ES"/>
        </w:rPr>
        <w:t xml:space="preserve">de </w:t>
      </w:r>
      <w:r w:rsidR="0083568D" w:rsidRPr="00964705">
        <w:rPr>
          <w:rStyle w:val="ui-provider"/>
          <w:lang w:val="es-ES"/>
        </w:rPr>
        <w:t xml:space="preserve">Derechos Humanos </w:t>
      </w:r>
      <w:r w:rsidR="00D04E65" w:rsidRPr="00964705">
        <w:rPr>
          <w:rStyle w:val="ui-provider"/>
          <w:lang w:val="es-ES"/>
        </w:rPr>
        <w:t xml:space="preserve">siguió </w:t>
      </w:r>
      <w:r w:rsidR="0083568D" w:rsidRPr="00964705">
        <w:rPr>
          <w:rStyle w:val="ui-provider"/>
          <w:lang w:val="es-ES"/>
        </w:rPr>
        <w:t xml:space="preserve">abordando la cuestión mediante un diálogo interactivo entre periodos de sesiones en 2019 (véase A/HRC/44/35); una mesa redonda entre periodos de sesiones en 2021 (véase A/HRC/49/69); y, más recientemente, mediante un taller de expertos de cuatro días de duración sobre posibles formas de mejorar la participación de los </w:t>
      </w:r>
      <w:r w:rsidR="006C6BA8" w:rsidRPr="00964705">
        <w:rPr>
          <w:rStyle w:val="ui-provider"/>
          <w:lang w:val="es-ES"/>
        </w:rPr>
        <w:t>P</w:t>
      </w:r>
      <w:r w:rsidR="0083568D" w:rsidRPr="00964705">
        <w:rPr>
          <w:rStyle w:val="ui-provider"/>
          <w:lang w:val="es-ES"/>
        </w:rPr>
        <w:t xml:space="preserve">ueblos indígenas en su labor en 2023 (véase A/HRC/53/44). El Consejo volverá a abordar esta cuestión en dos reuniones entre sesiones en 2024 (18-19 de julio y 17-18 de octubre). </w:t>
      </w:r>
    </w:p>
    <w:p w14:paraId="1AE27ECE" w14:textId="77777777" w:rsidR="00FD3DA2" w:rsidRPr="00964705" w:rsidRDefault="00FD3DA2" w:rsidP="004B7A73">
      <w:pPr>
        <w:spacing w:before="240" w:after="0" w:line="276" w:lineRule="auto"/>
        <w:ind w:left="567" w:right="567"/>
        <w:jc w:val="both"/>
        <w:rPr>
          <w:caps/>
          <w:lang w:val="es-ES"/>
        </w:rPr>
      </w:pPr>
    </w:p>
    <w:sectPr w:rsidR="00FD3DA2" w:rsidRPr="00964705" w:rsidSect="00964705">
      <w:headerReference w:type="even" r:id="rId15"/>
      <w:headerReference w:type="default" r:id="rId16"/>
      <w:footerReference w:type="even" r:id="rId17"/>
      <w:footerReference w:type="default" r:id="rId18"/>
      <w:headerReference w:type="first" r:id="rId19"/>
      <w:footerReference w:type="first" r:id="rId20"/>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E51B1" w14:textId="77777777" w:rsidR="000E4F24" w:rsidRDefault="000E4F24" w:rsidP="008A6D18">
      <w:pPr>
        <w:spacing w:after="0" w:line="240" w:lineRule="auto"/>
      </w:pPr>
      <w:r>
        <w:separator/>
      </w:r>
    </w:p>
  </w:endnote>
  <w:endnote w:type="continuationSeparator" w:id="0">
    <w:p w14:paraId="7C47F722" w14:textId="77777777" w:rsidR="000E4F24" w:rsidRDefault="000E4F24" w:rsidP="008A6D18">
      <w:pPr>
        <w:spacing w:after="0" w:line="240" w:lineRule="auto"/>
      </w:pPr>
      <w:r>
        <w:continuationSeparator/>
      </w:r>
    </w:p>
  </w:endnote>
  <w:endnote w:type="continuationNotice" w:id="1">
    <w:p w14:paraId="20C478FE" w14:textId="77777777" w:rsidR="000E4F24" w:rsidRDefault="000E4F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Std Book">
    <w:altName w:val="Arial"/>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C29A" w14:textId="77777777" w:rsidR="000C3780" w:rsidRDefault="000C3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168058"/>
      <w:docPartObj>
        <w:docPartGallery w:val="Page Numbers (Bottom of Page)"/>
        <w:docPartUnique/>
      </w:docPartObj>
    </w:sdtPr>
    <w:sdtEndPr>
      <w:rPr>
        <w:noProof/>
      </w:rPr>
    </w:sdtEndPr>
    <w:sdtContent>
      <w:p w14:paraId="4C12738B" w14:textId="77777777" w:rsidR="00400B88" w:rsidRDefault="002307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E77DCC" w14:textId="77777777" w:rsidR="00167B70" w:rsidRDefault="00167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62E7F" w14:textId="77777777" w:rsidR="000C3780" w:rsidRDefault="000C3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3734F" w14:textId="77777777" w:rsidR="000E4F24" w:rsidRDefault="000E4F24" w:rsidP="008A6D18">
      <w:pPr>
        <w:spacing w:after="0" w:line="240" w:lineRule="auto"/>
      </w:pPr>
      <w:r>
        <w:separator/>
      </w:r>
    </w:p>
  </w:footnote>
  <w:footnote w:type="continuationSeparator" w:id="0">
    <w:p w14:paraId="0A1C8E43" w14:textId="77777777" w:rsidR="000E4F24" w:rsidRDefault="000E4F24" w:rsidP="008A6D18">
      <w:pPr>
        <w:spacing w:after="0" w:line="240" w:lineRule="auto"/>
      </w:pPr>
      <w:r>
        <w:continuationSeparator/>
      </w:r>
    </w:p>
  </w:footnote>
  <w:footnote w:type="continuationNotice" w:id="1">
    <w:p w14:paraId="4D02C4F7" w14:textId="77777777" w:rsidR="000E4F24" w:rsidRDefault="000E4F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C3332" w14:textId="77777777" w:rsidR="000C3780" w:rsidRDefault="000C3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262AA" w14:textId="77777777" w:rsidR="00167B70" w:rsidRDefault="00167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E91F" w14:textId="77777777" w:rsidR="000C3780" w:rsidRDefault="000C3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131F"/>
    <w:multiLevelType w:val="hybridMultilevel"/>
    <w:tmpl w:val="8D905E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3B500D"/>
    <w:multiLevelType w:val="hybridMultilevel"/>
    <w:tmpl w:val="7304D83E"/>
    <w:lvl w:ilvl="0" w:tplc="5A86415C">
      <w:numFmt w:val="bullet"/>
      <w:lvlText w:val="-"/>
      <w:lvlJc w:val="left"/>
      <w:pPr>
        <w:ind w:left="1287" w:hanging="360"/>
      </w:pPr>
      <w:rPr>
        <w:rFonts w:ascii="Calibri" w:eastAsiaTheme="minorHAnsi" w:hAnsi="Calibri" w:cs="Calibri" w:hint="default"/>
      </w:rPr>
    </w:lvl>
    <w:lvl w:ilvl="1" w:tplc="613231D8">
      <w:start w:val="14"/>
      <w:numFmt w:val="bullet"/>
      <w:lvlText w:val="-"/>
      <w:lvlJc w:val="left"/>
      <w:pPr>
        <w:ind w:left="2007" w:hanging="360"/>
      </w:pPr>
      <w:rPr>
        <w:rFonts w:ascii="Calibri Light" w:eastAsiaTheme="minorHAnsi" w:hAnsi="Calibri Light" w:cs="Calibri Light"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7B2B7A86"/>
    <w:multiLevelType w:val="hybridMultilevel"/>
    <w:tmpl w:val="BAACC892"/>
    <w:lvl w:ilvl="0" w:tplc="5A86415C">
      <w:numFmt w:val="bullet"/>
      <w:lvlText w:val="-"/>
      <w:lvlJc w:val="left"/>
      <w:pPr>
        <w:ind w:left="1287" w:hanging="360"/>
      </w:pPr>
      <w:rPr>
        <w:rFonts w:ascii="Calibri" w:eastAsiaTheme="minorHAnsi" w:hAnsi="Calibri" w:cs="Calibri" w:hint="default"/>
      </w:rPr>
    </w:lvl>
    <w:lvl w:ilvl="1" w:tplc="6EC60E0E">
      <w:numFmt w:val="bullet"/>
      <w:lvlText w:val="-"/>
      <w:lvlJc w:val="left"/>
      <w:pPr>
        <w:ind w:left="2007" w:hanging="360"/>
      </w:pPr>
      <w:rPr>
        <w:rFonts w:ascii="Times New Roman" w:eastAsiaTheme="minorHAnsi"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7E740E6D"/>
    <w:multiLevelType w:val="hybridMultilevel"/>
    <w:tmpl w:val="CC94EAD4"/>
    <w:lvl w:ilvl="0" w:tplc="08090001">
      <w:start w:val="1"/>
      <w:numFmt w:val="bullet"/>
      <w:lvlText w:val=""/>
      <w:lvlJc w:val="left"/>
      <w:pPr>
        <w:ind w:left="1440" w:hanging="360"/>
      </w:pPr>
      <w:rPr>
        <w:rFonts w:ascii="Symbol" w:hAnsi="Symbol" w:hint="default"/>
      </w:rPr>
    </w:lvl>
    <w:lvl w:ilvl="1" w:tplc="6EC60E0E">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02751916">
    <w:abstractNumId w:val="0"/>
  </w:num>
  <w:num w:numId="2" w16cid:durableId="2082831858">
    <w:abstractNumId w:val="3"/>
  </w:num>
  <w:num w:numId="3" w16cid:durableId="1545368724">
    <w:abstractNumId w:val="1"/>
  </w:num>
  <w:num w:numId="4" w16cid:durableId="331642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A3"/>
    <w:rsid w:val="00006914"/>
    <w:rsid w:val="00006C3E"/>
    <w:rsid w:val="00034849"/>
    <w:rsid w:val="000369C1"/>
    <w:rsid w:val="00042BAC"/>
    <w:rsid w:val="00046150"/>
    <w:rsid w:val="00047098"/>
    <w:rsid w:val="000632F9"/>
    <w:rsid w:val="000729ED"/>
    <w:rsid w:val="000731B0"/>
    <w:rsid w:val="00083D09"/>
    <w:rsid w:val="00092B43"/>
    <w:rsid w:val="000A3C4C"/>
    <w:rsid w:val="000A624A"/>
    <w:rsid w:val="000B31F6"/>
    <w:rsid w:val="000B3319"/>
    <w:rsid w:val="000B338F"/>
    <w:rsid w:val="000B495B"/>
    <w:rsid w:val="000B6DE5"/>
    <w:rsid w:val="000C03CE"/>
    <w:rsid w:val="000C3780"/>
    <w:rsid w:val="000C686D"/>
    <w:rsid w:val="000D42E3"/>
    <w:rsid w:val="000D7595"/>
    <w:rsid w:val="000E4F24"/>
    <w:rsid w:val="000F421A"/>
    <w:rsid w:val="0012387F"/>
    <w:rsid w:val="0012704D"/>
    <w:rsid w:val="001326F3"/>
    <w:rsid w:val="00152852"/>
    <w:rsid w:val="001529A6"/>
    <w:rsid w:val="001541E7"/>
    <w:rsid w:val="00162EC7"/>
    <w:rsid w:val="001643AD"/>
    <w:rsid w:val="001647C9"/>
    <w:rsid w:val="00167B70"/>
    <w:rsid w:val="00173727"/>
    <w:rsid w:val="001846C8"/>
    <w:rsid w:val="00185D05"/>
    <w:rsid w:val="00196727"/>
    <w:rsid w:val="0019746C"/>
    <w:rsid w:val="001A7B5D"/>
    <w:rsid w:val="001D00C4"/>
    <w:rsid w:val="001E4854"/>
    <w:rsid w:val="001E5121"/>
    <w:rsid w:val="001E5AEB"/>
    <w:rsid w:val="001F1FCC"/>
    <w:rsid w:val="001F2A98"/>
    <w:rsid w:val="002040E6"/>
    <w:rsid w:val="002074AD"/>
    <w:rsid w:val="0021262C"/>
    <w:rsid w:val="0021419E"/>
    <w:rsid w:val="002171D8"/>
    <w:rsid w:val="00225F63"/>
    <w:rsid w:val="00230701"/>
    <w:rsid w:val="002376FC"/>
    <w:rsid w:val="00240C14"/>
    <w:rsid w:val="00246A40"/>
    <w:rsid w:val="00250D60"/>
    <w:rsid w:val="0025486D"/>
    <w:rsid w:val="0028407D"/>
    <w:rsid w:val="00294F5C"/>
    <w:rsid w:val="00296782"/>
    <w:rsid w:val="002A3848"/>
    <w:rsid w:val="002B48A6"/>
    <w:rsid w:val="002B6B8C"/>
    <w:rsid w:val="002C0884"/>
    <w:rsid w:val="002C35BA"/>
    <w:rsid w:val="002C489D"/>
    <w:rsid w:val="002D37EE"/>
    <w:rsid w:val="002D6140"/>
    <w:rsid w:val="002D62F2"/>
    <w:rsid w:val="002E017B"/>
    <w:rsid w:val="002F3591"/>
    <w:rsid w:val="002F4B94"/>
    <w:rsid w:val="00305DC8"/>
    <w:rsid w:val="00307FB7"/>
    <w:rsid w:val="003166CE"/>
    <w:rsid w:val="00321812"/>
    <w:rsid w:val="00321CCE"/>
    <w:rsid w:val="0032252A"/>
    <w:rsid w:val="003305F5"/>
    <w:rsid w:val="003454EB"/>
    <w:rsid w:val="003513F8"/>
    <w:rsid w:val="003620D1"/>
    <w:rsid w:val="003639CB"/>
    <w:rsid w:val="00364FAE"/>
    <w:rsid w:val="00373B43"/>
    <w:rsid w:val="00377F64"/>
    <w:rsid w:val="00386A62"/>
    <w:rsid w:val="0039073E"/>
    <w:rsid w:val="00393948"/>
    <w:rsid w:val="0039539A"/>
    <w:rsid w:val="003A7946"/>
    <w:rsid w:val="003B1CD9"/>
    <w:rsid w:val="003B5DB3"/>
    <w:rsid w:val="003C0346"/>
    <w:rsid w:val="003C03A3"/>
    <w:rsid w:val="003C1B92"/>
    <w:rsid w:val="003D5A39"/>
    <w:rsid w:val="003D5E6B"/>
    <w:rsid w:val="003D6F0C"/>
    <w:rsid w:val="003E103F"/>
    <w:rsid w:val="003E654B"/>
    <w:rsid w:val="003E7801"/>
    <w:rsid w:val="00400B88"/>
    <w:rsid w:val="004012E6"/>
    <w:rsid w:val="004034A0"/>
    <w:rsid w:val="004152D6"/>
    <w:rsid w:val="004154D6"/>
    <w:rsid w:val="00422E21"/>
    <w:rsid w:val="00432741"/>
    <w:rsid w:val="00444998"/>
    <w:rsid w:val="00451367"/>
    <w:rsid w:val="00452CB8"/>
    <w:rsid w:val="0046305C"/>
    <w:rsid w:val="004732A7"/>
    <w:rsid w:val="00476F02"/>
    <w:rsid w:val="0047790F"/>
    <w:rsid w:val="004801AB"/>
    <w:rsid w:val="00490BE6"/>
    <w:rsid w:val="0049470F"/>
    <w:rsid w:val="00495517"/>
    <w:rsid w:val="00497EE7"/>
    <w:rsid w:val="004B7A73"/>
    <w:rsid w:val="004C4C17"/>
    <w:rsid w:val="004C5190"/>
    <w:rsid w:val="004C58F6"/>
    <w:rsid w:val="004C6603"/>
    <w:rsid w:val="004D4BEC"/>
    <w:rsid w:val="004D527F"/>
    <w:rsid w:val="004D7D9D"/>
    <w:rsid w:val="004E18AC"/>
    <w:rsid w:val="004F0063"/>
    <w:rsid w:val="0050219D"/>
    <w:rsid w:val="005144A3"/>
    <w:rsid w:val="005147BD"/>
    <w:rsid w:val="00516628"/>
    <w:rsid w:val="00520F3F"/>
    <w:rsid w:val="0052503B"/>
    <w:rsid w:val="00531525"/>
    <w:rsid w:val="00535176"/>
    <w:rsid w:val="00544CF8"/>
    <w:rsid w:val="00562FBF"/>
    <w:rsid w:val="00564CAF"/>
    <w:rsid w:val="005740D9"/>
    <w:rsid w:val="00597784"/>
    <w:rsid w:val="005B5B2F"/>
    <w:rsid w:val="005E2C93"/>
    <w:rsid w:val="005E76E2"/>
    <w:rsid w:val="005F1EC2"/>
    <w:rsid w:val="005F2348"/>
    <w:rsid w:val="005F566B"/>
    <w:rsid w:val="00600DF1"/>
    <w:rsid w:val="006015A3"/>
    <w:rsid w:val="006068C2"/>
    <w:rsid w:val="00615565"/>
    <w:rsid w:val="00617905"/>
    <w:rsid w:val="00620C4E"/>
    <w:rsid w:val="00632374"/>
    <w:rsid w:val="00632C3B"/>
    <w:rsid w:val="00636A6E"/>
    <w:rsid w:val="0064274D"/>
    <w:rsid w:val="006461CC"/>
    <w:rsid w:val="00650507"/>
    <w:rsid w:val="006579E3"/>
    <w:rsid w:val="00661DB5"/>
    <w:rsid w:val="0066255A"/>
    <w:rsid w:val="00666719"/>
    <w:rsid w:val="006719C4"/>
    <w:rsid w:val="006960C7"/>
    <w:rsid w:val="006A0C2D"/>
    <w:rsid w:val="006A5EC1"/>
    <w:rsid w:val="006B33E1"/>
    <w:rsid w:val="006B656F"/>
    <w:rsid w:val="006B6BB2"/>
    <w:rsid w:val="006B7562"/>
    <w:rsid w:val="006B764D"/>
    <w:rsid w:val="006C6BA8"/>
    <w:rsid w:val="006D123F"/>
    <w:rsid w:val="006D26C5"/>
    <w:rsid w:val="006D2DA3"/>
    <w:rsid w:val="006D4614"/>
    <w:rsid w:val="006D6AAB"/>
    <w:rsid w:val="006E4265"/>
    <w:rsid w:val="006E4EB2"/>
    <w:rsid w:val="006F2DE2"/>
    <w:rsid w:val="006F3231"/>
    <w:rsid w:val="006F7357"/>
    <w:rsid w:val="006F7AFD"/>
    <w:rsid w:val="00702526"/>
    <w:rsid w:val="0070586A"/>
    <w:rsid w:val="00710E05"/>
    <w:rsid w:val="0072272F"/>
    <w:rsid w:val="00726E5A"/>
    <w:rsid w:val="00730C6A"/>
    <w:rsid w:val="00733B47"/>
    <w:rsid w:val="00735829"/>
    <w:rsid w:val="00740E9E"/>
    <w:rsid w:val="007451CA"/>
    <w:rsid w:val="007455CE"/>
    <w:rsid w:val="00747E86"/>
    <w:rsid w:val="00750FA0"/>
    <w:rsid w:val="0075400B"/>
    <w:rsid w:val="00755DCD"/>
    <w:rsid w:val="0076243B"/>
    <w:rsid w:val="007633D2"/>
    <w:rsid w:val="0076351F"/>
    <w:rsid w:val="007655C7"/>
    <w:rsid w:val="00766EEB"/>
    <w:rsid w:val="00770106"/>
    <w:rsid w:val="00773AB6"/>
    <w:rsid w:val="00780E29"/>
    <w:rsid w:val="007A0227"/>
    <w:rsid w:val="007A270B"/>
    <w:rsid w:val="007A54B7"/>
    <w:rsid w:val="007B59C0"/>
    <w:rsid w:val="007B65CE"/>
    <w:rsid w:val="007B6DD4"/>
    <w:rsid w:val="007C1712"/>
    <w:rsid w:val="007C2569"/>
    <w:rsid w:val="007C7CC9"/>
    <w:rsid w:val="007D1A0D"/>
    <w:rsid w:val="007D63FA"/>
    <w:rsid w:val="007D7C3E"/>
    <w:rsid w:val="007E6E42"/>
    <w:rsid w:val="007E748B"/>
    <w:rsid w:val="007F177C"/>
    <w:rsid w:val="007F617B"/>
    <w:rsid w:val="00804685"/>
    <w:rsid w:val="00804E78"/>
    <w:rsid w:val="00830272"/>
    <w:rsid w:val="008310F5"/>
    <w:rsid w:val="00833BE9"/>
    <w:rsid w:val="0083568D"/>
    <w:rsid w:val="00842580"/>
    <w:rsid w:val="00850A7F"/>
    <w:rsid w:val="00851728"/>
    <w:rsid w:val="00861D74"/>
    <w:rsid w:val="00865ACA"/>
    <w:rsid w:val="0087190E"/>
    <w:rsid w:val="00891396"/>
    <w:rsid w:val="008940E4"/>
    <w:rsid w:val="008A01D7"/>
    <w:rsid w:val="008A24D9"/>
    <w:rsid w:val="008A3C0E"/>
    <w:rsid w:val="008A6D18"/>
    <w:rsid w:val="008B0D3E"/>
    <w:rsid w:val="008B2E7E"/>
    <w:rsid w:val="008C4595"/>
    <w:rsid w:val="008D249C"/>
    <w:rsid w:val="008D7205"/>
    <w:rsid w:val="008E5443"/>
    <w:rsid w:val="008F2B52"/>
    <w:rsid w:val="008F3C3C"/>
    <w:rsid w:val="008F4D09"/>
    <w:rsid w:val="008F5C1F"/>
    <w:rsid w:val="00911317"/>
    <w:rsid w:val="00913618"/>
    <w:rsid w:val="00915238"/>
    <w:rsid w:val="009209B3"/>
    <w:rsid w:val="00924D9F"/>
    <w:rsid w:val="00937C88"/>
    <w:rsid w:val="00942EF4"/>
    <w:rsid w:val="00953F58"/>
    <w:rsid w:val="0095523B"/>
    <w:rsid w:val="00955980"/>
    <w:rsid w:val="00964705"/>
    <w:rsid w:val="00966EC4"/>
    <w:rsid w:val="00973D5D"/>
    <w:rsid w:val="009A33F9"/>
    <w:rsid w:val="009A5A36"/>
    <w:rsid w:val="009B3CCD"/>
    <w:rsid w:val="009B501D"/>
    <w:rsid w:val="009C28BD"/>
    <w:rsid w:val="009E70AC"/>
    <w:rsid w:val="009F1D24"/>
    <w:rsid w:val="009F49C2"/>
    <w:rsid w:val="00A00E50"/>
    <w:rsid w:val="00A06BAB"/>
    <w:rsid w:val="00A14D07"/>
    <w:rsid w:val="00A1709F"/>
    <w:rsid w:val="00A17B38"/>
    <w:rsid w:val="00A3059B"/>
    <w:rsid w:val="00A32646"/>
    <w:rsid w:val="00A33CA0"/>
    <w:rsid w:val="00A34B5C"/>
    <w:rsid w:val="00A44DD1"/>
    <w:rsid w:val="00A50814"/>
    <w:rsid w:val="00A6261A"/>
    <w:rsid w:val="00A70365"/>
    <w:rsid w:val="00A71B0F"/>
    <w:rsid w:val="00A751A3"/>
    <w:rsid w:val="00A80908"/>
    <w:rsid w:val="00A8369B"/>
    <w:rsid w:val="00A93052"/>
    <w:rsid w:val="00A94D59"/>
    <w:rsid w:val="00AD0EAB"/>
    <w:rsid w:val="00AD2315"/>
    <w:rsid w:val="00AD23FC"/>
    <w:rsid w:val="00AD4CFA"/>
    <w:rsid w:val="00AE6949"/>
    <w:rsid w:val="00B040B5"/>
    <w:rsid w:val="00B05FC1"/>
    <w:rsid w:val="00B06FFD"/>
    <w:rsid w:val="00B26A8E"/>
    <w:rsid w:val="00B3312C"/>
    <w:rsid w:val="00B42949"/>
    <w:rsid w:val="00B4729B"/>
    <w:rsid w:val="00B65271"/>
    <w:rsid w:val="00B669B9"/>
    <w:rsid w:val="00B730DD"/>
    <w:rsid w:val="00B74941"/>
    <w:rsid w:val="00B81C67"/>
    <w:rsid w:val="00B95DB3"/>
    <w:rsid w:val="00B96E51"/>
    <w:rsid w:val="00B97148"/>
    <w:rsid w:val="00BA1694"/>
    <w:rsid w:val="00BB0E0B"/>
    <w:rsid w:val="00BB2543"/>
    <w:rsid w:val="00BB3220"/>
    <w:rsid w:val="00BB62AB"/>
    <w:rsid w:val="00BC559A"/>
    <w:rsid w:val="00BC6558"/>
    <w:rsid w:val="00BE04D8"/>
    <w:rsid w:val="00BE3E2A"/>
    <w:rsid w:val="00BE575F"/>
    <w:rsid w:val="00BE5F69"/>
    <w:rsid w:val="00BF6D6E"/>
    <w:rsid w:val="00C03FE4"/>
    <w:rsid w:val="00C04092"/>
    <w:rsid w:val="00C0468A"/>
    <w:rsid w:val="00C14DE0"/>
    <w:rsid w:val="00C16B41"/>
    <w:rsid w:val="00C25CDB"/>
    <w:rsid w:val="00C33B25"/>
    <w:rsid w:val="00C36430"/>
    <w:rsid w:val="00C36579"/>
    <w:rsid w:val="00C36DE0"/>
    <w:rsid w:val="00C428CA"/>
    <w:rsid w:val="00C45347"/>
    <w:rsid w:val="00C57C51"/>
    <w:rsid w:val="00C61184"/>
    <w:rsid w:val="00C74F75"/>
    <w:rsid w:val="00C87AFD"/>
    <w:rsid w:val="00C902BD"/>
    <w:rsid w:val="00C91B51"/>
    <w:rsid w:val="00C9215C"/>
    <w:rsid w:val="00CA3F25"/>
    <w:rsid w:val="00CA627D"/>
    <w:rsid w:val="00CD497C"/>
    <w:rsid w:val="00CE74AE"/>
    <w:rsid w:val="00CF6E40"/>
    <w:rsid w:val="00D04E65"/>
    <w:rsid w:val="00D05E83"/>
    <w:rsid w:val="00D23449"/>
    <w:rsid w:val="00D31945"/>
    <w:rsid w:val="00D366DA"/>
    <w:rsid w:val="00D4185F"/>
    <w:rsid w:val="00D44309"/>
    <w:rsid w:val="00D50E24"/>
    <w:rsid w:val="00D50EB3"/>
    <w:rsid w:val="00D563B7"/>
    <w:rsid w:val="00D66955"/>
    <w:rsid w:val="00D73E87"/>
    <w:rsid w:val="00D81BA2"/>
    <w:rsid w:val="00D91489"/>
    <w:rsid w:val="00D930E6"/>
    <w:rsid w:val="00DA4B28"/>
    <w:rsid w:val="00DB0B8C"/>
    <w:rsid w:val="00DC707B"/>
    <w:rsid w:val="00DC7257"/>
    <w:rsid w:val="00DD0F32"/>
    <w:rsid w:val="00DE3792"/>
    <w:rsid w:val="00DE6609"/>
    <w:rsid w:val="00DE7608"/>
    <w:rsid w:val="00E00B33"/>
    <w:rsid w:val="00E155C0"/>
    <w:rsid w:val="00E15CF7"/>
    <w:rsid w:val="00E244D5"/>
    <w:rsid w:val="00E32F4E"/>
    <w:rsid w:val="00E40DE3"/>
    <w:rsid w:val="00E419DD"/>
    <w:rsid w:val="00E4442E"/>
    <w:rsid w:val="00E51219"/>
    <w:rsid w:val="00E60E2E"/>
    <w:rsid w:val="00E625DE"/>
    <w:rsid w:val="00E626EE"/>
    <w:rsid w:val="00E63AC1"/>
    <w:rsid w:val="00E64254"/>
    <w:rsid w:val="00E6441E"/>
    <w:rsid w:val="00E6667B"/>
    <w:rsid w:val="00E66870"/>
    <w:rsid w:val="00E707D0"/>
    <w:rsid w:val="00E755FD"/>
    <w:rsid w:val="00E76154"/>
    <w:rsid w:val="00E92A62"/>
    <w:rsid w:val="00E9430D"/>
    <w:rsid w:val="00E97C4B"/>
    <w:rsid w:val="00EA1C2A"/>
    <w:rsid w:val="00EA5393"/>
    <w:rsid w:val="00EB723F"/>
    <w:rsid w:val="00EC1EE8"/>
    <w:rsid w:val="00EC25EB"/>
    <w:rsid w:val="00EC5C9E"/>
    <w:rsid w:val="00ED597A"/>
    <w:rsid w:val="00EE1D93"/>
    <w:rsid w:val="00EE4937"/>
    <w:rsid w:val="00EF455A"/>
    <w:rsid w:val="00F01B76"/>
    <w:rsid w:val="00F03D37"/>
    <w:rsid w:val="00F04A70"/>
    <w:rsid w:val="00F12307"/>
    <w:rsid w:val="00F264A1"/>
    <w:rsid w:val="00F321EF"/>
    <w:rsid w:val="00F420D3"/>
    <w:rsid w:val="00F439AD"/>
    <w:rsid w:val="00F43BA1"/>
    <w:rsid w:val="00F4411F"/>
    <w:rsid w:val="00F5086B"/>
    <w:rsid w:val="00F556B9"/>
    <w:rsid w:val="00F60002"/>
    <w:rsid w:val="00F64715"/>
    <w:rsid w:val="00F700CB"/>
    <w:rsid w:val="00F72459"/>
    <w:rsid w:val="00F8042D"/>
    <w:rsid w:val="00F91DE0"/>
    <w:rsid w:val="00F97D02"/>
    <w:rsid w:val="00FA0496"/>
    <w:rsid w:val="00FD31A6"/>
    <w:rsid w:val="00FD3DA2"/>
    <w:rsid w:val="00FD5919"/>
    <w:rsid w:val="00FE3770"/>
    <w:rsid w:val="00FE4AA2"/>
    <w:rsid w:val="00FE5132"/>
    <w:rsid w:val="00FF1E22"/>
    <w:rsid w:val="00FF382F"/>
    <w:rsid w:val="00FF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84ED1"/>
  <w15:chartTrackingRefBased/>
  <w15:docId w15:val="{367EA846-0C84-4527-94DA-9AE8F6C9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3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03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03A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03A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C03A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C03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C03A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C03A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C03A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3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03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03A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03A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C03A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C03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03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03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03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0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3A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3A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C03A3"/>
    <w:pPr>
      <w:spacing w:before="160"/>
      <w:jc w:val="center"/>
    </w:pPr>
    <w:rPr>
      <w:i/>
      <w:iCs/>
      <w:color w:val="404040" w:themeColor="text1" w:themeTint="BF"/>
    </w:rPr>
  </w:style>
  <w:style w:type="character" w:customStyle="1" w:styleId="QuoteChar">
    <w:name w:val="Quote Char"/>
    <w:basedOn w:val="DefaultParagraphFont"/>
    <w:link w:val="Quote"/>
    <w:uiPriority w:val="29"/>
    <w:rsid w:val="003C03A3"/>
    <w:rPr>
      <w:i/>
      <w:iCs/>
      <w:color w:val="404040" w:themeColor="text1" w:themeTint="BF"/>
    </w:rPr>
  </w:style>
  <w:style w:type="paragraph" w:styleId="ListParagraph">
    <w:name w:val="List Paragraph"/>
    <w:basedOn w:val="Normal"/>
    <w:uiPriority w:val="34"/>
    <w:qFormat/>
    <w:rsid w:val="003C03A3"/>
    <w:pPr>
      <w:ind w:left="720"/>
      <w:contextualSpacing/>
    </w:pPr>
  </w:style>
  <w:style w:type="character" w:styleId="IntenseEmphasis">
    <w:name w:val="Intense Emphasis"/>
    <w:basedOn w:val="DefaultParagraphFont"/>
    <w:uiPriority w:val="21"/>
    <w:qFormat/>
    <w:rsid w:val="003C03A3"/>
    <w:rPr>
      <w:i/>
      <w:iCs/>
      <w:color w:val="2F5496" w:themeColor="accent1" w:themeShade="BF"/>
    </w:rPr>
  </w:style>
  <w:style w:type="paragraph" w:styleId="IntenseQuote">
    <w:name w:val="Intense Quote"/>
    <w:basedOn w:val="Normal"/>
    <w:next w:val="Normal"/>
    <w:link w:val="IntenseQuoteChar"/>
    <w:uiPriority w:val="30"/>
    <w:qFormat/>
    <w:rsid w:val="003C0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03A3"/>
    <w:rPr>
      <w:i/>
      <w:iCs/>
      <w:color w:val="2F5496" w:themeColor="accent1" w:themeShade="BF"/>
    </w:rPr>
  </w:style>
  <w:style w:type="character" w:styleId="IntenseReference">
    <w:name w:val="Intense Reference"/>
    <w:basedOn w:val="DefaultParagraphFont"/>
    <w:uiPriority w:val="32"/>
    <w:qFormat/>
    <w:rsid w:val="003C03A3"/>
    <w:rPr>
      <w:b/>
      <w:bCs/>
      <w:smallCaps/>
      <w:color w:val="2F5496" w:themeColor="accent1" w:themeShade="BF"/>
      <w:spacing w:val="5"/>
    </w:rPr>
  </w:style>
  <w:style w:type="character" w:styleId="Hyperlink">
    <w:name w:val="Hyperlink"/>
    <w:basedOn w:val="DefaultParagraphFont"/>
    <w:uiPriority w:val="99"/>
    <w:unhideWhenUsed/>
    <w:rsid w:val="003C03A3"/>
    <w:rPr>
      <w:color w:val="0563C1" w:themeColor="hyperlink"/>
      <w:u w:val="single"/>
    </w:rPr>
  </w:style>
  <w:style w:type="character" w:styleId="UnresolvedMention">
    <w:name w:val="Unresolved Mention"/>
    <w:basedOn w:val="DefaultParagraphFont"/>
    <w:uiPriority w:val="99"/>
    <w:semiHidden/>
    <w:unhideWhenUsed/>
    <w:rsid w:val="003C03A3"/>
    <w:rPr>
      <w:color w:val="605E5C"/>
      <w:shd w:val="clear" w:color="auto" w:fill="E1DFDD"/>
    </w:rPr>
  </w:style>
  <w:style w:type="paragraph" w:styleId="FootnoteText">
    <w:name w:val="footnote text"/>
    <w:basedOn w:val="Normal"/>
    <w:link w:val="FootnoteTextChar"/>
    <w:uiPriority w:val="99"/>
    <w:semiHidden/>
    <w:unhideWhenUsed/>
    <w:rsid w:val="008A6D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6D18"/>
    <w:rPr>
      <w:sz w:val="20"/>
      <w:szCs w:val="20"/>
    </w:rPr>
  </w:style>
  <w:style w:type="character" w:styleId="FootnoteReference">
    <w:name w:val="footnote reference"/>
    <w:basedOn w:val="DefaultParagraphFont"/>
    <w:uiPriority w:val="99"/>
    <w:semiHidden/>
    <w:unhideWhenUsed/>
    <w:rsid w:val="008A6D18"/>
    <w:rPr>
      <w:vertAlign w:val="superscript"/>
    </w:rPr>
  </w:style>
  <w:style w:type="character" w:customStyle="1" w:styleId="normaltextrun">
    <w:name w:val="normaltextrun"/>
    <w:basedOn w:val="DefaultParagraphFont"/>
    <w:rsid w:val="00851728"/>
  </w:style>
  <w:style w:type="character" w:customStyle="1" w:styleId="eop">
    <w:name w:val="eop"/>
    <w:basedOn w:val="DefaultParagraphFont"/>
    <w:rsid w:val="00851728"/>
  </w:style>
  <w:style w:type="paragraph" w:styleId="Header">
    <w:name w:val="header"/>
    <w:basedOn w:val="Normal"/>
    <w:link w:val="HeaderChar"/>
    <w:uiPriority w:val="99"/>
    <w:unhideWhenUsed/>
    <w:rsid w:val="00167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B70"/>
  </w:style>
  <w:style w:type="paragraph" w:styleId="Footer">
    <w:name w:val="footer"/>
    <w:basedOn w:val="Normal"/>
    <w:link w:val="FooterChar"/>
    <w:uiPriority w:val="99"/>
    <w:unhideWhenUsed/>
    <w:rsid w:val="00167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B70"/>
  </w:style>
  <w:style w:type="table" w:styleId="TableGrid">
    <w:name w:val="Table Grid"/>
    <w:basedOn w:val="TableNormal"/>
    <w:rsid w:val="007455CE"/>
    <w:pPr>
      <w:spacing w:after="0" w:line="240" w:lineRule="auto"/>
    </w:pPr>
    <w:rPr>
      <w:rFonts w:ascii="Calibri" w:eastAsia="Times New Roman" w:hAnsi="Calibri"/>
      <w:color w:val="000000"/>
      <w:kern w:val="0"/>
      <w:sz w:val="22"/>
      <w:szCs w:val="20"/>
      <w:lang w:val="ru-RU"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8F2B52"/>
    <w:rPr>
      <w:sz w:val="16"/>
      <w:szCs w:val="16"/>
    </w:rPr>
  </w:style>
  <w:style w:type="paragraph" w:styleId="CommentText">
    <w:name w:val="annotation text"/>
    <w:basedOn w:val="Normal"/>
    <w:link w:val="CommentTextChar"/>
    <w:uiPriority w:val="99"/>
    <w:unhideWhenUsed/>
    <w:rsid w:val="008F2B52"/>
    <w:pPr>
      <w:spacing w:line="240" w:lineRule="auto"/>
    </w:pPr>
    <w:rPr>
      <w:sz w:val="20"/>
      <w:szCs w:val="20"/>
    </w:rPr>
  </w:style>
  <w:style w:type="character" w:customStyle="1" w:styleId="CommentTextChar">
    <w:name w:val="Comment Text Char"/>
    <w:basedOn w:val="DefaultParagraphFont"/>
    <w:link w:val="CommentText"/>
    <w:uiPriority w:val="99"/>
    <w:rsid w:val="008F2B52"/>
    <w:rPr>
      <w:sz w:val="20"/>
      <w:szCs w:val="20"/>
    </w:rPr>
  </w:style>
  <w:style w:type="paragraph" w:styleId="CommentSubject">
    <w:name w:val="annotation subject"/>
    <w:basedOn w:val="CommentText"/>
    <w:next w:val="CommentText"/>
    <w:link w:val="CommentSubjectChar"/>
    <w:uiPriority w:val="99"/>
    <w:semiHidden/>
    <w:unhideWhenUsed/>
    <w:rsid w:val="008F2B52"/>
    <w:rPr>
      <w:b/>
      <w:bCs/>
    </w:rPr>
  </w:style>
  <w:style w:type="character" w:customStyle="1" w:styleId="CommentSubjectChar">
    <w:name w:val="Comment Subject Char"/>
    <w:basedOn w:val="CommentTextChar"/>
    <w:link w:val="CommentSubject"/>
    <w:uiPriority w:val="99"/>
    <w:semiHidden/>
    <w:rsid w:val="008F2B52"/>
    <w:rPr>
      <w:b/>
      <w:bCs/>
      <w:sz w:val="20"/>
      <w:szCs w:val="20"/>
    </w:rPr>
  </w:style>
  <w:style w:type="paragraph" w:styleId="Revision">
    <w:name w:val="Revision"/>
    <w:hidden/>
    <w:uiPriority w:val="99"/>
    <w:semiHidden/>
    <w:rsid w:val="00BE575F"/>
    <w:pPr>
      <w:spacing w:after="0" w:line="240" w:lineRule="auto"/>
    </w:pPr>
  </w:style>
  <w:style w:type="paragraph" w:styleId="EndnoteText">
    <w:name w:val="endnote text"/>
    <w:basedOn w:val="Normal"/>
    <w:link w:val="EndnoteTextChar"/>
    <w:uiPriority w:val="99"/>
    <w:semiHidden/>
    <w:unhideWhenUsed/>
    <w:rsid w:val="00E40D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0DE3"/>
    <w:rPr>
      <w:sz w:val="20"/>
      <w:szCs w:val="20"/>
    </w:rPr>
  </w:style>
  <w:style w:type="character" w:styleId="EndnoteReference">
    <w:name w:val="endnote reference"/>
    <w:basedOn w:val="DefaultParagraphFont"/>
    <w:uiPriority w:val="99"/>
    <w:semiHidden/>
    <w:unhideWhenUsed/>
    <w:rsid w:val="00E40DE3"/>
    <w:rPr>
      <w:vertAlign w:val="superscript"/>
    </w:rPr>
  </w:style>
  <w:style w:type="character" w:customStyle="1" w:styleId="ui-provider">
    <w:name w:val="ui-provider"/>
    <w:basedOn w:val="DefaultParagraphFont"/>
    <w:rsid w:val="00BE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171401">
      <w:bodyDiv w:val="1"/>
      <w:marLeft w:val="0"/>
      <w:marRight w:val="0"/>
      <w:marTop w:val="0"/>
      <w:marBottom w:val="0"/>
      <w:divBdr>
        <w:top w:val="none" w:sz="0" w:space="0" w:color="auto"/>
        <w:left w:val="none" w:sz="0" w:space="0" w:color="auto"/>
        <w:bottom w:val="none" w:sz="0" w:space="0" w:color="auto"/>
        <w:right w:val="none" w:sz="0" w:space="0" w:color="auto"/>
      </w:divBdr>
    </w:div>
    <w:div w:id="203295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cial.desa.un.org/issues/indigenous-peoples/system-wide-action-plan-swa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cuments.un.org/doc/undoc/gen/n17/281/69/pdf/n1728169.pdf?token=nWWj0ETGfQhin9m44s&amp;fe=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tv.u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un.org/doc/undoc/gen/g18/296/56/pdf/g1829656.pdf?token=5zjYHrBlxteKFBTXni&amp;fe=tru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f1b3b7b4398fed777f1f496b0f6bc9d1">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a4665b6b86df49e6b06deec0a95ea6e4"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36210-5B9D-4760-8297-B2A2A89903D8}">
  <ds:schemaRefs>
    <ds:schemaRef ds:uri="http://schemas.microsoft.com/sharepoint/v3/contenttype/forms"/>
  </ds:schemaRefs>
</ds:datastoreItem>
</file>

<file path=customXml/itemProps2.xml><?xml version="1.0" encoding="utf-8"?>
<ds:datastoreItem xmlns:ds="http://schemas.openxmlformats.org/officeDocument/2006/customXml" ds:itemID="{3D7E2A76-18F1-4FF3-9CB3-447291379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4704-0775-4695-8863-0eaf85aa4c88"/>
    <ds:schemaRef ds:uri="304475a1-6c54-4015-83e8-a6831e8a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636F7-30CC-4964-B6A5-9CA255A83346}">
  <ds:schemaRefs>
    <ds:schemaRef ds:uri="http://schemas.microsoft.com/office/2006/metadata/properties"/>
    <ds:schemaRef ds:uri="http://schemas.microsoft.com/office/infopath/2007/PartnerControls"/>
    <ds:schemaRef ds:uri="da0e4704-0775-4695-8863-0eaf85aa4c88"/>
    <ds:schemaRef ds:uri="304475a1-6c54-4015-83e8-a6831e8ab09f"/>
  </ds:schemaRefs>
</ds:datastoreItem>
</file>

<file path=customXml/itemProps4.xml><?xml version="1.0" encoding="utf-8"?>
<ds:datastoreItem xmlns:ds="http://schemas.openxmlformats.org/officeDocument/2006/customXml" ds:itemID="{8D5ABEDC-1237-4D4A-93CF-80FA404D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7765</CharactersWithSpaces>
  <SharedDoc>false</SharedDoc>
  <HLinks>
    <vt:vector size="24" baseType="variant">
      <vt:variant>
        <vt:i4>3539060</vt:i4>
      </vt:variant>
      <vt:variant>
        <vt:i4>9</vt:i4>
      </vt:variant>
      <vt:variant>
        <vt:i4>0</vt:i4>
      </vt:variant>
      <vt:variant>
        <vt:i4>5</vt:i4>
      </vt:variant>
      <vt:variant>
        <vt:lpwstr>https://documents.un.org/doc/undoc/gen/g18/296/56/pdf/g1829656.pdf?token=5zjYHrBlxteKFBTXni&amp;fe=true</vt:lpwstr>
      </vt:variant>
      <vt:variant>
        <vt:lpwstr/>
      </vt:variant>
      <vt:variant>
        <vt:i4>589850</vt:i4>
      </vt:variant>
      <vt:variant>
        <vt:i4>6</vt:i4>
      </vt:variant>
      <vt:variant>
        <vt:i4>0</vt:i4>
      </vt:variant>
      <vt:variant>
        <vt:i4>5</vt:i4>
      </vt:variant>
      <vt:variant>
        <vt:lpwstr>https://social.desa.un.org/issues/indigenous-peoples/system-wide-action-plan-swap</vt:lpwstr>
      </vt:variant>
      <vt:variant>
        <vt:lpwstr/>
      </vt:variant>
      <vt:variant>
        <vt:i4>7078006</vt:i4>
      </vt:variant>
      <vt:variant>
        <vt:i4>3</vt:i4>
      </vt:variant>
      <vt:variant>
        <vt:i4>0</vt:i4>
      </vt:variant>
      <vt:variant>
        <vt:i4>5</vt:i4>
      </vt:variant>
      <vt:variant>
        <vt:lpwstr>https://documents.un.org/doc/undoc/gen/n17/281/69/pdf/n1728169.pdf?token=nWWj0ETGfQhin9m44s&amp;fe=true</vt:lpwstr>
      </vt:variant>
      <vt:variant>
        <vt:lpwstr/>
      </vt:variant>
      <vt:variant>
        <vt:i4>5111888</vt:i4>
      </vt:variant>
      <vt:variant>
        <vt:i4>0</vt:i4>
      </vt:variant>
      <vt:variant>
        <vt:i4>0</vt:i4>
      </vt:variant>
      <vt:variant>
        <vt:i4>5</vt:i4>
      </vt:variant>
      <vt:variant>
        <vt:lpwstr>http://webtv.un.org/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Atina Pamei Gaare</dc:creator>
  <cp:keywords>, docId:62A133ECC7B6AABE2D3A5C24689E0095</cp:keywords>
  <dc:description/>
  <cp:lastModifiedBy>Atina Pamei Gaare</cp:lastModifiedBy>
  <cp:revision>12</cp:revision>
  <dcterms:created xsi:type="dcterms:W3CDTF">2024-05-15T14:42:00Z</dcterms:created>
  <dcterms:modified xsi:type="dcterms:W3CDTF">2024-05-16T10:57:00Z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