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394F5" w14:textId="082BC2FC" w:rsidR="00FD3DA2" w:rsidRPr="005370F8" w:rsidRDefault="00FD3DA2" w:rsidP="00374BE2">
      <w:pPr>
        <w:spacing w:before="240" w:line="276" w:lineRule="auto"/>
        <w:ind w:left="567" w:right="567"/>
        <w:jc w:val="both"/>
        <w:rPr>
          <w:rFonts w:ascii="Futura Std Book" w:hAnsi="Futura Std Book"/>
          <w:b/>
          <w:bCs/>
          <w:i/>
          <w:iCs/>
          <w:color w:val="5B9BD5"/>
          <w:sz w:val="22"/>
          <w:szCs w:val="22"/>
        </w:rPr>
      </w:pPr>
      <w:r w:rsidRPr="005370F8">
        <w:rPr>
          <w:rFonts w:ascii="Futura Std Book" w:hAnsi="Futura Std Book" w:hint="cs"/>
          <w:b/>
          <w:bCs/>
          <w:i/>
          <w:iCs/>
          <w:color w:val="5B9BD5"/>
          <w:sz w:val="22"/>
          <w:szCs w:val="22"/>
        </w:rPr>
        <w:t>United Nations Expert Mechanism on the Rights of Indigenous Peoples</w:t>
      </w:r>
    </w:p>
    <w:p w14:paraId="57C63A8B" w14:textId="77777777" w:rsidR="00FD3DA2" w:rsidRPr="005370F8" w:rsidRDefault="00FD3DA2" w:rsidP="00374BE2">
      <w:pPr>
        <w:spacing w:after="0" w:line="240" w:lineRule="auto"/>
        <w:ind w:left="567" w:right="567"/>
        <w:jc w:val="both"/>
        <w:rPr>
          <w:b/>
          <w:color w:val="4472C4" w:themeColor="accent1"/>
          <w:sz w:val="22"/>
          <w:szCs w:val="22"/>
        </w:rPr>
      </w:pPr>
      <w:r w:rsidRPr="005370F8">
        <w:rPr>
          <w:b/>
          <w:color w:val="4472C4" w:themeColor="accent1"/>
          <w:sz w:val="22"/>
          <w:szCs w:val="22"/>
        </w:rPr>
        <w:t>17</w:t>
      </w:r>
      <w:r w:rsidRPr="005370F8">
        <w:rPr>
          <w:b/>
          <w:color w:val="4472C4" w:themeColor="accent1"/>
          <w:sz w:val="22"/>
          <w:szCs w:val="22"/>
          <w:vertAlign w:val="superscript"/>
        </w:rPr>
        <w:t>th</w:t>
      </w:r>
      <w:r w:rsidRPr="005370F8">
        <w:rPr>
          <w:b/>
          <w:color w:val="4472C4" w:themeColor="accent1"/>
          <w:sz w:val="22"/>
          <w:szCs w:val="22"/>
        </w:rPr>
        <w:t xml:space="preserve"> session</w:t>
      </w:r>
    </w:p>
    <w:p w14:paraId="6AC0C188" w14:textId="77777777" w:rsidR="00FD3DA2" w:rsidRPr="005370F8" w:rsidRDefault="00FD3DA2" w:rsidP="00374BE2">
      <w:pPr>
        <w:spacing w:after="0" w:line="240" w:lineRule="auto"/>
        <w:ind w:left="567" w:right="567"/>
        <w:jc w:val="both"/>
        <w:rPr>
          <w:color w:val="4472C4" w:themeColor="accent1"/>
          <w:sz w:val="22"/>
          <w:szCs w:val="22"/>
          <w:lang w:val="en-US"/>
        </w:rPr>
      </w:pPr>
    </w:p>
    <w:p w14:paraId="644C128A" w14:textId="28036132" w:rsidR="003C03A3" w:rsidRPr="005370F8" w:rsidRDefault="00FD3DA2" w:rsidP="00374BE2">
      <w:pPr>
        <w:ind w:left="567" w:right="567"/>
        <w:jc w:val="both"/>
        <w:rPr>
          <w:b/>
          <w:bCs/>
          <w:i/>
          <w:iCs/>
          <w:color w:val="4472C4" w:themeColor="accent1"/>
          <w:sz w:val="22"/>
          <w:szCs w:val="22"/>
        </w:rPr>
      </w:pPr>
      <w:r w:rsidRPr="005370F8">
        <w:rPr>
          <w:b/>
          <w:bCs/>
          <w:i/>
          <w:iCs/>
          <w:color w:val="4472C4" w:themeColor="accent1"/>
          <w:sz w:val="22"/>
          <w:szCs w:val="22"/>
          <w:u w:val="single"/>
        </w:rPr>
        <w:t xml:space="preserve">Item </w:t>
      </w:r>
      <w:r w:rsidR="0070586A" w:rsidRPr="005370F8">
        <w:rPr>
          <w:b/>
          <w:bCs/>
          <w:i/>
          <w:iCs/>
          <w:color w:val="4472C4" w:themeColor="accent1"/>
          <w:sz w:val="22"/>
          <w:szCs w:val="22"/>
          <w:u w:val="single"/>
        </w:rPr>
        <w:t>9</w:t>
      </w:r>
      <w:r w:rsidRPr="005370F8">
        <w:rPr>
          <w:b/>
          <w:bCs/>
          <w:i/>
          <w:iCs/>
          <w:color w:val="4472C4" w:themeColor="accent1"/>
          <w:sz w:val="22"/>
          <w:szCs w:val="22"/>
        </w:rPr>
        <w:t xml:space="preserve">: </w:t>
      </w:r>
      <w:r w:rsidR="003C03A3" w:rsidRPr="005370F8">
        <w:rPr>
          <w:b/>
          <w:bCs/>
          <w:i/>
          <w:iCs/>
          <w:color w:val="4472C4" w:themeColor="accent1"/>
          <w:sz w:val="22"/>
          <w:szCs w:val="22"/>
        </w:rPr>
        <w:t>Enhancing the participation of Indigenous Peoples in the United Nations</w:t>
      </w:r>
    </w:p>
    <w:p w14:paraId="02BF197C" w14:textId="77777777" w:rsidR="006B6BB2" w:rsidRPr="005370F8" w:rsidRDefault="006B6BB2" w:rsidP="00374BE2">
      <w:pPr>
        <w:ind w:left="567" w:right="567"/>
        <w:jc w:val="both"/>
        <w:rPr>
          <w:b/>
          <w:bCs/>
          <w:i/>
          <w:iCs/>
          <w:color w:val="4472C4" w:themeColor="accent1"/>
          <w:sz w:val="22"/>
          <w:szCs w:val="22"/>
        </w:rPr>
      </w:pPr>
    </w:p>
    <w:p w14:paraId="0EB668E8" w14:textId="5380AC56" w:rsidR="004B7A73" w:rsidRPr="005370F8" w:rsidRDefault="00911317" w:rsidP="00374BE2">
      <w:pPr>
        <w:ind w:left="567" w:right="567"/>
        <w:jc w:val="both"/>
        <w:rPr>
          <w:i/>
          <w:iCs/>
          <w:sz w:val="22"/>
          <w:szCs w:val="22"/>
          <w:u w:val="single"/>
        </w:rPr>
      </w:pPr>
      <w:r w:rsidRPr="005370F8">
        <w:rPr>
          <w:i/>
          <w:iCs/>
          <w:sz w:val="22"/>
          <w:szCs w:val="22"/>
          <w:u w:val="single"/>
        </w:rPr>
        <w:t xml:space="preserve">Concept </w:t>
      </w:r>
      <w:proofErr w:type="gramStart"/>
      <w:r w:rsidR="00FD3DA2" w:rsidRPr="005370F8">
        <w:rPr>
          <w:i/>
          <w:iCs/>
          <w:sz w:val="22"/>
          <w:szCs w:val="22"/>
          <w:u w:val="single"/>
        </w:rPr>
        <w:t>note</w:t>
      </w:r>
      <w:proofErr w:type="gramEnd"/>
    </w:p>
    <w:p w14:paraId="32D5E72C" w14:textId="77777777" w:rsidR="006B6BB2" w:rsidRPr="005370F8" w:rsidRDefault="006B6BB2" w:rsidP="00374BE2">
      <w:pPr>
        <w:ind w:left="567" w:right="567"/>
        <w:jc w:val="both"/>
        <w:rPr>
          <w:i/>
          <w:iCs/>
          <w:sz w:val="22"/>
          <w:szCs w:val="22"/>
          <w:u w:val="single"/>
        </w:rPr>
      </w:pPr>
    </w:p>
    <w:p w14:paraId="161A618D" w14:textId="63C777D2" w:rsidR="00FD3DA2" w:rsidRPr="005370F8" w:rsidRDefault="003C03A3" w:rsidP="00374BE2">
      <w:pPr>
        <w:spacing w:line="276" w:lineRule="auto"/>
        <w:ind w:left="567" w:right="567"/>
        <w:jc w:val="both"/>
        <w:rPr>
          <w:b/>
          <w:bCs/>
          <w:sz w:val="22"/>
          <w:szCs w:val="22"/>
        </w:rPr>
      </w:pPr>
      <w:r w:rsidRPr="005370F8">
        <w:rPr>
          <w:b/>
          <w:bCs/>
          <w:sz w:val="22"/>
          <w:szCs w:val="22"/>
        </w:rPr>
        <w:t>Wednesday 10 July 202</w:t>
      </w:r>
      <w:r w:rsidR="00452CB8" w:rsidRPr="005370F8">
        <w:rPr>
          <w:b/>
          <w:bCs/>
          <w:sz w:val="22"/>
          <w:szCs w:val="22"/>
        </w:rPr>
        <w:t>4</w:t>
      </w:r>
      <w:r w:rsidRPr="005370F8">
        <w:rPr>
          <w:b/>
          <w:bCs/>
          <w:sz w:val="22"/>
          <w:szCs w:val="22"/>
        </w:rPr>
        <w:t xml:space="preserve">, 15h00-18h00, Palais des </w:t>
      </w:r>
      <w:r w:rsidR="00167B70" w:rsidRPr="005370F8">
        <w:rPr>
          <w:b/>
          <w:bCs/>
          <w:sz w:val="22"/>
          <w:szCs w:val="22"/>
        </w:rPr>
        <w:t>N</w:t>
      </w:r>
      <w:r w:rsidRPr="005370F8">
        <w:rPr>
          <w:b/>
          <w:bCs/>
          <w:sz w:val="22"/>
          <w:szCs w:val="22"/>
        </w:rPr>
        <w:t>ations, Room XIX, Geneva</w:t>
      </w:r>
    </w:p>
    <w:p w14:paraId="6C6CC003" w14:textId="5A29F149" w:rsidR="003C03A3" w:rsidRPr="005370F8" w:rsidRDefault="003C03A3" w:rsidP="00374BE2">
      <w:pPr>
        <w:spacing w:line="276" w:lineRule="auto"/>
        <w:ind w:left="567" w:right="567"/>
        <w:jc w:val="both"/>
        <w:rPr>
          <w:b/>
          <w:bCs/>
          <w:sz w:val="22"/>
          <w:szCs w:val="22"/>
        </w:rPr>
      </w:pPr>
      <w:r w:rsidRPr="005370F8">
        <w:rPr>
          <w:sz w:val="22"/>
          <w:szCs w:val="22"/>
        </w:rPr>
        <w:t>(</w:t>
      </w:r>
      <w:r w:rsidRPr="005370F8">
        <w:rPr>
          <w:i/>
          <w:iCs/>
          <w:sz w:val="22"/>
          <w:szCs w:val="22"/>
        </w:rPr>
        <w:t xml:space="preserve">will be broadcast live and archived on </w:t>
      </w:r>
      <w:hyperlink r:id="rId11" w:history="1">
        <w:r w:rsidRPr="005370F8">
          <w:rPr>
            <w:rStyle w:val="Hyperlink"/>
            <w:i/>
            <w:iCs/>
            <w:sz w:val="22"/>
            <w:szCs w:val="22"/>
          </w:rPr>
          <w:t>http://webtv.un.org</w:t>
        </w:r>
      </w:hyperlink>
      <w:r w:rsidRPr="005370F8">
        <w:rPr>
          <w:sz w:val="22"/>
          <w:szCs w:val="22"/>
        </w:rPr>
        <w:t xml:space="preserve"> )</w:t>
      </w:r>
    </w:p>
    <w:p w14:paraId="5773BB17" w14:textId="77777777" w:rsidR="006068C2" w:rsidRPr="005370F8" w:rsidRDefault="006068C2" w:rsidP="00374BE2">
      <w:pPr>
        <w:spacing w:line="276" w:lineRule="auto"/>
        <w:ind w:left="567" w:right="567" w:firstLine="720"/>
        <w:jc w:val="both"/>
        <w:rPr>
          <w:b/>
          <w:bCs/>
          <w:sz w:val="22"/>
          <w:szCs w:val="22"/>
        </w:rPr>
      </w:pPr>
    </w:p>
    <w:p w14:paraId="54B7A2D8" w14:textId="77777777" w:rsidR="004B7A73" w:rsidRPr="005370F8" w:rsidRDefault="004B7A73" w:rsidP="00374BE2">
      <w:pPr>
        <w:spacing w:line="276" w:lineRule="auto"/>
        <w:ind w:left="567" w:right="567"/>
        <w:jc w:val="both"/>
        <w:rPr>
          <w:b/>
          <w:bCs/>
          <w:sz w:val="22"/>
          <w:szCs w:val="22"/>
        </w:rPr>
      </w:pPr>
      <w:r w:rsidRPr="005370F8">
        <w:rPr>
          <w:b/>
          <w:bCs/>
          <w:sz w:val="22"/>
          <w:szCs w:val="22"/>
        </w:rPr>
        <w:t xml:space="preserve">Objectives: </w:t>
      </w:r>
    </w:p>
    <w:p w14:paraId="23EF0965" w14:textId="3CC6786C" w:rsidR="004B7A73" w:rsidRPr="005370F8" w:rsidRDefault="004B7A73" w:rsidP="00374BE2">
      <w:pPr>
        <w:pStyle w:val="ListParagraph"/>
        <w:numPr>
          <w:ilvl w:val="0"/>
          <w:numId w:val="2"/>
        </w:numPr>
        <w:spacing w:before="240" w:after="0" w:line="276" w:lineRule="auto"/>
        <w:ind w:left="567" w:right="567"/>
        <w:jc w:val="both"/>
        <w:rPr>
          <w:rStyle w:val="eop"/>
          <w:b/>
          <w:bCs/>
          <w:color w:val="4472C4" w:themeColor="accent1"/>
          <w:sz w:val="22"/>
          <w:szCs w:val="22"/>
        </w:rPr>
      </w:pPr>
      <w:r w:rsidRPr="005370F8">
        <w:rPr>
          <w:rStyle w:val="eop"/>
          <w:b/>
          <w:bCs/>
          <w:color w:val="4472C4" w:themeColor="accent1"/>
          <w:sz w:val="22"/>
          <w:szCs w:val="22"/>
          <w:u w:val="single"/>
        </w:rPr>
        <w:t xml:space="preserve">Contribute to the ongoing process </w:t>
      </w:r>
      <w:r w:rsidRPr="005370F8">
        <w:rPr>
          <w:rStyle w:val="eop"/>
          <w:b/>
          <w:bCs/>
          <w:color w:val="4472C4" w:themeColor="accent1"/>
          <w:sz w:val="22"/>
          <w:szCs w:val="22"/>
          <w:u w:val="single"/>
          <w:shd w:val="clear" w:color="auto" w:fill="FFFFFF"/>
        </w:rPr>
        <w:t>of enhancing Indigenous Peoples` participation</w:t>
      </w:r>
      <w:r w:rsidR="00C36430" w:rsidRPr="005370F8">
        <w:rPr>
          <w:rStyle w:val="eop"/>
          <w:b/>
          <w:bCs/>
          <w:color w:val="4472C4" w:themeColor="accent1"/>
          <w:sz w:val="22"/>
          <w:szCs w:val="22"/>
          <w:u w:val="single"/>
          <w:shd w:val="clear" w:color="auto" w:fill="FFFFFF"/>
        </w:rPr>
        <w:t xml:space="preserve"> in the United Nations</w:t>
      </w:r>
      <w:r w:rsidRPr="005370F8">
        <w:rPr>
          <w:rStyle w:val="eop"/>
          <w:b/>
          <w:bCs/>
          <w:color w:val="4472C4" w:themeColor="accent1"/>
          <w:sz w:val="22"/>
          <w:szCs w:val="22"/>
          <w:shd w:val="clear" w:color="auto" w:fill="FFFFFF"/>
        </w:rPr>
        <w:t xml:space="preserve">, </w:t>
      </w:r>
      <w:r w:rsidR="00C902BD" w:rsidRPr="005370F8">
        <w:rPr>
          <w:rStyle w:val="eop"/>
          <w:b/>
          <w:bCs/>
          <w:color w:val="4472C4" w:themeColor="accent1"/>
          <w:sz w:val="22"/>
          <w:szCs w:val="22"/>
          <w:shd w:val="clear" w:color="auto" w:fill="FFFFFF"/>
        </w:rPr>
        <w:t xml:space="preserve">to which </w:t>
      </w:r>
      <w:r w:rsidRPr="005370F8">
        <w:rPr>
          <w:rStyle w:val="eop"/>
          <w:b/>
          <w:bCs/>
          <w:color w:val="4472C4" w:themeColor="accent1"/>
          <w:sz w:val="22"/>
          <w:szCs w:val="22"/>
          <w:shd w:val="clear" w:color="auto" w:fill="FFFFFF"/>
        </w:rPr>
        <w:t>Member States</w:t>
      </w:r>
      <w:r w:rsidR="00C902BD" w:rsidRPr="005370F8">
        <w:rPr>
          <w:rStyle w:val="eop"/>
          <w:b/>
          <w:bCs/>
          <w:color w:val="4472C4" w:themeColor="accent1"/>
          <w:sz w:val="22"/>
          <w:szCs w:val="22"/>
          <w:shd w:val="clear" w:color="auto" w:fill="FFFFFF"/>
        </w:rPr>
        <w:t xml:space="preserve"> committed</w:t>
      </w:r>
      <w:r w:rsidRPr="005370F8">
        <w:rPr>
          <w:rStyle w:val="eop"/>
          <w:b/>
          <w:bCs/>
          <w:color w:val="4472C4" w:themeColor="accent1"/>
          <w:sz w:val="22"/>
          <w:szCs w:val="22"/>
          <w:shd w:val="clear" w:color="auto" w:fill="FFFFFF"/>
        </w:rPr>
        <w:t xml:space="preserve"> during the 2014 World Conference on Indigenous Peoples, by providing a platform for interactive dialogue among </w:t>
      </w:r>
      <w:r w:rsidRPr="005370F8">
        <w:rPr>
          <w:rStyle w:val="eop"/>
          <w:b/>
          <w:bCs/>
          <w:color w:val="4472C4" w:themeColor="accent1"/>
          <w:sz w:val="22"/>
          <w:szCs w:val="22"/>
        </w:rPr>
        <w:t>Indigenous Peoples, Member States, United Nations agencies and other stakeholders.</w:t>
      </w:r>
    </w:p>
    <w:p w14:paraId="244821C3" w14:textId="77777777" w:rsidR="004B7A73" w:rsidRPr="005370F8" w:rsidRDefault="004B7A73" w:rsidP="00374BE2">
      <w:pPr>
        <w:pStyle w:val="ListParagraph"/>
        <w:spacing w:before="240" w:after="0" w:line="276" w:lineRule="auto"/>
        <w:ind w:left="567" w:right="567"/>
        <w:jc w:val="both"/>
        <w:rPr>
          <w:rStyle w:val="eop"/>
          <w:i/>
          <w:iCs/>
          <w:color w:val="4472C4" w:themeColor="accent1"/>
          <w:sz w:val="22"/>
          <w:szCs w:val="22"/>
        </w:rPr>
      </w:pPr>
    </w:p>
    <w:p w14:paraId="7E4406E9" w14:textId="5F28E01B" w:rsidR="004B7A73" w:rsidRPr="005370F8" w:rsidRDefault="004B7A73" w:rsidP="00374BE2">
      <w:pPr>
        <w:pStyle w:val="ListParagraph"/>
        <w:numPr>
          <w:ilvl w:val="0"/>
          <w:numId w:val="2"/>
        </w:numPr>
        <w:spacing w:before="240" w:after="0" w:line="276" w:lineRule="auto"/>
        <w:ind w:left="567" w:right="567"/>
        <w:jc w:val="both"/>
        <w:rPr>
          <w:rStyle w:val="eop"/>
          <w:b/>
          <w:bCs/>
          <w:color w:val="4472C4" w:themeColor="accent1"/>
          <w:sz w:val="22"/>
          <w:szCs w:val="22"/>
          <w:u w:val="single"/>
        </w:rPr>
      </w:pPr>
      <w:r w:rsidRPr="005370F8">
        <w:rPr>
          <w:rStyle w:val="eop"/>
          <w:b/>
          <w:bCs/>
          <w:color w:val="4472C4" w:themeColor="accent1"/>
          <w:sz w:val="22"/>
          <w:szCs w:val="22"/>
          <w:u w:val="single"/>
        </w:rPr>
        <w:t>Facilitate broad discussions</w:t>
      </w:r>
      <w:r w:rsidRPr="005370F8">
        <w:rPr>
          <w:rStyle w:val="eop"/>
          <w:b/>
          <w:bCs/>
          <w:color w:val="4472C4" w:themeColor="accent1"/>
          <w:sz w:val="22"/>
          <w:szCs w:val="22"/>
        </w:rPr>
        <w:t xml:space="preserve"> between Indigenous Peoples, Member </w:t>
      </w:r>
      <w:proofErr w:type="gramStart"/>
      <w:r w:rsidRPr="005370F8">
        <w:rPr>
          <w:rStyle w:val="eop"/>
          <w:b/>
          <w:bCs/>
          <w:color w:val="4472C4" w:themeColor="accent1"/>
          <w:sz w:val="22"/>
          <w:szCs w:val="22"/>
        </w:rPr>
        <w:t>States</w:t>
      </w:r>
      <w:proofErr w:type="gramEnd"/>
      <w:r w:rsidRPr="005370F8">
        <w:rPr>
          <w:rStyle w:val="eop"/>
          <w:b/>
          <w:bCs/>
          <w:color w:val="4472C4" w:themeColor="accent1"/>
          <w:sz w:val="22"/>
          <w:szCs w:val="22"/>
        </w:rPr>
        <w:t xml:space="preserve"> and other key stakeholders </w:t>
      </w:r>
      <w:r w:rsidRPr="005370F8">
        <w:rPr>
          <w:rStyle w:val="eop"/>
          <w:b/>
          <w:bCs/>
          <w:color w:val="4472C4" w:themeColor="accent1"/>
          <w:sz w:val="22"/>
          <w:szCs w:val="22"/>
          <w:u w:val="single"/>
        </w:rPr>
        <w:t xml:space="preserve">in preparation </w:t>
      </w:r>
      <w:r w:rsidR="00E66870" w:rsidRPr="005370F8">
        <w:rPr>
          <w:rStyle w:val="eop"/>
          <w:b/>
          <w:bCs/>
          <w:color w:val="4472C4" w:themeColor="accent1"/>
          <w:sz w:val="22"/>
          <w:szCs w:val="22"/>
          <w:u w:val="single"/>
        </w:rPr>
        <w:t xml:space="preserve">for the first </w:t>
      </w:r>
      <w:r w:rsidRPr="005370F8">
        <w:rPr>
          <w:rStyle w:val="eop"/>
          <w:b/>
          <w:bCs/>
          <w:color w:val="4472C4" w:themeColor="accent1"/>
          <w:sz w:val="22"/>
          <w:szCs w:val="22"/>
          <w:u w:val="single"/>
        </w:rPr>
        <w:t xml:space="preserve">two-day intersessional meeting </w:t>
      </w:r>
      <w:r w:rsidR="007D7C3E" w:rsidRPr="005370F8">
        <w:rPr>
          <w:rStyle w:val="eop"/>
          <w:b/>
          <w:bCs/>
          <w:color w:val="4472C4" w:themeColor="accent1"/>
          <w:sz w:val="22"/>
          <w:szCs w:val="22"/>
          <w:u w:val="single"/>
        </w:rPr>
        <w:t xml:space="preserve">of the Human </w:t>
      </w:r>
      <w:r w:rsidR="004C58F6" w:rsidRPr="005370F8">
        <w:rPr>
          <w:rStyle w:val="eop"/>
          <w:b/>
          <w:bCs/>
          <w:color w:val="4472C4" w:themeColor="accent1"/>
          <w:sz w:val="22"/>
          <w:szCs w:val="22"/>
          <w:u w:val="single"/>
        </w:rPr>
        <w:t>Rights</w:t>
      </w:r>
      <w:r w:rsidR="007D7C3E" w:rsidRPr="005370F8">
        <w:rPr>
          <w:rStyle w:val="eop"/>
          <w:b/>
          <w:bCs/>
          <w:color w:val="4472C4" w:themeColor="accent1"/>
          <w:sz w:val="22"/>
          <w:szCs w:val="22"/>
          <w:u w:val="single"/>
        </w:rPr>
        <w:t xml:space="preserve"> Council on this issue, </w:t>
      </w:r>
      <w:r w:rsidRPr="005370F8">
        <w:rPr>
          <w:rStyle w:val="eop"/>
          <w:b/>
          <w:bCs/>
          <w:color w:val="4472C4" w:themeColor="accent1"/>
          <w:sz w:val="22"/>
          <w:szCs w:val="22"/>
          <w:u w:val="single"/>
        </w:rPr>
        <w:t>on 18 and 19 July</w:t>
      </w:r>
      <w:r w:rsidR="00452CB8" w:rsidRPr="005370F8">
        <w:rPr>
          <w:rStyle w:val="eop"/>
          <w:b/>
          <w:bCs/>
          <w:color w:val="4472C4" w:themeColor="accent1"/>
          <w:sz w:val="22"/>
          <w:szCs w:val="22"/>
          <w:u w:val="single"/>
        </w:rPr>
        <w:t xml:space="preserve"> 2024</w:t>
      </w:r>
      <w:r w:rsidRPr="005370F8">
        <w:rPr>
          <w:rStyle w:val="eop"/>
          <w:b/>
          <w:bCs/>
          <w:color w:val="4472C4" w:themeColor="accent1"/>
          <w:sz w:val="22"/>
          <w:szCs w:val="22"/>
          <w:u w:val="single"/>
        </w:rPr>
        <w:t>.</w:t>
      </w:r>
    </w:p>
    <w:p w14:paraId="12CA0704" w14:textId="77777777" w:rsidR="004B7A73" w:rsidRPr="005370F8" w:rsidRDefault="004B7A73" w:rsidP="00374BE2">
      <w:pPr>
        <w:pStyle w:val="ListParagraph"/>
        <w:ind w:left="567" w:right="567"/>
        <w:jc w:val="both"/>
        <w:rPr>
          <w:rStyle w:val="eop"/>
          <w:b/>
          <w:bCs/>
          <w:color w:val="4472C4" w:themeColor="accent1"/>
          <w:sz w:val="22"/>
          <w:szCs w:val="22"/>
        </w:rPr>
      </w:pPr>
    </w:p>
    <w:p w14:paraId="6B7BED5B" w14:textId="77777777" w:rsidR="004B7A73" w:rsidRPr="005370F8" w:rsidRDefault="004B7A73" w:rsidP="00374BE2">
      <w:pPr>
        <w:pStyle w:val="ListParagraph"/>
        <w:numPr>
          <w:ilvl w:val="0"/>
          <w:numId w:val="2"/>
        </w:numPr>
        <w:spacing w:before="240" w:after="0" w:line="276" w:lineRule="auto"/>
        <w:ind w:left="567" w:right="567"/>
        <w:jc w:val="both"/>
        <w:rPr>
          <w:rStyle w:val="eop"/>
          <w:b/>
          <w:bCs/>
          <w:color w:val="4472C4" w:themeColor="accent1"/>
          <w:sz w:val="22"/>
          <w:szCs w:val="22"/>
        </w:rPr>
      </w:pPr>
      <w:r w:rsidRPr="005370F8">
        <w:rPr>
          <w:rStyle w:val="eop"/>
          <w:b/>
          <w:bCs/>
          <w:color w:val="4472C4" w:themeColor="accent1"/>
          <w:sz w:val="22"/>
          <w:szCs w:val="22"/>
          <w:u w:val="single"/>
        </w:rPr>
        <w:t>Gather views</w:t>
      </w:r>
      <w:r w:rsidRPr="005370F8">
        <w:rPr>
          <w:rStyle w:val="eop"/>
          <w:b/>
          <w:bCs/>
          <w:color w:val="4472C4" w:themeColor="accent1"/>
          <w:sz w:val="22"/>
          <w:szCs w:val="22"/>
        </w:rPr>
        <w:t xml:space="preserve"> from Indigenous Peoples and other stakeholders on two main issues:</w:t>
      </w:r>
    </w:p>
    <w:p w14:paraId="0C4DB226" w14:textId="77777777" w:rsidR="004B7A73" w:rsidRPr="005370F8" w:rsidRDefault="004B7A73" w:rsidP="00374BE2">
      <w:pPr>
        <w:pStyle w:val="ListParagraph"/>
        <w:ind w:left="567" w:right="567"/>
        <w:jc w:val="both"/>
        <w:rPr>
          <w:rStyle w:val="eop"/>
          <w:b/>
          <w:bCs/>
          <w:color w:val="4472C4" w:themeColor="accent1"/>
          <w:sz w:val="22"/>
          <w:szCs w:val="22"/>
        </w:rPr>
      </w:pPr>
    </w:p>
    <w:p w14:paraId="1BB81979" w14:textId="0927D776" w:rsidR="004B7A73" w:rsidRPr="005370F8" w:rsidRDefault="004B7A73" w:rsidP="00374BE2">
      <w:pPr>
        <w:pStyle w:val="ListParagraph"/>
        <w:numPr>
          <w:ilvl w:val="1"/>
          <w:numId w:val="3"/>
        </w:numPr>
        <w:spacing w:before="240" w:after="0" w:line="276" w:lineRule="auto"/>
        <w:ind w:right="567"/>
        <w:jc w:val="both"/>
        <w:rPr>
          <w:b/>
          <w:bCs/>
          <w:i/>
          <w:iCs/>
          <w:color w:val="4472C4" w:themeColor="accent1"/>
          <w:sz w:val="22"/>
          <w:szCs w:val="22"/>
        </w:rPr>
      </w:pPr>
      <w:r w:rsidRPr="005370F8">
        <w:rPr>
          <w:rStyle w:val="eop"/>
          <w:b/>
          <w:bCs/>
          <w:i/>
          <w:iCs/>
          <w:color w:val="4472C4" w:themeColor="accent1"/>
          <w:sz w:val="22"/>
          <w:szCs w:val="22"/>
          <w:u w:val="single"/>
        </w:rPr>
        <w:t>Accreditation criteria</w:t>
      </w:r>
      <w:r w:rsidRPr="005370F8">
        <w:rPr>
          <w:rStyle w:val="eop"/>
          <w:b/>
          <w:bCs/>
          <w:i/>
          <w:iCs/>
          <w:color w:val="4472C4" w:themeColor="accent1"/>
          <w:sz w:val="22"/>
          <w:szCs w:val="22"/>
        </w:rPr>
        <w:t xml:space="preserve"> </w:t>
      </w:r>
      <w:r w:rsidRPr="005370F8">
        <w:rPr>
          <w:b/>
          <w:bCs/>
          <w:i/>
          <w:iCs/>
          <w:color w:val="4472C4" w:themeColor="accent1"/>
          <w:sz w:val="22"/>
          <w:szCs w:val="22"/>
        </w:rPr>
        <w:t>for the meaningful and effective participation of Indigenous Peoples in the work of the Human Rights Council</w:t>
      </w:r>
    </w:p>
    <w:p w14:paraId="00B5FD3E" w14:textId="77777777" w:rsidR="004B7A73" w:rsidRPr="005370F8" w:rsidRDefault="004B7A73" w:rsidP="00374BE2">
      <w:pPr>
        <w:pStyle w:val="ListParagraph"/>
        <w:spacing w:before="240" w:after="0" w:line="276" w:lineRule="auto"/>
        <w:ind w:left="567" w:right="567"/>
        <w:jc w:val="both"/>
        <w:rPr>
          <w:rStyle w:val="eop"/>
          <w:b/>
          <w:bCs/>
          <w:i/>
          <w:iCs/>
          <w:color w:val="4472C4" w:themeColor="accent1"/>
          <w:sz w:val="22"/>
          <w:szCs w:val="22"/>
        </w:rPr>
      </w:pPr>
    </w:p>
    <w:p w14:paraId="60C0F589" w14:textId="74701403" w:rsidR="004B7A73" w:rsidRPr="005370F8" w:rsidRDefault="004B7A73" w:rsidP="00374BE2">
      <w:pPr>
        <w:pStyle w:val="ListParagraph"/>
        <w:numPr>
          <w:ilvl w:val="1"/>
          <w:numId w:val="4"/>
        </w:numPr>
        <w:spacing w:before="240" w:after="0" w:line="276" w:lineRule="auto"/>
        <w:ind w:right="567"/>
        <w:jc w:val="both"/>
        <w:rPr>
          <w:rStyle w:val="eop"/>
          <w:b/>
          <w:bCs/>
          <w:i/>
          <w:iCs/>
          <w:color w:val="4472C4" w:themeColor="accent1"/>
          <w:sz w:val="22"/>
          <w:szCs w:val="22"/>
        </w:rPr>
      </w:pPr>
      <w:r w:rsidRPr="005370F8">
        <w:rPr>
          <w:rStyle w:val="eop"/>
          <w:b/>
          <w:bCs/>
          <w:i/>
          <w:iCs/>
          <w:color w:val="4472C4" w:themeColor="accent1"/>
          <w:sz w:val="22"/>
          <w:szCs w:val="22"/>
          <w:u w:val="single"/>
        </w:rPr>
        <w:t>Modalities of participation</w:t>
      </w:r>
      <w:r w:rsidR="007D7C3E" w:rsidRPr="005370F8">
        <w:rPr>
          <w:rStyle w:val="eop"/>
          <w:b/>
          <w:bCs/>
          <w:i/>
          <w:iCs/>
          <w:color w:val="4472C4" w:themeColor="accent1"/>
          <w:sz w:val="22"/>
          <w:szCs w:val="22"/>
          <w:u w:val="single"/>
        </w:rPr>
        <w:t xml:space="preserve"> for Indigenous Peoples in the Human Rights Council</w:t>
      </w:r>
    </w:p>
    <w:p w14:paraId="65986395" w14:textId="77777777" w:rsidR="004B7A73" w:rsidRPr="005370F8" w:rsidRDefault="004B7A73" w:rsidP="00374BE2">
      <w:pPr>
        <w:pStyle w:val="ListParagraph"/>
        <w:spacing w:before="240" w:after="0" w:line="276" w:lineRule="auto"/>
        <w:ind w:left="567" w:right="567"/>
        <w:jc w:val="both"/>
        <w:rPr>
          <w:rStyle w:val="eop"/>
          <w:b/>
          <w:bCs/>
          <w:color w:val="4472C4" w:themeColor="accent1"/>
          <w:sz w:val="22"/>
          <w:szCs w:val="22"/>
        </w:rPr>
      </w:pPr>
    </w:p>
    <w:p w14:paraId="22313621" w14:textId="77777777" w:rsidR="004B7A73" w:rsidRPr="005370F8" w:rsidRDefault="004B7A73" w:rsidP="00374BE2">
      <w:pPr>
        <w:pStyle w:val="ListParagraph"/>
        <w:numPr>
          <w:ilvl w:val="0"/>
          <w:numId w:val="2"/>
        </w:numPr>
        <w:spacing w:before="240" w:after="0" w:line="276" w:lineRule="auto"/>
        <w:ind w:left="567" w:right="567"/>
        <w:jc w:val="both"/>
        <w:rPr>
          <w:rStyle w:val="eop"/>
          <w:b/>
          <w:bCs/>
          <w:color w:val="4472C4" w:themeColor="accent1"/>
          <w:sz w:val="22"/>
          <w:szCs w:val="22"/>
        </w:rPr>
      </w:pPr>
      <w:r w:rsidRPr="005370F8">
        <w:rPr>
          <w:rStyle w:val="eop"/>
          <w:b/>
          <w:bCs/>
          <w:color w:val="4472C4" w:themeColor="accent1"/>
          <w:sz w:val="22"/>
          <w:szCs w:val="22"/>
          <w:u w:val="single"/>
        </w:rPr>
        <w:t>Identify concrete recommendations</w:t>
      </w:r>
      <w:r w:rsidRPr="005370F8">
        <w:rPr>
          <w:rStyle w:val="eop"/>
          <w:b/>
          <w:bCs/>
          <w:color w:val="4472C4" w:themeColor="accent1"/>
          <w:sz w:val="22"/>
          <w:szCs w:val="22"/>
        </w:rPr>
        <w:t xml:space="preserve"> to address barriers to participation and propose effective mechanisms for the meaningful participation of Indigenous Peoples</w:t>
      </w:r>
      <w:r w:rsidRPr="005370F8">
        <w:rPr>
          <w:rStyle w:val="eop"/>
          <w:b/>
          <w:bCs/>
          <w:color w:val="4472C4" w:themeColor="accent1"/>
          <w:sz w:val="22"/>
          <w:szCs w:val="22"/>
          <w:shd w:val="clear" w:color="auto" w:fill="FFFFFF"/>
        </w:rPr>
        <w:t xml:space="preserve"> and institutions in meetings and processes of the </w:t>
      </w:r>
      <w:r w:rsidRPr="005370F8">
        <w:rPr>
          <w:rStyle w:val="eop"/>
          <w:b/>
          <w:bCs/>
          <w:color w:val="4472C4" w:themeColor="accent1"/>
          <w:sz w:val="22"/>
          <w:szCs w:val="22"/>
        </w:rPr>
        <w:t xml:space="preserve">United Nations bodies, particularly in the work of the Human Rights Council. </w:t>
      </w:r>
    </w:p>
    <w:p w14:paraId="282FF088" w14:textId="77777777" w:rsidR="006B6BB2" w:rsidRPr="005370F8" w:rsidRDefault="006B6BB2" w:rsidP="00374BE2">
      <w:pPr>
        <w:spacing w:line="276" w:lineRule="auto"/>
        <w:ind w:right="567"/>
        <w:jc w:val="both"/>
        <w:rPr>
          <w:b/>
          <w:bCs/>
          <w:sz w:val="22"/>
          <w:szCs w:val="22"/>
        </w:rPr>
      </w:pPr>
    </w:p>
    <w:p w14:paraId="49CE2672" w14:textId="326F3078" w:rsidR="008A6D18" w:rsidRPr="005370F8" w:rsidRDefault="008A6D18" w:rsidP="00374BE2">
      <w:pPr>
        <w:spacing w:line="276" w:lineRule="auto"/>
        <w:ind w:right="567" w:firstLine="207"/>
        <w:jc w:val="both"/>
        <w:rPr>
          <w:b/>
          <w:bCs/>
          <w:sz w:val="22"/>
          <w:szCs w:val="22"/>
        </w:rPr>
      </w:pPr>
      <w:r w:rsidRPr="005370F8">
        <w:rPr>
          <w:b/>
          <w:bCs/>
          <w:sz w:val="22"/>
          <w:szCs w:val="22"/>
        </w:rPr>
        <w:t>B</w:t>
      </w:r>
      <w:r w:rsidR="00FD3DA2" w:rsidRPr="005370F8">
        <w:rPr>
          <w:b/>
          <w:bCs/>
          <w:sz w:val="22"/>
          <w:szCs w:val="22"/>
        </w:rPr>
        <w:t>ackground</w:t>
      </w:r>
    </w:p>
    <w:p w14:paraId="7EB00F7B" w14:textId="6A05C870" w:rsidR="00BE04D8" w:rsidRPr="005370F8" w:rsidRDefault="00BE04D8" w:rsidP="00374BE2">
      <w:pPr>
        <w:spacing w:line="276" w:lineRule="auto"/>
        <w:ind w:left="567" w:right="567"/>
        <w:jc w:val="both"/>
        <w:rPr>
          <w:rStyle w:val="ui-provider"/>
          <w:sz w:val="22"/>
          <w:szCs w:val="22"/>
        </w:rPr>
      </w:pPr>
      <w:r w:rsidRPr="005370F8">
        <w:rPr>
          <w:rStyle w:val="ui-provider"/>
          <w:sz w:val="22"/>
          <w:szCs w:val="22"/>
        </w:rPr>
        <w:t xml:space="preserve">Indigenous Peoples have been participating to different extents in meetings of certain UN bodies and mechanisms since the 1980s. This has included most notably mechanisms that specifically address Indigenous Peoples’ issues, such as the Working Group on Indigenous Populations (under the Commission on Human Rights), the UN Permanent Forum on Indigenous Issues (a subsidiary body of ECOSOC) and the Expert Mechanism on the Rights of Indigenous Peoples (subsidiary body of the Human Rights Council). The </w:t>
      </w:r>
      <w:r w:rsidRPr="005370F8">
        <w:rPr>
          <w:rStyle w:val="ui-provider"/>
          <w:sz w:val="22"/>
          <w:szCs w:val="22"/>
        </w:rPr>
        <w:lastRenderedPageBreak/>
        <w:t>enhanced participation of Indigenous Peoples in the United Nations was also one of the central issues addressed during the World Conference on Indigenous Peoples (2014) and its outcome document (General Assembly resolution 69/2).</w:t>
      </w:r>
    </w:p>
    <w:p w14:paraId="1C73DFAF" w14:textId="5DCD81D4" w:rsidR="00666719" w:rsidRPr="005370F8" w:rsidRDefault="005147BD" w:rsidP="00374BE2">
      <w:pPr>
        <w:spacing w:line="276" w:lineRule="auto"/>
        <w:ind w:left="567" w:right="567"/>
        <w:jc w:val="both"/>
        <w:rPr>
          <w:sz w:val="22"/>
          <w:szCs w:val="22"/>
        </w:rPr>
      </w:pPr>
      <w:r w:rsidRPr="005370F8">
        <w:rPr>
          <w:rStyle w:val="ui-provider"/>
          <w:sz w:val="22"/>
          <w:szCs w:val="22"/>
        </w:rPr>
        <w:t xml:space="preserve">The adoption of the UN Declaration on the Rights of Indigenous Peoples by the General Assembly in 2007 was a landmark. The Declaration enshrines Indigenous Peoples’ right to participate in decision-making in matters which might affect them (Article 12, among others), including in the specific context of the United Nations System (Article 41). The right to self-determination (Article 3) and the principle of free, </w:t>
      </w:r>
      <w:proofErr w:type="gramStart"/>
      <w:r w:rsidRPr="005370F8">
        <w:rPr>
          <w:rStyle w:val="ui-provider"/>
          <w:sz w:val="22"/>
          <w:szCs w:val="22"/>
        </w:rPr>
        <w:t>prior</w:t>
      </w:r>
      <w:proofErr w:type="gramEnd"/>
      <w:r w:rsidRPr="005370F8">
        <w:rPr>
          <w:rStyle w:val="ui-provider"/>
          <w:sz w:val="22"/>
          <w:szCs w:val="22"/>
        </w:rPr>
        <w:t xml:space="preserve"> and informed consent (Article 19, among others) are also central to any discussion of Indigenous Peoples’ participation in the United Nations.</w:t>
      </w:r>
    </w:p>
    <w:p w14:paraId="349E4790" w14:textId="2DC6943F" w:rsidR="00C36DE0" w:rsidRPr="005370F8" w:rsidRDefault="00C36DE0" w:rsidP="00374BE2">
      <w:pPr>
        <w:spacing w:line="276" w:lineRule="auto"/>
        <w:ind w:left="567" w:right="567"/>
        <w:jc w:val="both"/>
        <w:rPr>
          <w:rStyle w:val="ui-provider"/>
          <w:sz w:val="22"/>
          <w:szCs w:val="22"/>
        </w:rPr>
      </w:pPr>
      <w:r w:rsidRPr="005370F8">
        <w:rPr>
          <w:rStyle w:val="ui-provider"/>
          <w:sz w:val="22"/>
          <w:szCs w:val="22"/>
        </w:rPr>
        <w:t xml:space="preserve">In the context of the Human Rights Council, the main venues of participation have been the sessions of the Expert Mechanism on the Rights of Indigenous Peoples, in which Indigenous Peoples can request accreditation as representatives of their own organizations and institutions, and the interactive dialogues with EMRIP and the Special Rapporteur on the Rights of Indigenous Peoples, which take place annually during the September session of the Council. However, in formal meetings of the HRC, Indigenous Peoples’ representatives must be accredited by an NGO in consultative status with ECOSOC and they cannot participate </w:t>
      </w:r>
      <w:proofErr w:type="gramStart"/>
      <w:r w:rsidRPr="005370F8">
        <w:rPr>
          <w:rStyle w:val="ui-provider"/>
          <w:sz w:val="22"/>
          <w:szCs w:val="22"/>
        </w:rPr>
        <w:t>in their own right under</w:t>
      </w:r>
      <w:proofErr w:type="gramEnd"/>
      <w:r w:rsidRPr="005370F8">
        <w:rPr>
          <w:rStyle w:val="ui-provider"/>
          <w:sz w:val="22"/>
          <w:szCs w:val="22"/>
        </w:rPr>
        <w:t xml:space="preserve"> current accreditation procedures.</w:t>
      </w:r>
    </w:p>
    <w:p w14:paraId="615DB9DE" w14:textId="6B8BA0DF" w:rsidR="00FE3770" w:rsidRPr="005370F8" w:rsidRDefault="00FE3770" w:rsidP="00374BE2">
      <w:pPr>
        <w:spacing w:line="276" w:lineRule="auto"/>
        <w:ind w:left="567" w:right="567"/>
        <w:jc w:val="both"/>
        <w:rPr>
          <w:rStyle w:val="ui-provider"/>
          <w:sz w:val="22"/>
          <w:szCs w:val="22"/>
        </w:rPr>
      </w:pPr>
      <w:r w:rsidRPr="005370F8">
        <w:rPr>
          <w:sz w:val="22"/>
          <w:szCs w:val="22"/>
        </w:rPr>
        <w:t xml:space="preserve">Indigenous Peoples have been advocating for increased participation in the Council since its establishment (see for example A/HRC/21/24). Following the adoption of the Outcome document of the World Conference on Indigenous Peoples in 2014, various consultation processes, both in-person and electronic were initiated by the President of the General Assembly to gather input on enhancing the participation of Indigenous Peoples in the UN System. In September 2017, the General Assembly adopted resolution </w:t>
      </w:r>
      <w:hyperlink r:id="rId12" w:tgtFrame="_blank" w:tooltip="https://documents.un.org/doc/undoc/gen/n17/281/69/pdf/n1728169.pdf?token=nwwj0etgfqhin9m44s&amp;fe=true" w:history="1">
        <w:r w:rsidRPr="005370F8">
          <w:rPr>
            <w:color w:val="0000FF"/>
            <w:sz w:val="22"/>
            <w:szCs w:val="22"/>
            <w:u w:val="single"/>
          </w:rPr>
          <w:t>71/321</w:t>
        </w:r>
      </w:hyperlink>
      <w:r w:rsidRPr="005370F8">
        <w:rPr>
          <w:sz w:val="22"/>
          <w:szCs w:val="22"/>
        </w:rPr>
        <w:t xml:space="preserve"> on enhancing the participation of Indigenous Peoples. However, due to the lack of consensus, the Assembly did not adopt any new procedure and requested that three more interactive hearings be organized. These interactive hearings concluded in 2023. The process at the UN General Assembly in New York continues. At the same time, the agencies of the United Nations system have been working to enhance the participation of Indigenous Peoples in accordance with the 6th element of the </w:t>
      </w:r>
      <w:hyperlink r:id="rId13" w:tgtFrame="_blank" w:tooltip="https://social.desa.un.org/issues/indigenous-peoples/system-wide-action-plan-swap" w:history="1">
        <w:r w:rsidRPr="005370F8">
          <w:rPr>
            <w:color w:val="0000FF"/>
            <w:sz w:val="22"/>
            <w:szCs w:val="22"/>
            <w:u w:val="single"/>
          </w:rPr>
          <w:t>System-wide Action Plan on Indigenous Peoples</w:t>
        </w:r>
      </w:hyperlink>
      <w:r w:rsidRPr="005370F8">
        <w:rPr>
          <w:sz w:val="22"/>
          <w:szCs w:val="22"/>
        </w:rPr>
        <w:t>.</w:t>
      </w:r>
    </w:p>
    <w:p w14:paraId="54806156" w14:textId="6CAFAAE0" w:rsidR="008A3C0E" w:rsidRDefault="00490BE6" w:rsidP="00374BE2">
      <w:pPr>
        <w:spacing w:line="276" w:lineRule="auto"/>
        <w:ind w:left="567" w:right="567"/>
        <w:jc w:val="both"/>
        <w:rPr>
          <w:sz w:val="22"/>
          <w:szCs w:val="22"/>
        </w:rPr>
      </w:pPr>
      <w:r w:rsidRPr="005370F8">
        <w:rPr>
          <w:sz w:val="22"/>
          <w:szCs w:val="22"/>
        </w:rPr>
        <w:t xml:space="preserve">Meanwhile, in 2018, the Human Rights Council, in its resolution </w:t>
      </w:r>
      <w:hyperlink r:id="rId14" w:tgtFrame="_blank" w:tooltip="https://documents.un.org/doc/undoc/gen/g18/296/56/pdf/g1829656.pdf?token=5zjyhrblxtekfbtxni&amp;fe=true" w:history="1">
        <w:r w:rsidRPr="005370F8">
          <w:rPr>
            <w:color w:val="0000FF"/>
            <w:sz w:val="22"/>
            <w:szCs w:val="22"/>
            <w:u w:val="single"/>
          </w:rPr>
          <w:t>39/13</w:t>
        </w:r>
      </w:hyperlink>
      <w:r w:rsidRPr="005370F8">
        <w:rPr>
          <w:sz w:val="22"/>
          <w:szCs w:val="22"/>
        </w:rPr>
        <w:t>, appreciated the efforts of the General Assembly on enhancing the participation of Indigenous Peoples and decided to organize a half-day intersessional interactive dialogue on ways to enhance the participation of Indigenous peoples' representatives and institutions in meetings of the Human Rights Council on issues affecting them, building on the work done by the General Assembly.</w:t>
      </w:r>
    </w:p>
    <w:p w14:paraId="25977775" w14:textId="77777777" w:rsidR="002374C2" w:rsidRDefault="002374C2" w:rsidP="00BB3758">
      <w:pPr>
        <w:spacing w:line="276" w:lineRule="auto"/>
        <w:ind w:left="567" w:right="521"/>
        <w:jc w:val="both"/>
        <w:rPr>
          <w:sz w:val="22"/>
          <w:szCs w:val="22"/>
        </w:rPr>
      </w:pPr>
      <w:r w:rsidRPr="00FD3DA2">
        <w:rPr>
          <w:sz w:val="22"/>
          <w:szCs w:val="22"/>
        </w:rPr>
        <w:t xml:space="preserve">Pursuant to the Human Rights Council resolution 48/11, OHCHR organised the expert workshop on possible ways to enhance the participation of Indigenous Peoples in the work of the Human Rights Council </w:t>
      </w:r>
      <w:r>
        <w:rPr>
          <w:sz w:val="22"/>
          <w:szCs w:val="22"/>
        </w:rPr>
        <w:t xml:space="preserve">which was </w:t>
      </w:r>
      <w:r w:rsidRPr="00FD3DA2">
        <w:rPr>
          <w:sz w:val="22"/>
          <w:szCs w:val="22"/>
        </w:rPr>
        <w:t>held</w:t>
      </w:r>
      <w:r>
        <w:rPr>
          <w:sz w:val="22"/>
          <w:szCs w:val="22"/>
        </w:rPr>
        <w:t xml:space="preserve"> </w:t>
      </w:r>
      <w:r w:rsidRPr="00FD3DA2">
        <w:rPr>
          <w:sz w:val="22"/>
          <w:szCs w:val="22"/>
        </w:rPr>
        <w:t>21-24 November 2022. Among other conclusions, the workshop affirmed that Indigenous Peoples` representatives and institutions should be able to participate in all avenues of the Human Rights Council that Indigenous Peoples themselves judge to affect them.</w:t>
      </w:r>
      <w:r w:rsidRPr="00FD3DA2">
        <w:rPr>
          <w:rStyle w:val="FootnoteReference"/>
          <w:sz w:val="22"/>
          <w:szCs w:val="22"/>
        </w:rPr>
        <w:footnoteReference w:id="2"/>
      </w:r>
      <w:r>
        <w:rPr>
          <w:sz w:val="22"/>
          <w:szCs w:val="22"/>
        </w:rPr>
        <w:t xml:space="preserve"> </w:t>
      </w:r>
    </w:p>
    <w:p w14:paraId="1520E5B6" w14:textId="58072B7A" w:rsidR="002374C2" w:rsidRPr="005370F8" w:rsidRDefault="002374C2" w:rsidP="00BB3758">
      <w:pPr>
        <w:spacing w:line="276" w:lineRule="auto"/>
        <w:ind w:left="567" w:right="521"/>
        <w:jc w:val="both"/>
        <w:rPr>
          <w:sz w:val="22"/>
          <w:szCs w:val="22"/>
        </w:rPr>
      </w:pPr>
      <w:r w:rsidRPr="00E40DE3">
        <w:rPr>
          <w:sz w:val="22"/>
          <w:szCs w:val="22"/>
        </w:rPr>
        <w:lastRenderedPageBreak/>
        <w:t xml:space="preserve">The </w:t>
      </w:r>
      <w:r>
        <w:rPr>
          <w:sz w:val="22"/>
          <w:szCs w:val="22"/>
        </w:rPr>
        <w:t>E</w:t>
      </w:r>
      <w:r w:rsidRPr="00E40DE3">
        <w:rPr>
          <w:sz w:val="22"/>
          <w:szCs w:val="22"/>
        </w:rPr>
        <w:t xml:space="preserve">xpert Mechanism submitted a </w:t>
      </w:r>
      <w:r w:rsidRPr="00E32F4E">
        <w:rPr>
          <w:color w:val="000000"/>
          <w:sz w:val="22"/>
          <w:szCs w:val="22"/>
        </w:rPr>
        <w:t xml:space="preserve">written contribution to the </w:t>
      </w:r>
      <w:r>
        <w:rPr>
          <w:color w:val="000000"/>
          <w:sz w:val="22"/>
          <w:szCs w:val="22"/>
        </w:rPr>
        <w:t>November 2022 e</w:t>
      </w:r>
      <w:r w:rsidRPr="00E32F4E">
        <w:rPr>
          <w:color w:val="000000"/>
          <w:sz w:val="22"/>
          <w:szCs w:val="22"/>
        </w:rPr>
        <w:t>xpert workshop on possible way</w:t>
      </w:r>
      <w:r>
        <w:rPr>
          <w:color w:val="000000"/>
          <w:sz w:val="22"/>
          <w:szCs w:val="22"/>
        </w:rPr>
        <w:t>s</w:t>
      </w:r>
      <w:r w:rsidRPr="00E32F4E">
        <w:rPr>
          <w:color w:val="000000"/>
          <w:sz w:val="22"/>
          <w:szCs w:val="22"/>
        </w:rPr>
        <w:t xml:space="preserve"> to enhance the participation of Indigenous Peoples in the work of the Human Rights Council</w:t>
      </w:r>
      <w:r>
        <w:rPr>
          <w:color w:val="000000"/>
          <w:sz w:val="22"/>
          <w:szCs w:val="22"/>
        </w:rPr>
        <w:t xml:space="preserve">, </w:t>
      </w:r>
      <w:r w:rsidRPr="00E40DE3">
        <w:rPr>
          <w:sz w:val="22"/>
          <w:szCs w:val="22"/>
        </w:rPr>
        <w:t xml:space="preserve">where it addressed venues of participation, participation modalities, </w:t>
      </w:r>
      <w:r>
        <w:rPr>
          <w:sz w:val="22"/>
          <w:szCs w:val="22"/>
        </w:rPr>
        <w:t>s</w:t>
      </w:r>
      <w:r w:rsidRPr="00E32F4E">
        <w:rPr>
          <w:sz w:val="22"/>
          <w:szCs w:val="22"/>
        </w:rPr>
        <w:t xml:space="preserve">election </w:t>
      </w:r>
      <w:r w:rsidR="006121D2" w:rsidRPr="00E32F4E">
        <w:rPr>
          <w:sz w:val="22"/>
          <w:szCs w:val="22"/>
        </w:rPr>
        <w:t>criteria</w:t>
      </w:r>
      <w:r w:rsidR="006121D2">
        <w:rPr>
          <w:sz w:val="22"/>
          <w:szCs w:val="22"/>
        </w:rPr>
        <w:t xml:space="preserve">, </w:t>
      </w:r>
      <w:r w:rsidR="006121D2" w:rsidRPr="00E32F4E">
        <w:rPr>
          <w:sz w:val="22"/>
          <w:szCs w:val="22"/>
        </w:rPr>
        <w:t>selection</w:t>
      </w:r>
      <w:r w:rsidRPr="00E32F4E">
        <w:rPr>
          <w:sz w:val="22"/>
          <w:szCs w:val="22"/>
        </w:rPr>
        <w:t xml:space="preserve"> modalities</w:t>
      </w:r>
      <w:r>
        <w:rPr>
          <w:sz w:val="22"/>
          <w:szCs w:val="22"/>
        </w:rPr>
        <w:t xml:space="preserve">, </w:t>
      </w:r>
      <w:r w:rsidRPr="00E32F4E">
        <w:rPr>
          <w:sz w:val="22"/>
          <w:szCs w:val="22"/>
        </w:rPr>
        <w:t>and next steps.</w:t>
      </w:r>
      <w:r w:rsidRPr="00E40DE3">
        <w:rPr>
          <w:rStyle w:val="FootnoteReference"/>
          <w:sz w:val="22"/>
          <w:szCs w:val="22"/>
        </w:rPr>
        <w:footnoteReference w:id="3"/>
      </w:r>
    </w:p>
    <w:p w14:paraId="593D5857" w14:textId="12050A68" w:rsidR="00FD3DA2" w:rsidRDefault="003B1CD9" w:rsidP="00374BE2">
      <w:pPr>
        <w:spacing w:line="276" w:lineRule="auto"/>
        <w:ind w:left="567" w:right="567"/>
        <w:jc w:val="both"/>
        <w:rPr>
          <w:rStyle w:val="ui-provider"/>
          <w:sz w:val="22"/>
          <w:szCs w:val="22"/>
        </w:rPr>
      </w:pPr>
      <w:r w:rsidRPr="005370F8">
        <w:rPr>
          <w:rStyle w:val="ui-provider"/>
          <w:sz w:val="22"/>
          <w:szCs w:val="22"/>
        </w:rPr>
        <w:t>The Human</w:t>
      </w:r>
      <w:r w:rsidR="0083568D" w:rsidRPr="005370F8">
        <w:rPr>
          <w:rStyle w:val="ui-provider"/>
          <w:sz w:val="22"/>
          <w:szCs w:val="22"/>
        </w:rPr>
        <w:t xml:space="preserve"> Rights </w:t>
      </w:r>
      <w:r w:rsidR="00D04E65" w:rsidRPr="005370F8">
        <w:rPr>
          <w:rStyle w:val="ui-provider"/>
          <w:sz w:val="22"/>
          <w:szCs w:val="22"/>
        </w:rPr>
        <w:t>Council continued</w:t>
      </w:r>
      <w:r w:rsidR="0083568D" w:rsidRPr="005370F8">
        <w:rPr>
          <w:rStyle w:val="ui-provider"/>
          <w:sz w:val="22"/>
          <w:szCs w:val="22"/>
        </w:rPr>
        <w:t xml:space="preserve"> </w:t>
      </w:r>
      <w:r w:rsidR="00C020D9" w:rsidRPr="005370F8">
        <w:rPr>
          <w:rStyle w:val="ui-provider"/>
          <w:sz w:val="22"/>
          <w:szCs w:val="22"/>
        </w:rPr>
        <w:t>addressing the</w:t>
      </w:r>
      <w:r w:rsidR="0083568D" w:rsidRPr="005370F8">
        <w:rPr>
          <w:rStyle w:val="ui-provider"/>
          <w:sz w:val="22"/>
          <w:szCs w:val="22"/>
        </w:rPr>
        <w:t xml:space="preserve"> issue through an Intersessional interactive dialogue in 2019 (see A/HRC/44/35); an Intersessional round table in 2021 (see A/HRC/49/69); and most recently through a four-day Expert workshop on possible ways to enhance the participation of Indigenous Peoples in its work in 2023 (see A/HRC/53/44). The Council will once again address this issue over two intersessional meetings in 2024 (18-19 July and 17-18 October). </w:t>
      </w:r>
    </w:p>
    <w:p w14:paraId="442D7DA7" w14:textId="77777777" w:rsidR="009C751A" w:rsidRDefault="009C751A" w:rsidP="00374BE2">
      <w:pPr>
        <w:spacing w:line="276" w:lineRule="auto"/>
        <w:ind w:left="567" w:right="567"/>
        <w:jc w:val="both"/>
        <w:rPr>
          <w:rStyle w:val="ui-provider"/>
          <w:sz w:val="22"/>
          <w:szCs w:val="22"/>
        </w:rPr>
      </w:pPr>
    </w:p>
    <w:p w14:paraId="77C8C779" w14:textId="1FB18B14" w:rsidR="009C751A" w:rsidRPr="005370F8" w:rsidRDefault="009C751A" w:rsidP="00374BE2">
      <w:pPr>
        <w:spacing w:line="276" w:lineRule="auto"/>
        <w:ind w:left="567" w:right="567"/>
        <w:jc w:val="both"/>
        <w:rPr>
          <w:sz w:val="22"/>
          <w:szCs w:val="22"/>
        </w:rPr>
      </w:pPr>
      <w:r>
        <w:rPr>
          <w:rStyle w:val="ui-provider"/>
          <w:sz w:val="22"/>
          <w:szCs w:val="22"/>
        </w:rPr>
        <w:tab/>
      </w:r>
      <w:r>
        <w:rPr>
          <w:rStyle w:val="ui-provider"/>
          <w:sz w:val="22"/>
          <w:szCs w:val="22"/>
        </w:rPr>
        <w:tab/>
      </w:r>
      <w:r>
        <w:rPr>
          <w:rStyle w:val="ui-provider"/>
          <w:sz w:val="22"/>
          <w:szCs w:val="22"/>
        </w:rPr>
        <w:tab/>
      </w:r>
      <w:r>
        <w:rPr>
          <w:rStyle w:val="ui-provider"/>
          <w:sz w:val="22"/>
          <w:szCs w:val="22"/>
        </w:rPr>
        <w:tab/>
        <w:t>-------------------------------------------</w:t>
      </w:r>
    </w:p>
    <w:sectPr w:rsidR="009C751A" w:rsidRPr="005370F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5ED16" w14:textId="77777777" w:rsidR="00206024" w:rsidRDefault="00206024" w:rsidP="008A6D18">
      <w:pPr>
        <w:spacing w:after="0" w:line="240" w:lineRule="auto"/>
      </w:pPr>
      <w:r>
        <w:separator/>
      </w:r>
    </w:p>
  </w:endnote>
  <w:endnote w:type="continuationSeparator" w:id="0">
    <w:p w14:paraId="69803686" w14:textId="77777777" w:rsidR="00206024" w:rsidRDefault="00206024" w:rsidP="008A6D18">
      <w:pPr>
        <w:spacing w:after="0" w:line="240" w:lineRule="auto"/>
      </w:pPr>
      <w:r>
        <w:continuationSeparator/>
      </w:r>
    </w:p>
  </w:endnote>
  <w:endnote w:type="continuationNotice" w:id="1">
    <w:p w14:paraId="22EAA55C" w14:textId="77777777" w:rsidR="00206024" w:rsidRDefault="002060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Std Book">
    <w:altName w:val="Arial"/>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CB08" w14:textId="77777777" w:rsidR="000C3780" w:rsidRDefault="000C3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168058"/>
      <w:docPartObj>
        <w:docPartGallery w:val="Page Numbers (Bottom of Page)"/>
        <w:docPartUnique/>
      </w:docPartObj>
    </w:sdtPr>
    <w:sdtEndPr>
      <w:rPr>
        <w:noProof/>
      </w:rPr>
    </w:sdtEndPr>
    <w:sdtContent>
      <w:p w14:paraId="04B43CE6" w14:textId="681D66EA" w:rsidR="008310F5" w:rsidRDefault="008310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0F0474" w14:textId="77777777" w:rsidR="00167B70" w:rsidRDefault="00167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E0A2" w14:textId="77777777" w:rsidR="000C3780" w:rsidRDefault="000C3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0AE1B" w14:textId="77777777" w:rsidR="00206024" w:rsidRDefault="00206024" w:rsidP="008A6D18">
      <w:pPr>
        <w:spacing w:after="0" w:line="240" w:lineRule="auto"/>
      </w:pPr>
      <w:r>
        <w:separator/>
      </w:r>
    </w:p>
  </w:footnote>
  <w:footnote w:type="continuationSeparator" w:id="0">
    <w:p w14:paraId="4DA9B0A0" w14:textId="77777777" w:rsidR="00206024" w:rsidRDefault="00206024" w:rsidP="008A6D18">
      <w:pPr>
        <w:spacing w:after="0" w:line="240" w:lineRule="auto"/>
      </w:pPr>
      <w:r>
        <w:continuationSeparator/>
      </w:r>
    </w:p>
  </w:footnote>
  <w:footnote w:type="continuationNotice" w:id="1">
    <w:p w14:paraId="7FFB8D4E" w14:textId="77777777" w:rsidR="00206024" w:rsidRDefault="00206024">
      <w:pPr>
        <w:spacing w:after="0" w:line="240" w:lineRule="auto"/>
      </w:pPr>
    </w:p>
  </w:footnote>
  <w:footnote w:id="2">
    <w:p w14:paraId="14E7A821" w14:textId="77777777" w:rsidR="002374C2" w:rsidRPr="002374C2" w:rsidRDefault="002374C2" w:rsidP="002374C2">
      <w:pPr>
        <w:pStyle w:val="FootnoteText"/>
      </w:pPr>
      <w:r>
        <w:rPr>
          <w:rStyle w:val="FootnoteReference"/>
        </w:rPr>
        <w:footnoteRef/>
      </w:r>
      <w:r w:rsidRPr="002374C2">
        <w:t xml:space="preserve"> A/HRC/53/44 Para 53.</w:t>
      </w:r>
    </w:p>
  </w:footnote>
  <w:footnote w:id="3">
    <w:p w14:paraId="1629BFE6" w14:textId="77777777" w:rsidR="002374C2" w:rsidRPr="00E32F4E" w:rsidRDefault="002374C2" w:rsidP="002374C2">
      <w:pPr>
        <w:spacing w:line="276" w:lineRule="auto"/>
        <w:jc w:val="both"/>
        <w:rPr>
          <w:sz w:val="20"/>
          <w:szCs w:val="20"/>
        </w:rPr>
      </w:pPr>
      <w:r w:rsidRPr="00E32F4E">
        <w:rPr>
          <w:rStyle w:val="FootnoteReference"/>
          <w:sz w:val="20"/>
          <w:szCs w:val="20"/>
        </w:rPr>
        <w:footnoteRef/>
      </w:r>
      <w:r w:rsidRPr="00E32F4E">
        <w:rPr>
          <w:sz w:val="20"/>
          <w:szCs w:val="20"/>
        </w:rPr>
        <w:t xml:space="preserve"> </w:t>
      </w:r>
      <w:hyperlink r:id="rId1" w:history="1">
        <w:r w:rsidRPr="00E32F4E">
          <w:rPr>
            <w:rStyle w:val="Hyperlink"/>
            <w:sz w:val="20"/>
            <w:szCs w:val="20"/>
          </w:rPr>
          <w:t>OHCHR | Call for submission of written contribution to the expert workshop on possible ways to enhance the participation of Indigenous Peoples in the work of the Human Rights Council</w:t>
        </w:r>
      </w:hyperlink>
    </w:p>
    <w:p w14:paraId="5AB3A016" w14:textId="77777777" w:rsidR="002374C2" w:rsidRDefault="002374C2" w:rsidP="002374C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D9986" w14:textId="77777777" w:rsidR="000C3780" w:rsidRDefault="000C3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8DAA7" w14:textId="1BF03CA3" w:rsidR="00167B70" w:rsidRDefault="00167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25C5" w14:textId="77777777" w:rsidR="000C3780" w:rsidRDefault="000C3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131F"/>
    <w:multiLevelType w:val="hybridMultilevel"/>
    <w:tmpl w:val="8D905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3B500D"/>
    <w:multiLevelType w:val="hybridMultilevel"/>
    <w:tmpl w:val="7304D83E"/>
    <w:lvl w:ilvl="0" w:tplc="5A86415C">
      <w:numFmt w:val="bullet"/>
      <w:lvlText w:val="-"/>
      <w:lvlJc w:val="left"/>
      <w:pPr>
        <w:ind w:left="1287" w:hanging="360"/>
      </w:pPr>
      <w:rPr>
        <w:rFonts w:ascii="Calibri" w:eastAsiaTheme="minorHAnsi" w:hAnsi="Calibri" w:cs="Calibri" w:hint="default"/>
      </w:rPr>
    </w:lvl>
    <w:lvl w:ilvl="1" w:tplc="613231D8">
      <w:start w:val="14"/>
      <w:numFmt w:val="bullet"/>
      <w:lvlText w:val="-"/>
      <w:lvlJc w:val="left"/>
      <w:pPr>
        <w:ind w:left="2007" w:hanging="360"/>
      </w:pPr>
      <w:rPr>
        <w:rFonts w:ascii="Calibri Light" w:eastAsiaTheme="minorHAnsi" w:hAnsi="Calibri Light" w:cs="Calibri Light"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7B2B7A86"/>
    <w:multiLevelType w:val="hybridMultilevel"/>
    <w:tmpl w:val="BAACC892"/>
    <w:lvl w:ilvl="0" w:tplc="5A86415C">
      <w:numFmt w:val="bullet"/>
      <w:lvlText w:val="-"/>
      <w:lvlJc w:val="left"/>
      <w:pPr>
        <w:ind w:left="1287" w:hanging="360"/>
      </w:pPr>
      <w:rPr>
        <w:rFonts w:ascii="Calibri" w:eastAsiaTheme="minorHAnsi" w:hAnsi="Calibri" w:cs="Calibri" w:hint="default"/>
      </w:rPr>
    </w:lvl>
    <w:lvl w:ilvl="1" w:tplc="6EC60E0E">
      <w:numFmt w:val="bullet"/>
      <w:lvlText w:val="-"/>
      <w:lvlJc w:val="left"/>
      <w:pPr>
        <w:ind w:left="2007" w:hanging="360"/>
      </w:pPr>
      <w:rPr>
        <w:rFonts w:ascii="Times New Roman" w:eastAsiaTheme="minorHAnsi"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E740E6D"/>
    <w:multiLevelType w:val="hybridMultilevel"/>
    <w:tmpl w:val="CC94EAD4"/>
    <w:lvl w:ilvl="0" w:tplc="08090001">
      <w:start w:val="1"/>
      <w:numFmt w:val="bullet"/>
      <w:lvlText w:val=""/>
      <w:lvlJc w:val="left"/>
      <w:pPr>
        <w:ind w:left="1440" w:hanging="360"/>
      </w:pPr>
      <w:rPr>
        <w:rFonts w:ascii="Symbol" w:hAnsi="Symbol" w:hint="default"/>
      </w:rPr>
    </w:lvl>
    <w:lvl w:ilvl="1" w:tplc="6EC60E0E">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2751916">
    <w:abstractNumId w:val="0"/>
  </w:num>
  <w:num w:numId="2" w16cid:durableId="2082831858">
    <w:abstractNumId w:val="3"/>
  </w:num>
  <w:num w:numId="3" w16cid:durableId="1545368724">
    <w:abstractNumId w:val="1"/>
  </w:num>
  <w:num w:numId="4" w16cid:durableId="33164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A3"/>
    <w:rsid w:val="00006914"/>
    <w:rsid w:val="00006C3E"/>
    <w:rsid w:val="00034849"/>
    <w:rsid w:val="000369C1"/>
    <w:rsid w:val="00042BAC"/>
    <w:rsid w:val="00046150"/>
    <w:rsid w:val="00047098"/>
    <w:rsid w:val="000632F9"/>
    <w:rsid w:val="000729ED"/>
    <w:rsid w:val="000731B0"/>
    <w:rsid w:val="00083D09"/>
    <w:rsid w:val="00092B43"/>
    <w:rsid w:val="000A624A"/>
    <w:rsid w:val="000B31F6"/>
    <w:rsid w:val="000B3319"/>
    <w:rsid w:val="000B338F"/>
    <w:rsid w:val="000B495B"/>
    <w:rsid w:val="000B5A2E"/>
    <w:rsid w:val="000B6DE5"/>
    <w:rsid w:val="000C03CE"/>
    <w:rsid w:val="000C3780"/>
    <w:rsid w:val="000C686D"/>
    <w:rsid w:val="000D42E3"/>
    <w:rsid w:val="000D7595"/>
    <w:rsid w:val="000F421A"/>
    <w:rsid w:val="0012387F"/>
    <w:rsid w:val="001326F3"/>
    <w:rsid w:val="00152852"/>
    <w:rsid w:val="001529A6"/>
    <w:rsid w:val="001541E7"/>
    <w:rsid w:val="00154917"/>
    <w:rsid w:val="00162EC7"/>
    <w:rsid w:val="001643AD"/>
    <w:rsid w:val="001647C9"/>
    <w:rsid w:val="00167B70"/>
    <w:rsid w:val="00173727"/>
    <w:rsid w:val="001846C8"/>
    <w:rsid w:val="00185D05"/>
    <w:rsid w:val="00196727"/>
    <w:rsid w:val="0019746C"/>
    <w:rsid w:val="001A7B5D"/>
    <w:rsid w:val="001D00C4"/>
    <w:rsid w:val="001E4854"/>
    <w:rsid w:val="001E5121"/>
    <w:rsid w:val="001E5AEB"/>
    <w:rsid w:val="001F1FCC"/>
    <w:rsid w:val="001F5E74"/>
    <w:rsid w:val="002040E6"/>
    <w:rsid w:val="00206024"/>
    <w:rsid w:val="002074AD"/>
    <w:rsid w:val="0021262C"/>
    <w:rsid w:val="0021419E"/>
    <w:rsid w:val="002171D8"/>
    <w:rsid w:val="00225F63"/>
    <w:rsid w:val="002374C2"/>
    <w:rsid w:val="002376FC"/>
    <w:rsid w:val="00240C14"/>
    <w:rsid w:val="00246A40"/>
    <w:rsid w:val="00250D60"/>
    <w:rsid w:val="0025486D"/>
    <w:rsid w:val="0028407D"/>
    <w:rsid w:val="00294F5C"/>
    <w:rsid w:val="00296782"/>
    <w:rsid w:val="002A3848"/>
    <w:rsid w:val="002B48A6"/>
    <w:rsid w:val="002B6B8C"/>
    <w:rsid w:val="002C0884"/>
    <w:rsid w:val="002C35BA"/>
    <w:rsid w:val="002C489D"/>
    <w:rsid w:val="002D37EE"/>
    <w:rsid w:val="002D6140"/>
    <w:rsid w:val="002D62F2"/>
    <w:rsid w:val="002E017B"/>
    <w:rsid w:val="002F3591"/>
    <w:rsid w:val="002F4B94"/>
    <w:rsid w:val="00305DC8"/>
    <w:rsid w:val="00307FB7"/>
    <w:rsid w:val="00321812"/>
    <w:rsid w:val="00321CCE"/>
    <w:rsid w:val="0032252A"/>
    <w:rsid w:val="003305F5"/>
    <w:rsid w:val="003454EB"/>
    <w:rsid w:val="003513F8"/>
    <w:rsid w:val="003620D1"/>
    <w:rsid w:val="00364FAE"/>
    <w:rsid w:val="00373B43"/>
    <w:rsid w:val="00374BE2"/>
    <w:rsid w:val="00377F64"/>
    <w:rsid w:val="00386A62"/>
    <w:rsid w:val="0039073E"/>
    <w:rsid w:val="00393948"/>
    <w:rsid w:val="0039539A"/>
    <w:rsid w:val="003A7946"/>
    <w:rsid w:val="003B1CD9"/>
    <w:rsid w:val="003B5DB3"/>
    <w:rsid w:val="003C0346"/>
    <w:rsid w:val="003C03A3"/>
    <w:rsid w:val="003C1B92"/>
    <w:rsid w:val="003D4075"/>
    <w:rsid w:val="003D5A39"/>
    <w:rsid w:val="003D5E6B"/>
    <w:rsid w:val="003D6F0C"/>
    <w:rsid w:val="003E103F"/>
    <w:rsid w:val="003E654B"/>
    <w:rsid w:val="003E7801"/>
    <w:rsid w:val="004012E6"/>
    <w:rsid w:val="004034A0"/>
    <w:rsid w:val="00406A52"/>
    <w:rsid w:val="004152D6"/>
    <w:rsid w:val="004154D6"/>
    <w:rsid w:val="00422E21"/>
    <w:rsid w:val="00432741"/>
    <w:rsid w:val="00444998"/>
    <w:rsid w:val="00451367"/>
    <w:rsid w:val="00452CB8"/>
    <w:rsid w:val="0046305C"/>
    <w:rsid w:val="004732A7"/>
    <w:rsid w:val="00476F02"/>
    <w:rsid w:val="0047790F"/>
    <w:rsid w:val="004801AB"/>
    <w:rsid w:val="00490BE6"/>
    <w:rsid w:val="0049470F"/>
    <w:rsid w:val="00495517"/>
    <w:rsid w:val="00497EE7"/>
    <w:rsid w:val="004B7A73"/>
    <w:rsid w:val="004C4C17"/>
    <w:rsid w:val="004C5190"/>
    <w:rsid w:val="004C58F6"/>
    <w:rsid w:val="004C6603"/>
    <w:rsid w:val="004D4BEC"/>
    <w:rsid w:val="004D527F"/>
    <w:rsid w:val="004D7D9D"/>
    <w:rsid w:val="004E18AC"/>
    <w:rsid w:val="004F0063"/>
    <w:rsid w:val="0050219D"/>
    <w:rsid w:val="005144A3"/>
    <w:rsid w:val="005147BD"/>
    <w:rsid w:val="00516628"/>
    <w:rsid w:val="00520F3F"/>
    <w:rsid w:val="0052503B"/>
    <w:rsid w:val="00531525"/>
    <w:rsid w:val="00535176"/>
    <w:rsid w:val="005370F8"/>
    <w:rsid w:val="00544CF8"/>
    <w:rsid w:val="00562FBF"/>
    <w:rsid w:val="00564CAF"/>
    <w:rsid w:val="005740D9"/>
    <w:rsid w:val="00581D04"/>
    <w:rsid w:val="00597784"/>
    <w:rsid w:val="005B5B2F"/>
    <w:rsid w:val="005E2C93"/>
    <w:rsid w:val="005E76E2"/>
    <w:rsid w:val="005F2348"/>
    <w:rsid w:val="005F566B"/>
    <w:rsid w:val="00600DF1"/>
    <w:rsid w:val="006015A3"/>
    <w:rsid w:val="006068C2"/>
    <w:rsid w:val="006121D2"/>
    <w:rsid w:val="00615565"/>
    <w:rsid w:val="00617905"/>
    <w:rsid w:val="00632374"/>
    <w:rsid w:val="00632C3B"/>
    <w:rsid w:val="00636A6E"/>
    <w:rsid w:val="0064274D"/>
    <w:rsid w:val="006461CC"/>
    <w:rsid w:val="00650507"/>
    <w:rsid w:val="006579E3"/>
    <w:rsid w:val="00661DB5"/>
    <w:rsid w:val="00666719"/>
    <w:rsid w:val="006719C4"/>
    <w:rsid w:val="006960C7"/>
    <w:rsid w:val="006A0C2D"/>
    <w:rsid w:val="006A5EC1"/>
    <w:rsid w:val="006B33E1"/>
    <w:rsid w:val="006B656F"/>
    <w:rsid w:val="006B6BB2"/>
    <w:rsid w:val="006B7562"/>
    <w:rsid w:val="006B764D"/>
    <w:rsid w:val="006D123F"/>
    <w:rsid w:val="006D26C5"/>
    <w:rsid w:val="006D2DA3"/>
    <w:rsid w:val="006D4614"/>
    <w:rsid w:val="006D6AAB"/>
    <w:rsid w:val="006E4265"/>
    <w:rsid w:val="006E4EB2"/>
    <w:rsid w:val="006F2DE2"/>
    <w:rsid w:val="006F3231"/>
    <w:rsid w:val="006F7AFD"/>
    <w:rsid w:val="00702526"/>
    <w:rsid w:val="0070586A"/>
    <w:rsid w:val="00710E05"/>
    <w:rsid w:val="0072272F"/>
    <w:rsid w:val="00726E5A"/>
    <w:rsid w:val="00730C6A"/>
    <w:rsid w:val="00733B47"/>
    <w:rsid w:val="00735829"/>
    <w:rsid w:val="00740E9E"/>
    <w:rsid w:val="007451CA"/>
    <w:rsid w:val="007455CE"/>
    <w:rsid w:val="00747E86"/>
    <w:rsid w:val="00750FA0"/>
    <w:rsid w:val="0075400B"/>
    <w:rsid w:val="00755DCD"/>
    <w:rsid w:val="0076243B"/>
    <w:rsid w:val="007633D2"/>
    <w:rsid w:val="0076351F"/>
    <w:rsid w:val="007655C7"/>
    <w:rsid w:val="00766EEB"/>
    <w:rsid w:val="00770106"/>
    <w:rsid w:val="00773AB6"/>
    <w:rsid w:val="00780E29"/>
    <w:rsid w:val="007A0227"/>
    <w:rsid w:val="007A270B"/>
    <w:rsid w:val="007A54B7"/>
    <w:rsid w:val="007B59C0"/>
    <w:rsid w:val="007B65CE"/>
    <w:rsid w:val="007B6DD4"/>
    <w:rsid w:val="007C1712"/>
    <w:rsid w:val="007C2569"/>
    <w:rsid w:val="007C7CC9"/>
    <w:rsid w:val="007D1A0D"/>
    <w:rsid w:val="007D63FA"/>
    <w:rsid w:val="007D7C3E"/>
    <w:rsid w:val="007E6E42"/>
    <w:rsid w:val="007E748B"/>
    <w:rsid w:val="007F177C"/>
    <w:rsid w:val="007F617B"/>
    <w:rsid w:val="00804685"/>
    <w:rsid w:val="00804E78"/>
    <w:rsid w:val="00830272"/>
    <w:rsid w:val="008310F5"/>
    <w:rsid w:val="00833BE9"/>
    <w:rsid w:val="0083568D"/>
    <w:rsid w:val="00842580"/>
    <w:rsid w:val="00850A7F"/>
    <w:rsid w:val="00851728"/>
    <w:rsid w:val="00861D74"/>
    <w:rsid w:val="00865ACA"/>
    <w:rsid w:val="0087190E"/>
    <w:rsid w:val="00891396"/>
    <w:rsid w:val="008940E4"/>
    <w:rsid w:val="008A01D7"/>
    <w:rsid w:val="008A24D9"/>
    <w:rsid w:val="008A3C0E"/>
    <w:rsid w:val="008A6D18"/>
    <w:rsid w:val="008B0D3E"/>
    <w:rsid w:val="008B2E7E"/>
    <w:rsid w:val="008C4595"/>
    <w:rsid w:val="008D249C"/>
    <w:rsid w:val="008D7205"/>
    <w:rsid w:val="008E5443"/>
    <w:rsid w:val="008F2B52"/>
    <w:rsid w:val="008F3C3C"/>
    <w:rsid w:val="008F4D09"/>
    <w:rsid w:val="008F5C1F"/>
    <w:rsid w:val="00911317"/>
    <w:rsid w:val="00913618"/>
    <w:rsid w:val="00915238"/>
    <w:rsid w:val="009209B3"/>
    <w:rsid w:val="00924D9F"/>
    <w:rsid w:val="00937C88"/>
    <w:rsid w:val="00942EF4"/>
    <w:rsid w:val="00953F58"/>
    <w:rsid w:val="0095523B"/>
    <w:rsid w:val="00955980"/>
    <w:rsid w:val="00966EC4"/>
    <w:rsid w:val="00973D5D"/>
    <w:rsid w:val="009A33F9"/>
    <w:rsid w:val="009A5440"/>
    <w:rsid w:val="009A5A36"/>
    <w:rsid w:val="009B3CCD"/>
    <w:rsid w:val="009B501D"/>
    <w:rsid w:val="009C28BD"/>
    <w:rsid w:val="009C751A"/>
    <w:rsid w:val="009E70AC"/>
    <w:rsid w:val="009F1D24"/>
    <w:rsid w:val="009F49C2"/>
    <w:rsid w:val="00A00E50"/>
    <w:rsid w:val="00A06BAB"/>
    <w:rsid w:val="00A14D07"/>
    <w:rsid w:val="00A1709F"/>
    <w:rsid w:val="00A17B38"/>
    <w:rsid w:val="00A3059B"/>
    <w:rsid w:val="00A32646"/>
    <w:rsid w:val="00A33CA0"/>
    <w:rsid w:val="00A34B5C"/>
    <w:rsid w:val="00A44DD1"/>
    <w:rsid w:val="00A50814"/>
    <w:rsid w:val="00A70365"/>
    <w:rsid w:val="00A71B0F"/>
    <w:rsid w:val="00A751A3"/>
    <w:rsid w:val="00A80908"/>
    <w:rsid w:val="00A8369B"/>
    <w:rsid w:val="00A93052"/>
    <w:rsid w:val="00A94D59"/>
    <w:rsid w:val="00AD0EAB"/>
    <w:rsid w:val="00AD2315"/>
    <w:rsid w:val="00AD23FC"/>
    <w:rsid w:val="00AD4CFA"/>
    <w:rsid w:val="00AE6949"/>
    <w:rsid w:val="00B040B5"/>
    <w:rsid w:val="00B05FC1"/>
    <w:rsid w:val="00B06FFD"/>
    <w:rsid w:val="00B26A8E"/>
    <w:rsid w:val="00B3312C"/>
    <w:rsid w:val="00B42949"/>
    <w:rsid w:val="00B4729B"/>
    <w:rsid w:val="00B65271"/>
    <w:rsid w:val="00B669B9"/>
    <w:rsid w:val="00B730DD"/>
    <w:rsid w:val="00B74941"/>
    <w:rsid w:val="00B81C67"/>
    <w:rsid w:val="00B95DB3"/>
    <w:rsid w:val="00B96E51"/>
    <w:rsid w:val="00B97148"/>
    <w:rsid w:val="00BA1694"/>
    <w:rsid w:val="00BB0E0B"/>
    <w:rsid w:val="00BB2543"/>
    <w:rsid w:val="00BB3220"/>
    <w:rsid w:val="00BB3758"/>
    <w:rsid w:val="00BB62AB"/>
    <w:rsid w:val="00BC559A"/>
    <w:rsid w:val="00BC6558"/>
    <w:rsid w:val="00BE04D8"/>
    <w:rsid w:val="00BE3E2A"/>
    <w:rsid w:val="00BE575F"/>
    <w:rsid w:val="00BE5F69"/>
    <w:rsid w:val="00BF6D6E"/>
    <w:rsid w:val="00C020D9"/>
    <w:rsid w:val="00C03FE4"/>
    <w:rsid w:val="00C04092"/>
    <w:rsid w:val="00C0468A"/>
    <w:rsid w:val="00C14DE0"/>
    <w:rsid w:val="00C16B41"/>
    <w:rsid w:val="00C25CDB"/>
    <w:rsid w:val="00C33B25"/>
    <w:rsid w:val="00C36430"/>
    <w:rsid w:val="00C36579"/>
    <w:rsid w:val="00C36DE0"/>
    <w:rsid w:val="00C428CA"/>
    <w:rsid w:val="00C45347"/>
    <w:rsid w:val="00C57C51"/>
    <w:rsid w:val="00C61184"/>
    <w:rsid w:val="00C74F75"/>
    <w:rsid w:val="00C87AFD"/>
    <w:rsid w:val="00C902BD"/>
    <w:rsid w:val="00C91B51"/>
    <w:rsid w:val="00C9215C"/>
    <w:rsid w:val="00CA3F25"/>
    <w:rsid w:val="00CA627D"/>
    <w:rsid w:val="00CD497C"/>
    <w:rsid w:val="00CE74AE"/>
    <w:rsid w:val="00CF6E40"/>
    <w:rsid w:val="00D04E65"/>
    <w:rsid w:val="00D05E83"/>
    <w:rsid w:val="00D23449"/>
    <w:rsid w:val="00D31945"/>
    <w:rsid w:val="00D366DA"/>
    <w:rsid w:val="00D4185F"/>
    <w:rsid w:val="00D44309"/>
    <w:rsid w:val="00D50E24"/>
    <w:rsid w:val="00D50EB3"/>
    <w:rsid w:val="00D563B7"/>
    <w:rsid w:val="00D66955"/>
    <w:rsid w:val="00D73E87"/>
    <w:rsid w:val="00D81BA2"/>
    <w:rsid w:val="00D91489"/>
    <w:rsid w:val="00D930E6"/>
    <w:rsid w:val="00DA4B28"/>
    <w:rsid w:val="00DB0B8C"/>
    <w:rsid w:val="00DC707B"/>
    <w:rsid w:val="00DC7257"/>
    <w:rsid w:val="00DD0F32"/>
    <w:rsid w:val="00DE3792"/>
    <w:rsid w:val="00DE6609"/>
    <w:rsid w:val="00DE7608"/>
    <w:rsid w:val="00E00B33"/>
    <w:rsid w:val="00E155C0"/>
    <w:rsid w:val="00E15CF7"/>
    <w:rsid w:val="00E244D5"/>
    <w:rsid w:val="00E32F4E"/>
    <w:rsid w:val="00E40DE3"/>
    <w:rsid w:val="00E419DD"/>
    <w:rsid w:val="00E4442E"/>
    <w:rsid w:val="00E51219"/>
    <w:rsid w:val="00E60E2E"/>
    <w:rsid w:val="00E625DE"/>
    <w:rsid w:val="00E626EE"/>
    <w:rsid w:val="00E63AC1"/>
    <w:rsid w:val="00E64254"/>
    <w:rsid w:val="00E6441E"/>
    <w:rsid w:val="00E6667B"/>
    <w:rsid w:val="00E66870"/>
    <w:rsid w:val="00E707D0"/>
    <w:rsid w:val="00E755FD"/>
    <w:rsid w:val="00E76154"/>
    <w:rsid w:val="00E92A62"/>
    <w:rsid w:val="00E9430D"/>
    <w:rsid w:val="00E97C4B"/>
    <w:rsid w:val="00EA1C2A"/>
    <w:rsid w:val="00EB723F"/>
    <w:rsid w:val="00EC1EE8"/>
    <w:rsid w:val="00EC25EB"/>
    <w:rsid w:val="00EC5C9E"/>
    <w:rsid w:val="00ED597A"/>
    <w:rsid w:val="00EE1D93"/>
    <w:rsid w:val="00EE4937"/>
    <w:rsid w:val="00EF455A"/>
    <w:rsid w:val="00F01B76"/>
    <w:rsid w:val="00F03D37"/>
    <w:rsid w:val="00F04A70"/>
    <w:rsid w:val="00F12307"/>
    <w:rsid w:val="00F264A1"/>
    <w:rsid w:val="00F321EF"/>
    <w:rsid w:val="00F420D3"/>
    <w:rsid w:val="00F439AD"/>
    <w:rsid w:val="00F43BA1"/>
    <w:rsid w:val="00F4411F"/>
    <w:rsid w:val="00F5086B"/>
    <w:rsid w:val="00F556B9"/>
    <w:rsid w:val="00F60002"/>
    <w:rsid w:val="00F64715"/>
    <w:rsid w:val="00F700CB"/>
    <w:rsid w:val="00F72459"/>
    <w:rsid w:val="00F8042D"/>
    <w:rsid w:val="00F91DE0"/>
    <w:rsid w:val="00F97D02"/>
    <w:rsid w:val="00FA0496"/>
    <w:rsid w:val="00FD31A6"/>
    <w:rsid w:val="00FD3DA2"/>
    <w:rsid w:val="00FD5919"/>
    <w:rsid w:val="00FE3770"/>
    <w:rsid w:val="00FE4AA2"/>
    <w:rsid w:val="00FE5132"/>
    <w:rsid w:val="00FF1E22"/>
    <w:rsid w:val="00FF382F"/>
    <w:rsid w:val="00FF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615D5"/>
  <w15:chartTrackingRefBased/>
  <w15:docId w15:val="{367EA846-0C84-4527-94DA-9AE8F6C9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3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03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03A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03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03A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C03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03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03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03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3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03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03A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03A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C03A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C03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03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03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03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0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3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3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03A3"/>
    <w:pPr>
      <w:spacing w:before="160"/>
      <w:jc w:val="center"/>
    </w:pPr>
    <w:rPr>
      <w:i/>
      <w:iCs/>
      <w:color w:val="404040" w:themeColor="text1" w:themeTint="BF"/>
    </w:rPr>
  </w:style>
  <w:style w:type="character" w:customStyle="1" w:styleId="QuoteChar">
    <w:name w:val="Quote Char"/>
    <w:basedOn w:val="DefaultParagraphFont"/>
    <w:link w:val="Quote"/>
    <w:uiPriority w:val="29"/>
    <w:rsid w:val="003C03A3"/>
    <w:rPr>
      <w:i/>
      <w:iCs/>
      <w:color w:val="404040" w:themeColor="text1" w:themeTint="BF"/>
    </w:rPr>
  </w:style>
  <w:style w:type="paragraph" w:styleId="ListParagraph">
    <w:name w:val="List Paragraph"/>
    <w:basedOn w:val="Normal"/>
    <w:uiPriority w:val="34"/>
    <w:qFormat/>
    <w:rsid w:val="003C03A3"/>
    <w:pPr>
      <w:ind w:left="720"/>
      <w:contextualSpacing/>
    </w:pPr>
  </w:style>
  <w:style w:type="character" w:styleId="IntenseEmphasis">
    <w:name w:val="Intense Emphasis"/>
    <w:basedOn w:val="DefaultParagraphFont"/>
    <w:uiPriority w:val="21"/>
    <w:qFormat/>
    <w:rsid w:val="003C03A3"/>
    <w:rPr>
      <w:i/>
      <w:iCs/>
      <w:color w:val="2F5496" w:themeColor="accent1" w:themeShade="BF"/>
    </w:rPr>
  </w:style>
  <w:style w:type="paragraph" w:styleId="IntenseQuote">
    <w:name w:val="Intense Quote"/>
    <w:basedOn w:val="Normal"/>
    <w:next w:val="Normal"/>
    <w:link w:val="IntenseQuoteChar"/>
    <w:uiPriority w:val="30"/>
    <w:qFormat/>
    <w:rsid w:val="003C0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3A3"/>
    <w:rPr>
      <w:i/>
      <w:iCs/>
      <w:color w:val="2F5496" w:themeColor="accent1" w:themeShade="BF"/>
    </w:rPr>
  </w:style>
  <w:style w:type="character" w:styleId="IntenseReference">
    <w:name w:val="Intense Reference"/>
    <w:basedOn w:val="DefaultParagraphFont"/>
    <w:uiPriority w:val="32"/>
    <w:qFormat/>
    <w:rsid w:val="003C03A3"/>
    <w:rPr>
      <w:b/>
      <w:bCs/>
      <w:smallCaps/>
      <w:color w:val="2F5496" w:themeColor="accent1" w:themeShade="BF"/>
      <w:spacing w:val="5"/>
    </w:rPr>
  </w:style>
  <w:style w:type="character" w:styleId="Hyperlink">
    <w:name w:val="Hyperlink"/>
    <w:basedOn w:val="DefaultParagraphFont"/>
    <w:uiPriority w:val="99"/>
    <w:unhideWhenUsed/>
    <w:rsid w:val="003C03A3"/>
    <w:rPr>
      <w:color w:val="0563C1" w:themeColor="hyperlink"/>
      <w:u w:val="single"/>
    </w:rPr>
  </w:style>
  <w:style w:type="character" w:styleId="UnresolvedMention">
    <w:name w:val="Unresolved Mention"/>
    <w:basedOn w:val="DefaultParagraphFont"/>
    <w:uiPriority w:val="99"/>
    <w:semiHidden/>
    <w:unhideWhenUsed/>
    <w:rsid w:val="003C03A3"/>
    <w:rPr>
      <w:color w:val="605E5C"/>
      <w:shd w:val="clear" w:color="auto" w:fill="E1DFDD"/>
    </w:rPr>
  </w:style>
  <w:style w:type="paragraph" w:styleId="FootnoteText">
    <w:name w:val="footnote text"/>
    <w:basedOn w:val="Normal"/>
    <w:link w:val="FootnoteTextChar"/>
    <w:uiPriority w:val="99"/>
    <w:semiHidden/>
    <w:unhideWhenUsed/>
    <w:rsid w:val="008A6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D18"/>
    <w:rPr>
      <w:sz w:val="20"/>
      <w:szCs w:val="20"/>
    </w:rPr>
  </w:style>
  <w:style w:type="character" w:styleId="FootnoteReference">
    <w:name w:val="footnote reference"/>
    <w:basedOn w:val="DefaultParagraphFont"/>
    <w:uiPriority w:val="99"/>
    <w:semiHidden/>
    <w:unhideWhenUsed/>
    <w:rsid w:val="008A6D18"/>
    <w:rPr>
      <w:vertAlign w:val="superscript"/>
    </w:rPr>
  </w:style>
  <w:style w:type="character" w:customStyle="1" w:styleId="normaltextrun">
    <w:name w:val="normaltextrun"/>
    <w:basedOn w:val="DefaultParagraphFont"/>
    <w:rsid w:val="00851728"/>
  </w:style>
  <w:style w:type="character" w:customStyle="1" w:styleId="eop">
    <w:name w:val="eop"/>
    <w:basedOn w:val="DefaultParagraphFont"/>
    <w:rsid w:val="00851728"/>
  </w:style>
  <w:style w:type="paragraph" w:styleId="Header">
    <w:name w:val="header"/>
    <w:basedOn w:val="Normal"/>
    <w:link w:val="HeaderChar"/>
    <w:uiPriority w:val="99"/>
    <w:unhideWhenUsed/>
    <w:rsid w:val="00167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B70"/>
  </w:style>
  <w:style w:type="paragraph" w:styleId="Footer">
    <w:name w:val="footer"/>
    <w:basedOn w:val="Normal"/>
    <w:link w:val="FooterChar"/>
    <w:uiPriority w:val="99"/>
    <w:unhideWhenUsed/>
    <w:rsid w:val="00167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B70"/>
  </w:style>
  <w:style w:type="table" w:styleId="TableGrid">
    <w:name w:val="Table Grid"/>
    <w:basedOn w:val="TableNormal"/>
    <w:rsid w:val="007455CE"/>
    <w:pPr>
      <w:spacing w:after="0" w:line="240" w:lineRule="auto"/>
    </w:pPr>
    <w:rPr>
      <w:rFonts w:ascii="Calibri" w:eastAsia="Times New Roman" w:hAnsi="Calibri"/>
      <w:color w:val="000000"/>
      <w:kern w:val="0"/>
      <w:sz w:val="22"/>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F2B52"/>
    <w:rPr>
      <w:sz w:val="16"/>
      <w:szCs w:val="16"/>
    </w:rPr>
  </w:style>
  <w:style w:type="paragraph" w:styleId="CommentText">
    <w:name w:val="annotation text"/>
    <w:basedOn w:val="Normal"/>
    <w:link w:val="CommentTextChar"/>
    <w:uiPriority w:val="99"/>
    <w:unhideWhenUsed/>
    <w:rsid w:val="008F2B52"/>
    <w:pPr>
      <w:spacing w:line="240" w:lineRule="auto"/>
    </w:pPr>
    <w:rPr>
      <w:sz w:val="20"/>
      <w:szCs w:val="20"/>
    </w:rPr>
  </w:style>
  <w:style w:type="character" w:customStyle="1" w:styleId="CommentTextChar">
    <w:name w:val="Comment Text Char"/>
    <w:basedOn w:val="DefaultParagraphFont"/>
    <w:link w:val="CommentText"/>
    <w:uiPriority w:val="99"/>
    <w:rsid w:val="008F2B52"/>
    <w:rPr>
      <w:sz w:val="20"/>
      <w:szCs w:val="20"/>
    </w:rPr>
  </w:style>
  <w:style w:type="paragraph" w:styleId="CommentSubject">
    <w:name w:val="annotation subject"/>
    <w:basedOn w:val="CommentText"/>
    <w:next w:val="CommentText"/>
    <w:link w:val="CommentSubjectChar"/>
    <w:uiPriority w:val="99"/>
    <w:semiHidden/>
    <w:unhideWhenUsed/>
    <w:rsid w:val="008F2B52"/>
    <w:rPr>
      <w:b/>
      <w:bCs/>
    </w:rPr>
  </w:style>
  <w:style w:type="character" w:customStyle="1" w:styleId="CommentSubjectChar">
    <w:name w:val="Comment Subject Char"/>
    <w:basedOn w:val="CommentTextChar"/>
    <w:link w:val="CommentSubject"/>
    <w:uiPriority w:val="99"/>
    <w:semiHidden/>
    <w:rsid w:val="008F2B52"/>
    <w:rPr>
      <w:b/>
      <w:bCs/>
      <w:sz w:val="20"/>
      <w:szCs w:val="20"/>
    </w:rPr>
  </w:style>
  <w:style w:type="paragraph" w:styleId="Revision">
    <w:name w:val="Revision"/>
    <w:hidden/>
    <w:uiPriority w:val="99"/>
    <w:semiHidden/>
    <w:rsid w:val="00BE575F"/>
    <w:pPr>
      <w:spacing w:after="0" w:line="240" w:lineRule="auto"/>
    </w:pPr>
  </w:style>
  <w:style w:type="paragraph" w:styleId="EndnoteText">
    <w:name w:val="endnote text"/>
    <w:basedOn w:val="Normal"/>
    <w:link w:val="EndnoteTextChar"/>
    <w:uiPriority w:val="99"/>
    <w:semiHidden/>
    <w:unhideWhenUsed/>
    <w:rsid w:val="00E40D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0DE3"/>
    <w:rPr>
      <w:sz w:val="20"/>
      <w:szCs w:val="20"/>
    </w:rPr>
  </w:style>
  <w:style w:type="character" w:styleId="EndnoteReference">
    <w:name w:val="endnote reference"/>
    <w:basedOn w:val="DefaultParagraphFont"/>
    <w:uiPriority w:val="99"/>
    <w:semiHidden/>
    <w:unhideWhenUsed/>
    <w:rsid w:val="00E40DE3"/>
    <w:rPr>
      <w:vertAlign w:val="superscript"/>
    </w:rPr>
  </w:style>
  <w:style w:type="character" w:customStyle="1" w:styleId="ui-provider">
    <w:name w:val="ui-provider"/>
    <w:basedOn w:val="DefaultParagraphFont"/>
    <w:rsid w:val="00BE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1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desa.un.org/issues/indigenous-peoples/system-wide-action-plan-swa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uments.un.org/doc/undoc/gen/n17/281/69/pdf/n1728169.pdf?token=nWWj0ETGfQhin9m44s&amp;fe=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un.org/doc/undoc/gen/g18/296/56/pdf/g1829656.pdf?token=5zjYHrBlxteKFBTXni&amp;fe=tru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calls-for-input/2022/call-submission-written-contribution-expert-workshop-possible-ways-enh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36F7-30CC-4964-B6A5-9CA255A83346}">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customXml/itemProps2.xml><?xml version="1.0" encoding="utf-8"?>
<ds:datastoreItem xmlns:ds="http://schemas.openxmlformats.org/officeDocument/2006/customXml" ds:itemID="{3D7E2A76-18F1-4FF3-9CB3-44729137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E36210-5B9D-4760-8297-B2A2A89903D8}">
  <ds:schemaRefs>
    <ds:schemaRef ds:uri="http://schemas.microsoft.com/sharepoint/v3/contenttype/forms"/>
  </ds:schemaRefs>
</ds:datastoreItem>
</file>

<file path=customXml/itemProps4.xml><?xml version="1.0" encoding="utf-8"?>
<ds:datastoreItem xmlns:ds="http://schemas.openxmlformats.org/officeDocument/2006/customXml" ds:itemID="{8D5ABEDC-1237-4D4A-93CF-80FA404D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6951</CharactersWithSpaces>
  <SharedDoc>false</SharedDoc>
  <HLinks>
    <vt:vector size="24" baseType="variant">
      <vt:variant>
        <vt:i4>3539060</vt:i4>
      </vt:variant>
      <vt:variant>
        <vt:i4>9</vt:i4>
      </vt:variant>
      <vt:variant>
        <vt:i4>0</vt:i4>
      </vt:variant>
      <vt:variant>
        <vt:i4>5</vt:i4>
      </vt:variant>
      <vt:variant>
        <vt:lpwstr>https://documents.un.org/doc/undoc/gen/g18/296/56/pdf/g1829656.pdf?token=5zjYHrBlxteKFBTXni&amp;fe=true</vt:lpwstr>
      </vt:variant>
      <vt:variant>
        <vt:lpwstr/>
      </vt:variant>
      <vt:variant>
        <vt:i4>589850</vt:i4>
      </vt:variant>
      <vt:variant>
        <vt:i4>6</vt:i4>
      </vt:variant>
      <vt:variant>
        <vt:i4>0</vt:i4>
      </vt:variant>
      <vt:variant>
        <vt:i4>5</vt:i4>
      </vt:variant>
      <vt:variant>
        <vt:lpwstr>https://social.desa.un.org/issues/indigenous-peoples/system-wide-action-plan-swap</vt:lpwstr>
      </vt:variant>
      <vt:variant>
        <vt:lpwstr/>
      </vt:variant>
      <vt:variant>
        <vt:i4>7078006</vt:i4>
      </vt:variant>
      <vt:variant>
        <vt:i4>3</vt:i4>
      </vt:variant>
      <vt:variant>
        <vt:i4>0</vt:i4>
      </vt:variant>
      <vt:variant>
        <vt:i4>5</vt:i4>
      </vt:variant>
      <vt:variant>
        <vt:lpwstr>https://documents.un.org/doc/undoc/gen/n17/281/69/pdf/n1728169.pdf?token=nWWj0ETGfQhin9m44s&amp;fe=true</vt:lpwstr>
      </vt:variant>
      <vt:variant>
        <vt:lpwstr/>
      </vt: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Atina Pamei Gaare</dc:creator>
  <cp:keywords/>
  <dc:description/>
  <cp:lastModifiedBy>Atina Pamei Gaare</cp:lastModifiedBy>
  <cp:revision>43</cp:revision>
  <dcterms:created xsi:type="dcterms:W3CDTF">2024-05-16T22:49:00Z</dcterms:created>
  <dcterms:modified xsi:type="dcterms:W3CDTF">2024-05-16T08:49:00Z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