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0B4D00" w:rsidRPr="00933D87" w14:paraId="7AA9F0F1" w14:textId="77777777" w:rsidTr="00B24F55">
        <w:trPr>
          <w:trHeight w:val="1440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44D0D" w14:textId="77777777" w:rsidR="000B4D00" w:rsidRPr="00406601" w:rsidRDefault="000B4D00" w:rsidP="00B24F55">
            <w:pPr>
              <w:widowControl w:val="0"/>
              <w:autoSpaceDE w:val="0"/>
              <w:autoSpaceDN w:val="0"/>
              <w:ind w:right="85"/>
              <w:jc w:val="both"/>
              <w:rPr>
                <w:rFonts w:cs="Arial"/>
                <w:lang w:eastAsia="en-GB"/>
              </w:rPr>
            </w:pPr>
            <w:r>
              <w:rPr>
                <w:rFonts w:cs="Arial"/>
                <w:noProof/>
                <w:lang w:eastAsia="en-GB"/>
              </w:rPr>
              <w:drawing>
                <wp:inline distT="0" distB="0" distL="0" distR="0" wp14:anchorId="648D49A1" wp14:editId="1B4E9DE7">
                  <wp:extent cx="1003300" cy="67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95CA1D2" w14:textId="77777777" w:rsidR="000B4D00" w:rsidRPr="003E791B" w:rsidRDefault="000B4D00" w:rsidP="00B24F55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3E791B">
              <w:rPr>
                <w:rFonts w:ascii="Times New Roman" w:hAnsi="Times New Roman" w:cs="Times New Roman"/>
                <w:lang w:eastAsia="en-GB"/>
              </w:rPr>
              <w:t>EUROPEAN UNION</w:t>
            </w:r>
          </w:p>
          <w:p w14:paraId="21B8D4AD" w14:textId="77777777" w:rsidR="000B4D00" w:rsidRPr="003E791B" w:rsidRDefault="000B4D00" w:rsidP="00B24F55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3E791B">
              <w:rPr>
                <w:rFonts w:ascii="Times New Roman" w:hAnsi="Times New Roman" w:cs="Times New Roman"/>
                <w:lang w:eastAsia="en-GB"/>
              </w:rPr>
              <w:t>Permanent Delegation to the United Nations Office</w:t>
            </w:r>
          </w:p>
          <w:p w14:paraId="4AC3AD17" w14:textId="77777777" w:rsidR="000B4D00" w:rsidRPr="003E791B" w:rsidRDefault="000B4D00" w:rsidP="00B24F55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3E791B">
              <w:rPr>
                <w:rFonts w:ascii="Times New Roman" w:hAnsi="Times New Roman" w:cs="Times New Roman"/>
                <w:lang w:eastAsia="en-GB"/>
              </w:rPr>
              <w:t xml:space="preserve">and other international organisations in Geneva </w:t>
            </w:r>
          </w:p>
          <w:p w14:paraId="4FD426B1" w14:textId="77777777" w:rsidR="000B4D00" w:rsidRPr="00933D87" w:rsidRDefault="000B4D00" w:rsidP="00B24F55">
            <w:pPr>
              <w:widowControl w:val="0"/>
              <w:autoSpaceDE w:val="0"/>
              <w:autoSpaceDN w:val="0"/>
              <w:ind w:right="85"/>
              <w:rPr>
                <w:rFonts w:cs="Arial"/>
                <w:sz w:val="20"/>
                <w:szCs w:val="20"/>
                <w:lang w:eastAsia="en-GB"/>
              </w:rPr>
            </w:pPr>
          </w:p>
          <w:p w14:paraId="18DD3E41" w14:textId="77777777" w:rsidR="000B4D00" w:rsidRPr="00933D87" w:rsidRDefault="000B4D00" w:rsidP="00B24F55">
            <w:pPr>
              <w:widowControl w:val="0"/>
              <w:autoSpaceDE w:val="0"/>
              <w:autoSpaceDN w:val="0"/>
              <w:ind w:right="85"/>
              <w:rPr>
                <w:rFonts w:cs="Arial"/>
                <w:sz w:val="20"/>
                <w:szCs w:val="20"/>
                <w:lang w:eastAsia="en-GB"/>
              </w:rPr>
            </w:pPr>
            <w:r w:rsidRPr="00933D87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77B1A66C" w14:textId="77777777" w:rsidR="00981EFC" w:rsidRPr="00981EFC" w:rsidRDefault="00981EFC" w:rsidP="00981EF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1EFC">
        <w:rPr>
          <w:rFonts w:ascii="Times New Roman" w:hAnsi="Times New Roman" w:cs="Times New Roman"/>
          <w:b/>
          <w:bCs/>
          <w:iCs/>
          <w:sz w:val="24"/>
          <w:szCs w:val="24"/>
        </w:rPr>
        <w:t>17th session of the Expert Mechanism on the Rights of Indigenous Peoples</w:t>
      </w:r>
    </w:p>
    <w:p w14:paraId="754A7FD5" w14:textId="77777777" w:rsidR="00981EFC" w:rsidRDefault="00981EFC" w:rsidP="00981EF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1EFC">
        <w:rPr>
          <w:rFonts w:ascii="Times New Roman" w:hAnsi="Times New Roman" w:cs="Times New Roman"/>
          <w:b/>
          <w:bCs/>
          <w:iCs/>
          <w:sz w:val="24"/>
          <w:szCs w:val="24"/>
        </w:rPr>
        <w:t>Item 7: International Decade of Indigenous Languages (2022-2032)</w:t>
      </w:r>
    </w:p>
    <w:p w14:paraId="4616FF4C" w14:textId="7159C832" w:rsidR="00FF63F2" w:rsidRDefault="00352127" w:rsidP="003521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4D00">
        <w:rPr>
          <w:rFonts w:ascii="Times New Roman" w:hAnsi="Times New Roman" w:cs="Times New Roman"/>
          <w:b/>
          <w:sz w:val="24"/>
          <w:szCs w:val="24"/>
          <w:lang w:val="en-US"/>
        </w:rPr>
        <w:t>11 July 2024</w:t>
      </w:r>
    </w:p>
    <w:p w14:paraId="1C621A9B" w14:textId="3E428926" w:rsidR="000B4D00" w:rsidRPr="000B4D00" w:rsidRDefault="000B4D00" w:rsidP="0035212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EU statement </w:t>
      </w:r>
    </w:p>
    <w:p w14:paraId="7B4CD641" w14:textId="77777777" w:rsidR="00352127" w:rsidRPr="003E12EA" w:rsidRDefault="00352127" w:rsidP="00352127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C47F09" w14:textId="77777777" w:rsidR="00FF63F2" w:rsidRPr="00704239" w:rsidRDefault="003E12EA" w:rsidP="0070423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3E12E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Distinguished Members of the Expert Mechanism, distinguished Indigenous representatives, </w:t>
      </w:r>
    </w:p>
    <w:p w14:paraId="064A6D31" w14:textId="61B6326E" w:rsidR="003E12EA" w:rsidRPr="003E12EA" w:rsidRDefault="00DF39D8" w:rsidP="00FF6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context of the decade of Indigenous Languages, the European Union underscores </w:t>
      </w:r>
      <w:r w:rsidR="007107B3">
        <w:rPr>
          <w:rFonts w:ascii="Times New Roman" w:hAnsi="Times New Roman" w:cs="Times New Roman"/>
          <w:sz w:val="24"/>
          <w:szCs w:val="24"/>
        </w:rPr>
        <w:t xml:space="preserve">its unwavering commitment to </w:t>
      </w:r>
      <w:r w:rsidRPr="003E12EA">
        <w:rPr>
          <w:rFonts w:ascii="Times New Roman" w:hAnsi="Times New Roman" w:cs="Times New Roman"/>
          <w:sz w:val="24"/>
          <w:szCs w:val="24"/>
        </w:rPr>
        <w:t>the rights of Indigenous Peoples</w:t>
      </w:r>
      <w:r w:rsidR="00EE259B" w:rsidRPr="00EE259B">
        <w:t xml:space="preserve"> </w:t>
      </w:r>
      <w:r w:rsidR="00EE259B" w:rsidRPr="00EE259B">
        <w:rPr>
          <w:rFonts w:ascii="Times New Roman" w:hAnsi="Times New Roman" w:cs="Times New Roman"/>
          <w:sz w:val="24"/>
          <w:szCs w:val="24"/>
        </w:rPr>
        <w:t>as set out in the UN Declaration on the Rights of Indigenous Peoples and international human rights law,</w:t>
      </w:r>
      <w:r w:rsidRPr="003E12EA">
        <w:rPr>
          <w:rFonts w:ascii="Times New Roman" w:hAnsi="Times New Roman" w:cs="Times New Roman"/>
          <w:sz w:val="24"/>
          <w:szCs w:val="24"/>
        </w:rPr>
        <w:t xml:space="preserve"> to revitalize,</w:t>
      </w:r>
      <w:r w:rsidR="00EE259B">
        <w:rPr>
          <w:rFonts w:ascii="Times New Roman" w:hAnsi="Times New Roman" w:cs="Times New Roman"/>
          <w:sz w:val="24"/>
          <w:szCs w:val="24"/>
        </w:rPr>
        <w:t xml:space="preserve"> </w:t>
      </w:r>
      <w:r w:rsidR="00EE259B" w:rsidRPr="00550290">
        <w:rPr>
          <w:rFonts w:ascii="Times New Roman" w:hAnsi="Times New Roman" w:cs="Times New Roman"/>
          <w:sz w:val="24"/>
          <w:szCs w:val="24"/>
        </w:rPr>
        <w:t>use, develop and transmit</w:t>
      </w:r>
      <w:r w:rsidRPr="003E12EA">
        <w:rPr>
          <w:rFonts w:ascii="Times New Roman" w:hAnsi="Times New Roman" w:cs="Times New Roman"/>
          <w:sz w:val="24"/>
          <w:szCs w:val="24"/>
        </w:rPr>
        <w:t xml:space="preserve"> their languages.</w:t>
      </w:r>
    </w:p>
    <w:p w14:paraId="704B9A02" w14:textId="5D1FF6D4" w:rsidR="00FF63F2" w:rsidRDefault="00FF63F2" w:rsidP="008B6FBE">
      <w:pPr>
        <w:jc w:val="both"/>
        <w:rPr>
          <w:rFonts w:ascii="Times New Roman" w:hAnsi="Times New Roman" w:cs="Times New Roman"/>
          <w:sz w:val="24"/>
          <w:szCs w:val="24"/>
        </w:rPr>
      </w:pPr>
      <w:r w:rsidRPr="003E12EA">
        <w:rPr>
          <w:rFonts w:ascii="Times New Roman" w:hAnsi="Times New Roman" w:cs="Times New Roman"/>
          <w:sz w:val="24"/>
          <w:szCs w:val="24"/>
        </w:rPr>
        <w:t xml:space="preserve">Indigenous </w:t>
      </w:r>
      <w:r w:rsidR="00937360">
        <w:rPr>
          <w:rFonts w:ascii="Times New Roman" w:hAnsi="Times New Roman" w:cs="Times New Roman"/>
          <w:sz w:val="24"/>
          <w:szCs w:val="24"/>
        </w:rPr>
        <w:t xml:space="preserve">Peoples’ </w:t>
      </w:r>
      <w:r w:rsidRPr="003E12EA">
        <w:rPr>
          <w:rFonts w:ascii="Times New Roman" w:hAnsi="Times New Roman" w:cs="Times New Roman"/>
          <w:sz w:val="24"/>
          <w:szCs w:val="24"/>
        </w:rPr>
        <w:t xml:space="preserve">languages are vital for the transmission of cultural knowledge, oral histories, and social values across generations. They </w:t>
      </w:r>
      <w:r w:rsidR="00704239">
        <w:rPr>
          <w:rFonts w:ascii="Times New Roman" w:eastAsia="Times New Roman" w:hAnsi="Times New Roman" w:cs="Times New Roman"/>
          <w:sz w:val="24"/>
          <w:szCs w:val="24"/>
          <w:lang w:val="en-US"/>
        </w:rPr>
        <w:t>also offer ecological insights and support</w:t>
      </w:r>
      <w:r w:rsidRPr="003E12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effective, culturally sensitive natural resource governance and</w:t>
      </w:r>
      <w:r w:rsidR="007042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promotion of</w:t>
      </w:r>
      <w:r w:rsidRPr="003E12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integrated and holistic environmental stewardship.</w:t>
      </w:r>
      <w:r w:rsidRPr="003E12EA">
        <w:rPr>
          <w:rFonts w:ascii="Times New Roman" w:hAnsi="Times New Roman" w:cs="Times New Roman"/>
          <w:sz w:val="24"/>
          <w:szCs w:val="24"/>
        </w:rPr>
        <w:t xml:space="preserve"> However, these languages are </w:t>
      </w:r>
      <w:r w:rsidR="008B6FBE">
        <w:rPr>
          <w:rFonts w:ascii="Times New Roman" w:hAnsi="Times New Roman" w:cs="Times New Roman"/>
          <w:sz w:val="24"/>
          <w:szCs w:val="24"/>
        </w:rPr>
        <w:t>increasingly endangered</w:t>
      </w:r>
      <w:r w:rsidRPr="003E12EA">
        <w:rPr>
          <w:rFonts w:ascii="Times New Roman" w:hAnsi="Times New Roman" w:cs="Times New Roman"/>
          <w:sz w:val="24"/>
          <w:szCs w:val="24"/>
        </w:rPr>
        <w:t xml:space="preserve"> with </w:t>
      </w:r>
      <w:r w:rsidR="008B6FBE">
        <w:rPr>
          <w:rFonts w:ascii="Times New Roman" w:hAnsi="Times New Roman" w:cs="Times New Roman"/>
          <w:sz w:val="24"/>
          <w:szCs w:val="24"/>
        </w:rPr>
        <w:t xml:space="preserve">some at the brink of extinction. </w:t>
      </w:r>
      <w:r w:rsidR="004B6066">
        <w:rPr>
          <w:rFonts w:ascii="Times New Roman" w:hAnsi="Times New Roman" w:cs="Times New Roman"/>
          <w:sz w:val="24"/>
          <w:szCs w:val="24"/>
        </w:rPr>
        <w:t>Every single</w:t>
      </w:r>
      <w:r w:rsidR="008B6FBE">
        <w:rPr>
          <w:rFonts w:ascii="Times New Roman" w:hAnsi="Times New Roman" w:cs="Times New Roman"/>
          <w:sz w:val="24"/>
          <w:szCs w:val="24"/>
        </w:rPr>
        <w:t xml:space="preserve"> loss of an </w:t>
      </w:r>
      <w:r w:rsidR="004B6066">
        <w:rPr>
          <w:rFonts w:ascii="Times New Roman" w:hAnsi="Times New Roman" w:cs="Times New Roman"/>
          <w:sz w:val="24"/>
          <w:szCs w:val="24"/>
        </w:rPr>
        <w:t>I</w:t>
      </w:r>
      <w:r w:rsidR="008B6FBE">
        <w:rPr>
          <w:rFonts w:ascii="Times New Roman" w:hAnsi="Times New Roman" w:cs="Times New Roman"/>
          <w:sz w:val="24"/>
          <w:szCs w:val="24"/>
        </w:rPr>
        <w:t xml:space="preserve">ndigenous language represents a significant cultural and intellectual impoverishment for humanity as a whole. </w:t>
      </w:r>
    </w:p>
    <w:p w14:paraId="1F603B2F" w14:textId="0732770B" w:rsidR="007107B3" w:rsidRPr="003E12EA" w:rsidRDefault="007107B3" w:rsidP="008B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</w:t>
      </w:r>
      <w:r w:rsidR="00D11E32">
        <w:rPr>
          <w:rFonts w:ascii="Times New Roman" w:hAnsi="Times New Roman" w:cs="Times New Roman"/>
          <w:sz w:val="24"/>
          <w:szCs w:val="24"/>
        </w:rPr>
        <w:t>e, the EU</w:t>
      </w:r>
      <w:r>
        <w:rPr>
          <w:rFonts w:ascii="Times New Roman" w:hAnsi="Times New Roman" w:cs="Times New Roman"/>
          <w:sz w:val="24"/>
          <w:szCs w:val="24"/>
        </w:rPr>
        <w:t xml:space="preserve"> underscores the importance of providing access for I</w:t>
      </w:r>
      <w:r w:rsidRPr="00DF39D8">
        <w:rPr>
          <w:rFonts w:ascii="Times New Roman" w:hAnsi="Times New Roman" w:cs="Times New Roman"/>
          <w:sz w:val="24"/>
          <w:szCs w:val="24"/>
        </w:rPr>
        <w:t>ndigenous children to education</w:t>
      </w:r>
      <w:r>
        <w:rPr>
          <w:rFonts w:ascii="Times New Roman" w:hAnsi="Times New Roman" w:cs="Times New Roman"/>
          <w:sz w:val="24"/>
          <w:szCs w:val="24"/>
        </w:rPr>
        <w:t xml:space="preserve"> and culture</w:t>
      </w:r>
      <w:r w:rsidRPr="00DF39D8">
        <w:rPr>
          <w:rFonts w:ascii="Times New Roman" w:hAnsi="Times New Roman" w:cs="Times New Roman"/>
          <w:sz w:val="24"/>
          <w:szCs w:val="24"/>
        </w:rPr>
        <w:t xml:space="preserve"> in their own language. This approach is crucial for preserving linguistic diversity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DF39D8">
        <w:rPr>
          <w:rFonts w:ascii="Times New Roman" w:hAnsi="Times New Roman" w:cs="Times New Roman"/>
          <w:sz w:val="24"/>
          <w:szCs w:val="24"/>
        </w:rPr>
        <w:t>for fostering a sense of identity and belonging. Education in t</w:t>
      </w:r>
      <w:r>
        <w:rPr>
          <w:rFonts w:ascii="Times New Roman" w:hAnsi="Times New Roman" w:cs="Times New Roman"/>
          <w:sz w:val="24"/>
          <w:szCs w:val="24"/>
        </w:rPr>
        <w:t xml:space="preserve">heir </w:t>
      </w:r>
      <w:r w:rsidR="00937360">
        <w:rPr>
          <w:rFonts w:ascii="Times New Roman" w:hAnsi="Times New Roman" w:cs="Times New Roman"/>
          <w:sz w:val="24"/>
          <w:szCs w:val="24"/>
        </w:rPr>
        <w:t>own</w:t>
      </w:r>
      <w:r>
        <w:rPr>
          <w:rFonts w:ascii="Times New Roman" w:hAnsi="Times New Roman" w:cs="Times New Roman"/>
          <w:sz w:val="24"/>
          <w:szCs w:val="24"/>
        </w:rPr>
        <w:t xml:space="preserve"> languages</w:t>
      </w:r>
      <w:r w:rsidR="00937360">
        <w:rPr>
          <w:rFonts w:ascii="Times New Roman" w:hAnsi="Times New Roman" w:cs="Times New Roman"/>
          <w:sz w:val="24"/>
          <w:szCs w:val="24"/>
        </w:rPr>
        <w:t>, is not only  a right set out in UNDRIP, but also</w:t>
      </w:r>
      <w:r>
        <w:rPr>
          <w:rFonts w:ascii="Times New Roman" w:hAnsi="Times New Roman" w:cs="Times New Roman"/>
          <w:sz w:val="24"/>
          <w:szCs w:val="24"/>
        </w:rPr>
        <w:t xml:space="preserve"> empowers I</w:t>
      </w:r>
      <w:r w:rsidRPr="00DF39D8">
        <w:rPr>
          <w:rFonts w:ascii="Times New Roman" w:hAnsi="Times New Roman" w:cs="Times New Roman"/>
          <w:sz w:val="24"/>
          <w:szCs w:val="24"/>
        </w:rPr>
        <w:t>ndigenous children to connect with their heritage, ensuring the transmission of</w:t>
      </w:r>
      <w:r w:rsidR="00D11E32">
        <w:rPr>
          <w:rFonts w:ascii="Times New Roman" w:hAnsi="Times New Roman" w:cs="Times New Roman"/>
          <w:sz w:val="24"/>
          <w:szCs w:val="24"/>
        </w:rPr>
        <w:t xml:space="preserve"> knowledge, values</w:t>
      </w:r>
      <w:r w:rsidRPr="00DF39D8">
        <w:rPr>
          <w:rFonts w:ascii="Times New Roman" w:hAnsi="Times New Roman" w:cs="Times New Roman"/>
          <w:sz w:val="24"/>
          <w:szCs w:val="24"/>
        </w:rPr>
        <w:t xml:space="preserve"> and customs.</w:t>
      </w:r>
    </w:p>
    <w:p w14:paraId="49CB48AC" w14:textId="77777777" w:rsidR="00FF63F2" w:rsidRPr="003E12EA" w:rsidRDefault="00704239" w:rsidP="00FF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Distinguished Members of the Expert Mechanism,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04239">
        <w:rPr>
          <w:rFonts w:ascii="Times New Roman" w:hAnsi="Times New Roman" w:cs="Times New Roman"/>
          <w:sz w:val="24"/>
          <w:szCs w:val="24"/>
        </w:rPr>
        <w:t xml:space="preserve">As the </w:t>
      </w:r>
      <w:r>
        <w:rPr>
          <w:rFonts w:ascii="Times New Roman" w:hAnsi="Times New Roman" w:cs="Times New Roman"/>
          <w:sz w:val="24"/>
          <w:szCs w:val="24"/>
        </w:rPr>
        <w:t>decade of Indigenous Languages</w:t>
      </w:r>
      <w:r w:rsidRPr="00704239">
        <w:rPr>
          <w:rFonts w:ascii="Times New Roman" w:hAnsi="Times New Roman" w:cs="Times New Roman"/>
          <w:sz w:val="24"/>
          <w:szCs w:val="24"/>
        </w:rPr>
        <w:t xml:space="preserve"> progresses towards the end of its first three years</w:t>
      </w:r>
      <w:r>
        <w:rPr>
          <w:rFonts w:ascii="Times New Roman" w:hAnsi="Times New Roman" w:cs="Times New Roman"/>
          <w:sz w:val="24"/>
          <w:szCs w:val="24"/>
        </w:rPr>
        <w:t xml:space="preserve">, what key lessons from </w:t>
      </w:r>
      <w:r w:rsidRPr="00704239">
        <w:rPr>
          <w:rFonts w:ascii="Times New Roman" w:hAnsi="Times New Roman" w:cs="Times New Roman"/>
          <w:sz w:val="24"/>
          <w:szCs w:val="24"/>
        </w:rPr>
        <w:t>the Global Action Plan of the International Decade of Indigenous Languages</w:t>
      </w:r>
      <w:r>
        <w:rPr>
          <w:rFonts w:ascii="Times New Roman" w:hAnsi="Times New Roman" w:cs="Times New Roman"/>
          <w:sz w:val="24"/>
          <w:szCs w:val="24"/>
        </w:rPr>
        <w:t xml:space="preserve"> can </w:t>
      </w:r>
      <w:r w:rsidR="00544C01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 xml:space="preserve">share with regards to education in Indigenous languages? </w:t>
      </w:r>
    </w:p>
    <w:p w14:paraId="16AFDD15" w14:textId="77777777" w:rsidR="00D11E32" w:rsidRDefault="00D11E32" w:rsidP="00FF63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thank you. </w:t>
      </w:r>
    </w:p>
    <w:p w14:paraId="73C12600" w14:textId="77777777" w:rsidR="00DF39D8" w:rsidRPr="003E12EA" w:rsidRDefault="00DF39D8" w:rsidP="00FF63F2">
      <w:pPr>
        <w:rPr>
          <w:rFonts w:ascii="Times New Roman" w:hAnsi="Times New Roman" w:cs="Times New Roman"/>
          <w:sz w:val="24"/>
          <w:szCs w:val="24"/>
        </w:rPr>
      </w:pPr>
    </w:p>
    <w:sectPr w:rsidR="00DF39D8" w:rsidRPr="003E1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A2704"/>
    <w:rsid w:val="00063C82"/>
    <w:rsid w:val="000B4D00"/>
    <w:rsid w:val="00352127"/>
    <w:rsid w:val="003E12EA"/>
    <w:rsid w:val="00411967"/>
    <w:rsid w:val="004B6066"/>
    <w:rsid w:val="00544C01"/>
    <w:rsid w:val="00566235"/>
    <w:rsid w:val="00670F03"/>
    <w:rsid w:val="00704239"/>
    <w:rsid w:val="007107B3"/>
    <w:rsid w:val="007A2704"/>
    <w:rsid w:val="008B6FBE"/>
    <w:rsid w:val="00937360"/>
    <w:rsid w:val="009618DD"/>
    <w:rsid w:val="00981EFC"/>
    <w:rsid w:val="00B24CD9"/>
    <w:rsid w:val="00BC2EC1"/>
    <w:rsid w:val="00BD4CF3"/>
    <w:rsid w:val="00BF2937"/>
    <w:rsid w:val="00D11E32"/>
    <w:rsid w:val="00D92E97"/>
    <w:rsid w:val="00DF39D8"/>
    <w:rsid w:val="00EC65ED"/>
    <w:rsid w:val="00ED4B25"/>
    <w:rsid w:val="00EE259B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938B"/>
  <w15:chartTrackingRefBased/>
  <w15:docId w15:val="{A07F362E-1DDB-4B56-A17B-0D303B26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6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0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6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B4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CD49F4-CB1B-4983-BF1E-4284900FEBAB}"/>
</file>

<file path=customXml/itemProps2.xml><?xml version="1.0" encoding="utf-8"?>
<ds:datastoreItem xmlns:ds="http://schemas.openxmlformats.org/officeDocument/2006/customXml" ds:itemID="{B049E778-371D-48AC-93BA-6D9C43758F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Nanna (EEAS-GENEVA)</dc:creator>
  <cp:keywords/>
  <dc:description/>
  <cp:lastModifiedBy>Mael Paul Maurice Ravaz</cp:lastModifiedBy>
  <cp:revision>2</cp:revision>
  <dcterms:created xsi:type="dcterms:W3CDTF">2024-07-19T12:45:00Z</dcterms:created>
  <dcterms:modified xsi:type="dcterms:W3CDTF">2024-07-19T12:45:00Z</dcterms:modified>
</cp:coreProperties>
</file>