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80059" w14:textId="77777777" w:rsidR="000A79E0" w:rsidRDefault="000A79E0"/>
    <w:p w14:paraId="1086FFB4" w14:textId="77777777" w:rsidR="000A79E0" w:rsidRPr="00DD0C73" w:rsidRDefault="000A79E0" w:rsidP="00EF1C19">
      <w:pPr>
        <w:spacing w:after="0" w:line="264" w:lineRule="auto"/>
        <w:jc w:val="center"/>
        <w:rPr>
          <w:rFonts w:cstheme="minorHAnsi"/>
          <w:b/>
          <w:lang w:val="en-GB"/>
        </w:rPr>
      </w:pPr>
      <w:r w:rsidRPr="00DD0C73">
        <w:rPr>
          <w:rFonts w:cstheme="minorHAnsi"/>
          <w:b/>
          <w:lang w:val="en-GB"/>
        </w:rPr>
        <w:t>Expert Mechanism on the Rights of Indigenous Peoples</w:t>
      </w:r>
    </w:p>
    <w:p w14:paraId="260C4DFF" w14:textId="77777777" w:rsidR="000A79E0" w:rsidRPr="00DD0C73" w:rsidRDefault="000A79E0" w:rsidP="00EF1C19">
      <w:pPr>
        <w:spacing w:after="0" w:line="264" w:lineRule="auto"/>
        <w:jc w:val="center"/>
        <w:rPr>
          <w:rFonts w:cstheme="minorHAnsi"/>
          <w:b/>
          <w:lang w:val="en-GB"/>
        </w:rPr>
      </w:pPr>
      <w:r w:rsidRPr="00DD0C73">
        <w:rPr>
          <w:rFonts w:cstheme="minorHAnsi"/>
          <w:b/>
          <w:lang w:val="en-GB"/>
        </w:rPr>
        <w:t>Sixteenth session 17-21 July, 2023</w:t>
      </w:r>
    </w:p>
    <w:p w14:paraId="4118EC8E" w14:textId="4F5A63C8" w:rsidR="000A79E0" w:rsidRPr="00DD0C73" w:rsidRDefault="000A79E0" w:rsidP="00EF1C19">
      <w:pPr>
        <w:spacing w:after="0" w:line="264" w:lineRule="auto"/>
        <w:jc w:val="center"/>
        <w:rPr>
          <w:rFonts w:cstheme="minorHAnsi"/>
          <w:b/>
          <w:lang w:val="en-GB"/>
        </w:rPr>
      </w:pPr>
      <w:r w:rsidRPr="000A79E0">
        <w:rPr>
          <w:rFonts w:cstheme="minorHAnsi"/>
          <w:b/>
          <w:lang w:val="en-GB"/>
        </w:rPr>
        <w:t xml:space="preserve">Item </w:t>
      </w:r>
      <w:r w:rsidR="00EF1C19">
        <w:rPr>
          <w:rFonts w:cstheme="minorHAnsi"/>
          <w:b/>
          <w:shd w:val="clear" w:color="auto" w:fill="FFFFFF" w:themeFill="background1"/>
          <w:lang w:val="en-GB"/>
        </w:rPr>
        <w:t>5:</w:t>
      </w:r>
      <w:r w:rsidRPr="000A79E0">
        <w:rPr>
          <w:rFonts w:cstheme="minorHAnsi"/>
          <w:b/>
          <w:lang w:val="en-GB"/>
        </w:rPr>
        <w:t xml:space="preserve"> </w:t>
      </w:r>
      <w:r w:rsidR="00EF1C19" w:rsidRPr="00EF1C19">
        <w:rPr>
          <w:rFonts w:ascii="Calibri" w:hAnsi="Calibri" w:cs="Calibri"/>
          <w:b/>
          <w:bCs/>
          <w:i/>
          <w:iCs/>
          <w:color w:val="000000"/>
          <w:sz w:val="23"/>
          <w:szCs w:val="23"/>
        </w:rPr>
        <w:t>United Nations Declaration on the Rights of Indigenous Peoples:</w:t>
      </w:r>
      <w:r w:rsidR="00EF1C19" w:rsidRPr="00EF1C19"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r w:rsidR="00EF1C19" w:rsidRPr="00EF1C19">
        <w:rPr>
          <w:rFonts w:ascii="Calibri" w:hAnsi="Calibri" w:cs="Calibri"/>
          <w:b/>
          <w:bCs/>
          <w:i/>
          <w:iCs/>
          <w:color w:val="000000"/>
          <w:sz w:val="23"/>
          <w:szCs w:val="23"/>
        </w:rPr>
        <w:t xml:space="preserve">Interactive dialogue with UNPFII, the Special Rapporteur on the Rights of Indigenous Peoples, and the UN Voluntary Fund for Indigenous Peoples and </w:t>
      </w:r>
      <w:r w:rsidR="00EF1C19">
        <w:rPr>
          <w:rFonts w:ascii="Calibri" w:hAnsi="Calibri" w:cs="Calibri"/>
          <w:b/>
          <w:bCs/>
          <w:i/>
          <w:iCs/>
          <w:color w:val="000000"/>
          <w:sz w:val="23"/>
          <w:szCs w:val="23"/>
        </w:rPr>
        <w:t>members of the United Nations Treaty Bodies</w:t>
      </w:r>
    </w:p>
    <w:p w14:paraId="7437D0E9" w14:textId="6D39896E" w:rsidR="000A79E0" w:rsidRPr="00DD0C73" w:rsidRDefault="000A79E0" w:rsidP="00EF1C19">
      <w:pPr>
        <w:spacing w:after="0" w:line="264" w:lineRule="auto"/>
        <w:jc w:val="center"/>
        <w:rPr>
          <w:rFonts w:cstheme="minorHAnsi"/>
          <w:b/>
          <w:lang w:val="en-GB"/>
        </w:rPr>
      </w:pPr>
      <w:r w:rsidRPr="00DD0C73">
        <w:rPr>
          <w:rFonts w:cstheme="minorHAnsi"/>
          <w:b/>
          <w:lang w:val="en-GB"/>
        </w:rPr>
        <w:t xml:space="preserve">Statement by Indigenous Peoples Rights International </w:t>
      </w:r>
      <w:r w:rsidR="00EF1C19">
        <w:rPr>
          <w:rFonts w:cstheme="minorHAnsi"/>
          <w:b/>
          <w:lang w:val="en-GB"/>
        </w:rPr>
        <w:t>/IWGIA/Deusto University?</w:t>
      </w:r>
    </w:p>
    <w:p w14:paraId="1C5665DF" w14:textId="77777777" w:rsidR="000A79E0" w:rsidRDefault="000A79E0" w:rsidP="000A79E0">
      <w:pPr>
        <w:spacing w:after="120" w:line="264" w:lineRule="auto"/>
        <w:jc w:val="both"/>
        <w:rPr>
          <w:rFonts w:ascii="Times New Roman" w:hAnsi="Times New Roman" w:cs="Times New Roman"/>
          <w:lang w:val="en-GB"/>
        </w:rPr>
      </w:pPr>
    </w:p>
    <w:p w14:paraId="488DBB8A" w14:textId="3E51F271" w:rsidR="000A79E0" w:rsidRPr="00EF1C19" w:rsidRDefault="000A79E0" w:rsidP="00EF1C19">
      <w:pPr>
        <w:tabs>
          <w:tab w:val="left" w:pos="1530"/>
        </w:tabs>
        <w:spacing w:after="120" w:line="264" w:lineRule="auto"/>
        <w:rPr>
          <w:rFonts w:cstheme="minorHAnsi"/>
          <w:b/>
          <w:bCs/>
          <w:sz w:val="28"/>
          <w:szCs w:val="28"/>
        </w:rPr>
      </w:pPr>
      <w:r w:rsidRPr="00DD0C73">
        <w:rPr>
          <w:rFonts w:cstheme="minorHAnsi"/>
          <w:lang w:val="en-GB"/>
        </w:rPr>
        <w:t>Members of the Expert Mechanism,</w:t>
      </w:r>
      <w:r w:rsidR="00EF1C19">
        <w:rPr>
          <w:rFonts w:cstheme="minorHAnsi"/>
          <w:b/>
          <w:bCs/>
          <w:sz w:val="28"/>
          <w:szCs w:val="28"/>
        </w:rPr>
        <w:t xml:space="preserve"> </w:t>
      </w:r>
      <w:r>
        <w:t>I</w:t>
      </w:r>
      <w:r w:rsidRPr="00783C99">
        <w:t xml:space="preserve">ndigenous Peoples Rights International </w:t>
      </w:r>
      <w:r w:rsidR="005D1DE1">
        <w:t xml:space="preserve">welcomes and </w:t>
      </w:r>
      <w:r w:rsidRPr="00783C99">
        <w:t xml:space="preserve">highlights the importance of </w:t>
      </w:r>
      <w:r>
        <w:t xml:space="preserve">maintaining and enhancing interactive dialogue with the </w:t>
      </w:r>
      <w:r w:rsidR="007D46F5">
        <w:t xml:space="preserve">ten </w:t>
      </w:r>
      <w:r>
        <w:t xml:space="preserve">treaty bodies. </w:t>
      </w:r>
    </w:p>
    <w:p w14:paraId="1482252A" w14:textId="3CBB9AE2" w:rsidR="007D46F5" w:rsidRDefault="000A79E0" w:rsidP="00EF1C19">
      <w:pPr>
        <w:jc w:val="both"/>
        <w:rPr>
          <w:iCs/>
        </w:rPr>
      </w:pPr>
      <w:r>
        <w:t xml:space="preserve">In February 2024, </w:t>
      </w:r>
      <w:r w:rsidR="007D46F5">
        <w:t>IP</w:t>
      </w:r>
      <w:r w:rsidR="008958B9">
        <w:t>R</w:t>
      </w:r>
      <w:r w:rsidR="007D46F5">
        <w:t>I</w:t>
      </w:r>
      <w:r w:rsidR="00EF1C19">
        <w:t xml:space="preserve">, </w:t>
      </w:r>
      <w:r w:rsidR="007D46F5">
        <w:t>IWGIA</w:t>
      </w:r>
      <w:r w:rsidR="00EF1C19">
        <w:t xml:space="preserve"> in collaboration with Deusto University</w:t>
      </w:r>
      <w:r w:rsidR="007D46F5">
        <w:t xml:space="preserve"> supported a meeting of key </w:t>
      </w:r>
      <w:r>
        <w:t>OHCHR</w:t>
      </w:r>
      <w:r w:rsidR="007D46F5">
        <w:t xml:space="preserve"> staff</w:t>
      </w:r>
      <w:r>
        <w:t xml:space="preserve">, various members of the treaty bodies, </w:t>
      </w:r>
      <w:r w:rsidR="005D1DE1">
        <w:t xml:space="preserve">and </w:t>
      </w:r>
      <w:r>
        <w:t>experts on Indigenous Peoples’ rights, including the Chairperson of EMRIP</w:t>
      </w:r>
      <w:r w:rsidR="007D46F5">
        <w:t>. For thr</w:t>
      </w:r>
      <w:r>
        <w:t>ee days</w:t>
      </w:r>
      <w:r w:rsidR="007D46F5">
        <w:t>, we</w:t>
      </w:r>
      <w:r>
        <w:t xml:space="preserve"> discuss</w:t>
      </w:r>
      <w:r w:rsidR="005D1DE1">
        <w:t>ed</w:t>
      </w:r>
      <w:r>
        <w:t xml:space="preserve"> </w:t>
      </w:r>
      <w:r w:rsidR="00D74159">
        <w:t>treaty bodies’ practice on Indigenous Peoples’ rights</w:t>
      </w:r>
      <w:r w:rsidR="005D1DE1">
        <w:t>, concluding with</w:t>
      </w:r>
      <w:r w:rsidR="00D74159">
        <w:t xml:space="preserve"> </w:t>
      </w:r>
      <w:r w:rsidR="00D74159">
        <w:rPr>
          <w:lang w:val="en-GB"/>
        </w:rPr>
        <w:t xml:space="preserve">recommendations </w:t>
      </w:r>
      <w:r w:rsidR="00D74159" w:rsidRPr="00D74159">
        <w:rPr>
          <w:iCs/>
        </w:rPr>
        <w:t xml:space="preserve">to further consistency, </w:t>
      </w:r>
      <w:r w:rsidR="005D1DE1">
        <w:rPr>
          <w:iCs/>
        </w:rPr>
        <w:t>t</w:t>
      </w:r>
      <w:r w:rsidR="008958B9">
        <w:rPr>
          <w:iCs/>
        </w:rPr>
        <w:t>o</w:t>
      </w:r>
      <w:r w:rsidR="005D1DE1">
        <w:rPr>
          <w:iCs/>
        </w:rPr>
        <w:t xml:space="preserve"> </w:t>
      </w:r>
      <w:r w:rsidR="00D74159" w:rsidRPr="00D74159">
        <w:rPr>
          <w:iCs/>
        </w:rPr>
        <w:t xml:space="preserve">identify gaps and obstacles, and to </w:t>
      </w:r>
      <w:r w:rsidR="007D46F5">
        <w:rPr>
          <w:iCs/>
        </w:rPr>
        <w:t xml:space="preserve">foster </w:t>
      </w:r>
      <w:r w:rsidR="005D1DE1">
        <w:rPr>
          <w:iCs/>
        </w:rPr>
        <w:t xml:space="preserve">further </w:t>
      </w:r>
      <w:r w:rsidR="00D74159" w:rsidRPr="00D74159">
        <w:rPr>
          <w:iCs/>
        </w:rPr>
        <w:t>progress</w:t>
      </w:r>
      <w:r w:rsidR="00D74159">
        <w:rPr>
          <w:iCs/>
        </w:rPr>
        <w:t xml:space="preserve">. </w:t>
      </w:r>
    </w:p>
    <w:p w14:paraId="71741D29" w14:textId="078BA3E0" w:rsidR="000A79E0" w:rsidRDefault="007D46F5" w:rsidP="00EF1C19">
      <w:pPr>
        <w:jc w:val="both"/>
      </w:pPr>
      <w:r>
        <w:rPr>
          <w:iCs/>
        </w:rPr>
        <w:t xml:space="preserve">We </w:t>
      </w:r>
      <w:r w:rsidR="00D74159">
        <w:rPr>
          <w:iCs/>
        </w:rPr>
        <w:t>especially discussed</w:t>
      </w:r>
      <w:r w:rsidR="000A79E0">
        <w:t xml:space="preserve"> </w:t>
      </w:r>
      <w:r w:rsidR="005D1DE1">
        <w:t xml:space="preserve">the advances </w:t>
      </w:r>
      <w:r w:rsidR="000A79E0">
        <w:t xml:space="preserve">being made by the treaty bodies </w:t>
      </w:r>
      <w:r w:rsidR="00D74159">
        <w:t>to</w:t>
      </w:r>
      <w:r w:rsidR="000A79E0">
        <w:t xml:space="preserve"> us</w:t>
      </w:r>
      <w:r w:rsidR="00D74159">
        <w:t>e</w:t>
      </w:r>
      <w:r w:rsidR="000A79E0">
        <w:t xml:space="preserve"> UNDRIP a</w:t>
      </w:r>
      <w:r w:rsidR="00D74159">
        <w:t>s</w:t>
      </w:r>
      <w:r w:rsidR="000A79E0">
        <w:t xml:space="preserve"> </w:t>
      </w:r>
      <w:r w:rsidR="00D74159">
        <w:t xml:space="preserve">a </w:t>
      </w:r>
      <w:r w:rsidR="000A79E0">
        <w:t xml:space="preserve">key interpretative aid when assessing </w:t>
      </w:r>
      <w:r w:rsidR="008958B9">
        <w:t>S</w:t>
      </w:r>
      <w:r w:rsidR="000A79E0">
        <w:t xml:space="preserve">tate obligations. For instance, </w:t>
      </w:r>
      <w:r w:rsidR="00D74159">
        <w:t>those present</w:t>
      </w:r>
      <w:r w:rsidR="000A79E0">
        <w:t xml:space="preserve"> recalled: </w:t>
      </w:r>
    </w:p>
    <w:p w14:paraId="0C3ADCDF" w14:textId="569404DE" w:rsidR="007D46F5" w:rsidRDefault="008958B9" w:rsidP="005D1DE1">
      <w:pPr>
        <w:pStyle w:val="ListParagraph"/>
        <w:numPr>
          <w:ilvl w:val="0"/>
          <w:numId w:val="1"/>
        </w:numPr>
        <w:ind w:left="450"/>
        <w:jc w:val="both"/>
      </w:pPr>
      <w:r>
        <w:t xml:space="preserve">that </w:t>
      </w:r>
      <w:r w:rsidR="000A79E0">
        <w:t>CERD</w:t>
      </w:r>
      <w:r>
        <w:t>, CEDAW</w:t>
      </w:r>
      <w:r w:rsidR="000A79E0">
        <w:t xml:space="preserve"> and the </w:t>
      </w:r>
      <w:r>
        <w:t xml:space="preserve">Human Rights Committee </w:t>
      </w:r>
      <w:r w:rsidR="000A79E0">
        <w:t xml:space="preserve">are </w:t>
      </w:r>
      <w:r w:rsidR="007D46F5">
        <w:t>now often</w:t>
      </w:r>
      <w:r w:rsidR="000A79E0">
        <w:t xml:space="preserve"> using UNDRIP </w:t>
      </w:r>
      <w:r>
        <w:t xml:space="preserve">in their </w:t>
      </w:r>
      <w:r w:rsidR="000A79E0">
        <w:t xml:space="preserve">decisions on communications; </w:t>
      </w:r>
    </w:p>
    <w:p w14:paraId="6A2C5BD9" w14:textId="4813367C" w:rsidR="000A79E0" w:rsidRDefault="000A79E0" w:rsidP="005D1DE1">
      <w:pPr>
        <w:pStyle w:val="ListParagraph"/>
        <w:numPr>
          <w:ilvl w:val="0"/>
          <w:numId w:val="1"/>
        </w:numPr>
        <w:ind w:left="450"/>
        <w:jc w:val="both"/>
      </w:pPr>
      <w:r>
        <w:t xml:space="preserve">that the </w:t>
      </w:r>
      <w:r w:rsidRPr="000A79E0">
        <w:t>CESCR repeatedly cite</w:t>
      </w:r>
      <w:r w:rsidR="005D1DE1">
        <w:t>d</w:t>
      </w:r>
      <w:r w:rsidRPr="000A79E0">
        <w:t xml:space="preserve"> eleven UNDRIP articles</w:t>
      </w:r>
      <w:r w:rsidR="005D1DE1" w:rsidRPr="005D1DE1">
        <w:t xml:space="preserve"> in its three most recent general comment</w:t>
      </w:r>
      <w:r w:rsidR="005D1DE1">
        <w:t>s</w:t>
      </w:r>
      <w:r>
        <w:t>;</w:t>
      </w:r>
    </w:p>
    <w:p w14:paraId="3D7EC0BE" w14:textId="5EE25F25" w:rsidR="000A79E0" w:rsidRDefault="005D1DE1" w:rsidP="005D1DE1">
      <w:pPr>
        <w:pStyle w:val="ListParagraph"/>
        <w:numPr>
          <w:ilvl w:val="0"/>
          <w:numId w:val="1"/>
        </w:numPr>
        <w:ind w:left="450"/>
        <w:jc w:val="both"/>
      </w:pPr>
      <w:r>
        <w:t xml:space="preserve">that </w:t>
      </w:r>
      <w:r w:rsidR="000A79E0" w:rsidRPr="000A79E0">
        <w:t>CEDAW</w:t>
      </w:r>
      <w:r>
        <w:t>’s General Recommendation 39</w:t>
      </w:r>
      <w:r w:rsidR="000A79E0" w:rsidRPr="000A79E0">
        <w:t xml:space="preserve"> </w:t>
      </w:r>
      <w:r w:rsidR="008958B9">
        <w:t xml:space="preserve">concludes </w:t>
      </w:r>
      <w:r w:rsidR="000A79E0" w:rsidRPr="000A79E0">
        <w:t>that UNDRIP is “an authoritative framework</w:t>
      </w:r>
      <w:r>
        <w:t>”</w:t>
      </w:r>
      <w:r w:rsidR="000A79E0" w:rsidRPr="000A79E0">
        <w:t xml:space="preserve"> for interpreting State party obligations</w:t>
      </w:r>
      <w:r w:rsidR="000A79E0">
        <w:t xml:space="preserve">; and </w:t>
      </w:r>
    </w:p>
    <w:p w14:paraId="7D91C408" w14:textId="78B87EAD" w:rsidR="000A79E0" w:rsidRDefault="000A79E0" w:rsidP="005D1DE1">
      <w:pPr>
        <w:pStyle w:val="ListParagraph"/>
        <w:numPr>
          <w:ilvl w:val="0"/>
          <w:numId w:val="1"/>
        </w:numPr>
        <w:ind w:left="450"/>
        <w:jc w:val="both"/>
      </w:pPr>
      <w:r>
        <w:t xml:space="preserve">that this practice is mirrored in </w:t>
      </w:r>
      <w:r w:rsidR="005D1DE1">
        <w:t>various</w:t>
      </w:r>
      <w:r>
        <w:t xml:space="preserve"> decisions and judgments </w:t>
      </w:r>
      <w:r w:rsidR="005D1DE1">
        <w:t>in</w:t>
      </w:r>
      <w:r>
        <w:t xml:space="preserve"> the African and Inter-American regional systems. </w:t>
      </w:r>
    </w:p>
    <w:p w14:paraId="7FA7099E" w14:textId="5D9BFD0D" w:rsidR="00D74159" w:rsidRDefault="00D74159" w:rsidP="00EF1C19">
      <w:pPr>
        <w:jc w:val="both"/>
      </w:pPr>
      <w:r w:rsidRPr="00D74159">
        <w:t xml:space="preserve">This approach </w:t>
      </w:r>
      <w:r w:rsidR="008958B9">
        <w:t xml:space="preserve">further supports </w:t>
      </w:r>
      <w:r w:rsidRPr="00D74159">
        <w:t>the widely held view that UNDRIP is</w:t>
      </w:r>
      <w:r>
        <w:t>, to quote EMRIP,</w:t>
      </w:r>
      <w:r w:rsidRPr="00D74159">
        <w:t xml:space="preserve"> “a </w:t>
      </w:r>
      <w:r w:rsidR="00EF1C19" w:rsidRPr="00D74159">
        <w:t>contextualized</w:t>
      </w:r>
      <w:r w:rsidRPr="00D74159">
        <w:t xml:space="preserve"> elaboration of general human rights principles” and </w:t>
      </w:r>
      <w:r w:rsidR="008958B9">
        <w:t xml:space="preserve">its </w:t>
      </w:r>
      <w:r w:rsidRPr="00D74159">
        <w:t>standards “connect to existing State obligations under international human rights law….”</w:t>
      </w:r>
      <w:r>
        <w:rPr>
          <w:rStyle w:val="FootnoteReference"/>
        </w:rPr>
        <w:footnoteReference w:id="1"/>
      </w:r>
      <w:r>
        <w:t xml:space="preserve"> The treaty bodies are a critical component of monitoring these obligations</w:t>
      </w:r>
      <w:r w:rsidR="008958B9">
        <w:t xml:space="preserve"> within their areas of competence</w:t>
      </w:r>
      <w:r>
        <w:t>.</w:t>
      </w:r>
    </w:p>
    <w:p w14:paraId="2F7E063F" w14:textId="77777777" w:rsidR="00316578" w:rsidRDefault="00316578" w:rsidP="00EF1C19">
      <w:pPr>
        <w:jc w:val="both"/>
      </w:pPr>
      <w:r>
        <w:t>While acknowledging this progress, the meeting also concluded, among other things, that:</w:t>
      </w:r>
    </w:p>
    <w:p w14:paraId="01BFAE8A" w14:textId="471DC42B" w:rsidR="004706C5" w:rsidRDefault="00316578" w:rsidP="005D1DE1">
      <w:pPr>
        <w:pStyle w:val="ListParagraph"/>
        <w:numPr>
          <w:ilvl w:val="0"/>
          <w:numId w:val="2"/>
        </w:numPr>
        <w:ind w:left="450"/>
        <w:jc w:val="both"/>
      </w:pPr>
      <w:r>
        <w:t>there is a l</w:t>
      </w:r>
      <w:r w:rsidRPr="00316578">
        <w:t xml:space="preserve">ack of consistency across and even within </w:t>
      </w:r>
      <w:r>
        <w:t>t</w:t>
      </w:r>
      <w:r w:rsidRPr="00316578">
        <w:t xml:space="preserve">reaty </w:t>
      </w:r>
      <w:r>
        <w:t>b</w:t>
      </w:r>
      <w:r w:rsidRPr="00316578">
        <w:t>odies</w:t>
      </w:r>
      <w:r>
        <w:t xml:space="preserve"> </w:t>
      </w:r>
      <w:r w:rsidR="005D1DE1">
        <w:t xml:space="preserve">on </w:t>
      </w:r>
      <w:r>
        <w:t>Indigenous Peoples’ rights</w:t>
      </w:r>
      <w:r w:rsidR="008958B9">
        <w:t>;</w:t>
      </w:r>
    </w:p>
    <w:p w14:paraId="133C9BD4" w14:textId="46A225B5" w:rsidR="00316578" w:rsidRDefault="00316578" w:rsidP="005D1DE1">
      <w:pPr>
        <w:pStyle w:val="ListParagraph"/>
        <w:numPr>
          <w:ilvl w:val="0"/>
          <w:numId w:val="2"/>
        </w:numPr>
        <w:ind w:left="450"/>
        <w:jc w:val="both"/>
      </w:pPr>
      <w:r>
        <w:lastRenderedPageBreak/>
        <w:t>that treaty bodies</w:t>
      </w:r>
      <w:r w:rsidR="005D1DE1">
        <w:t xml:space="preserve"> are not equally</w:t>
      </w:r>
      <w:r>
        <w:t xml:space="preserve"> familiar with </w:t>
      </w:r>
      <w:r w:rsidR="008958B9">
        <w:t xml:space="preserve">or attentive to </w:t>
      </w:r>
      <w:r>
        <w:t>Indigenous Peoples’ rights</w:t>
      </w:r>
      <w:r w:rsidR="008958B9">
        <w:t>;</w:t>
      </w:r>
      <w:r>
        <w:t xml:space="preserve"> </w:t>
      </w:r>
      <w:r w:rsidR="004706C5">
        <w:t>and</w:t>
      </w:r>
    </w:p>
    <w:p w14:paraId="34140FB1" w14:textId="38A3C6DE" w:rsidR="00D74159" w:rsidRDefault="00316578" w:rsidP="005D1DE1">
      <w:pPr>
        <w:pStyle w:val="ListParagraph"/>
        <w:numPr>
          <w:ilvl w:val="0"/>
          <w:numId w:val="2"/>
        </w:numPr>
        <w:ind w:left="450"/>
        <w:jc w:val="both"/>
      </w:pPr>
      <w:r>
        <w:t>that there is a l</w:t>
      </w:r>
      <w:r w:rsidRPr="00316578">
        <w:t>ack of knowledge by</w:t>
      </w:r>
      <w:r w:rsidR="008958B9">
        <w:t xml:space="preserve"> many</w:t>
      </w:r>
      <w:r w:rsidRPr="00316578">
        <w:t xml:space="preserve"> Indigenous Peoples about the work of </w:t>
      </w:r>
      <w:r w:rsidR="005D1DE1">
        <w:t>t</w:t>
      </w:r>
      <w:r w:rsidRPr="00316578">
        <w:t xml:space="preserve">reaty </w:t>
      </w:r>
      <w:r w:rsidR="005D1DE1">
        <w:t>b</w:t>
      </w:r>
      <w:r w:rsidRPr="00316578">
        <w:t>odies, including how to effectively engage with them</w:t>
      </w:r>
      <w:r w:rsidR="004706C5">
        <w:t>.</w:t>
      </w:r>
    </w:p>
    <w:p w14:paraId="2DEE4B00" w14:textId="115B9F58" w:rsidR="00D74159" w:rsidRDefault="004706C5" w:rsidP="00EF1C19">
      <w:pPr>
        <w:jc w:val="both"/>
      </w:pPr>
      <w:r>
        <w:t>T</w:t>
      </w:r>
      <w:r w:rsidRPr="004706C5">
        <w:t xml:space="preserve">he role of EMRIP was </w:t>
      </w:r>
      <w:r w:rsidR="008958B9">
        <w:t xml:space="preserve">also </w:t>
      </w:r>
      <w:r>
        <w:t>highlighted</w:t>
      </w:r>
      <w:r w:rsidR="005D1DE1">
        <w:t xml:space="preserve">. </w:t>
      </w:r>
      <w:r w:rsidR="008958B9">
        <w:t>For instance, r</w:t>
      </w:r>
      <w:r>
        <w:t xml:space="preserve">ecommendations were made for treaty bodies to seek EMRIP’s advice </w:t>
      </w:r>
      <w:r w:rsidRPr="004706C5">
        <w:t>when Indigenous rights are considered</w:t>
      </w:r>
      <w:r w:rsidR="005D1DE1">
        <w:t>, particular on communications and general comments,</w:t>
      </w:r>
      <w:r>
        <w:t xml:space="preserve"> and that EMRIP adopts a </w:t>
      </w:r>
      <w:r w:rsidRPr="004706C5">
        <w:t>standing agenda item o</w:t>
      </w:r>
      <w:r w:rsidR="008958B9">
        <w:t>n</w:t>
      </w:r>
      <w:r w:rsidRPr="004706C5">
        <w:t xml:space="preserve"> dialogue with </w:t>
      </w:r>
      <w:r w:rsidR="008958B9">
        <w:t xml:space="preserve">the </w:t>
      </w:r>
      <w:r w:rsidR="005D1DE1">
        <w:t>t</w:t>
      </w:r>
      <w:r w:rsidRPr="004706C5">
        <w:t xml:space="preserve">reaty </w:t>
      </w:r>
      <w:r w:rsidR="005D1DE1">
        <w:t>b</w:t>
      </w:r>
      <w:r w:rsidRPr="004706C5">
        <w:t>odies.</w:t>
      </w:r>
      <w:r>
        <w:t xml:space="preserve"> </w:t>
      </w:r>
    </w:p>
    <w:p w14:paraId="5C7B8683" w14:textId="4D349A88" w:rsidR="004706C5" w:rsidRDefault="004706C5" w:rsidP="00EF1C19">
      <w:pPr>
        <w:jc w:val="both"/>
      </w:pPr>
      <w:r>
        <w:t xml:space="preserve">In conclusion, </w:t>
      </w:r>
      <w:r w:rsidR="005D1DE1">
        <w:t>IPRI</w:t>
      </w:r>
      <w:r>
        <w:t xml:space="preserve"> welcome</w:t>
      </w:r>
      <w:r w:rsidR="005D1DE1">
        <w:t>s</w:t>
      </w:r>
      <w:r>
        <w:t xml:space="preserve"> the interactive dialogue taking place today </w:t>
      </w:r>
      <w:r w:rsidRPr="007D46F5">
        <w:rPr>
          <w:b/>
          <w:bCs/>
        </w:rPr>
        <w:t>and encourage</w:t>
      </w:r>
      <w:r w:rsidR="008958B9">
        <w:rPr>
          <w:b/>
          <w:bCs/>
        </w:rPr>
        <w:t>s</w:t>
      </w:r>
      <w:r w:rsidRPr="007D46F5">
        <w:rPr>
          <w:b/>
          <w:bCs/>
        </w:rPr>
        <w:t xml:space="preserve"> EMRIP to make this dialogue a standing agenda item. </w:t>
      </w:r>
      <w:r w:rsidR="005D1DE1" w:rsidRPr="005D1DE1">
        <w:rPr>
          <w:b/>
          <w:bCs/>
        </w:rPr>
        <w:t xml:space="preserve">We </w:t>
      </w:r>
      <w:r w:rsidR="008958B9">
        <w:rPr>
          <w:b/>
          <w:bCs/>
        </w:rPr>
        <w:t xml:space="preserve">also </w:t>
      </w:r>
      <w:r w:rsidR="005D1DE1" w:rsidRPr="005D1DE1">
        <w:rPr>
          <w:b/>
          <w:bCs/>
        </w:rPr>
        <w:t>encourage the EMRIP and the treaty bodies to collaborate</w:t>
      </w:r>
      <w:r w:rsidR="008958B9">
        <w:rPr>
          <w:b/>
          <w:bCs/>
        </w:rPr>
        <w:t xml:space="preserve"> </w:t>
      </w:r>
      <w:r w:rsidR="00AD2DBD">
        <w:rPr>
          <w:b/>
          <w:bCs/>
        </w:rPr>
        <w:t xml:space="preserve">further </w:t>
      </w:r>
      <w:r w:rsidR="008958B9">
        <w:rPr>
          <w:b/>
          <w:bCs/>
        </w:rPr>
        <w:t>where relevant</w:t>
      </w:r>
      <w:r w:rsidR="005D1DE1" w:rsidRPr="005D1DE1">
        <w:rPr>
          <w:b/>
          <w:bCs/>
        </w:rPr>
        <w:t>.</w:t>
      </w:r>
      <w:r w:rsidR="005D1DE1">
        <w:rPr>
          <w:b/>
          <w:bCs/>
        </w:rPr>
        <w:t xml:space="preserve"> </w:t>
      </w:r>
      <w:r>
        <w:t xml:space="preserve">We </w:t>
      </w:r>
      <w:r w:rsidR="005D1DE1">
        <w:t xml:space="preserve">also </w:t>
      </w:r>
      <w:r>
        <w:t xml:space="preserve">urge the treaty bodies to continue to employ UNDRIP </w:t>
      </w:r>
      <w:r w:rsidR="008958B9">
        <w:t xml:space="preserve">to </w:t>
      </w:r>
      <w:r>
        <w:t xml:space="preserve">interpret State obligations and </w:t>
      </w:r>
      <w:r w:rsidR="008958B9">
        <w:t xml:space="preserve">we </w:t>
      </w:r>
      <w:r>
        <w:t xml:space="preserve">fully endorse CEDAW’s conclusion that UNDRIP </w:t>
      </w:r>
      <w:r w:rsidR="005D1DE1">
        <w:t>represents</w:t>
      </w:r>
      <w:r>
        <w:t xml:space="preserve"> an authoritative interpretation of State party obligations under the various treaties.</w:t>
      </w:r>
    </w:p>
    <w:p w14:paraId="4250945F" w14:textId="75A3A65E" w:rsidR="00AD2DBD" w:rsidRDefault="00AD2DBD" w:rsidP="00AD2DBD">
      <w:pPr>
        <w:jc w:val="both"/>
      </w:pPr>
      <w:r>
        <w:t>Thank you.</w:t>
      </w:r>
    </w:p>
    <w:p w14:paraId="10847757" w14:textId="77777777" w:rsidR="000A79E0" w:rsidRDefault="000A79E0"/>
    <w:sectPr w:rsidR="000A7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27D13" w14:textId="77777777" w:rsidR="00F1644D" w:rsidRDefault="00F1644D" w:rsidP="00D74159">
      <w:pPr>
        <w:spacing w:after="0" w:line="240" w:lineRule="auto"/>
      </w:pPr>
      <w:r>
        <w:separator/>
      </w:r>
    </w:p>
  </w:endnote>
  <w:endnote w:type="continuationSeparator" w:id="0">
    <w:p w14:paraId="003A136F" w14:textId="77777777" w:rsidR="00F1644D" w:rsidRDefault="00F1644D" w:rsidP="00D74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0ABF9" w14:textId="77777777" w:rsidR="00F1644D" w:rsidRDefault="00F1644D" w:rsidP="00D74159">
      <w:pPr>
        <w:spacing w:after="0" w:line="240" w:lineRule="auto"/>
      </w:pPr>
      <w:r>
        <w:separator/>
      </w:r>
    </w:p>
  </w:footnote>
  <w:footnote w:type="continuationSeparator" w:id="0">
    <w:p w14:paraId="02C496FF" w14:textId="77777777" w:rsidR="00F1644D" w:rsidRDefault="00F1644D" w:rsidP="00D74159">
      <w:pPr>
        <w:spacing w:after="0" w:line="240" w:lineRule="auto"/>
      </w:pPr>
      <w:r>
        <w:continuationSeparator/>
      </w:r>
    </w:p>
  </w:footnote>
  <w:footnote w:id="1">
    <w:p w14:paraId="31F970BD" w14:textId="528D0702" w:rsidR="00D74159" w:rsidRDefault="00D7415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91073">
        <w:rPr>
          <w:szCs w:val="16"/>
        </w:rPr>
        <w:t>A/HRC/EMRIP/2023/3, para. 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92988"/>
    <w:multiLevelType w:val="hybridMultilevel"/>
    <w:tmpl w:val="EB7EF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96E62"/>
    <w:multiLevelType w:val="hybridMultilevel"/>
    <w:tmpl w:val="D3F64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304686">
    <w:abstractNumId w:val="1"/>
  </w:num>
  <w:num w:numId="2" w16cid:durableId="1468864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E0"/>
    <w:rsid w:val="000A79E0"/>
    <w:rsid w:val="000E7119"/>
    <w:rsid w:val="00316578"/>
    <w:rsid w:val="004369F0"/>
    <w:rsid w:val="004706C5"/>
    <w:rsid w:val="005D1DE1"/>
    <w:rsid w:val="006A5E8A"/>
    <w:rsid w:val="007D353F"/>
    <w:rsid w:val="007D46F5"/>
    <w:rsid w:val="008002F1"/>
    <w:rsid w:val="008958B9"/>
    <w:rsid w:val="00AD2DBD"/>
    <w:rsid w:val="00B61945"/>
    <w:rsid w:val="00D74159"/>
    <w:rsid w:val="00EF1C19"/>
    <w:rsid w:val="00F1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AB796"/>
  <w15:chartTrackingRefBased/>
  <w15:docId w15:val="{2922940C-ED1A-4131-891A-31701090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7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7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7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7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7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9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79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79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9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79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79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7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7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7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9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79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79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9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79E0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41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41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41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405D4127BD44B51716362485B4DD" ma:contentTypeVersion="15" ma:contentTypeDescription="Create a new document." ma:contentTypeScope="" ma:versionID="c784fac5fcd2893238409008ba698992">
  <xsd:schema xmlns:xsd="http://www.w3.org/2001/XMLSchema" xmlns:xs="http://www.w3.org/2001/XMLSchema" xmlns:p="http://schemas.microsoft.com/office/2006/metadata/properties" xmlns:ns2="da0e4704-0775-4695-8863-0eaf85aa4c88" xmlns:ns3="304475a1-6c54-4015-83e8-a6831e8ab09f" targetNamespace="http://schemas.microsoft.com/office/2006/metadata/properties" ma:root="true" ma:fieldsID="d58b1d4b2c99ffda59cebb15e07980d5" ns2:_="" ns3:_="">
    <xsd:import namespace="da0e4704-0775-4695-8863-0eaf85aa4c88"/>
    <xsd:import namespace="304475a1-6c54-4015-83e8-a6831e8ab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e4704-0775-4695-8863-0eaf85aa4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75a1-6c54-4015-83e8-a6831e8ab0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390075-e62e-4797-bf81-e0e6a09836bb}" ma:internalName="TaxCatchAll" ma:showField="CatchAllData" ma:web="304475a1-6c54-4015-83e8-a6831e8a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D6BCAE-4403-4882-BDA9-D804D92D4064}"/>
</file>

<file path=customXml/itemProps2.xml><?xml version="1.0" encoding="utf-8"?>
<ds:datastoreItem xmlns:ds="http://schemas.openxmlformats.org/officeDocument/2006/customXml" ds:itemID="{C85BD5D1-FFA9-47AE-A6E0-E42B135D09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 MacKay</dc:creator>
  <cp:keywords/>
  <dc:description/>
  <cp:lastModifiedBy>Mael Paul Maurice Ravaz</cp:lastModifiedBy>
  <cp:revision>2</cp:revision>
  <dcterms:created xsi:type="dcterms:W3CDTF">2024-07-17T09:33:00Z</dcterms:created>
  <dcterms:modified xsi:type="dcterms:W3CDTF">2024-07-17T09:33:00Z</dcterms:modified>
</cp:coreProperties>
</file>