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725B2" w14:textId="5D61E9A4" w:rsidR="007725AA" w:rsidRDefault="00831D59" w:rsidP="00831D59">
      <w:pPr>
        <w:spacing w:after="0" w:line="240" w:lineRule="auto"/>
        <w:jc w:val="center"/>
        <w:rPr>
          <w:rFonts w:ascii="Arial" w:hAnsi="Arial" w:cs="Arial"/>
          <w:b/>
          <w:sz w:val="24"/>
          <w:szCs w:val="24"/>
          <w:lang w:val="en-GB"/>
        </w:rPr>
      </w:pPr>
      <w:r w:rsidRPr="00831D59">
        <w:rPr>
          <w:rFonts w:ascii="Arial" w:hAnsi="Arial" w:cs="Arial"/>
          <w:b/>
          <w:sz w:val="24"/>
          <w:szCs w:val="24"/>
          <w:lang w:val="en-GB"/>
        </w:rPr>
        <w:t xml:space="preserve">Request for inputs by OHCHR for the study by </w:t>
      </w:r>
      <w:r w:rsidR="00FE2AB7">
        <w:rPr>
          <w:rFonts w:ascii="Arial" w:hAnsi="Arial" w:cs="Arial"/>
          <w:b/>
          <w:sz w:val="24"/>
          <w:szCs w:val="24"/>
          <w:lang w:val="en-GB"/>
        </w:rPr>
        <w:t xml:space="preserve">the </w:t>
      </w:r>
      <w:r w:rsidRPr="00831D59">
        <w:rPr>
          <w:rFonts w:ascii="Arial" w:hAnsi="Arial" w:cs="Arial"/>
          <w:b/>
          <w:sz w:val="24"/>
          <w:szCs w:val="24"/>
          <w:lang w:val="en-GB"/>
        </w:rPr>
        <w:t xml:space="preserve">Expert Mechanism on the Rights of Indigenous Peoples (EMRIP) </w:t>
      </w:r>
      <w:proofErr w:type="gramStart"/>
      <w:r w:rsidRPr="00831D59">
        <w:rPr>
          <w:rFonts w:ascii="Arial" w:hAnsi="Arial" w:cs="Arial"/>
          <w:b/>
          <w:sz w:val="24"/>
          <w:szCs w:val="24"/>
          <w:lang w:val="en-GB"/>
        </w:rPr>
        <w:t>entitled</w:t>
      </w:r>
      <w:proofErr w:type="gramEnd"/>
      <w:r w:rsidRPr="00831D59">
        <w:rPr>
          <w:rFonts w:ascii="Arial" w:hAnsi="Arial" w:cs="Arial"/>
          <w:b/>
          <w:sz w:val="24"/>
          <w:szCs w:val="24"/>
          <w:lang w:val="en-GB"/>
        </w:rPr>
        <w:t xml:space="preserve"> </w:t>
      </w:r>
    </w:p>
    <w:p w14:paraId="7058E3CD" w14:textId="77777777" w:rsidR="00831D59" w:rsidRPr="001D1233" w:rsidRDefault="00831D59" w:rsidP="00104500">
      <w:pPr>
        <w:spacing w:after="0" w:line="240" w:lineRule="auto"/>
        <w:jc w:val="center"/>
        <w:rPr>
          <w:rFonts w:ascii="Arial" w:hAnsi="Arial" w:cs="Arial"/>
          <w:b/>
          <w:color w:val="002060"/>
          <w:sz w:val="24"/>
          <w:szCs w:val="24"/>
        </w:rPr>
      </w:pPr>
    </w:p>
    <w:p w14:paraId="71D4A9FE" w14:textId="77777777" w:rsidR="00831D59" w:rsidRDefault="00167EE3" w:rsidP="00831D59">
      <w:pPr>
        <w:spacing w:after="0" w:line="240" w:lineRule="auto"/>
        <w:jc w:val="center"/>
        <w:rPr>
          <w:rFonts w:ascii="Arial" w:hAnsi="Arial" w:cs="Arial"/>
          <w:b/>
          <w:color w:val="002060"/>
          <w:sz w:val="24"/>
          <w:szCs w:val="24"/>
        </w:rPr>
      </w:pPr>
      <w:r w:rsidRPr="001D1233">
        <w:rPr>
          <w:rFonts w:ascii="Arial" w:hAnsi="Arial" w:cs="Arial"/>
          <w:b/>
          <w:color w:val="002060"/>
          <w:sz w:val="24"/>
          <w:szCs w:val="24"/>
        </w:rPr>
        <w:t xml:space="preserve"> </w:t>
      </w:r>
      <w:r w:rsidR="008378A4" w:rsidRPr="001D1233">
        <w:rPr>
          <w:rFonts w:ascii="Arial" w:hAnsi="Arial" w:cs="Arial"/>
          <w:b/>
          <w:color w:val="002060"/>
          <w:sz w:val="24"/>
          <w:szCs w:val="24"/>
        </w:rPr>
        <w:t>“</w:t>
      </w:r>
      <w:r w:rsidR="00831D59" w:rsidRPr="00831D59">
        <w:rPr>
          <w:rFonts w:ascii="Arial" w:hAnsi="Arial" w:cs="Arial"/>
          <w:b/>
          <w:color w:val="002060"/>
          <w:sz w:val="24"/>
          <w:szCs w:val="24"/>
        </w:rPr>
        <w:t xml:space="preserve">Laws, legislation, policies, constitutions, judicial </w:t>
      </w:r>
      <w:proofErr w:type="gramStart"/>
      <w:r w:rsidR="00831D59" w:rsidRPr="00831D59">
        <w:rPr>
          <w:rFonts w:ascii="Arial" w:hAnsi="Arial" w:cs="Arial"/>
          <w:b/>
          <w:color w:val="002060"/>
          <w:sz w:val="24"/>
          <w:szCs w:val="24"/>
        </w:rPr>
        <w:t>decisions</w:t>
      </w:r>
      <w:proofErr w:type="gramEnd"/>
      <w:r w:rsidR="00831D59" w:rsidRPr="00831D59">
        <w:rPr>
          <w:rFonts w:ascii="Arial" w:hAnsi="Arial" w:cs="Arial"/>
          <w:b/>
          <w:color w:val="002060"/>
          <w:sz w:val="24"/>
          <w:szCs w:val="24"/>
        </w:rPr>
        <w:t xml:space="preserve"> and other mechanisms in which States had taken measures to achieve the ends of the United Nations Declaration on the Rights of Indigenous Peoples (UNDRIP),</w:t>
      </w:r>
    </w:p>
    <w:p w14:paraId="5899D2A0" w14:textId="7A6560BF" w:rsidR="00167EE3" w:rsidRDefault="00831D59" w:rsidP="00831D59">
      <w:pPr>
        <w:spacing w:after="0" w:line="240" w:lineRule="auto"/>
        <w:jc w:val="center"/>
        <w:rPr>
          <w:rFonts w:ascii="Arial" w:hAnsi="Arial" w:cs="Arial"/>
          <w:b/>
          <w:color w:val="002060"/>
          <w:sz w:val="24"/>
          <w:szCs w:val="24"/>
        </w:rPr>
      </w:pPr>
      <w:r w:rsidRPr="00831D59">
        <w:rPr>
          <w:rFonts w:ascii="Arial" w:hAnsi="Arial" w:cs="Arial"/>
          <w:b/>
          <w:color w:val="002060"/>
          <w:sz w:val="24"/>
          <w:szCs w:val="24"/>
        </w:rPr>
        <w:t xml:space="preserve">in accordance with Article </w:t>
      </w:r>
      <w:r>
        <w:rPr>
          <w:rFonts w:ascii="Arial" w:hAnsi="Arial" w:cs="Arial"/>
          <w:b/>
          <w:color w:val="002060"/>
          <w:sz w:val="24"/>
          <w:szCs w:val="24"/>
        </w:rPr>
        <w:t xml:space="preserve">38 </w:t>
      </w:r>
      <w:r w:rsidRPr="00831D59">
        <w:rPr>
          <w:rFonts w:ascii="Arial" w:hAnsi="Arial" w:cs="Arial"/>
          <w:b/>
          <w:color w:val="002060"/>
          <w:sz w:val="24"/>
          <w:szCs w:val="24"/>
        </w:rPr>
        <w:t>of the Declaration”</w:t>
      </w:r>
    </w:p>
    <w:p w14:paraId="6196E930" w14:textId="77777777" w:rsidR="00167EE3" w:rsidRPr="001D1233" w:rsidRDefault="00167EE3" w:rsidP="00C05ACB">
      <w:pPr>
        <w:spacing w:after="0" w:line="240" w:lineRule="auto"/>
        <w:rPr>
          <w:rFonts w:ascii="Arial" w:hAnsi="Arial" w:cs="Arial"/>
          <w:bCs/>
          <w:color w:val="FF0000"/>
          <w:sz w:val="24"/>
          <w:szCs w:val="24"/>
        </w:rPr>
      </w:pPr>
    </w:p>
    <w:p w14:paraId="20322EC0" w14:textId="19E35189" w:rsidR="00167EE3" w:rsidRPr="001D1233" w:rsidRDefault="00597D2C" w:rsidP="00104500">
      <w:pPr>
        <w:spacing w:after="0" w:line="240" w:lineRule="auto"/>
        <w:jc w:val="both"/>
        <w:rPr>
          <w:rFonts w:ascii="Arial" w:hAnsi="Arial" w:cs="Arial"/>
          <w:bCs/>
          <w:sz w:val="24"/>
          <w:szCs w:val="24"/>
        </w:rPr>
      </w:pPr>
      <w:r w:rsidRPr="001D1233">
        <w:rPr>
          <w:rFonts w:ascii="Arial" w:hAnsi="Arial" w:cs="Arial"/>
          <w:bCs/>
          <w:sz w:val="24"/>
          <w:szCs w:val="24"/>
        </w:rPr>
        <w:t>Member States have been invited to submit inputs on the following aspects</w:t>
      </w:r>
      <w:r w:rsidR="00167EE3" w:rsidRPr="001D1233">
        <w:rPr>
          <w:rFonts w:ascii="Arial" w:hAnsi="Arial" w:cs="Arial"/>
          <w:bCs/>
          <w:sz w:val="24"/>
          <w:szCs w:val="24"/>
        </w:rPr>
        <w:t>:</w:t>
      </w:r>
    </w:p>
    <w:p w14:paraId="69D6C95D" w14:textId="77777777" w:rsidR="00167EE3" w:rsidRPr="001D1233" w:rsidRDefault="00167EE3" w:rsidP="00104500">
      <w:pPr>
        <w:spacing w:after="0" w:line="240" w:lineRule="auto"/>
        <w:rPr>
          <w:rFonts w:ascii="Arial" w:hAnsi="Arial" w:cs="Arial"/>
          <w:b/>
          <w:sz w:val="24"/>
          <w:szCs w:val="24"/>
        </w:rPr>
      </w:pPr>
    </w:p>
    <w:tbl>
      <w:tblPr>
        <w:tblStyle w:val="TableGrid"/>
        <w:tblW w:w="5000" w:type="pct"/>
        <w:tblInd w:w="-95" w:type="dxa"/>
        <w:tblLook w:val="04A0" w:firstRow="1" w:lastRow="0" w:firstColumn="1" w:lastColumn="0" w:noHBand="0" w:noVBand="1"/>
      </w:tblPr>
      <w:tblGrid>
        <w:gridCol w:w="820"/>
        <w:gridCol w:w="7208"/>
        <w:gridCol w:w="5920"/>
      </w:tblGrid>
      <w:tr w:rsidR="00167EE3" w:rsidRPr="001D1233" w14:paraId="3C332F27" w14:textId="77777777" w:rsidTr="004E212D">
        <w:trPr>
          <w:tblHeader/>
        </w:trPr>
        <w:tc>
          <w:tcPr>
            <w:tcW w:w="294" w:type="pct"/>
            <w:shd w:val="clear" w:color="auto" w:fill="FBE4D5" w:themeFill="accent2" w:themeFillTint="33"/>
          </w:tcPr>
          <w:p w14:paraId="10DF4281" w14:textId="77777777" w:rsidR="00167EE3" w:rsidRPr="001D1233" w:rsidRDefault="00167EE3" w:rsidP="00104500">
            <w:pPr>
              <w:spacing w:after="0" w:line="240" w:lineRule="auto"/>
              <w:jc w:val="center"/>
              <w:rPr>
                <w:rFonts w:ascii="Arial" w:hAnsi="Arial" w:cs="Arial"/>
                <w:b/>
                <w:sz w:val="24"/>
                <w:szCs w:val="24"/>
              </w:rPr>
            </w:pPr>
            <w:r w:rsidRPr="001D1233">
              <w:rPr>
                <w:rFonts w:ascii="Arial" w:hAnsi="Arial" w:cs="Arial"/>
                <w:b/>
                <w:sz w:val="24"/>
                <w:szCs w:val="24"/>
              </w:rPr>
              <w:t>NO.</w:t>
            </w:r>
          </w:p>
          <w:p w14:paraId="60071405" w14:textId="77777777" w:rsidR="00167EE3" w:rsidRPr="001D1233" w:rsidRDefault="00167EE3" w:rsidP="00104500">
            <w:pPr>
              <w:spacing w:after="0" w:line="240" w:lineRule="auto"/>
              <w:jc w:val="center"/>
              <w:rPr>
                <w:rFonts w:ascii="Arial" w:hAnsi="Arial" w:cs="Arial"/>
                <w:b/>
                <w:sz w:val="24"/>
                <w:szCs w:val="24"/>
              </w:rPr>
            </w:pPr>
          </w:p>
        </w:tc>
        <w:tc>
          <w:tcPr>
            <w:tcW w:w="2584" w:type="pct"/>
            <w:tcBorders>
              <w:bottom w:val="single" w:sz="4" w:space="0" w:color="auto"/>
            </w:tcBorders>
            <w:shd w:val="clear" w:color="auto" w:fill="FBE4D5" w:themeFill="accent2" w:themeFillTint="33"/>
          </w:tcPr>
          <w:p w14:paraId="0A97F6C3" w14:textId="514DB2FC" w:rsidR="00167EE3" w:rsidRPr="001D1233" w:rsidRDefault="00C05ACB" w:rsidP="00104500">
            <w:pPr>
              <w:spacing w:after="0" w:line="240" w:lineRule="auto"/>
              <w:jc w:val="center"/>
              <w:rPr>
                <w:rFonts w:ascii="Arial" w:hAnsi="Arial" w:cs="Arial"/>
                <w:b/>
                <w:sz w:val="24"/>
                <w:szCs w:val="24"/>
              </w:rPr>
            </w:pPr>
            <w:r w:rsidRPr="001D1233">
              <w:rPr>
                <w:rFonts w:ascii="Arial" w:hAnsi="Arial" w:cs="Arial"/>
                <w:b/>
                <w:sz w:val="24"/>
                <w:szCs w:val="24"/>
              </w:rPr>
              <w:t>KEY QUESTIONS AND INPUTS SOUGHT</w:t>
            </w:r>
          </w:p>
        </w:tc>
        <w:tc>
          <w:tcPr>
            <w:tcW w:w="2122" w:type="pct"/>
            <w:shd w:val="clear" w:color="auto" w:fill="FBE4D5" w:themeFill="accent2" w:themeFillTint="33"/>
          </w:tcPr>
          <w:p w14:paraId="02E23C62" w14:textId="35B118B6" w:rsidR="00167EE3" w:rsidRPr="001D1233" w:rsidRDefault="00C05ACB" w:rsidP="00104500">
            <w:pPr>
              <w:spacing w:after="0" w:line="240" w:lineRule="auto"/>
              <w:jc w:val="center"/>
              <w:rPr>
                <w:rFonts w:ascii="Arial" w:hAnsi="Arial" w:cs="Arial"/>
                <w:b/>
                <w:sz w:val="24"/>
                <w:szCs w:val="24"/>
              </w:rPr>
            </w:pPr>
            <w:r w:rsidRPr="001D1233">
              <w:rPr>
                <w:rFonts w:ascii="Arial" w:hAnsi="Arial" w:cs="Arial"/>
                <w:b/>
                <w:sz w:val="24"/>
                <w:szCs w:val="24"/>
              </w:rPr>
              <w:t xml:space="preserve">INPUTS BY </w:t>
            </w:r>
            <w:r w:rsidR="002C2A91">
              <w:rPr>
                <w:rFonts w:ascii="Arial" w:hAnsi="Arial" w:cs="Arial"/>
                <w:b/>
                <w:sz w:val="24"/>
                <w:szCs w:val="24"/>
              </w:rPr>
              <w:t>MALAYSIA</w:t>
            </w:r>
          </w:p>
        </w:tc>
      </w:tr>
      <w:tr w:rsidR="00167EE3" w:rsidRPr="001D1233" w14:paraId="40A3CBAE" w14:textId="77777777" w:rsidTr="004E212D">
        <w:tc>
          <w:tcPr>
            <w:tcW w:w="294" w:type="pct"/>
          </w:tcPr>
          <w:p w14:paraId="766DE7C8" w14:textId="6B9B73E5" w:rsidR="00167EE3" w:rsidRPr="00831D59" w:rsidRDefault="00831D59" w:rsidP="00831D59">
            <w:pPr>
              <w:spacing w:after="0" w:line="240" w:lineRule="auto"/>
              <w:ind w:right="42"/>
              <w:jc w:val="center"/>
              <w:rPr>
                <w:rFonts w:ascii="Arial" w:hAnsi="Arial" w:cs="Arial"/>
                <w:color w:val="7030A0"/>
                <w:sz w:val="24"/>
                <w:szCs w:val="24"/>
              </w:rPr>
            </w:pPr>
            <w:r w:rsidRPr="00831D59">
              <w:rPr>
                <w:rFonts w:ascii="Arial" w:hAnsi="Arial" w:cs="Arial"/>
                <w:sz w:val="24"/>
                <w:szCs w:val="24"/>
              </w:rPr>
              <w:t>1.</w:t>
            </w:r>
          </w:p>
        </w:tc>
        <w:tc>
          <w:tcPr>
            <w:tcW w:w="2584" w:type="pct"/>
            <w:tcBorders>
              <w:bottom w:val="single" w:sz="4" w:space="0" w:color="auto"/>
            </w:tcBorders>
          </w:tcPr>
          <w:p w14:paraId="1D0350AC" w14:textId="378E3E9A" w:rsidR="00831D59" w:rsidRDefault="00831D59" w:rsidP="00831D59">
            <w:pPr>
              <w:spacing w:after="0" w:line="240" w:lineRule="auto"/>
              <w:jc w:val="both"/>
              <w:rPr>
                <w:rFonts w:ascii="Arial" w:hAnsi="Arial" w:cs="Arial"/>
                <w:iCs/>
                <w:sz w:val="24"/>
                <w:szCs w:val="24"/>
              </w:rPr>
            </w:pPr>
            <w:r>
              <w:rPr>
                <w:rFonts w:ascii="Arial" w:hAnsi="Arial" w:cs="Arial"/>
                <w:iCs/>
                <w:sz w:val="24"/>
                <w:szCs w:val="24"/>
              </w:rPr>
              <w:t>A</w:t>
            </w:r>
            <w:r w:rsidRPr="00831D59">
              <w:rPr>
                <w:rFonts w:ascii="Arial" w:hAnsi="Arial" w:cs="Arial"/>
                <w:iCs/>
                <w:sz w:val="24"/>
                <w:szCs w:val="24"/>
              </w:rPr>
              <w:t>nalysis of international human rights law and jurisprudence within both regional and international bodies that will serve to gain greater awareness and understanding of</w:t>
            </w:r>
            <w:r>
              <w:rPr>
                <w:rFonts w:ascii="Arial" w:hAnsi="Arial" w:cs="Arial"/>
                <w:iCs/>
                <w:sz w:val="24"/>
                <w:szCs w:val="24"/>
              </w:rPr>
              <w:t xml:space="preserve"> </w:t>
            </w:r>
            <w:r w:rsidRPr="00831D59">
              <w:rPr>
                <w:rFonts w:ascii="Arial" w:hAnsi="Arial" w:cs="Arial"/>
                <w:iCs/>
                <w:sz w:val="24"/>
                <w:szCs w:val="24"/>
              </w:rPr>
              <w:t>compliance as well as the potential for offering solutions to either individual, discrete matters or interrelated conditions that have stifled effective implementation.</w:t>
            </w:r>
          </w:p>
          <w:p w14:paraId="52B748F2" w14:textId="0ECB5D89" w:rsidR="007725AA" w:rsidRPr="00816BF6" w:rsidRDefault="007725AA" w:rsidP="00831D59">
            <w:pPr>
              <w:spacing w:after="0" w:line="240" w:lineRule="auto"/>
              <w:jc w:val="both"/>
              <w:rPr>
                <w:rFonts w:ascii="Arial" w:hAnsi="Arial" w:cs="Arial"/>
                <w:i/>
                <w:iCs/>
                <w:sz w:val="16"/>
                <w:szCs w:val="16"/>
              </w:rPr>
            </w:pPr>
          </w:p>
        </w:tc>
        <w:tc>
          <w:tcPr>
            <w:tcW w:w="2122" w:type="pct"/>
          </w:tcPr>
          <w:p w14:paraId="1AF09046" w14:textId="3618513A" w:rsidR="00321B4A" w:rsidRDefault="00760828" w:rsidP="00F9060E">
            <w:pPr>
              <w:spacing w:before="100" w:beforeAutospacing="1" w:after="100" w:afterAutospacing="1" w:line="240" w:lineRule="auto"/>
              <w:jc w:val="both"/>
              <w:rPr>
                <w:rFonts w:ascii="Arial" w:eastAsia="Times New Roman" w:hAnsi="Arial" w:cs="Arial"/>
                <w:color w:val="000000"/>
                <w:sz w:val="24"/>
                <w:szCs w:val="24"/>
                <w:lang w:val="ms-MY" w:eastAsia="en-MY"/>
              </w:rPr>
            </w:pPr>
            <w:r w:rsidRPr="00760828">
              <w:rPr>
                <w:rFonts w:ascii="Arial" w:eastAsia="Times New Roman" w:hAnsi="Arial" w:cs="Arial"/>
                <w:color w:val="000000"/>
                <w:sz w:val="24"/>
                <w:szCs w:val="24"/>
                <w:lang w:val="ms-MY" w:eastAsia="en-MY"/>
              </w:rPr>
              <w:t>Malaysia</w:t>
            </w:r>
            <w:r w:rsidR="002C2A91">
              <w:rPr>
                <w:rFonts w:ascii="Arial" w:eastAsia="Times New Roman" w:hAnsi="Arial" w:cs="Arial"/>
                <w:color w:val="000000"/>
                <w:sz w:val="24"/>
                <w:szCs w:val="24"/>
                <w:lang w:val="ms-MY" w:eastAsia="en-MY"/>
              </w:rPr>
              <w:t>’s</w:t>
            </w:r>
            <w:r w:rsidRPr="00760828">
              <w:rPr>
                <w:rFonts w:ascii="Arial" w:eastAsia="Times New Roman" w:hAnsi="Arial" w:cs="Arial"/>
                <w:color w:val="000000"/>
                <w:sz w:val="24"/>
                <w:szCs w:val="24"/>
                <w:lang w:val="ms-MY" w:eastAsia="en-MY"/>
              </w:rPr>
              <w:t xml:space="preserve"> Federal Constitution and the Aboriginal People Act 1954 [Act 134] are two of the primary written laws pertaining to the </w:t>
            </w:r>
            <w:r w:rsidRPr="007A7AF1">
              <w:rPr>
                <w:rFonts w:ascii="Arial" w:eastAsia="Times New Roman" w:hAnsi="Arial" w:cs="Arial"/>
                <w:i/>
                <w:iCs/>
                <w:color w:val="000000"/>
                <w:sz w:val="24"/>
                <w:szCs w:val="24"/>
                <w:lang w:val="ms-MY" w:eastAsia="en-MY"/>
              </w:rPr>
              <w:t>Orang Asli</w:t>
            </w:r>
            <w:r w:rsidRPr="00760828">
              <w:rPr>
                <w:rFonts w:ascii="Arial" w:eastAsia="Times New Roman" w:hAnsi="Arial" w:cs="Arial"/>
                <w:color w:val="000000"/>
                <w:sz w:val="24"/>
                <w:szCs w:val="24"/>
                <w:lang w:val="ms-MY" w:eastAsia="en-MY"/>
              </w:rPr>
              <w:t xml:space="preserve"> community in Peninsular Malaysia.</w:t>
            </w:r>
          </w:p>
          <w:p w14:paraId="17E3F3D0" w14:textId="56C11A8F" w:rsidR="00321B4A" w:rsidRDefault="00760828" w:rsidP="00F9060E">
            <w:pPr>
              <w:spacing w:before="100" w:beforeAutospacing="1" w:after="100" w:afterAutospacing="1" w:line="240" w:lineRule="auto"/>
              <w:jc w:val="both"/>
              <w:rPr>
                <w:rFonts w:ascii="Arial" w:eastAsia="Times New Roman" w:hAnsi="Arial" w:cs="Arial"/>
                <w:color w:val="000000"/>
                <w:sz w:val="24"/>
                <w:szCs w:val="24"/>
                <w:lang w:val="ms-MY" w:eastAsia="en-MY"/>
              </w:rPr>
            </w:pPr>
            <w:r w:rsidRPr="00760828">
              <w:rPr>
                <w:rFonts w:ascii="Arial" w:eastAsia="Times New Roman" w:hAnsi="Arial" w:cs="Arial"/>
                <w:color w:val="000000"/>
                <w:sz w:val="24"/>
                <w:szCs w:val="24"/>
                <w:lang w:val="ms-MY" w:eastAsia="en-MY"/>
              </w:rPr>
              <w:t xml:space="preserve">In addition, specifically other written legislation that addresses the rights of the </w:t>
            </w:r>
            <w:r w:rsidRPr="002C2A91">
              <w:rPr>
                <w:rFonts w:ascii="Arial" w:eastAsia="Times New Roman" w:hAnsi="Arial" w:cs="Arial"/>
                <w:i/>
                <w:iCs/>
                <w:color w:val="000000"/>
                <w:sz w:val="24"/>
                <w:szCs w:val="24"/>
                <w:lang w:val="ms-MY" w:eastAsia="en-MY"/>
              </w:rPr>
              <w:t>Orang Asli</w:t>
            </w:r>
            <w:r w:rsidRPr="00760828">
              <w:rPr>
                <w:rFonts w:ascii="Arial" w:eastAsia="Times New Roman" w:hAnsi="Arial" w:cs="Arial"/>
                <w:color w:val="000000"/>
                <w:sz w:val="24"/>
                <w:szCs w:val="24"/>
                <w:lang w:val="ms-MY" w:eastAsia="en-MY"/>
              </w:rPr>
              <w:t xml:space="preserve"> community of Peninsular Malaysia are</w:t>
            </w:r>
            <w:r>
              <w:t xml:space="preserve"> </w:t>
            </w:r>
            <w:r w:rsidR="002C2A91">
              <w:rPr>
                <w:rFonts w:ascii="Arial" w:eastAsia="Times New Roman" w:hAnsi="Arial" w:cs="Arial"/>
                <w:color w:val="000000"/>
                <w:sz w:val="24"/>
                <w:szCs w:val="24"/>
                <w:lang w:val="ms-MY" w:eastAsia="en-MY"/>
              </w:rPr>
              <w:t xml:space="preserve">the </w:t>
            </w:r>
            <w:r w:rsidRPr="00760828">
              <w:rPr>
                <w:rFonts w:ascii="Arial" w:eastAsia="Times New Roman" w:hAnsi="Arial" w:cs="Arial"/>
                <w:color w:val="000000"/>
                <w:sz w:val="24"/>
                <w:szCs w:val="24"/>
                <w:lang w:val="ms-MY" w:eastAsia="en-MY"/>
              </w:rPr>
              <w:t xml:space="preserve">National Forestry Act 1984  </w:t>
            </w:r>
            <w:r>
              <w:rPr>
                <w:rFonts w:ascii="Arial" w:eastAsia="Times New Roman" w:hAnsi="Arial" w:cs="Arial"/>
                <w:color w:val="000000"/>
                <w:sz w:val="24"/>
                <w:szCs w:val="24"/>
                <w:lang w:val="ms-MY" w:eastAsia="en-MY"/>
              </w:rPr>
              <w:t>[</w:t>
            </w:r>
            <w:r w:rsidRPr="00760828">
              <w:rPr>
                <w:rFonts w:ascii="Arial" w:eastAsia="Times New Roman" w:hAnsi="Arial" w:cs="Arial"/>
                <w:color w:val="000000"/>
                <w:sz w:val="24"/>
                <w:szCs w:val="24"/>
                <w:lang w:val="ms-MY" w:eastAsia="en-MY"/>
              </w:rPr>
              <w:t>Act 313</w:t>
            </w:r>
            <w:r>
              <w:rPr>
                <w:rFonts w:ascii="Arial" w:eastAsia="Times New Roman" w:hAnsi="Arial" w:cs="Arial"/>
                <w:color w:val="000000"/>
                <w:sz w:val="24"/>
                <w:szCs w:val="24"/>
                <w:lang w:val="ms-MY" w:eastAsia="en-MY"/>
              </w:rPr>
              <w:t>]</w:t>
            </w:r>
            <w:r w:rsidRPr="00760828">
              <w:rPr>
                <w:rFonts w:ascii="Arial" w:eastAsia="Times New Roman" w:hAnsi="Arial" w:cs="Arial"/>
                <w:color w:val="000000"/>
                <w:sz w:val="24"/>
                <w:szCs w:val="24"/>
                <w:lang w:val="ms-MY" w:eastAsia="en-MY"/>
              </w:rPr>
              <w:t>, Wildlife Conservation Act 2020</w:t>
            </w:r>
            <w:r w:rsidR="007A7AF1">
              <w:rPr>
                <w:rFonts w:ascii="Arial" w:eastAsia="Times New Roman" w:hAnsi="Arial" w:cs="Arial"/>
                <w:color w:val="000000"/>
                <w:sz w:val="24"/>
                <w:szCs w:val="24"/>
                <w:lang w:val="ms-MY" w:eastAsia="en-MY"/>
              </w:rPr>
              <w:t xml:space="preserve"> [</w:t>
            </w:r>
            <w:r w:rsidRPr="00760828">
              <w:rPr>
                <w:rFonts w:ascii="Arial" w:eastAsia="Times New Roman" w:hAnsi="Arial" w:cs="Arial"/>
                <w:color w:val="000000"/>
                <w:sz w:val="24"/>
                <w:szCs w:val="24"/>
                <w:lang w:val="ms-MY" w:eastAsia="en-MY"/>
              </w:rPr>
              <w:t>Act 716</w:t>
            </w:r>
            <w:r w:rsidR="007A7AF1">
              <w:rPr>
                <w:rFonts w:ascii="Arial" w:eastAsia="Times New Roman" w:hAnsi="Arial" w:cs="Arial"/>
                <w:color w:val="000000"/>
                <w:sz w:val="24"/>
                <w:szCs w:val="24"/>
                <w:lang w:val="ms-MY" w:eastAsia="en-MY"/>
              </w:rPr>
              <w:t>]</w:t>
            </w:r>
            <w:r w:rsidRPr="00760828">
              <w:rPr>
                <w:rFonts w:ascii="Arial" w:eastAsia="Times New Roman" w:hAnsi="Arial" w:cs="Arial"/>
                <w:color w:val="000000"/>
                <w:sz w:val="24"/>
                <w:szCs w:val="24"/>
                <w:lang w:val="ms-MY" w:eastAsia="en-MY"/>
              </w:rPr>
              <w:t xml:space="preserve"> and </w:t>
            </w:r>
            <w:r w:rsidR="007A7AF1" w:rsidRPr="007A7AF1">
              <w:rPr>
                <w:rFonts w:ascii="Arial" w:eastAsia="Times New Roman" w:hAnsi="Arial" w:cs="Arial"/>
                <w:color w:val="000000"/>
                <w:sz w:val="24"/>
                <w:szCs w:val="24"/>
                <w:lang w:val="ms-MY" w:eastAsia="en-MY"/>
              </w:rPr>
              <w:t xml:space="preserve">Access to Biological Resource and Benefit Sharing Act 2017 </w:t>
            </w:r>
            <w:r w:rsidR="007A7AF1">
              <w:rPr>
                <w:rFonts w:ascii="Arial" w:eastAsia="Times New Roman" w:hAnsi="Arial" w:cs="Arial"/>
                <w:color w:val="000000"/>
                <w:sz w:val="24"/>
                <w:szCs w:val="24"/>
                <w:lang w:val="ms-MY" w:eastAsia="en-MY"/>
              </w:rPr>
              <w:t>[</w:t>
            </w:r>
            <w:r w:rsidRPr="00760828">
              <w:rPr>
                <w:rFonts w:ascii="Arial" w:eastAsia="Times New Roman" w:hAnsi="Arial" w:cs="Arial"/>
                <w:color w:val="000000"/>
                <w:sz w:val="24"/>
                <w:szCs w:val="24"/>
                <w:lang w:val="ms-MY" w:eastAsia="en-MY"/>
              </w:rPr>
              <w:t>Act 795</w:t>
            </w:r>
            <w:r w:rsidR="007A7AF1">
              <w:rPr>
                <w:rFonts w:ascii="Arial" w:eastAsia="Times New Roman" w:hAnsi="Arial" w:cs="Arial"/>
                <w:color w:val="000000"/>
                <w:sz w:val="24"/>
                <w:szCs w:val="24"/>
                <w:lang w:val="ms-MY" w:eastAsia="en-MY"/>
              </w:rPr>
              <w:t>]</w:t>
            </w:r>
            <w:r>
              <w:rPr>
                <w:rFonts w:ascii="Arial" w:eastAsia="Times New Roman" w:hAnsi="Arial" w:cs="Arial"/>
                <w:color w:val="000000"/>
                <w:sz w:val="24"/>
                <w:szCs w:val="24"/>
                <w:lang w:val="ms-MY" w:eastAsia="en-MY"/>
              </w:rPr>
              <w:t>.</w:t>
            </w:r>
          </w:p>
          <w:p w14:paraId="5C76478D" w14:textId="28457FFA" w:rsidR="00E60109" w:rsidRPr="008A2647" w:rsidRDefault="00E60109" w:rsidP="008A2647">
            <w:pPr>
              <w:spacing w:before="100" w:beforeAutospacing="1" w:after="100" w:afterAutospacing="1" w:line="240" w:lineRule="auto"/>
              <w:rPr>
                <w:rFonts w:ascii="Arial" w:eastAsia="Times New Roman" w:hAnsi="Arial" w:cs="Arial"/>
                <w:color w:val="000000"/>
                <w:sz w:val="20"/>
                <w:szCs w:val="20"/>
                <w:lang w:val="ms-MY" w:eastAsia="en-MY"/>
              </w:rPr>
            </w:pPr>
          </w:p>
        </w:tc>
      </w:tr>
      <w:tr w:rsidR="00C05ACB" w:rsidRPr="001D1233" w14:paraId="05D88A70" w14:textId="77777777" w:rsidTr="004E212D">
        <w:tc>
          <w:tcPr>
            <w:tcW w:w="294" w:type="pct"/>
          </w:tcPr>
          <w:p w14:paraId="66C9BBC8" w14:textId="45BA164C" w:rsidR="00C05ACB" w:rsidRPr="00831D59" w:rsidRDefault="00831D59" w:rsidP="00831D59">
            <w:pPr>
              <w:spacing w:after="0" w:line="240" w:lineRule="auto"/>
              <w:ind w:right="42"/>
              <w:jc w:val="center"/>
              <w:rPr>
                <w:rFonts w:ascii="Arial" w:hAnsi="Arial" w:cs="Arial"/>
                <w:sz w:val="24"/>
                <w:szCs w:val="24"/>
              </w:rPr>
            </w:pPr>
            <w:r>
              <w:rPr>
                <w:rFonts w:ascii="Arial" w:hAnsi="Arial" w:cs="Arial"/>
                <w:sz w:val="24"/>
                <w:szCs w:val="24"/>
              </w:rPr>
              <w:t>2.</w:t>
            </w:r>
          </w:p>
        </w:tc>
        <w:tc>
          <w:tcPr>
            <w:tcW w:w="2584" w:type="pct"/>
            <w:tcBorders>
              <w:top w:val="single" w:sz="4" w:space="0" w:color="auto"/>
            </w:tcBorders>
          </w:tcPr>
          <w:p w14:paraId="79275033" w14:textId="44683C1A" w:rsidR="007725AA" w:rsidRDefault="00831D59" w:rsidP="00831D59">
            <w:pPr>
              <w:spacing w:after="0" w:line="240" w:lineRule="auto"/>
              <w:jc w:val="both"/>
              <w:rPr>
                <w:rFonts w:ascii="Arial" w:hAnsi="Arial" w:cs="Arial"/>
                <w:iCs/>
                <w:sz w:val="24"/>
                <w:szCs w:val="24"/>
                <w:lang w:val="en-US"/>
              </w:rPr>
            </w:pPr>
            <w:r w:rsidRPr="00831D59">
              <w:rPr>
                <w:rFonts w:ascii="Arial" w:hAnsi="Arial" w:cs="Arial"/>
                <w:iCs/>
                <w:sz w:val="24"/>
                <w:szCs w:val="24"/>
                <w:lang w:val="en-US"/>
              </w:rPr>
              <w:t xml:space="preserve">Measures taken by States to implement the Declaration within the context of constitutional reforms, laws, legislation, policies, as well as judicial decisions. </w:t>
            </w:r>
          </w:p>
          <w:p w14:paraId="6DD68EA7" w14:textId="0D289695" w:rsidR="00816BF6" w:rsidRDefault="00816BF6" w:rsidP="00831D59">
            <w:pPr>
              <w:spacing w:after="0" w:line="240" w:lineRule="auto"/>
              <w:jc w:val="both"/>
              <w:rPr>
                <w:rFonts w:ascii="Arial" w:hAnsi="Arial" w:cs="Arial"/>
                <w:iCs/>
                <w:sz w:val="24"/>
                <w:szCs w:val="24"/>
                <w:lang w:val="en-US"/>
              </w:rPr>
            </w:pPr>
          </w:p>
          <w:p w14:paraId="32F46B59" w14:textId="77777777" w:rsidR="00816BF6" w:rsidRDefault="00816BF6" w:rsidP="00831D59">
            <w:pPr>
              <w:spacing w:after="0" w:line="240" w:lineRule="auto"/>
              <w:jc w:val="both"/>
              <w:rPr>
                <w:rFonts w:ascii="Arial" w:hAnsi="Arial" w:cs="Arial"/>
                <w:iCs/>
                <w:sz w:val="24"/>
                <w:szCs w:val="24"/>
                <w:lang w:val="en-US"/>
              </w:rPr>
            </w:pPr>
          </w:p>
          <w:p w14:paraId="6435E53C" w14:textId="79F2F82A" w:rsidR="00831D59" w:rsidRPr="001D1233" w:rsidRDefault="00831D59" w:rsidP="00831D59">
            <w:pPr>
              <w:spacing w:after="0" w:line="240" w:lineRule="auto"/>
              <w:jc w:val="both"/>
              <w:rPr>
                <w:rFonts w:ascii="Arial" w:hAnsi="Arial" w:cs="Arial"/>
                <w:iCs/>
                <w:sz w:val="24"/>
                <w:szCs w:val="24"/>
                <w:lang w:val="en-US"/>
              </w:rPr>
            </w:pPr>
          </w:p>
        </w:tc>
        <w:tc>
          <w:tcPr>
            <w:tcW w:w="2122" w:type="pct"/>
          </w:tcPr>
          <w:p w14:paraId="28FFF7AA" w14:textId="77777777" w:rsidR="003B50C6" w:rsidRDefault="007A7AF1" w:rsidP="002C2A91">
            <w:pPr>
              <w:spacing w:after="0"/>
              <w:jc w:val="both"/>
              <w:rPr>
                <w:rFonts w:ascii="Arial" w:hAnsi="Arial" w:cs="Arial"/>
                <w:sz w:val="24"/>
                <w:szCs w:val="24"/>
              </w:rPr>
            </w:pPr>
            <w:r w:rsidRPr="007A7AF1">
              <w:rPr>
                <w:rFonts w:ascii="Arial" w:hAnsi="Arial" w:cs="Arial"/>
                <w:sz w:val="24"/>
                <w:szCs w:val="24"/>
              </w:rPr>
              <w:t>The Aboriginal Peoples Act 1954 [Act 134] review study is being carried out by the government for a necessary amendment to its provisions.</w:t>
            </w:r>
            <w:r w:rsidR="003B50C6">
              <w:rPr>
                <w:rFonts w:ascii="Arial" w:hAnsi="Arial" w:cs="Arial"/>
                <w:sz w:val="24"/>
                <w:szCs w:val="24"/>
              </w:rPr>
              <w:t xml:space="preserve"> </w:t>
            </w:r>
          </w:p>
          <w:p w14:paraId="1A62A484" w14:textId="77777777" w:rsidR="003B50C6" w:rsidRDefault="003B50C6" w:rsidP="002C2A91">
            <w:pPr>
              <w:spacing w:after="0"/>
              <w:jc w:val="both"/>
              <w:rPr>
                <w:rFonts w:ascii="Arial" w:hAnsi="Arial" w:cs="Arial"/>
                <w:sz w:val="24"/>
                <w:szCs w:val="24"/>
              </w:rPr>
            </w:pPr>
          </w:p>
          <w:p w14:paraId="37ABFC22" w14:textId="74F23CD0" w:rsidR="007A7AF1" w:rsidRDefault="003B50C6" w:rsidP="002C2A91">
            <w:pPr>
              <w:spacing w:after="0"/>
              <w:jc w:val="both"/>
              <w:rPr>
                <w:rFonts w:ascii="Arial" w:hAnsi="Arial" w:cs="Arial"/>
                <w:sz w:val="24"/>
                <w:szCs w:val="24"/>
              </w:rPr>
            </w:pPr>
            <w:r w:rsidRPr="003B50C6">
              <w:rPr>
                <w:rFonts w:ascii="Arial" w:hAnsi="Arial" w:cs="Arial"/>
                <w:sz w:val="24"/>
                <w:szCs w:val="24"/>
              </w:rPr>
              <w:t xml:space="preserve">Additionally, the new development policy for </w:t>
            </w:r>
            <w:r w:rsidRPr="002C2A91">
              <w:rPr>
                <w:rFonts w:ascii="Arial" w:hAnsi="Arial" w:cs="Arial"/>
                <w:i/>
                <w:iCs/>
                <w:sz w:val="24"/>
                <w:szCs w:val="24"/>
              </w:rPr>
              <w:t>Orang Asli</w:t>
            </w:r>
            <w:r w:rsidRPr="003B50C6">
              <w:rPr>
                <w:rFonts w:ascii="Arial" w:hAnsi="Arial" w:cs="Arial"/>
                <w:sz w:val="24"/>
                <w:szCs w:val="24"/>
              </w:rPr>
              <w:t xml:space="preserve"> </w:t>
            </w:r>
            <w:r w:rsidR="002C2A91">
              <w:rPr>
                <w:rFonts w:ascii="Arial" w:hAnsi="Arial" w:cs="Arial"/>
                <w:sz w:val="24"/>
                <w:szCs w:val="24"/>
              </w:rPr>
              <w:t xml:space="preserve">in </w:t>
            </w:r>
            <w:r w:rsidRPr="003B50C6">
              <w:rPr>
                <w:rFonts w:ascii="Arial" w:hAnsi="Arial" w:cs="Arial"/>
                <w:sz w:val="24"/>
                <w:szCs w:val="24"/>
              </w:rPr>
              <w:t>Peninsular Malaysia is being prepared with changes to adopt with current developments.</w:t>
            </w:r>
          </w:p>
          <w:p w14:paraId="4FD420BA" w14:textId="7A00ACAB" w:rsidR="00193E5D" w:rsidRPr="00193E5D" w:rsidRDefault="00490283" w:rsidP="002C2A91">
            <w:pPr>
              <w:spacing w:after="0"/>
              <w:jc w:val="both"/>
              <w:rPr>
                <w:rFonts w:ascii="Arial" w:hAnsi="Arial" w:cs="Arial"/>
                <w:sz w:val="24"/>
                <w:szCs w:val="24"/>
              </w:rPr>
            </w:pPr>
            <w:r>
              <w:rPr>
                <w:rFonts w:ascii="Arial" w:hAnsi="Arial" w:cs="Arial"/>
                <w:sz w:val="24"/>
                <w:szCs w:val="24"/>
              </w:rPr>
              <w:t xml:space="preserve"> </w:t>
            </w:r>
          </w:p>
        </w:tc>
      </w:tr>
      <w:tr w:rsidR="00167EE3" w:rsidRPr="001D1233" w14:paraId="1684AEA9" w14:textId="77777777" w:rsidTr="00885942">
        <w:tc>
          <w:tcPr>
            <w:tcW w:w="294" w:type="pct"/>
          </w:tcPr>
          <w:p w14:paraId="5F43ABCD" w14:textId="05281853" w:rsidR="00167EE3" w:rsidRPr="001D1233" w:rsidRDefault="007725AA" w:rsidP="00831D59">
            <w:pPr>
              <w:spacing w:after="0" w:line="240" w:lineRule="auto"/>
              <w:ind w:right="42"/>
              <w:jc w:val="center"/>
              <w:rPr>
                <w:rFonts w:ascii="Arial" w:hAnsi="Arial" w:cs="Arial"/>
                <w:color w:val="7030A0"/>
                <w:sz w:val="24"/>
                <w:szCs w:val="24"/>
              </w:rPr>
            </w:pPr>
            <w:r w:rsidRPr="001D1233">
              <w:rPr>
                <w:rFonts w:ascii="Arial" w:hAnsi="Arial" w:cs="Arial"/>
                <w:sz w:val="24"/>
                <w:szCs w:val="24"/>
              </w:rPr>
              <w:lastRenderedPageBreak/>
              <w:t>3.</w:t>
            </w:r>
          </w:p>
        </w:tc>
        <w:tc>
          <w:tcPr>
            <w:tcW w:w="2584" w:type="pct"/>
          </w:tcPr>
          <w:p w14:paraId="61F00815" w14:textId="7F294DA2" w:rsidR="00831D59" w:rsidRDefault="00831D59" w:rsidP="00831D59">
            <w:pPr>
              <w:spacing w:after="0" w:line="240" w:lineRule="auto"/>
              <w:jc w:val="both"/>
              <w:rPr>
                <w:rFonts w:ascii="Arial" w:hAnsi="Arial" w:cs="Arial"/>
                <w:iCs/>
                <w:sz w:val="24"/>
                <w:szCs w:val="24"/>
                <w:lang w:val="en-US"/>
              </w:rPr>
            </w:pPr>
            <w:r w:rsidRPr="00831D59">
              <w:rPr>
                <w:rFonts w:ascii="Arial" w:hAnsi="Arial" w:cs="Arial"/>
                <w:iCs/>
                <w:sz w:val="24"/>
                <w:szCs w:val="24"/>
                <w:lang w:val="en-US"/>
              </w:rPr>
              <w:t>Concrete actions taken by States, consistent with Article 38, to</w:t>
            </w:r>
            <w:r>
              <w:rPr>
                <w:rFonts w:ascii="Arial" w:hAnsi="Arial" w:cs="Arial"/>
                <w:iCs/>
                <w:sz w:val="24"/>
                <w:szCs w:val="24"/>
                <w:lang w:val="en-US"/>
              </w:rPr>
              <w:t xml:space="preserve"> </w:t>
            </w:r>
            <w:r w:rsidRPr="00831D59">
              <w:rPr>
                <w:rFonts w:ascii="Arial" w:hAnsi="Arial" w:cs="Arial"/>
                <w:iCs/>
                <w:sz w:val="24"/>
                <w:szCs w:val="24"/>
                <w:lang w:val="en-US"/>
              </w:rPr>
              <w:t>achieve the realization</w:t>
            </w:r>
            <w:r>
              <w:rPr>
                <w:rFonts w:ascii="Arial" w:hAnsi="Arial" w:cs="Arial"/>
                <w:iCs/>
                <w:sz w:val="24"/>
                <w:szCs w:val="24"/>
                <w:lang w:val="en-US"/>
              </w:rPr>
              <w:t xml:space="preserve"> </w:t>
            </w:r>
            <w:r w:rsidRPr="00831D59">
              <w:rPr>
                <w:rFonts w:ascii="Arial" w:hAnsi="Arial" w:cs="Arial"/>
                <w:iCs/>
                <w:sz w:val="24"/>
                <w:szCs w:val="24"/>
                <w:lang w:val="en-US"/>
              </w:rPr>
              <w:t>of the exercise and enjoyment of the collective and individual norms affirmed in the</w:t>
            </w:r>
            <w:r>
              <w:rPr>
                <w:rFonts w:ascii="Arial" w:hAnsi="Arial" w:cs="Arial"/>
                <w:iCs/>
                <w:sz w:val="24"/>
                <w:szCs w:val="24"/>
                <w:lang w:val="en-US"/>
              </w:rPr>
              <w:t xml:space="preserve"> </w:t>
            </w:r>
            <w:r w:rsidRPr="00831D59">
              <w:rPr>
                <w:rFonts w:ascii="Arial" w:hAnsi="Arial" w:cs="Arial"/>
                <w:iCs/>
                <w:sz w:val="24"/>
                <w:szCs w:val="24"/>
                <w:lang w:val="en-US"/>
              </w:rPr>
              <w:t>Declaration.</w:t>
            </w:r>
          </w:p>
          <w:p w14:paraId="6E9441DA" w14:textId="48AF27BB" w:rsidR="00816BF6" w:rsidRDefault="00816BF6" w:rsidP="00831D59">
            <w:pPr>
              <w:spacing w:after="0" w:line="240" w:lineRule="auto"/>
              <w:jc w:val="both"/>
              <w:rPr>
                <w:rFonts w:ascii="Arial" w:hAnsi="Arial" w:cs="Arial"/>
                <w:iCs/>
                <w:sz w:val="24"/>
                <w:szCs w:val="24"/>
                <w:lang w:val="en-US"/>
              </w:rPr>
            </w:pPr>
          </w:p>
          <w:p w14:paraId="4A88223C" w14:textId="2AD010AF" w:rsidR="00831D59" w:rsidRPr="001D1233" w:rsidRDefault="00831D59" w:rsidP="0055339A">
            <w:pPr>
              <w:spacing w:after="0" w:line="240" w:lineRule="auto"/>
              <w:jc w:val="both"/>
              <w:rPr>
                <w:rFonts w:ascii="Arial" w:hAnsi="Arial" w:cs="Arial"/>
                <w:iCs/>
                <w:sz w:val="24"/>
                <w:szCs w:val="24"/>
                <w:lang w:val="en-US"/>
              </w:rPr>
            </w:pPr>
          </w:p>
        </w:tc>
        <w:tc>
          <w:tcPr>
            <w:tcW w:w="2122" w:type="pct"/>
          </w:tcPr>
          <w:p w14:paraId="28526C12" w14:textId="6555DA63" w:rsidR="00490283" w:rsidRPr="000B4A76" w:rsidRDefault="000B2F62" w:rsidP="00E12F92">
            <w:pPr>
              <w:spacing w:after="0" w:line="240" w:lineRule="auto"/>
              <w:jc w:val="both"/>
              <w:rPr>
                <w:rFonts w:ascii="Arial" w:eastAsia="Times New Roman" w:hAnsi="Arial" w:cs="Arial"/>
                <w:b/>
                <w:sz w:val="24"/>
                <w:szCs w:val="24"/>
                <w:u w:val="single"/>
              </w:rPr>
            </w:pPr>
            <w:r>
              <w:rPr>
                <w:rFonts w:ascii="Arial" w:hAnsi="Arial" w:cs="Arial"/>
                <w:bCs/>
                <w:sz w:val="24"/>
                <w:szCs w:val="24"/>
              </w:rPr>
              <w:t xml:space="preserve">The </w:t>
            </w:r>
            <w:r w:rsidRPr="000B2F62">
              <w:rPr>
                <w:rFonts w:ascii="Arial" w:hAnsi="Arial" w:cs="Arial"/>
                <w:bCs/>
                <w:sz w:val="24"/>
                <w:szCs w:val="24"/>
              </w:rPr>
              <w:t>Free, Prior, and Informed Consent</w:t>
            </w:r>
            <w:r>
              <w:rPr>
                <w:rFonts w:ascii="Arial" w:hAnsi="Arial" w:cs="Arial"/>
                <w:bCs/>
                <w:sz w:val="24"/>
                <w:szCs w:val="24"/>
              </w:rPr>
              <w:t xml:space="preserve"> (FPIC) or consultation and consensus has been adapted by the government in any development programme involved </w:t>
            </w:r>
            <w:r w:rsidRPr="002C2A91">
              <w:rPr>
                <w:rFonts w:ascii="Arial" w:hAnsi="Arial" w:cs="Arial"/>
                <w:bCs/>
                <w:i/>
                <w:iCs/>
                <w:sz w:val="24"/>
                <w:szCs w:val="24"/>
              </w:rPr>
              <w:t>Orang Asli</w:t>
            </w:r>
            <w:r>
              <w:rPr>
                <w:rFonts w:ascii="Arial" w:hAnsi="Arial" w:cs="Arial"/>
                <w:bCs/>
                <w:sz w:val="24"/>
                <w:szCs w:val="24"/>
              </w:rPr>
              <w:t>.</w:t>
            </w:r>
          </w:p>
          <w:p w14:paraId="23370752" w14:textId="77777777" w:rsidR="000B2F62" w:rsidRDefault="000B2F62" w:rsidP="00E12F92">
            <w:pPr>
              <w:spacing w:after="0" w:line="240" w:lineRule="auto"/>
              <w:jc w:val="both"/>
              <w:rPr>
                <w:rFonts w:ascii="Arial" w:hAnsi="Arial" w:cs="Arial"/>
                <w:bCs/>
                <w:sz w:val="24"/>
                <w:szCs w:val="24"/>
              </w:rPr>
            </w:pPr>
          </w:p>
          <w:p w14:paraId="3B88EEC0" w14:textId="063D4869" w:rsidR="000B2F62" w:rsidRPr="000F0070" w:rsidRDefault="000B2F62" w:rsidP="00E12F92">
            <w:pPr>
              <w:spacing w:after="0" w:line="240" w:lineRule="auto"/>
              <w:jc w:val="both"/>
              <w:rPr>
                <w:rFonts w:ascii="Arial" w:hAnsi="Arial" w:cs="Arial"/>
                <w:bCs/>
                <w:sz w:val="24"/>
                <w:szCs w:val="24"/>
              </w:rPr>
            </w:pPr>
            <w:r w:rsidRPr="000F0070">
              <w:rPr>
                <w:rFonts w:ascii="Arial" w:hAnsi="Arial" w:cs="Arial"/>
                <w:bCs/>
                <w:sz w:val="24"/>
                <w:szCs w:val="24"/>
              </w:rPr>
              <w:t>Laws</w:t>
            </w:r>
            <w:r w:rsidR="000F0070" w:rsidRPr="000F0070">
              <w:rPr>
                <w:rFonts w:ascii="Arial" w:hAnsi="Arial" w:cs="Arial"/>
                <w:bCs/>
                <w:sz w:val="24"/>
                <w:szCs w:val="24"/>
              </w:rPr>
              <w:t xml:space="preserve"> such as </w:t>
            </w:r>
            <w:r w:rsidR="000F0070" w:rsidRPr="000F0070">
              <w:rPr>
                <w:rFonts w:ascii="Arial" w:hAnsi="Arial" w:cs="Arial"/>
                <w:color w:val="000000" w:themeColor="text1"/>
                <w:sz w:val="24"/>
                <w:szCs w:val="24"/>
                <w:shd w:val="clear" w:color="auto" w:fill="FFFFFF"/>
              </w:rPr>
              <w:t xml:space="preserve">Access to Biological Resources and Benefit Sharing 2017 (Act 795) already </w:t>
            </w:r>
            <w:r w:rsidR="000F0070" w:rsidRPr="000F0070">
              <w:rPr>
                <w:rFonts w:ascii="Arial" w:hAnsi="Arial" w:cs="Arial"/>
                <w:color w:val="202124"/>
                <w:sz w:val="24"/>
                <w:szCs w:val="24"/>
                <w:shd w:val="clear" w:color="auto" w:fill="FFFFFF"/>
              </w:rPr>
              <w:t>implement</w:t>
            </w:r>
            <w:r w:rsidR="002C2A91">
              <w:rPr>
                <w:rFonts w:ascii="Arial" w:hAnsi="Arial" w:cs="Arial"/>
                <w:color w:val="202124"/>
                <w:sz w:val="24"/>
                <w:szCs w:val="24"/>
                <w:shd w:val="clear" w:color="auto" w:fill="FFFFFF"/>
              </w:rPr>
              <w:t>ed the</w:t>
            </w:r>
            <w:r w:rsidR="000F0070" w:rsidRPr="000F0070">
              <w:rPr>
                <w:rFonts w:ascii="Arial" w:hAnsi="Arial" w:cs="Arial"/>
                <w:color w:val="000000" w:themeColor="text1"/>
                <w:sz w:val="24"/>
                <w:szCs w:val="24"/>
                <w:shd w:val="clear" w:color="auto" w:fill="FFFFFF"/>
              </w:rPr>
              <w:t xml:space="preserve"> require</w:t>
            </w:r>
            <w:r w:rsidR="002C2A91">
              <w:rPr>
                <w:rFonts w:ascii="Arial" w:hAnsi="Arial" w:cs="Arial"/>
                <w:color w:val="000000" w:themeColor="text1"/>
                <w:sz w:val="24"/>
                <w:szCs w:val="24"/>
                <w:shd w:val="clear" w:color="auto" w:fill="FFFFFF"/>
              </w:rPr>
              <w:t>ment</w:t>
            </w:r>
            <w:r w:rsidR="000F0070" w:rsidRPr="000F0070">
              <w:rPr>
                <w:rFonts w:ascii="Arial" w:hAnsi="Arial" w:cs="Arial"/>
                <w:color w:val="000000" w:themeColor="text1"/>
                <w:sz w:val="24"/>
                <w:szCs w:val="24"/>
                <w:shd w:val="clear" w:color="auto" w:fill="FFFFFF"/>
              </w:rPr>
              <w:t xml:space="preserve"> to obtain the FPIC </w:t>
            </w:r>
            <w:r w:rsidR="000F0070" w:rsidRPr="000F0070">
              <w:rPr>
                <w:rFonts w:ascii="Arial" w:hAnsi="Arial" w:cs="Arial"/>
                <w:sz w:val="24"/>
                <w:szCs w:val="24"/>
              </w:rPr>
              <w:t>before starting any development project on or near indigenous people’s territories</w:t>
            </w:r>
            <w:r w:rsidR="000F0070">
              <w:rPr>
                <w:rFonts w:ascii="Arial" w:hAnsi="Arial" w:cs="Arial"/>
                <w:sz w:val="24"/>
                <w:szCs w:val="24"/>
              </w:rPr>
              <w:t>.</w:t>
            </w:r>
          </w:p>
          <w:p w14:paraId="63964291" w14:textId="7D08A8D4" w:rsidR="00490283" w:rsidRPr="00CA3712" w:rsidRDefault="00490283" w:rsidP="00E12F92">
            <w:pPr>
              <w:spacing w:after="0" w:line="240" w:lineRule="auto"/>
              <w:jc w:val="both"/>
              <w:rPr>
                <w:rFonts w:ascii="Arial" w:hAnsi="Arial" w:cs="Arial"/>
                <w:bCs/>
                <w:sz w:val="24"/>
                <w:szCs w:val="24"/>
              </w:rPr>
            </w:pPr>
          </w:p>
        </w:tc>
      </w:tr>
      <w:tr w:rsidR="00167EE3" w:rsidRPr="001D1233" w14:paraId="205FC7DB" w14:textId="77777777" w:rsidTr="00885942">
        <w:trPr>
          <w:trHeight w:val="863"/>
        </w:trPr>
        <w:tc>
          <w:tcPr>
            <w:tcW w:w="294" w:type="pct"/>
          </w:tcPr>
          <w:p w14:paraId="7B2D5824" w14:textId="27642618" w:rsidR="00167EE3" w:rsidRPr="001D1233" w:rsidRDefault="007725AA" w:rsidP="00831D59">
            <w:pPr>
              <w:spacing w:after="0" w:line="240" w:lineRule="auto"/>
              <w:ind w:right="42"/>
              <w:jc w:val="center"/>
              <w:rPr>
                <w:rFonts w:ascii="Arial" w:hAnsi="Arial" w:cs="Arial"/>
                <w:sz w:val="24"/>
                <w:szCs w:val="24"/>
              </w:rPr>
            </w:pPr>
            <w:r w:rsidRPr="001D1233">
              <w:rPr>
                <w:rFonts w:ascii="Arial" w:hAnsi="Arial" w:cs="Arial"/>
                <w:sz w:val="24"/>
                <w:szCs w:val="24"/>
              </w:rPr>
              <w:t>4.</w:t>
            </w:r>
          </w:p>
        </w:tc>
        <w:tc>
          <w:tcPr>
            <w:tcW w:w="2584" w:type="pct"/>
          </w:tcPr>
          <w:p w14:paraId="776F618A" w14:textId="28A3C71C" w:rsidR="007725AA" w:rsidRDefault="00831D59" w:rsidP="00831D59">
            <w:pPr>
              <w:spacing w:after="0" w:line="240" w:lineRule="auto"/>
              <w:jc w:val="both"/>
              <w:rPr>
                <w:rFonts w:ascii="Arial" w:hAnsi="Arial" w:cs="Arial"/>
                <w:iCs/>
                <w:sz w:val="24"/>
                <w:szCs w:val="24"/>
                <w:lang w:val="en-US"/>
              </w:rPr>
            </w:pPr>
            <w:r>
              <w:rPr>
                <w:rFonts w:ascii="Arial" w:hAnsi="Arial" w:cs="Arial"/>
                <w:iCs/>
                <w:sz w:val="24"/>
                <w:szCs w:val="24"/>
                <w:lang w:val="en-US"/>
              </w:rPr>
              <w:t>J</w:t>
            </w:r>
            <w:r w:rsidRPr="00831D59">
              <w:rPr>
                <w:rFonts w:ascii="Arial" w:hAnsi="Arial" w:cs="Arial"/>
                <w:iCs/>
                <w:sz w:val="24"/>
                <w:szCs w:val="24"/>
                <w:lang w:val="en-US"/>
              </w:rPr>
              <w:t>udicial decisions in relation to contentious issues of concern to Indigenous People</w:t>
            </w:r>
            <w:r>
              <w:rPr>
                <w:rFonts w:ascii="Arial" w:hAnsi="Arial" w:cs="Arial"/>
                <w:iCs/>
                <w:sz w:val="24"/>
                <w:szCs w:val="24"/>
                <w:lang w:val="en-US"/>
              </w:rPr>
              <w:t xml:space="preserve"> </w:t>
            </w:r>
            <w:r w:rsidRPr="00831D59">
              <w:rPr>
                <w:rFonts w:ascii="Arial" w:hAnsi="Arial" w:cs="Arial"/>
                <w:iCs/>
                <w:sz w:val="24"/>
                <w:szCs w:val="24"/>
                <w:lang w:val="en-US"/>
              </w:rPr>
              <w:t>will serve to illuminate legally directed outcomes and responses by</w:t>
            </w:r>
            <w:r>
              <w:rPr>
                <w:rFonts w:ascii="Arial" w:hAnsi="Arial" w:cs="Arial"/>
                <w:iCs/>
                <w:sz w:val="24"/>
                <w:szCs w:val="24"/>
                <w:lang w:val="en-US"/>
              </w:rPr>
              <w:t xml:space="preserve"> </w:t>
            </w:r>
            <w:r w:rsidRPr="00831D59">
              <w:rPr>
                <w:rFonts w:ascii="Arial" w:hAnsi="Arial" w:cs="Arial"/>
                <w:iCs/>
                <w:sz w:val="24"/>
                <w:szCs w:val="24"/>
                <w:lang w:val="en-US"/>
              </w:rPr>
              <w:t>government and its</w:t>
            </w:r>
            <w:r>
              <w:rPr>
                <w:rFonts w:ascii="Arial" w:hAnsi="Arial" w:cs="Arial"/>
                <w:iCs/>
                <w:sz w:val="24"/>
                <w:szCs w:val="24"/>
                <w:lang w:val="en-US"/>
              </w:rPr>
              <w:t xml:space="preserve"> </w:t>
            </w:r>
            <w:r w:rsidRPr="00831D59">
              <w:rPr>
                <w:rFonts w:ascii="Arial" w:hAnsi="Arial" w:cs="Arial"/>
                <w:iCs/>
                <w:sz w:val="24"/>
                <w:szCs w:val="24"/>
                <w:lang w:val="en-US"/>
              </w:rPr>
              <w:t>various departments and agencies to concretely achieve the objectives of the</w:t>
            </w:r>
            <w:r>
              <w:rPr>
                <w:rFonts w:ascii="Arial" w:hAnsi="Arial" w:cs="Arial"/>
                <w:iCs/>
                <w:sz w:val="24"/>
                <w:szCs w:val="24"/>
                <w:lang w:val="en-US"/>
              </w:rPr>
              <w:t xml:space="preserve"> </w:t>
            </w:r>
            <w:r w:rsidRPr="00831D59">
              <w:rPr>
                <w:rFonts w:ascii="Arial" w:hAnsi="Arial" w:cs="Arial"/>
                <w:iCs/>
                <w:sz w:val="24"/>
                <w:szCs w:val="24"/>
                <w:lang w:val="en-US"/>
              </w:rPr>
              <w:t xml:space="preserve">Declaration. </w:t>
            </w:r>
          </w:p>
          <w:p w14:paraId="2E1A55E3" w14:textId="5A917AA2" w:rsidR="00E009AB" w:rsidRDefault="00E009AB" w:rsidP="00831D59">
            <w:pPr>
              <w:spacing w:after="0" w:line="240" w:lineRule="auto"/>
              <w:jc w:val="both"/>
              <w:rPr>
                <w:rFonts w:ascii="Arial" w:hAnsi="Arial" w:cs="Arial"/>
                <w:iCs/>
                <w:sz w:val="24"/>
                <w:szCs w:val="24"/>
                <w:lang w:val="en-US"/>
              </w:rPr>
            </w:pPr>
          </w:p>
          <w:p w14:paraId="03C98B52" w14:textId="24AF62D6" w:rsidR="00831D59" w:rsidRPr="001D1233" w:rsidRDefault="00831D59" w:rsidP="00D32ACB">
            <w:pPr>
              <w:spacing w:after="0" w:line="240" w:lineRule="auto"/>
              <w:jc w:val="both"/>
              <w:rPr>
                <w:rFonts w:ascii="Arial" w:hAnsi="Arial" w:cs="Arial"/>
                <w:iCs/>
                <w:sz w:val="24"/>
                <w:szCs w:val="24"/>
                <w:lang w:val="en-US"/>
              </w:rPr>
            </w:pPr>
          </w:p>
        </w:tc>
        <w:tc>
          <w:tcPr>
            <w:tcW w:w="2122" w:type="pct"/>
          </w:tcPr>
          <w:p w14:paraId="25FD1CF6" w14:textId="132EEC5B" w:rsidR="00527AE9" w:rsidRPr="000B4A76" w:rsidRDefault="00721918" w:rsidP="000B4A76">
            <w:pPr>
              <w:rPr>
                <w:rFonts w:ascii="Arial" w:eastAsia="Times New Roman" w:hAnsi="Arial" w:cs="Arial"/>
                <w:b/>
                <w:sz w:val="24"/>
                <w:szCs w:val="24"/>
                <w:u w:val="single"/>
              </w:rPr>
            </w:pPr>
            <w:r w:rsidRPr="00721918">
              <w:rPr>
                <w:rFonts w:ascii="Arial" w:hAnsi="Arial" w:cs="Arial"/>
                <w:sz w:val="24"/>
                <w:szCs w:val="24"/>
              </w:rPr>
              <w:t xml:space="preserve">The courts in Malaysia have upheld </w:t>
            </w:r>
            <w:proofErr w:type="gramStart"/>
            <w:r w:rsidRPr="00721918">
              <w:rPr>
                <w:rFonts w:ascii="Arial" w:hAnsi="Arial" w:cs="Arial"/>
                <w:sz w:val="24"/>
                <w:szCs w:val="24"/>
              </w:rPr>
              <w:t>a number of</w:t>
            </w:r>
            <w:proofErr w:type="gramEnd"/>
            <w:r w:rsidRPr="00721918">
              <w:rPr>
                <w:rFonts w:ascii="Arial" w:hAnsi="Arial" w:cs="Arial"/>
                <w:sz w:val="24"/>
                <w:szCs w:val="24"/>
              </w:rPr>
              <w:t xml:space="preserve"> judgements that effectively grant </w:t>
            </w:r>
            <w:r w:rsidRPr="002C2A91">
              <w:rPr>
                <w:rFonts w:ascii="Arial" w:hAnsi="Arial" w:cs="Arial"/>
                <w:i/>
                <w:iCs/>
                <w:sz w:val="24"/>
                <w:szCs w:val="24"/>
              </w:rPr>
              <w:t>Orang Asli</w:t>
            </w:r>
            <w:r w:rsidRPr="00721918">
              <w:rPr>
                <w:rFonts w:ascii="Arial" w:hAnsi="Arial" w:cs="Arial"/>
                <w:sz w:val="24"/>
                <w:szCs w:val="24"/>
              </w:rPr>
              <w:t xml:space="preserve"> </w:t>
            </w:r>
            <w:r w:rsidR="002C2A91">
              <w:rPr>
                <w:rFonts w:ascii="Arial" w:hAnsi="Arial" w:cs="Arial"/>
                <w:sz w:val="24"/>
                <w:szCs w:val="24"/>
              </w:rPr>
              <w:t xml:space="preserve">their </w:t>
            </w:r>
            <w:r w:rsidRPr="00721918">
              <w:rPr>
                <w:rFonts w:ascii="Arial" w:hAnsi="Arial" w:cs="Arial"/>
                <w:sz w:val="24"/>
                <w:szCs w:val="24"/>
              </w:rPr>
              <w:t>rights to land.</w:t>
            </w:r>
            <w:r>
              <w:rPr>
                <w:rFonts w:ascii="Arial" w:hAnsi="Arial" w:cs="Arial"/>
                <w:sz w:val="24"/>
                <w:szCs w:val="24"/>
              </w:rPr>
              <w:t xml:space="preserve"> </w:t>
            </w:r>
            <w:r w:rsidR="00527AE9" w:rsidRPr="00527AE9">
              <w:rPr>
                <w:rFonts w:ascii="Arial" w:hAnsi="Arial" w:cs="Arial"/>
                <w:sz w:val="24"/>
                <w:szCs w:val="24"/>
              </w:rPr>
              <w:t xml:space="preserve">Among the court cases are </w:t>
            </w:r>
            <w:r w:rsidR="00527AE9" w:rsidRPr="00527AE9">
              <w:rPr>
                <w:rFonts w:ascii="Arial" w:hAnsi="Arial" w:cs="Arial"/>
                <w:i/>
                <w:iCs/>
                <w:sz w:val="24"/>
                <w:szCs w:val="24"/>
              </w:rPr>
              <w:t xml:space="preserve">Sagong </w:t>
            </w:r>
            <w:proofErr w:type="spellStart"/>
            <w:r w:rsidR="00527AE9" w:rsidRPr="00527AE9">
              <w:rPr>
                <w:rFonts w:ascii="Arial" w:hAnsi="Arial" w:cs="Arial"/>
                <w:i/>
                <w:iCs/>
                <w:sz w:val="24"/>
                <w:szCs w:val="24"/>
              </w:rPr>
              <w:t>Tasi</w:t>
            </w:r>
            <w:proofErr w:type="spellEnd"/>
            <w:r w:rsidR="00527AE9" w:rsidRPr="00527AE9">
              <w:rPr>
                <w:rFonts w:ascii="Arial" w:hAnsi="Arial" w:cs="Arial"/>
                <w:sz w:val="24"/>
                <w:szCs w:val="24"/>
              </w:rPr>
              <w:t xml:space="preserve"> and </w:t>
            </w:r>
            <w:proofErr w:type="spellStart"/>
            <w:r w:rsidR="00527AE9" w:rsidRPr="00527AE9">
              <w:rPr>
                <w:rFonts w:ascii="Arial" w:hAnsi="Arial" w:cs="Arial"/>
                <w:i/>
                <w:iCs/>
                <w:sz w:val="24"/>
                <w:szCs w:val="24"/>
              </w:rPr>
              <w:t>Adong</w:t>
            </w:r>
            <w:proofErr w:type="spellEnd"/>
            <w:r w:rsidR="00527AE9" w:rsidRPr="00527AE9">
              <w:rPr>
                <w:rFonts w:ascii="Arial" w:hAnsi="Arial" w:cs="Arial"/>
                <w:i/>
                <w:iCs/>
                <w:sz w:val="24"/>
                <w:szCs w:val="24"/>
              </w:rPr>
              <w:t xml:space="preserve"> </w:t>
            </w:r>
            <w:proofErr w:type="spellStart"/>
            <w:r w:rsidR="00527AE9" w:rsidRPr="00527AE9">
              <w:rPr>
                <w:rFonts w:ascii="Arial" w:hAnsi="Arial" w:cs="Arial"/>
                <w:i/>
                <w:iCs/>
                <w:sz w:val="24"/>
                <w:szCs w:val="24"/>
              </w:rPr>
              <w:t>Kuwau</w:t>
            </w:r>
            <w:proofErr w:type="spellEnd"/>
            <w:r w:rsidR="00527AE9" w:rsidRPr="00527AE9">
              <w:rPr>
                <w:rFonts w:ascii="Arial" w:hAnsi="Arial" w:cs="Arial"/>
                <w:i/>
                <w:iCs/>
                <w:sz w:val="24"/>
                <w:szCs w:val="24"/>
              </w:rPr>
              <w:t>,</w:t>
            </w:r>
            <w:r w:rsidR="00527AE9" w:rsidRPr="00527AE9">
              <w:rPr>
                <w:rFonts w:ascii="Arial" w:hAnsi="Arial" w:cs="Arial"/>
                <w:sz w:val="24"/>
                <w:szCs w:val="24"/>
              </w:rPr>
              <w:t xml:space="preserve"> which grant </w:t>
            </w:r>
            <w:r w:rsidR="00527AE9" w:rsidRPr="002C2A91">
              <w:rPr>
                <w:rFonts w:ascii="Arial" w:hAnsi="Arial" w:cs="Arial"/>
                <w:i/>
                <w:iCs/>
                <w:sz w:val="24"/>
                <w:szCs w:val="24"/>
              </w:rPr>
              <w:t>Orang Asli</w:t>
            </w:r>
            <w:r w:rsidR="00527AE9" w:rsidRPr="00527AE9">
              <w:rPr>
                <w:rFonts w:ascii="Arial" w:hAnsi="Arial" w:cs="Arial"/>
                <w:sz w:val="24"/>
                <w:szCs w:val="24"/>
              </w:rPr>
              <w:t xml:space="preserve"> communities in Peninsular Malaysia the right to land as stipulated by written and common law.</w:t>
            </w:r>
          </w:p>
        </w:tc>
      </w:tr>
      <w:tr w:rsidR="00167EE3" w:rsidRPr="001D1233" w14:paraId="2DD48C76" w14:textId="77777777" w:rsidTr="00885942">
        <w:tc>
          <w:tcPr>
            <w:tcW w:w="294" w:type="pct"/>
          </w:tcPr>
          <w:p w14:paraId="1582D5CF" w14:textId="0CBA928D" w:rsidR="00167EE3" w:rsidRPr="001D1233" w:rsidRDefault="007725AA" w:rsidP="00831D59">
            <w:pPr>
              <w:spacing w:after="0" w:line="240" w:lineRule="auto"/>
              <w:ind w:right="42"/>
              <w:jc w:val="center"/>
              <w:rPr>
                <w:rFonts w:ascii="Arial" w:hAnsi="Arial" w:cs="Arial"/>
                <w:sz w:val="24"/>
                <w:szCs w:val="24"/>
              </w:rPr>
            </w:pPr>
            <w:r w:rsidRPr="001D1233">
              <w:rPr>
                <w:rFonts w:ascii="Arial" w:hAnsi="Arial" w:cs="Arial"/>
                <w:sz w:val="24"/>
                <w:szCs w:val="24"/>
              </w:rPr>
              <w:t>5.</w:t>
            </w:r>
          </w:p>
        </w:tc>
        <w:tc>
          <w:tcPr>
            <w:tcW w:w="2584" w:type="pct"/>
          </w:tcPr>
          <w:p w14:paraId="6312C8DA" w14:textId="3882F5D4" w:rsidR="007725AA" w:rsidRDefault="00831D59" w:rsidP="00831D59">
            <w:pPr>
              <w:spacing w:after="0" w:line="240" w:lineRule="auto"/>
              <w:jc w:val="both"/>
              <w:rPr>
                <w:rFonts w:ascii="Arial" w:hAnsi="Arial" w:cs="Arial"/>
                <w:iCs/>
                <w:sz w:val="24"/>
                <w:szCs w:val="24"/>
              </w:rPr>
            </w:pPr>
            <w:r w:rsidRPr="00831D59">
              <w:rPr>
                <w:rFonts w:ascii="Arial" w:hAnsi="Arial" w:cs="Arial"/>
                <w:iCs/>
                <w:sz w:val="24"/>
                <w:szCs w:val="24"/>
              </w:rPr>
              <w:t>In cases where States have initiated or concluded national inquiries, analysis of actions</w:t>
            </w:r>
            <w:r w:rsidR="00FE2AB7">
              <w:rPr>
                <w:rFonts w:ascii="Arial" w:hAnsi="Arial" w:cs="Arial"/>
                <w:iCs/>
                <w:sz w:val="24"/>
                <w:szCs w:val="24"/>
              </w:rPr>
              <w:t xml:space="preserve"> </w:t>
            </w:r>
            <w:r w:rsidRPr="00831D59">
              <w:rPr>
                <w:rFonts w:ascii="Arial" w:hAnsi="Arial" w:cs="Arial"/>
                <w:iCs/>
                <w:sz w:val="24"/>
                <w:szCs w:val="24"/>
              </w:rPr>
              <w:t>to respond to the final reports, conclusions, and recommendations that may yield</w:t>
            </w:r>
            <w:r>
              <w:rPr>
                <w:rFonts w:ascii="Arial" w:hAnsi="Arial" w:cs="Arial"/>
                <w:iCs/>
                <w:sz w:val="24"/>
                <w:szCs w:val="24"/>
              </w:rPr>
              <w:t xml:space="preserve"> </w:t>
            </w:r>
            <w:r w:rsidRPr="00831D59">
              <w:rPr>
                <w:rFonts w:ascii="Arial" w:hAnsi="Arial" w:cs="Arial"/>
                <w:iCs/>
                <w:sz w:val="24"/>
                <w:szCs w:val="24"/>
              </w:rPr>
              <w:t xml:space="preserve">constructive examples of implementation. </w:t>
            </w:r>
          </w:p>
          <w:p w14:paraId="131D9DC2" w14:textId="161EDF44" w:rsidR="00816BF6" w:rsidRDefault="00816BF6" w:rsidP="00831D59">
            <w:pPr>
              <w:spacing w:after="0" w:line="240" w:lineRule="auto"/>
              <w:jc w:val="both"/>
              <w:rPr>
                <w:rFonts w:ascii="Arial" w:hAnsi="Arial" w:cs="Arial"/>
                <w:iCs/>
                <w:sz w:val="24"/>
                <w:szCs w:val="24"/>
              </w:rPr>
            </w:pPr>
          </w:p>
          <w:p w14:paraId="32CD29E3" w14:textId="77777777" w:rsidR="00816BF6" w:rsidRDefault="00816BF6" w:rsidP="00831D59">
            <w:pPr>
              <w:spacing w:after="0" w:line="240" w:lineRule="auto"/>
              <w:jc w:val="both"/>
              <w:rPr>
                <w:rFonts w:ascii="Arial" w:hAnsi="Arial" w:cs="Arial"/>
                <w:iCs/>
                <w:sz w:val="24"/>
                <w:szCs w:val="24"/>
              </w:rPr>
            </w:pPr>
          </w:p>
          <w:p w14:paraId="5C056285" w14:textId="45D6F8C7" w:rsidR="00831D59" w:rsidRPr="001D1233" w:rsidRDefault="00831D59" w:rsidP="00831D59">
            <w:pPr>
              <w:spacing w:after="0" w:line="240" w:lineRule="auto"/>
              <w:jc w:val="both"/>
              <w:rPr>
                <w:rFonts w:ascii="Arial" w:hAnsi="Arial" w:cs="Arial"/>
                <w:iCs/>
                <w:sz w:val="24"/>
                <w:szCs w:val="24"/>
              </w:rPr>
            </w:pPr>
          </w:p>
        </w:tc>
        <w:tc>
          <w:tcPr>
            <w:tcW w:w="2122" w:type="pct"/>
          </w:tcPr>
          <w:p w14:paraId="55A17363" w14:textId="7059AAF4" w:rsidR="008C3B72" w:rsidRPr="000B4A76" w:rsidRDefault="00CB669E" w:rsidP="008C3B72">
            <w:pPr>
              <w:spacing w:after="0" w:line="240" w:lineRule="auto"/>
              <w:jc w:val="both"/>
              <w:rPr>
                <w:rFonts w:ascii="Arial" w:eastAsia="Times New Roman" w:hAnsi="Arial" w:cs="Arial"/>
                <w:b/>
                <w:sz w:val="24"/>
                <w:szCs w:val="24"/>
                <w:u w:val="single"/>
              </w:rPr>
            </w:pPr>
            <w:r w:rsidRPr="00CB669E">
              <w:rPr>
                <w:rFonts w:ascii="Arial" w:hAnsi="Arial" w:cs="Arial"/>
                <w:bCs/>
                <w:sz w:val="24"/>
                <w:szCs w:val="24"/>
              </w:rPr>
              <w:t xml:space="preserve">The government adopted the suggestions made by the SUHAKAM (NHRI) National Inquiry to improve governance and improve the rights of </w:t>
            </w:r>
            <w:r w:rsidRPr="002C2A91">
              <w:rPr>
                <w:rFonts w:ascii="Arial" w:hAnsi="Arial" w:cs="Arial"/>
                <w:bCs/>
                <w:i/>
                <w:iCs/>
                <w:sz w:val="24"/>
                <w:szCs w:val="24"/>
              </w:rPr>
              <w:t>Orang Asli</w:t>
            </w:r>
            <w:r w:rsidRPr="00CB669E">
              <w:rPr>
                <w:rFonts w:ascii="Arial" w:hAnsi="Arial" w:cs="Arial"/>
                <w:bCs/>
                <w:sz w:val="24"/>
                <w:szCs w:val="24"/>
              </w:rPr>
              <w:t>, which were carried out by various federal and state government entities</w:t>
            </w:r>
            <w:r w:rsidR="008C3B72">
              <w:rPr>
                <w:rFonts w:ascii="Arial" w:hAnsi="Arial" w:cs="Arial"/>
                <w:bCs/>
                <w:sz w:val="24"/>
                <w:szCs w:val="24"/>
              </w:rPr>
              <w:t>.</w:t>
            </w:r>
          </w:p>
        </w:tc>
      </w:tr>
      <w:tr w:rsidR="007725AA" w:rsidRPr="001D1233" w14:paraId="221CE880" w14:textId="77777777" w:rsidTr="002C2A91">
        <w:trPr>
          <w:trHeight w:val="4535"/>
        </w:trPr>
        <w:tc>
          <w:tcPr>
            <w:tcW w:w="294" w:type="pct"/>
          </w:tcPr>
          <w:p w14:paraId="487CD818" w14:textId="6C94F267" w:rsidR="007725AA" w:rsidRPr="001D1233" w:rsidRDefault="007725AA" w:rsidP="007725AA">
            <w:pPr>
              <w:spacing w:after="0" w:line="240" w:lineRule="auto"/>
              <w:ind w:right="42"/>
              <w:jc w:val="center"/>
              <w:rPr>
                <w:rFonts w:ascii="Arial" w:hAnsi="Arial" w:cs="Arial"/>
                <w:sz w:val="24"/>
                <w:szCs w:val="24"/>
              </w:rPr>
            </w:pPr>
            <w:r w:rsidRPr="001D1233">
              <w:rPr>
                <w:rFonts w:ascii="Arial" w:hAnsi="Arial" w:cs="Arial"/>
                <w:sz w:val="24"/>
                <w:szCs w:val="24"/>
              </w:rPr>
              <w:lastRenderedPageBreak/>
              <w:t>6.</w:t>
            </w:r>
          </w:p>
        </w:tc>
        <w:tc>
          <w:tcPr>
            <w:tcW w:w="2584" w:type="pct"/>
          </w:tcPr>
          <w:p w14:paraId="77C4B3AF" w14:textId="458EB9B7" w:rsidR="00831D59" w:rsidRDefault="00831D59" w:rsidP="00831D59">
            <w:pPr>
              <w:spacing w:after="0" w:line="240" w:lineRule="auto"/>
              <w:jc w:val="both"/>
              <w:rPr>
                <w:rFonts w:ascii="Arial" w:hAnsi="Arial" w:cs="Arial"/>
                <w:iCs/>
                <w:sz w:val="24"/>
                <w:szCs w:val="24"/>
              </w:rPr>
            </w:pPr>
            <w:r w:rsidRPr="00831D59">
              <w:rPr>
                <w:rFonts w:ascii="Arial" w:hAnsi="Arial" w:cs="Arial"/>
                <w:iCs/>
                <w:sz w:val="24"/>
                <w:szCs w:val="24"/>
              </w:rPr>
              <w:t>Analyse measures taken by States, including legislative measures, in relation to health of Indigenous Peoples, education in their own language, protection from economic exploitation, improvement of their economic and social conditions, protection against</w:t>
            </w:r>
            <w:r>
              <w:rPr>
                <w:rFonts w:ascii="Arial" w:hAnsi="Arial" w:cs="Arial"/>
                <w:iCs/>
                <w:sz w:val="24"/>
                <w:szCs w:val="24"/>
              </w:rPr>
              <w:t xml:space="preserve"> </w:t>
            </w:r>
            <w:r w:rsidRPr="00831D59">
              <w:rPr>
                <w:rFonts w:ascii="Arial" w:hAnsi="Arial" w:cs="Arial"/>
                <w:iCs/>
                <w:sz w:val="24"/>
                <w:szCs w:val="24"/>
              </w:rPr>
              <w:t>all form of violence against women, as well as just and fair redress to mitigate adverse environmental, economic, social and cultural impact among others, as set out in 4</w:t>
            </w:r>
            <w:r>
              <w:rPr>
                <w:rFonts w:ascii="Arial" w:hAnsi="Arial" w:cs="Arial"/>
                <w:iCs/>
                <w:sz w:val="24"/>
                <w:szCs w:val="24"/>
              </w:rPr>
              <w:t xml:space="preserve"> </w:t>
            </w:r>
            <w:r w:rsidRPr="00831D59">
              <w:rPr>
                <w:rFonts w:ascii="Arial" w:hAnsi="Arial" w:cs="Arial"/>
                <w:iCs/>
                <w:sz w:val="24"/>
                <w:szCs w:val="24"/>
              </w:rPr>
              <w:t>paragraphs (2) in Articles 8, 11, 12, 13, 15, 16, 17, 21, 22, 30, 31, and 36, and paragraph (3) in articles 14 and 26, as well as paragraphs (2) and (3) in articles 29 and 32.</w:t>
            </w:r>
          </w:p>
          <w:p w14:paraId="0F7789B6" w14:textId="77EAB1A1" w:rsidR="00816BF6" w:rsidRDefault="00816BF6" w:rsidP="00831D59">
            <w:pPr>
              <w:spacing w:after="0" w:line="240" w:lineRule="auto"/>
              <w:jc w:val="both"/>
              <w:rPr>
                <w:rFonts w:ascii="Arial" w:hAnsi="Arial" w:cs="Arial"/>
                <w:iCs/>
                <w:sz w:val="24"/>
                <w:szCs w:val="24"/>
              </w:rPr>
            </w:pPr>
          </w:p>
          <w:p w14:paraId="73D9A4C0" w14:textId="7F924B0A" w:rsidR="00816BF6" w:rsidRDefault="00816BF6" w:rsidP="00831D59">
            <w:pPr>
              <w:spacing w:after="0" w:line="240" w:lineRule="auto"/>
              <w:jc w:val="both"/>
              <w:rPr>
                <w:rFonts w:ascii="Arial" w:hAnsi="Arial" w:cs="Arial"/>
                <w:iCs/>
                <w:sz w:val="24"/>
                <w:szCs w:val="24"/>
              </w:rPr>
            </w:pPr>
          </w:p>
          <w:p w14:paraId="2A55B10D" w14:textId="77777777" w:rsidR="00816BF6" w:rsidRDefault="00816BF6" w:rsidP="00831D59">
            <w:pPr>
              <w:spacing w:after="0" w:line="240" w:lineRule="auto"/>
              <w:jc w:val="both"/>
              <w:rPr>
                <w:rFonts w:ascii="Arial" w:hAnsi="Arial" w:cs="Arial"/>
                <w:iCs/>
                <w:sz w:val="24"/>
                <w:szCs w:val="24"/>
              </w:rPr>
            </w:pPr>
          </w:p>
          <w:p w14:paraId="787AFC3D" w14:textId="4BDEDBE6" w:rsidR="007725AA" w:rsidRPr="001D1233" w:rsidRDefault="007725AA" w:rsidP="007725AA">
            <w:pPr>
              <w:spacing w:after="0" w:line="240" w:lineRule="auto"/>
              <w:jc w:val="both"/>
              <w:rPr>
                <w:rFonts w:ascii="Arial" w:hAnsi="Arial" w:cs="Arial"/>
                <w:iCs/>
                <w:sz w:val="24"/>
                <w:szCs w:val="24"/>
              </w:rPr>
            </w:pPr>
            <w:r w:rsidRPr="001D1233">
              <w:rPr>
                <w:rFonts w:ascii="Arial" w:hAnsi="Arial" w:cs="Arial"/>
                <w:iCs/>
                <w:sz w:val="24"/>
                <w:szCs w:val="24"/>
              </w:rPr>
              <w:t>.</w:t>
            </w:r>
          </w:p>
        </w:tc>
        <w:tc>
          <w:tcPr>
            <w:tcW w:w="2122" w:type="pct"/>
          </w:tcPr>
          <w:p w14:paraId="38D1F535" w14:textId="3F843269" w:rsidR="007B5A97" w:rsidRPr="000B4A76" w:rsidRDefault="007B5A97" w:rsidP="000B4A76">
            <w:pPr>
              <w:spacing w:after="0" w:line="240" w:lineRule="auto"/>
              <w:jc w:val="both"/>
              <w:rPr>
                <w:rFonts w:ascii="Arial" w:eastAsia="Times New Roman" w:hAnsi="Arial" w:cs="Arial"/>
                <w:b/>
                <w:color w:val="000000" w:themeColor="text1"/>
                <w:sz w:val="24"/>
                <w:szCs w:val="24"/>
                <w:u w:val="single"/>
              </w:rPr>
            </w:pPr>
            <w:r w:rsidRPr="007B5A97">
              <w:rPr>
                <w:rFonts w:ascii="Arial" w:hAnsi="Arial" w:cs="Arial"/>
                <w:color w:val="000000" w:themeColor="text1"/>
                <w:sz w:val="24"/>
                <w:szCs w:val="24"/>
              </w:rPr>
              <w:t xml:space="preserve">As a signatory to a treaty, the government has created </w:t>
            </w:r>
            <w:proofErr w:type="gramStart"/>
            <w:r w:rsidRPr="007B5A97">
              <w:rPr>
                <w:rFonts w:ascii="Arial" w:hAnsi="Arial" w:cs="Arial"/>
                <w:color w:val="000000" w:themeColor="text1"/>
                <w:sz w:val="24"/>
                <w:szCs w:val="24"/>
              </w:rPr>
              <w:t>a number of</w:t>
            </w:r>
            <w:proofErr w:type="gramEnd"/>
            <w:r w:rsidRPr="007B5A97">
              <w:rPr>
                <w:rFonts w:ascii="Arial" w:hAnsi="Arial" w:cs="Arial"/>
                <w:color w:val="000000" w:themeColor="text1"/>
                <w:sz w:val="24"/>
                <w:szCs w:val="24"/>
              </w:rPr>
              <w:t xml:space="preserve"> general and targeted policies pertaining to </w:t>
            </w:r>
            <w:r w:rsidRPr="002C2A91">
              <w:rPr>
                <w:rFonts w:ascii="Arial" w:hAnsi="Arial" w:cs="Arial"/>
                <w:i/>
                <w:iCs/>
                <w:color w:val="000000" w:themeColor="text1"/>
                <w:sz w:val="24"/>
                <w:szCs w:val="24"/>
              </w:rPr>
              <w:t>Orang Asli</w:t>
            </w:r>
            <w:r w:rsidRPr="007B5A97">
              <w:rPr>
                <w:rFonts w:ascii="Arial" w:hAnsi="Arial" w:cs="Arial"/>
                <w:color w:val="000000" w:themeColor="text1"/>
                <w:sz w:val="24"/>
                <w:szCs w:val="24"/>
              </w:rPr>
              <w:t xml:space="preserve"> in health, education in their own language, protection from economic exploitation, improvement of their economic and social conditions, protection against all forms of violence against women, as well as just and fair redress to mitigate adverse environmental, economic, social, and cultural impacts. </w:t>
            </w:r>
          </w:p>
          <w:p w14:paraId="70D3CDE4" w14:textId="77777777" w:rsidR="007B5A97" w:rsidRDefault="007B5A97" w:rsidP="00B83C7E">
            <w:pPr>
              <w:pStyle w:val="Heading2"/>
              <w:shd w:val="clear" w:color="auto" w:fill="FFFFFF"/>
              <w:spacing w:before="0" w:beforeAutospacing="0" w:after="0" w:afterAutospacing="0"/>
              <w:jc w:val="both"/>
              <w:rPr>
                <w:rFonts w:ascii="Arial" w:hAnsi="Arial" w:cs="Arial"/>
                <w:b w:val="0"/>
                <w:color w:val="000000" w:themeColor="text1"/>
                <w:sz w:val="24"/>
                <w:szCs w:val="24"/>
              </w:rPr>
            </w:pPr>
          </w:p>
          <w:p w14:paraId="3B025386" w14:textId="69B8C7BF" w:rsidR="007B5A97" w:rsidRDefault="007B5A97" w:rsidP="00B83C7E">
            <w:pPr>
              <w:pStyle w:val="Heading2"/>
              <w:shd w:val="clear" w:color="auto" w:fill="FFFFFF"/>
              <w:spacing w:before="0" w:beforeAutospacing="0" w:after="0" w:afterAutospacing="0"/>
              <w:jc w:val="both"/>
              <w:rPr>
                <w:rFonts w:ascii="Arial" w:hAnsi="Arial" w:cs="Arial"/>
                <w:b w:val="0"/>
                <w:color w:val="000000" w:themeColor="text1"/>
                <w:sz w:val="24"/>
                <w:szCs w:val="24"/>
              </w:rPr>
            </w:pPr>
            <w:r w:rsidRPr="007B5A97">
              <w:rPr>
                <w:rFonts w:ascii="Arial" w:hAnsi="Arial" w:cs="Arial"/>
                <w:b w:val="0"/>
                <w:color w:val="000000" w:themeColor="text1"/>
                <w:sz w:val="24"/>
                <w:szCs w:val="24"/>
              </w:rPr>
              <w:t>Among the treaties are the Convention on the Rights of the Child (CRC), the Convention on the Elimination of All Forms of Discrimination Against Women (CEDAW), and the Convention on Climate Change (UNFCCC).</w:t>
            </w:r>
          </w:p>
          <w:p w14:paraId="212BA31A" w14:textId="4E2DCF02" w:rsidR="004B7EC8" w:rsidRPr="00B83C7E" w:rsidRDefault="004B7EC8" w:rsidP="004B7EC8">
            <w:pPr>
              <w:spacing w:after="0" w:line="240" w:lineRule="auto"/>
              <w:jc w:val="both"/>
              <w:rPr>
                <w:rFonts w:ascii="Arial" w:eastAsia="Times New Roman" w:hAnsi="Arial" w:cs="Arial"/>
                <w:color w:val="000000" w:themeColor="text1"/>
                <w:sz w:val="24"/>
                <w:szCs w:val="24"/>
                <w:u w:val="single"/>
              </w:rPr>
            </w:pPr>
          </w:p>
        </w:tc>
      </w:tr>
    </w:tbl>
    <w:p w14:paraId="162263B9" w14:textId="1EC0F26E" w:rsidR="00167EE3" w:rsidRPr="001D1233" w:rsidRDefault="00167EE3" w:rsidP="00104500">
      <w:pPr>
        <w:spacing w:after="0" w:line="240" w:lineRule="auto"/>
        <w:rPr>
          <w:rFonts w:ascii="Arial" w:hAnsi="Arial" w:cs="Arial"/>
          <w:b/>
          <w:sz w:val="24"/>
          <w:szCs w:val="24"/>
        </w:rPr>
      </w:pPr>
    </w:p>
    <w:p w14:paraId="4DDE6DC7" w14:textId="58D1EDE4" w:rsidR="008234D3" w:rsidRPr="002C2A91" w:rsidRDefault="002C2A91" w:rsidP="007725AA">
      <w:pPr>
        <w:spacing w:after="0" w:line="240" w:lineRule="auto"/>
        <w:ind w:left="567" w:hanging="567"/>
        <w:jc w:val="both"/>
        <w:rPr>
          <w:rFonts w:ascii="Arial" w:hAnsi="Arial" w:cs="Arial"/>
          <w:b/>
          <w:bCs/>
          <w:sz w:val="24"/>
          <w:szCs w:val="24"/>
        </w:rPr>
      </w:pPr>
      <w:r w:rsidRPr="002C2A91">
        <w:rPr>
          <w:rFonts w:ascii="Arial" w:hAnsi="Arial" w:cs="Arial"/>
          <w:b/>
          <w:bCs/>
          <w:sz w:val="24"/>
          <w:szCs w:val="24"/>
        </w:rPr>
        <w:t>Prepared by:</w:t>
      </w:r>
    </w:p>
    <w:p w14:paraId="04E6E572" w14:textId="71760CB2" w:rsidR="002C2A91" w:rsidRPr="002C2A91" w:rsidRDefault="002C2A91" w:rsidP="007725AA">
      <w:pPr>
        <w:spacing w:after="0" w:line="240" w:lineRule="auto"/>
        <w:ind w:left="567" w:hanging="567"/>
        <w:jc w:val="both"/>
        <w:rPr>
          <w:rFonts w:ascii="Arial" w:hAnsi="Arial" w:cs="Arial"/>
          <w:b/>
          <w:bCs/>
          <w:sz w:val="24"/>
          <w:szCs w:val="24"/>
        </w:rPr>
      </w:pPr>
      <w:r w:rsidRPr="002C2A91">
        <w:rPr>
          <w:rFonts w:ascii="Arial" w:hAnsi="Arial" w:cs="Arial"/>
          <w:b/>
          <w:bCs/>
          <w:sz w:val="24"/>
          <w:szCs w:val="24"/>
        </w:rPr>
        <w:t>The Government of Malaysia</w:t>
      </w:r>
    </w:p>
    <w:sectPr w:rsidR="002C2A91" w:rsidRPr="002C2A91" w:rsidSect="006B7592">
      <w:headerReference w:type="default" r:id="rId8"/>
      <w:footerReference w:type="default" r:id="rId9"/>
      <w:pgSz w:w="16838" w:h="11906" w:orient="landscape"/>
      <w:pgMar w:top="1440" w:right="1440" w:bottom="9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2BDC1" w14:textId="77777777" w:rsidR="00624DCF" w:rsidRDefault="00624DCF">
      <w:pPr>
        <w:spacing w:line="240" w:lineRule="auto"/>
      </w:pPr>
      <w:r>
        <w:separator/>
      </w:r>
    </w:p>
  </w:endnote>
  <w:endnote w:type="continuationSeparator" w:id="0">
    <w:p w14:paraId="56AD2EDF" w14:textId="77777777" w:rsidR="00624DCF" w:rsidRDefault="00624D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511170"/>
      <w:docPartObj>
        <w:docPartGallery w:val="AutoText"/>
      </w:docPartObj>
    </w:sdtPr>
    <w:sdtEndPr/>
    <w:sdtContent>
      <w:p w14:paraId="17DF1CED" w14:textId="77777777" w:rsidR="00C3257E" w:rsidRDefault="001B5CA5">
        <w:pPr>
          <w:pStyle w:val="Footer"/>
          <w:jc w:val="center"/>
        </w:pPr>
        <w:r>
          <w:rPr>
            <w:rFonts w:ascii="Arial" w:hAnsi="Arial" w:cs="Arial"/>
            <w:sz w:val="24"/>
          </w:rPr>
          <w:fldChar w:fldCharType="begin"/>
        </w:r>
        <w:r>
          <w:rPr>
            <w:rFonts w:ascii="Arial" w:hAnsi="Arial" w:cs="Arial"/>
            <w:sz w:val="24"/>
          </w:rPr>
          <w:instrText xml:space="preserve"> PAGE   \* MERGEFORMAT </w:instrText>
        </w:r>
        <w:r>
          <w:rPr>
            <w:rFonts w:ascii="Arial" w:hAnsi="Arial" w:cs="Arial"/>
            <w:sz w:val="24"/>
          </w:rPr>
          <w:fldChar w:fldCharType="separate"/>
        </w:r>
        <w:r w:rsidR="00DF2BB5">
          <w:rPr>
            <w:rFonts w:ascii="Arial" w:hAnsi="Arial" w:cs="Arial"/>
            <w:noProof/>
            <w:sz w:val="24"/>
          </w:rPr>
          <w:t>11</w:t>
        </w:r>
        <w:r>
          <w:rPr>
            <w:rFonts w:ascii="Arial" w:hAnsi="Arial" w:cs="Arial"/>
            <w:sz w:val="24"/>
          </w:rPr>
          <w:fldChar w:fldCharType="end"/>
        </w:r>
      </w:p>
    </w:sdtContent>
  </w:sdt>
  <w:p w14:paraId="65656059" w14:textId="77777777" w:rsidR="00C3257E" w:rsidRDefault="00C32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1EC16" w14:textId="77777777" w:rsidR="00624DCF" w:rsidRDefault="00624DCF">
      <w:pPr>
        <w:spacing w:after="0"/>
      </w:pPr>
      <w:r>
        <w:separator/>
      </w:r>
    </w:p>
  </w:footnote>
  <w:footnote w:type="continuationSeparator" w:id="0">
    <w:p w14:paraId="59AC9510" w14:textId="77777777" w:rsidR="00624DCF" w:rsidRDefault="00624D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B796" w14:textId="1D45ABAA" w:rsidR="00505CF3" w:rsidRPr="00505CF3" w:rsidRDefault="00505CF3" w:rsidP="00505CF3">
    <w:pPr>
      <w:pStyle w:val="Header"/>
      <w:jc w:val="right"/>
      <w:rPr>
        <w:rFonts w:ascii="Arial" w:hAnsi="Arial" w:cs="Arial"/>
        <w:b/>
      </w:rPr>
    </w:pPr>
    <w:r w:rsidRPr="00505CF3">
      <w:rPr>
        <w:rFonts w:ascii="Arial" w:hAnsi="Arial" w:cs="Arial"/>
        <w:b/>
      </w:rPr>
      <w:t>ANNEX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D32"/>
    <w:multiLevelType w:val="hybridMultilevel"/>
    <w:tmpl w:val="CF86C94A"/>
    <w:lvl w:ilvl="0" w:tplc="D28032A0">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4C77FFC"/>
    <w:multiLevelType w:val="hybridMultilevel"/>
    <w:tmpl w:val="6A0E082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53A33AF"/>
    <w:multiLevelType w:val="hybridMultilevel"/>
    <w:tmpl w:val="FED00032"/>
    <w:lvl w:ilvl="0" w:tplc="D8025788">
      <w:start w:val="1"/>
      <w:numFmt w:val="lowerRoman"/>
      <w:lvlText w:val="%1."/>
      <w:lvlJc w:val="left"/>
      <w:pPr>
        <w:ind w:left="780" w:hanging="360"/>
      </w:pPr>
      <w:rPr>
        <w:rFonts w:hint="default"/>
      </w:rPr>
    </w:lvl>
    <w:lvl w:ilvl="1" w:tplc="44090019" w:tentative="1">
      <w:start w:val="1"/>
      <w:numFmt w:val="lowerLetter"/>
      <w:lvlText w:val="%2."/>
      <w:lvlJc w:val="left"/>
      <w:pPr>
        <w:ind w:left="1500" w:hanging="360"/>
      </w:pPr>
    </w:lvl>
    <w:lvl w:ilvl="2" w:tplc="4409001B" w:tentative="1">
      <w:start w:val="1"/>
      <w:numFmt w:val="lowerRoman"/>
      <w:lvlText w:val="%3."/>
      <w:lvlJc w:val="right"/>
      <w:pPr>
        <w:ind w:left="2220" w:hanging="180"/>
      </w:pPr>
    </w:lvl>
    <w:lvl w:ilvl="3" w:tplc="4409000F" w:tentative="1">
      <w:start w:val="1"/>
      <w:numFmt w:val="decimal"/>
      <w:lvlText w:val="%4."/>
      <w:lvlJc w:val="left"/>
      <w:pPr>
        <w:ind w:left="2940" w:hanging="360"/>
      </w:pPr>
    </w:lvl>
    <w:lvl w:ilvl="4" w:tplc="44090019" w:tentative="1">
      <w:start w:val="1"/>
      <w:numFmt w:val="lowerLetter"/>
      <w:lvlText w:val="%5."/>
      <w:lvlJc w:val="left"/>
      <w:pPr>
        <w:ind w:left="3660" w:hanging="360"/>
      </w:pPr>
    </w:lvl>
    <w:lvl w:ilvl="5" w:tplc="4409001B" w:tentative="1">
      <w:start w:val="1"/>
      <w:numFmt w:val="lowerRoman"/>
      <w:lvlText w:val="%6."/>
      <w:lvlJc w:val="right"/>
      <w:pPr>
        <w:ind w:left="4380" w:hanging="180"/>
      </w:pPr>
    </w:lvl>
    <w:lvl w:ilvl="6" w:tplc="4409000F" w:tentative="1">
      <w:start w:val="1"/>
      <w:numFmt w:val="decimal"/>
      <w:lvlText w:val="%7."/>
      <w:lvlJc w:val="left"/>
      <w:pPr>
        <w:ind w:left="5100" w:hanging="360"/>
      </w:pPr>
    </w:lvl>
    <w:lvl w:ilvl="7" w:tplc="44090019" w:tentative="1">
      <w:start w:val="1"/>
      <w:numFmt w:val="lowerLetter"/>
      <w:lvlText w:val="%8."/>
      <w:lvlJc w:val="left"/>
      <w:pPr>
        <w:ind w:left="5820" w:hanging="360"/>
      </w:pPr>
    </w:lvl>
    <w:lvl w:ilvl="8" w:tplc="4409001B" w:tentative="1">
      <w:start w:val="1"/>
      <w:numFmt w:val="lowerRoman"/>
      <w:lvlText w:val="%9."/>
      <w:lvlJc w:val="right"/>
      <w:pPr>
        <w:ind w:left="6540" w:hanging="180"/>
      </w:pPr>
    </w:lvl>
  </w:abstractNum>
  <w:abstractNum w:abstractNumId="3" w15:restartNumberingAfterBreak="0">
    <w:nsid w:val="05430A0E"/>
    <w:multiLevelType w:val="hybridMultilevel"/>
    <w:tmpl w:val="5BA4FACE"/>
    <w:lvl w:ilvl="0" w:tplc="799AA214">
      <w:start w:val="1"/>
      <w:numFmt w:val="decimal"/>
      <w:lvlText w:val="%1."/>
      <w:lvlJc w:val="left"/>
      <w:pPr>
        <w:ind w:left="720" w:hanging="360"/>
      </w:pPr>
      <w:rPr>
        <w:rFonts w:hint="default"/>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067C7CA5"/>
    <w:multiLevelType w:val="multilevel"/>
    <w:tmpl w:val="66EE2DE8"/>
    <w:lvl w:ilvl="0">
      <w:start w:val="1"/>
      <w:numFmt w:val="lowerLetter"/>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89D1263"/>
    <w:multiLevelType w:val="hybridMultilevel"/>
    <w:tmpl w:val="1F2A0374"/>
    <w:lvl w:ilvl="0" w:tplc="EEC48B76">
      <w:start w:val="1"/>
      <w:numFmt w:val="lowerRoman"/>
      <w:lvlText w:val="(%1)"/>
      <w:lvlJc w:val="right"/>
      <w:pPr>
        <w:tabs>
          <w:tab w:val="num" w:pos="720"/>
        </w:tabs>
        <w:ind w:left="720" w:hanging="360"/>
      </w:pPr>
    </w:lvl>
    <w:lvl w:ilvl="1" w:tplc="D048FCBE" w:tentative="1">
      <w:start w:val="1"/>
      <w:numFmt w:val="lowerRoman"/>
      <w:lvlText w:val="(%2)"/>
      <w:lvlJc w:val="right"/>
      <w:pPr>
        <w:tabs>
          <w:tab w:val="num" w:pos="1440"/>
        </w:tabs>
        <w:ind w:left="1440" w:hanging="360"/>
      </w:pPr>
    </w:lvl>
    <w:lvl w:ilvl="2" w:tplc="D2802E12" w:tentative="1">
      <w:start w:val="1"/>
      <w:numFmt w:val="lowerRoman"/>
      <w:lvlText w:val="(%3)"/>
      <w:lvlJc w:val="right"/>
      <w:pPr>
        <w:tabs>
          <w:tab w:val="num" w:pos="2160"/>
        </w:tabs>
        <w:ind w:left="2160" w:hanging="360"/>
      </w:pPr>
    </w:lvl>
    <w:lvl w:ilvl="3" w:tplc="CD76CEBC" w:tentative="1">
      <w:start w:val="1"/>
      <w:numFmt w:val="lowerRoman"/>
      <w:lvlText w:val="(%4)"/>
      <w:lvlJc w:val="right"/>
      <w:pPr>
        <w:tabs>
          <w:tab w:val="num" w:pos="2880"/>
        </w:tabs>
        <w:ind w:left="2880" w:hanging="360"/>
      </w:pPr>
    </w:lvl>
    <w:lvl w:ilvl="4" w:tplc="89CE14A2" w:tentative="1">
      <w:start w:val="1"/>
      <w:numFmt w:val="lowerRoman"/>
      <w:lvlText w:val="(%5)"/>
      <w:lvlJc w:val="right"/>
      <w:pPr>
        <w:tabs>
          <w:tab w:val="num" w:pos="3600"/>
        </w:tabs>
        <w:ind w:left="3600" w:hanging="360"/>
      </w:pPr>
    </w:lvl>
    <w:lvl w:ilvl="5" w:tplc="1138D34A" w:tentative="1">
      <w:start w:val="1"/>
      <w:numFmt w:val="lowerRoman"/>
      <w:lvlText w:val="(%6)"/>
      <w:lvlJc w:val="right"/>
      <w:pPr>
        <w:tabs>
          <w:tab w:val="num" w:pos="4320"/>
        </w:tabs>
        <w:ind w:left="4320" w:hanging="360"/>
      </w:pPr>
    </w:lvl>
    <w:lvl w:ilvl="6" w:tplc="34D8C8B8" w:tentative="1">
      <w:start w:val="1"/>
      <w:numFmt w:val="lowerRoman"/>
      <w:lvlText w:val="(%7)"/>
      <w:lvlJc w:val="right"/>
      <w:pPr>
        <w:tabs>
          <w:tab w:val="num" w:pos="5040"/>
        </w:tabs>
        <w:ind w:left="5040" w:hanging="360"/>
      </w:pPr>
    </w:lvl>
    <w:lvl w:ilvl="7" w:tplc="F50462C2" w:tentative="1">
      <w:start w:val="1"/>
      <w:numFmt w:val="lowerRoman"/>
      <w:lvlText w:val="(%8)"/>
      <w:lvlJc w:val="right"/>
      <w:pPr>
        <w:tabs>
          <w:tab w:val="num" w:pos="5760"/>
        </w:tabs>
        <w:ind w:left="5760" w:hanging="360"/>
      </w:pPr>
    </w:lvl>
    <w:lvl w:ilvl="8" w:tplc="4252D4A4" w:tentative="1">
      <w:start w:val="1"/>
      <w:numFmt w:val="lowerRoman"/>
      <w:lvlText w:val="(%9)"/>
      <w:lvlJc w:val="right"/>
      <w:pPr>
        <w:tabs>
          <w:tab w:val="num" w:pos="6480"/>
        </w:tabs>
        <w:ind w:left="6480" w:hanging="360"/>
      </w:pPr>
    </w:lvl>
  </w:abstractNum>
  <w:abstractNum w:abstractNumId="6" w15:restartNumberingAfterBreak="0">
    <w:nsid w:val="14F5207E"/>
    <w:multiLevelType w:val="hybridMultilevel"/>
    <w:tmpl w:val="73285CA2"/>
    <w:lvl w:ilvl="0" w:tplc="4409001B">
      <w:start w:val="1"/>
      <w:numFmt w:val="lowerRoman"/>
      <w:lvlText w:val="%1."/>
      <w:lvlJc w:val="right"/>
      <w:pPr>
        <w:ind w:left="720" w:hanging="360"/>
      </w:pPr>
      <w:rPr>
        <w:rFonts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16394A64"/>
    <w:multiLevelType w:val="multilevel"/>
    <w:tmpl w:val="16394A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D1A3716"/>
    <w:multiLevelType w:val="multilevel"/>
    <w:tmpl w:val="6B46DBA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502051"/>
    <w:multiLevelType w:val="hybridMultilevel"/>
    <w:tmpl w:val="EC6200F8"/>
    <w:lvl w:ilvl="0" w:tplc="5E36AA1E">
      <w:start w:val="3"/>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22D86266"/>
    <w:multiLevelType w:val="hybridMultilevel"/>
    <w:tmpl w:val="5ECC2C5E"/>
    <w:lvl w:ilvl="0" w:tplc="E6003966">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94F6E4D"/>
    <w:multiLevelType w:val="multilevel"/>
    <w:tmpl w:val="66EE2DE8"/>
    <w:lvl w:ilvl="0">
      <w:start w:val="1"/>
      <w:numFmt w:val="lowerLetter"/>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AF11273"/>
    <w:multiLevelType w:val="multilevel"/>
    <w:tmpl w:val="66EE2DE8"/>
    <w:lvl w:ilvl="0">
      <w:start w:val="1"/>
      <w:numFmt w:val="lowerLetter"/>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BBA48FB"/>
    <w:multiLevelType w:val="hybridMultilevel"/>
    <w:tmpl w:val="0F22E7E2"/>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2E164532"/>
    <w:multiLevelType w:val="hybridMultilevel"/>
    <w:tmpl w:val="9C9CA490"/>
    <w:lvl w:ilvl="0" w:tplc="EFC2666C">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324F3355"/>
    <w:multiLevelType w:val="multilevel"/>
    <w:tmpl w:val="66EE2DE8"/>
    <w:lvl w:ilvl="0">
      <w:start w:val="1"/>
      <w:numFmt w:val="lowerLetter"/>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544234A"/>
    <w:multiLevelType w:val="hybridMultilevel"/>
    <w:tmpl w:val="4DB8E88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3CBB1DCC"/>
    <w:multiLevelType w:val="multilevel"/>
    <w:tmpl w:val="66EE2DE8"/>
    <w:lvl w:ilvl="0">
      <w:start w:val="1"/>
      <w:numFmt w:val="lowerLetter"/>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73F75B2"/>
    <w:multiLevelType w:val="hybridMultilevel"/>
    <w:tmpl w:val="CF86C94A"/>
    <w:lvl w:ilvl="0" w:tplc="D28032A0">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488B33E8"/>
    <w:multiLevelType w:val="multilevel"/>
    <w:tmpl w:val="66EE2DE8"/>
    <w:lvl w:ilvl="0">
      <w:start w:val="1"/>
      <w:numFmt w:val="lowerLetter"/>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91E496C"/>
    <w:multiLevelType w:val="hybridMultilevel"/>
    <w:tmpl w:val="5ECC2C5E"/>
    <w:lvl w:ilvl="0" w:tplc="E6003966">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49C12275"/>
    <w:multiLevelType w:val="hybridMultilevel"/>
    <w:tmpl w:val="A7421EE6"/>
    <w:lvl w:ilvl="0" w:tplc="4409001B">
      <w:start w:val="1"/>
      <w:numFmt w:val="lowerRoman"/>
      <w:lvlText w:val="%1."/>
      <w:lvlJc w:val="right"/>
      <w:pPr>
        <w:ind w:left="720" w:hanging="360"/>
      </w:pPr>
      <w:rPr>
        <w:rFonts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15:restartNumberingAfterBreak="0">
    <w:nsid w:val="513109BA"/>
    <w:multiLevelType w:val="hybridMultilevel"/>
    <w:tmpl w:val="CBD43E14"/>
    <w:lvl w:ilvl="0" w:tplc="D8025788">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540226B0"/>
    <w:multiLevelType w:val="hybridMultilevel"/>
    <w:tmpl w:val="16286DB4"/>
    <w:lvl w:ilvl="0" w:tplc="014AEA00">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93B69"/>
    <w:multiLevelType w:val="hybridMultilevel"/>
    <w:tmpl w:val="CF86C94A"/>
    <w:lvl w:ilvl="0" w:tplc="D28032A0">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5FAB0134"/>
    <w:multiLevelType w:val="multilevel"/>
    <w:tmpl w:val="66EE2DE8"/>
    <w:lvl w:ilvl="0">
      <w:start w:val="1"/>
      <w:numFmt w:val="lowerLetter"/>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1DD1925"/>
    <w:multiLevelType w:val="hybridMultilevel"/>
    <w:tmpl w:val="A1360102"/>
    <w:lvl w:ilvl="0" w:tplc="9CEA38CE">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7" w15:restartNumberingAfterBreak="0">
    <w:nsid w:val="6B765EB7"/>
    <w:multiLevelType w:val="hybridMultilevel"/>
    <w:tmpl w:val="B0A2A8D6"/>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6BC65DDB"/>
    <w:multiLevelType w:val="hybridMultilevel"/>
    <w:tmpl w:val="850EFA34"/>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6F0025A7"/>
    <w:multiLevelType w:val="hybridMultilevel"/>
    <w:tmpl w:val="720A5ED6"/>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747A2D85"/>
    <w:multiLevelType w:val="hybridMultilevel"/>
    <w:tmpl w:val="8182D9DE"/>
    <w:lvl w:ilvl="0" w:tplc="44090013">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77D97FF4"/>
    <w:multiLevelType w:val="hybridMultilevel"/>
    <w:tmpl w:val="0F78C93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193767419">
    <w:abstractNumId w:val="7"/>
  </w:num>
  <w:num w:numId="2" w16cid:durableId="726759078">
    <w:abstractNumId w:val="9"/>
  </w:num>
  <w:num w:numId="3" w16cid:durableId="78985568">
    <w:abstractNumId w:val="15"/>
  </w:num>
  <w:num w:numId="4" w16cid:durableId="859926659">
    <w:abstractNumId w:val="8"/>
  </w:num>
  <w:num w:numId="5" w16cid:durableId="1209803024">
    <w:abstractNumId w:val="23"/>
  </w:num>
  <w:num w:numId="6" w16cid:durableId="1789735388">
    <w:abstractNumId w:val="10"/>
  </w:num>
  <w:num w:numId="7" w16cid:durableId="474175980">
    <w:abstractNumId w:val="20"/>
  </w:num>
  <w:num w:numId="8" w16cid:durableId="1952128960">
    <w:abstractNumId w:val="28"/>
  </w:num>
  <w:num w:numId="9" w16cid:durableId="112944851">
    <w:abstractNumId w:val="24"/>
  </w:num>
  <w:num w:numId="10" w16cid:durableId="655761779">
    <w:abstractNumId w:val="0"/>
  </w:num>
  <w:num w:numId="11" w16cid:durableId="1520894330">
    <w:abstractNumId w:val="18"/>
  </w:num>
  <w:num w:numId="12" w16cid:durableId="2024045420">
    <w:abstractNumId w:val="31"/>
  </w:num>
  <w:num w:numId="13" w16cid:durableId="822241294">
    <w:abstractNumId w:val="14"/>
  </w:num>
  <w:num w:numId="14" w16cid:durableId="1411542881">
    <w:abstractNumId w:val="26"/>
  </w:num>
  <w:num w:numId="15" w16cid:durableId="1941449293">
    <w:abstractNumId w:val="21"/>
  </w:num>
  <w:num w:numId="16" w16cid:durableId="687604202">
    <w:abstractNumId w:val="6"/>
  </w:num>
  <w:num w:numId="17" w16cid:durableId="1799715688">
    <w:abstractNumId w:val="30"/>
  </w:num>
  <w:num w:numId="18" w16cid:durableId="1830749699">
    <w:abstractNumId w:val="1"/>
  </w:num>
  <w:num w:numId="19" w16cid:durableId="1836531432">
    <w:abstractNumId w:val="25"/>
  </w:num>
  <w:num w:numId="20" w16cid:durableId="63963927">
    <w:abstractNumId w:val="4"/>
  </w:num>
  <w:num w:numId="21" w16cid:durableId="706610962">
    <w:abstractNumId w:val="19"/>
  </w:num>
  <w:num w:numId="22" w16cid:durableId="1745761100">
    <w:abstractNumId w:val="11"/>
  </w:num>
  <w:num w:numId="23" w16cid:durableId="86927331">
    <w:abstractNumId w:val="17"/>
  </w:num>
  <w:num w:numId="24" w16cid:durableId="1182476085">
    <w:abstractNumId w:val="12"/>
  </w:num>
  <w:num w:numId="25" w16cid:durableId="2090498021">
    <w:abstractNumId w:val="16"/>
  </w:num>
  <w:num w:numId="26" w16cid:durableId="548343647">
    <w:abstractNumId w:val="3"/>
  </w:num>
  <w:num w:numId="27" w16cid:durableId="1329559561">
    <w:abstractNumId w:val="27"/>
  </w:num>
  <w:num w:numId="28" w16cid:durableId="1540313160">
    <w:abstractNumId w:val="29"/>
  </w:num>
  <w:num w:numId="29" w16cid:durableId="1543402782">
    <w:abstractNumId w:val="13"/>
  </w:num>
  <w:num w:numId="30" w16cid:durableId="2130125369">
    <w:abstractNumId w:val="22"/>
  </w:num>
  <w:num w:numId="31" w16cid:durableId="905453401">
    <w:abstractNumId w:val="5"/>
  </w:num>
  <w:num w:numId="32" w16cid:durableId="1353145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xMDMwMTAwMTE0MTdR0lEKTi0uzszPAykwMqkFAFSaZGItAAAA"/>
  </w:docVars>
  <w:rsids>
    <w:rsidRoot w:val="00ED43A0"/>
    <w:rsid w:val="00003819"/>
    <w:rsid w:val="000135E3"/>
    <w:rsid w:val="00020C0C"/>
    <w:rsid w:val="0002172A"/>
    <w:rsid w:val="00023C7E"/>
    <w:rsid w:val="00056E29"/>
    <w:rsid w:val="0007538B"/>
    <w:rsid w:val="00085D8E"/>
    <w:rsid w:val="00097E78"/>
    <w:rsid w:val="000B2F62"/>
    <w:rsid w:val="000B451F"/>
    <w:rsid w:val="000B4A76"/>
    <w:rsid w:val="000C0F31"/>
    <w:rsid w:val="000C6BF8"/>
    <w:rsid w:val="000C766E"/>
    <w:rsid w:val="000D5A2E"/>
    <w:rsid w:val="000E48F2"/>
    <w:rsid w:val="000F0070"/>
    <w:rsid w:val="000F0A86"/>
    <w:rsid w:val="00104500"/>
    <w:rsid w:val="00105A79"/>
    <w:rsid w:val="00107D15"/>
    <w:rsid w:val="00107D25"/>
    <w:rsid w:val="001354A1"/>
    <w:rsid w:val="00136C00"/>
    <w:rsid w:val="00143109"/>
    <w:rsid w:val="00153CD8"/>
    <w:rsid w:val="00156EC4"/>
    <w:rsid w:val="00157614"/>
    <w:rsid w:val="001576B2"/>
    <w:rsid w:val="00161A1F"/>
    <w:rsid w:val="00161ED9"/>
    <w:rsid w:val="00162584"/>
    <w:rsid w:val="00167EE3"/>
    <w:rsid w:val="00172437"/>
    <w:rsid w:val="001800B5"/>
    <w:rsid w:val="00182183"/>
    <w:rsid w:val="0018419C"/>
    <w:rsid w:val="00186859"/>
    <w:rsid w:val="001934A6"/>
    <w:rsid w:val="00193E5D"/>
    <w:rsid w:val="001A15D2"/>
    <w:rsid w:val="001B19BD"/>
    <w:rsid w:val="001B5CA5"/>
    <w:rsid w:val="001C1B4B"/>
    <w:rsid w:val="001C4ACB"/>
    <w:rsid w:val="001D1233"/>
    <w:rsid w:val="001D23E8"/>
    <w:rsid w:val="001E07DB"/>
    <w:rsid w:val="001E36D0"/>
    <w:rsid w:val="001E5581"/>
    <w:rsid w:val="001F5FAC"/>
    <w:rsid w:val="001F76BA"/>
    <w:rsid w:val="002063A5"/>
    <w:rsid w:val="0022102E"/>
    <w:rsid w:val="0023365B"/>
    <w:rsid w:val="00243A2B"/>
    <w:rsid w:val="002526EE"/>
    <w:rsid w:val="00253E21"/>
    <w:rsid w:val="002613F2"/>
    <w:rsid w:val="00263AA9"/>
    <w:rsid w:val="0026481D"/>
    <w:rsid w:val="00267534"/>
    <w:rsid w:val="00297BD6"/>
    <w:rsid w:val="002B12A1"/>
    <w:rsid w:val="002B3916"/>
    <w:rsid w:val="002B6031"/>
    <w:rsid w:val="002B7CEA"/>
    <w:rsid w:val="002B7F60"/>
    <w:rsid w:val="002C2A91"/>
    <w:rsid w:val="002E3D3F"/>
    <w:rsid w:val="00302BFA"/>
    <w:rsid w:val="00303C1E"/>
    <w:rsid w:val="003136BC"/>
    <w:rsid w:val="00317098"/>
    <w:rsid w:val="00321635"/>
    <w:rsid w:val="00321B4A"/>
    <w:rsid w:val="00331CE3"/>
    <w:rsid w:val="003360C3"/>
    <w:rsid w:val="00341E4C"/>
    <w:rsid w:val="003423E6"/>
    <w:rsid w:val="003521D5"/>
    <w:rsid w:val="00353E4C"/>
    <w:rsid w:val="00365CB3"/>
    <w:rsid w:val="00380BFD"/>
    <w:rsid w:val="00381D42"/>
    <w:rsid w:val="003A3E31"/>
    <w:rsid w:val="003B50C6"/>
    <w:rsid w:val="003B51B8"/>
    <w:rsid w:val="003B61CA"/>
    <w:rsid w:val="003B73C0"/>
    <w:rsid w:val="003B7F95"/>
    <w:rsid w:val="003C21EC"/>
    <w:rsid w:val="003C5844"/>
    <w:rsid w:val="003C617A"/>
    <w:rsid w:val="003C7372"/>
    <w:rsid w:val="003D108F"/>
    <w:rsid w:val="003D26C7"/>
    <w:rsid w:val="003E1EF3"/>
    <w:rsid w:val="003F2411"/>
    <w:rsid w:val="00403700"/>
    <w:rsid w:val="00406D2D"/>
    <w:rsid w:val="00436585"/>
    <w:rsid w:val="00447112"/>
    <w:rsid w:val="004567F8"/>
    <w:rsid w:val="004755BA"/>
    <w:rsid w:val="0047646F"/>
    <w:rsid w:val="00490283"/>
    <w:rsid w:val="00496A07"/>
    <w:rsid w:val="00496E31"/>
    <w:rsid w:val="00497F42"/>
    <w:rsid w:val="004A161E"/>
    <w:rsid w:val="004A2C80"/>
    <w:rsid w:val="004B7EC8"/>
    <w:rsid w:val="004E212D"/>
    <w:rsid w:val="004E2543"/>
    <w:rsid w:val="004F5857"/>
    <w:rsid w:val="004F7F79"/>
    <w:rsid w:val="00505CF3"/>
    <w:rsid w:val="005062B9"/>
    <w:rsid w:val="00510268"/>
    <w:rsid w:val="00512A4A"/>
    <w:rsid w:val="00527AE9"/>
    <w:rsid w:val="00531B32"/>
    <w:rsid w:val="00537872"/>
    <w:rsid w:val="0055339A"/>
    <w:rsid w:val="005609E2"/>
    <w:rsid w:val="00597D2C"/>
    <w:rsid w:val="005A0A0A"/>
    <w:rsid w:val="005A1FA0"/>
    <w:rsid w:val="005A5A4D"/>
    <w:rsid w:val="005B0E2C"/>
    <w:rsid w:val="005B2134"/>
    <w:rsid w:val="005D0DA1"/>
    <w:rsid w:val="005D7129"/>
    <w:rsid w:val="005F036C"/>
    <w:rsid w:val="00621E68"/>
    <w:rsid w:val="00624DCF"/>
    <w:rsid w:val="00636D5B"/>
    <w:rsid w:val="00641E11"/>
    <w:rsid w:val="00647C21"/>
    <w:rsid w:val="006612D6"/>
    <w:rsid w:val="00686C73"/>
    <w:rsid w:val="006B4916"/>
    <w:rsid w:val="006B7592"/>
    <w:rsid w:val="006C553B"/>
    <w:rsid w:val="006C73CE"/>
    <w:rsid w:val="006D25D3"/>
    <w:rsid w:val="006D3B4B"/>
    <w:rsid w:val="006D4C05"/>
    <w:rsid w:val="006D675C"/>
    <w:rsid w:val="006F7F63"/>
    <w:rsid w:val="00705526"/>
    <w:rsid w:val="00707E07"/>
    <w:rsid w:val="00710669"/>
    <w:rsid w:val="00713745"/>
    <w:rsid w:val="00716FC0"/>
    <w:rsid w:val="00721918"/>
    <w:rsid w:val="00724B79"/>
    <w:rsid w:val="00730F1D"/>
    <w:rsid w:val="007354DA"/>
    <w:rsid w:val="00736A9B"/>
    <w:rsid w:val="00743BA6"/>
    <w:rsid w:val="00753E66"/>
    <w:rsid w:val="00756C5A"/>
    <w:rsid w:val="00760828"/>
    <w:rsid w:val="0076505E"/>
    <w:rsid w:val="007719A3"/>
    <w:rsid w:val="007725AA"/>
    <w:rsid w:val="00776AE7"/>
    <w:rsid w:val="00777047"/>
    <w:rsid w:val="00780AE4"/>
    <w:rsid w:val="00784AF8"/>
    <w:rsid w:val="007A5241"/>
    <w:rsid w:val="007A7AF1"/>
    <w:rsid w:val="007B5A97"/>
    <w:rsid w:val="007B6C10"/>
    <w:rsid w:val="007C3A61"/>
    <w:rsid w:val="007C3BDE"/>
    <w:rsid w:val="007C3F2D"/>
    <w:rsid w:val="007E315A"/>
    <w:rsid w:val="007E3BF0"/>
    <w:rsid w:val="007E5D8C"/>
    <w:rsid w:val="007E7C5C"/>
    <w:rsid w:val="007E7ECF"/>
    <w:rsid w:val="007F04C8"/>
    <w:rsid w:val="00802E83"/>
    <w:rsid w:val="00804B42"/>
    <w:rsid w:val="008059D9"/>
    <w:rsid w:val="00816BF6"/>
    <w:rsid w:val="00817A9A"/>
    <w:rsid w:val="008234D3"/>
    <w:rsid w:val="00831D59"/>
    <w:rsid w:val="008354D7"/>
    <w:rsid w:val="008378A4"/>
    <w:rsid w:val="008411FF"/>
    <w:rsid w:val="00845081"/>
    <w:rsid w:val="00855BE1"/>
    <w:rsid w:val="00866747"/>
    <w:rsid w:val="00877571"/>
    <w:rsid w:val="00882CFB"/>
    <w:rsid w:val="0088375C"/>
    <w:rsid w:val="00885942"/>
    <w:rsid w:val="00890F4D"/>
    <w:rsid w:val="00891A9C"/>
    <w:rsid w:val="00893FA4"/>
    <w:rsid w:val="008954DA"/>
    <w:rsid w:val="008A2647"/>
    <w:rsid w:val="008A28F7"/>
    <w:rsid w:val="008A3B76"/>
    <w:rsid w:val="008B4C83"/>
    <w:rsid w:val="008C3B72"/>
    <w:rsid w:val="008C3CE9"/>
    <w:rsid w:val="008C5199"/>
    <w:rsid w:val="008E6F50"/>
    <w:rsid w:val="008F4E19"/>
    <w:rsid w:val="00902890"/>
    <w:rsid w:val="00923CE7"/>
    <w:rsid w:val="00940B08"/>
    <w:rsid w:val="00945D22"/>
    <w:rsid w:val="0095523D"/>
    <w:rsid w:val="009708F7"/>
    <w:rsid w:val="009737D6"/>
    <w:rsid w:val="009778C8"/>
    <w:rsid w:val="009915E5"/>
    <w:rsid w:val="00991E76"/>
    <w:rsid w:val="009A0D0E"/>
    <w:rsid w:val="009A1EAF"/>
    <w:rsid w:val="009A7058"/>
    <w:rsid w:val="009C4135"/>
    <w:rsid w:val="009C51D6"/>
    <w:rsid w:val="009C5CC0"/>
    <w:rsid w:val="009D1987"/>
    <w:rsid w:val="009E0ACB"/>
    <w:rsid w:val="009E0EFE"/>
    <w:rsid w:val="009E2469"/>
    <w:rsid w:val="009F061B"/>
    <w:rsid w:val="009F1891"/>
    <w:rsid w:val="009F491C"/>
    <w:rsid w:val="00A1396B"/>
    <w:rsid w:val="00A13BEA"/>
    <w:rsid w:val="00A2317A"/>
    <w:rsid w:val="00A26477"/>
    <w:rsid w:val="00A2721D"/>
    <w:rsid w:val="00A3003F"/>
    <w:rsid w:val="00A368AB"/>
    <w:rsid w:val="00A41656"/>
    <w:rsid w:val="00A453D5"/>
    <w:rsid w:val="00A50F89"/>
    <w:rsid w:val="00A51947"/>
    <w:rsid w:val="00A65675"/>
    <w:rsid w:val="00A72BA8"/>
    <w:rsid w:val="00A80C79"/>
    <w:rsid w:val="00A82229"/>
    <w:rsid w:val="00A97CC0"/>
    <w:rsid w:val="00AA20D3"/>
    <w:rsid w:val="00AC3C07"/>
    <w:rsid w:val="00AC608B"/>
    <w:rsid w:val="00AF0BD7"/>
    <w:rsid w:val="00B00A94"/>
    <w:rsid w:val="00B07122"/>
    <w:rsid w:val="00B10619"/>
    <w:rsid w:val="00B229A4"/>
    <w:rsid w:val="00B353AE"/>
    <w:rsid w:val="00B42895"/>
    <w:rsid w:val="00B55022"/>
    <w:rsid w:val="00B5760F"/>
    <w:rsid w:val="00B61710"/>
    <w:rsid w:val="00B748DA"/>
    <w:rsid w:val="00B77915"/>
    <w:rsid w:val="00B82E25"/>
    <w:rsid w:val="00B83C7E"/>
    <w:rsid w:val="00B9024E"/>
    <w:rsid w:val="00B9109A"/>
    <w:rsid w:val="00B95FBB"/>
    <w:rsid w:val="00BA26D1"/>
    <w:rsid w:val="00BB13AC"/>
    <w:rsid w:val="00BB4BB5"/>
    <w:rsid w:val="00BB5CDC"/>
    <w:rsid w:val="00BB64CE"/>
    <w:rsid w:val="00BB7FA3"/>
    <w:rsid w:val="00BD378C"/>
    <w:rsid w:val="00BD44AB"/>
    <w:rsid w:val="00BD5DB8"/>
    <w:rsid w:val="00BD65B1"/>
    <w:rsid w:val="00BF5928"/>
    <w:rsid w:val="00C0106C"/>
    <w:rsid w:val="00C05ACB"/>
    <w:rsid w:val="00C10BB0"/>
    <w:rsid w:val="00C11560"/>
    <w:rsid w:val="00C132F2"/>
    <w:rsid w:val="00C14053"/>
    <w:rsid w:val="00C14949"/>
    <w:rsid w:val="00C149E7"/>
    <w:rsid w:val="00C25ED5"/>
    <w:rsid w:val="00C3257E"/>
    <w:rsid w:val="00C371C6"/>
    <w:rsid w:val="00C5630C"/>
    <w:rsid w:val="00C72083"/>
    <w:rsid w:val="00C72115"/>
    <w:rsid w:val="00C72743"/>
    <w:rsid w:val="00C90110"/>
    <w:rsid w:val="00CA344B"/>
    <w:rsid w:val="00CA3712"/>
    <w:rsid w:val="00CB25E7"/>
    <w:rsid w:val="00CB5ABD"/>
    <w:rsid w:val="00CB669E"/>
    <w:rsid w:val="00CC0B40"/>
    <w:rsid w:val="00CD36A9"/>
    <w:rsid w:val="00CD790E"/>
    <w:rsid w:val="00CE6DE3"/>
    <w:rsid w:val="00CF2D91"/>
    <w:rsid w:val="00CF5A8C"/>
    <w:rsid w:val="00D1007F"/>
    <w:rsid w:val="00D10751"/>
    <w:rsid w:val="00D10DD6"/>
    <w:rsid w:val="00D1364A"/>
    <w:rsid w:val="00D230BE"/>
    <w:rsid w:val="00D3293C"/>
    <w:rsid w:val="00D32ACB"/>
    <w:rsid w:val="00D333EB"/>
    <w:rsid w:val="00D33618"/>
    <w:rsid w:val="00D43765"/>
    <w:rsid w:val="00D4786A"/>
    <w:rsid w:val="00D75423"/>
    <w:rsid w:val="00D76C5C"/>
    <w:rsid w:val="00D76E62"/>
    <w:rsid w:val="00D822A6"/>
    <w:rsid w:val="00D84677"/>
    <w:rsid w:val="00DA7879"/>
    <w:rsid w:val="00DB054F"/>
    <w:rsid w:val="00DB7BAD"/>
    <w:rsid w:val="00DD0B40"/>
    <w:rsid w:val="00DD4195"/>
    <w:rsid w:val="00DD7B32"/>
    <w:rsid w:val="00DD7E4E"/>
    <w:rsid w:val="00DF2BB5"/>
    <w:rsid w:val="00DF6160"/>
    <w:rsid w:val="00E009AB"/>
    <w:rsid w:val="00E10922"/>
    <w:rsid w:val="00E12F92"/>
    <w:rsid w:val="00E449D4"/>
    <w:rsid w:val="00E47CDF"/>
    <w:rsid w:val="00E53F16"/>
    <w:rsid w:val="00E5553B"/>
    <w:rsid w:val="00E60109"/>
    <w:rsid w:val="00E756D7"/>
    <w:rsid w:val="00E877A3"/>
    <w:rsid w:val="00EA7D65"/>
    <w:rsid w:val="00EB0F4B"/>
    <w:rsid w:val="00EC3FEF"/>
    <w:rsid w:val="00ED43A0"/>
    <w:rsid w:val="00F004DD"/>
    <w:rsid w:val="00F04032"/>
    <w:rsid w:val="00F04192"/>
    <w:rsid w:val="00F04A4E"/>
    <w:rsid w:val="00F07844"/>
    <w:rsid w:val="00F1760D"/>
    <w:rsid w:val="00F219D4"/>
    <w:rsid w:val="00F23D92"/>
    <w:rsid w:val="00F26A10"/>
    <w:rsid w:val="00F27E9C"/>
    <w:rsid w:val="00F30950"/>
    <w:rsid w:val="00F35E81"/>
    <w:rsid w:val="00F403DC"/>
    <w:rsid w:val="00F460CB"/>
    <w:rsid w:val="00F6487F"/>
    <w:rsid w:val="00F770ED"/>
    <w:rsid w:val="00F804C4"/>
    <w:rsid w:val="00F850EC"/>
    <w:rsid w:val="00F85886"/>
    <w:rsid w:val="00F9060E"/>
    <w:rsid w:val="00F923D7"/>
    <w:rsid w:val="00F92844"/>
    <w:rsid w:val="00F943AB"/>
    <w:rsid w:val="00FA1F9C"/>
    <w:rsid w:val="00FA3F03"/>
    <w:rsid w:val="00FB19F2"/>
    <w:rsid w:val="00FB2AAA"/>
    <w:rsid w:val="00FB7995"/>
    <w:rsid w:val="00FC0868"/>
    <w:rsid w:val="00FC54D0"/>
    <w:rsid w:val="00FD7874"/>
    <w:rsid w:val="00FE1B65"/>
    <w:rsid w:val="00FE2AB7"/>
    <w:rsid w:val="00FE7BB3"/>
    <w:rsid w:val="00FF0E0F"/>
    <w:rsid w:val="03456EEA"/>
    <w:rsid w:val="0E1250FC"/>
    <w:rsid w:val="0F3264DF"/>
    <w:rsid w:val="125250FB"/>
    <w:rsid w:val="130B4CCD"/>
    <w:rsid w:val="2A800F24"/>
    <w:rsid w:val="49AD5BED"/>
    <w:rsid w:val="55C14718"/>
    <w:rsid w:val="570C51CF"/>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C51A9"/>
  <w15:docId w15:val="{71C6B9B9-04A3-4C79-850B-0E4226F9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2">
    <w:name w:val="heading 2"/>
    <w:basedOn w:val="Normal"/>
    <w:link w:val="Heading2Char"/>
    <w:uiPriority w:val="9"/>
    <w:qFormat/>
    <w:rsid w:val="00B83C7E"/>
    <w:pPr>
      <w:spacing w:before="100" w:beforeAutospacing="1" w:after="100" w:afterAutospacing="1" w:line="240" w:lineRule="auto"/>
      <w:outlineLvl w:val="1"/>
    </w:pPr>
    <w:rPr>
      <w:rFonts w:ascii="Times New Roman" w:eastAsia="Times New Roman" w:hAnsi="Times New Roman" w:cs="Times New Roman"/>
      <w:b/>
      <w:bCs/>
      <w:sz w:val="36"/>
      <w:szCs w:val="36"/>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ja-JP"/>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FP GP Bulleted List,List Paragraph1,Recommendation,List Paragraph11,Footnote Sam,En tête 1,Normal Italics,List Paragraph111,L,F5 List Paragraph,Dot pt,CV text,Table text,Medium Grid 1 - Accent 21,Numbered Paragraph,List Paragraph2,3,Text"/>
    <w:basedOn w:val="Normal"/>
    <w:link w:val="ListParagraphChar"/>
    <w:uiPriority w:val="34"/>
    <w:qFormat/>
    <w:pPr>
      <w:ind w:left="720"/>
      <w:contextualSpacing/>
    </w:pPr>
  </w:style>
  <w:style w:type="character" w:customStyle="1" w:styleId="FooterChar">
    <w:name w:val="Footer Char"/>
    <w:basedOn w:val="DefaultParagraphFont"/>
    <w:link w:val="Footer"/>
    <w:uiPriority w:val="99"/>
  </w:style>
  <w:style w:type="character" w:customStyle="1" w:styleId="HeaderChar">
    <w:name w:val="Header Char"/>
    <w:basedOn w:val="DefaultParagraphFont"/>
    <w:link w:val="Header"/>
    <w:uiPriority w:val="99"/>
    <w:qFormat/>
  </w:style>
  <w:style w:type="character" w:styleId="UnresolvedMention">
    <w:name w:val="Unresolved Mention"/>
    <w:basedOn w:val="DefaultParagraphFont"/>
    <w:uiPriority w:val="99"/>
    <w:semiHidden/>
    <w:unhideWhenUsed/>
    <w:rsid w:val="00DD0B40"/>
    <w:rPr>
      <w:color w:val="605E5C"/>
      <w:shd w:val="clear" w:color="auto" w:fill="E1DFDD"/>
    </w:rPr>
  </w:style>
  <w:style w:type="character" w:customStyle="1" w:styleId="ListParagraphChar">
    <w:name w:val="List Paragraph Char"/>
    <w:aliases w:val="NFP GP Bulleted List Char,List Paragraph1 Char,Recommendation Char,List Paragraph11 Char,Footnote Sam Char,En tête 1 Char,Normal Italics Char,List Paragraph111 Char,L Char,F5 List Paragraph Char,Dot pt Char,CV text Char,3 Char"/>
    <w:link w:val="ListParagraph"/>
    <w:uiPriority w:val="34"/>
    <w:qFormat/>
    <w:locked/>
    <w:rsid w:val="001F76BA"/>
    <w:rPr>
      <w:sz w:val="22"/>
      <w:szCs w:val="22"/>
      <w:lang w:eastAsia="en-US"/>
    </w:rPr>
  </w:style>
  <w:style w:type="paragraph" w:styleId="Revision">
    <w:name w:val="Revision"/>
    <w:hidden/>
    <w:uiPriority w:val="99"/>
    <w:semiHidden/>
    <w:rsid w:val="00CD36A9"/>
    <w:rPr>
      <w:sz w:val="22"/>
      <w:szCs w:val="22"/>
      <w:lang w:eastAsia="en-US"/>
    </w:rPr>
  </w:style>
  <w:style w:type="paragraph" w:styleId="BalloonText">
    <w:name w:val="Balloon Text"/>
    <w:basedOn w:val="Normal"/>
    <w:link w:val="BalloonTextChar"/>
    <w:uiPriority w:val="99"/>
    <w:semiHidden/>
    <w:unhideWhenUsed/>
    <w:rsid w:val="00104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500"/>
    <w:rPr>
      <w:rFonts w:ascii="Segoe UI" w:hAnsi="Segoe UI" w:cs="Segoe UI"/>
      <w:sz w:val="18"/>
      <w:szCs w:val="18"/>
      <w:lang w:eastAsia="en-US"/>
    </w:rPr>
  </w:style>
  <w:style w:type="character" w:customStyle="1" w:styleId="A5">
    <w:name w:val="A5"/>
    <w:uiPriority w:val="99"/>
    <w:rsid w:val="001A15D2"/>
    <w:rPr>
      <w:rFonts w:cs="Open Sans"/>
      <w:color w:val="000000"/>
      <w:sz w:val="22"/>
      <w:szCs w:val="22"/>
    </w:rPr>
  </w:style>
  <w:style w:type="character" w:styleId="Strong">
    <w:name w:val="Strong"/>
    <w:basedOn w:val="DefaultParagraphFont"/>
    <w:uiPriority w:val="22"/>
    <w:qFormat/>
    <w:rsid w:val="001A15D2"/>
    <w:rPr>
      <w:b/>
      <w:bCs/>
    </w:rPr>
  </w:style>
  <w:style w:type="character" w:customStyle="1" w:styleId="Heading2Char">
    <w:name w:val="Heading 2 Char"/>
    <w:basedOn w:val="DefaultParagraphFont"/>
    <w:link w:val="Heading2"/>
    <w:uiPriority w:val="9"/>
    <w:rsid w:val="00B83C7E"/>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25153">
      <w:bodyDiv w:val="1"/>
      <w:marLeft w:val="0"/>
      <w:marRight w:val="0"/>
      <w:marTop w:val="0"/>
      <w:marBottom w:val="0"/>
      <w:divBdr>
        <w:top w:val="none" w:sz="0" w:space="0" w:color="auto"/>
        <w:left w:val="none" w:sz="0" w:space="0" w:color="auto"/>
        <w:bottom w:val="none" w:sz="0" w:space="0" w:color="auto"/>
        <w:right w:val="none" w:sz="0" w:space="0" w:color="auto"/>
      </w:divBdr>
    </w:div>
    <w:div w:id="897935830">
      <w:bodyDiv w:val="1"/>
      <w:marLeft w:val="0"/>
      <w:marRight w:val="0"/>
      <w:marTop w:val="0"/>
      <w:marBottom w:val="0"/>
      <w:divBdr>
        <w:top w:val="none" w:sz="0" w:space="0" w:color="auto"/>
        <w:left w:val="none" w:sz="0" w:space="0" w:color="auto"/>
        <w:bottom w:val="none" w:sz="0" w:space="0" w:color="auto"/>
        <w:right w:val="none" w:sz="0" w:space="0" w:color="auto"/>
      </w:divBdr>
      <w:divsChild>
        <w:div w:id="369309821">
          <w:marLeft w:val="547"/>
          <w:marRight w:val="0"/>
          <w:marTop w:val="200"/>
          <w:marBottom w:val="160"/>
          <w:divBdr>
            <w:top w:val="none" w:sz="0" w:space="0" w:color="auto"/>
            <w:left w:val="none" w:sz="0" w:space="0" w:color="auto"/>
            <w:bottom w:val="none" w:sz="0" w:space="0" w:color="auto"/>
            <w:right w:val="none" w:sz="0" w:space="0" w:color="auto"/>
          </w:divBdr>
        </w:div>
      </w:divsChild>
    </w:div>
    <w:div w:id="1464032528">
      <w:bodyDiv w:val="1"/>
      <w:marLeft w:val="0"/>
      <w:marRight w:val="0"/>
      <w:marTop w:val="0"/>
      <w:marBottom w:val="0"/>
      <w:divBdr>
        <w:top w:val="none" w:sz="0" w:space="0" w:color="auto"/>
        <w:left w:val="none" w:sz="0" w:space="0" w:color="auto"/>
        <w:bottom w:val="none" w:sz="0" w:space="0" w:color="auto"/>
        <w:right w:val="none" w:sz="0" w:space="0" w:color="auto"/>
      </w:divBdr>
    </w:div>
    <w:div w:id="1783840276">
      <w:bodyDiv w:val="1"/>
      <w:marLeft w:val="0"/>
      <w:marRight w:val="0"/>
      <w:marTop w:val="0"/>
      <w:marBottom w:val="0"/>
      <w:divBdr>
        <w:top w:val="none" w:sz="0" w:space="0" w:color="auto"/>
        <w:left w:val="none" w:sz="0" w:space="0" w:color="auto"/>
        <w:bottom w:val="none" w:sz="0" w:space="0" w:color="auto"/>
        <w:right w:val="none" w:sz="0" w:space="0" w:color="auto"/>
      </w:divBdr>
    </w:div>
    <w:div w:id="1868568438">
      <w:bodyDiv w:val="1"/>
      <w:marLeft w:val="0"/>
      <w:marRight w:val="0"/>
      <w:marTop w:val="0"/>
      <w:marBottom w:val="0"/>
      <w:divBdr>
        <w:top w:val="none" w:sz="0" w:space="0" w:color="auto"/>
        <w:left w:val="none" w:sz="0" w:space="0" w:color="auto"/>
        <w:bottom w:val="none" w:sz="0" w:space="0" w:color="auto"/>
        <w:right w:val="none" w:sz="0" w:space="0" w:color="auto"/>
      </w:divBdr>
    </w:div>
    <w:div w:id="1969126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Malaysia</Contributor>
  </documentManagement>
</p:properties>
</file>

<file path=customXml/itemProps1.xml><?xml version="1.0" encoding="utf-8"?>
<ds:datastoreItem xmlns:ds="http://schemas.openxmlformats.org/officeDocument/2006/customXml" ds:itemID="{D36C3F99-9D89-421E-8C71-041123C4A12B}">
  <ds:schemaRefs>
    <ds:schemaRef ds:uri="http://schemas.openxmlformats.org/officeDocument/2006/bibliography"/>
  </ds:schemaRefs>
</ds:datastoreItem>
</file>

<file path=customXml/itemProps2.xml><?xml version="1.0" encoding="utf-8"?>
<ds:datastoreItem xmlns:ds="http://schemas.openxmlformats.org/officeDocument/2006/customXml" ds:itemID="{2E19F301-2FAF-4D09-8E82-1F86D03A886B}"/>
</file>

<file path=customXml/itemProps3.xml><?xml version="1.0" encoding="utf-8"?>
<ds:datastoreItem xmlns:ds="http://schemas.openxmlformats.org/officeDocument/2006/customXml" ds:itemID="{83AE5899-81D8-4352-A4FD-451753D1E69E}"/>
</file>

<file path=customXml/itemProps4.xml><?xml version="1.0" encoding="utf-8"?>
<ds:datastoreItem xmlns:ds="http://schemas.openxmlformats.org/officeDocument/2006/customXml" ds:itemID="{796F0001-3441-4C6E-A8A7-7B6906AE0D6A}"/>
</file>

<file path=docProps/app.xml><?xml version="1.0" encoding="utf-8"?>
<Properties xmlns="http://schemas.openxmlformats.org/officeDocument/2006/extended-properties" xmlns:vt="http://schemas.openxmlformats.org/officeDocument/2006/docPropsVTypes">
  <Template>Normal.dotm</Template>
  <TotalTime>1</TotalTime>
  <Pages>3</Pages>
  <Words>702</Words>
  <Characters>3941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Izwan Sanusi</dc:creator>
  <cp:lastModifiedBy>Atina Pamei Gaare</cp:lastModifiedBy>
  <cp:revision>2</cp:revision>
  <cp:lastPrinted>2024-01-17T01:33:00Z</cp:lastPrinted>
  <dcterms:created xsi:type="dcterms:W3CDTF">2024-01-18T08:38:00Z</dcterms:created>
  <dcterms:modified xsi:type="dcterms:W3CDTF">2024-01-18T08:38:00Z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CA2D52784453433A84ACE7044B5CB0E7</vt:lpwstr>
  </property>
  <property fmtid="{D5CDD505-2E9C-101B-9397-08002B2CF9AE}" pid="4" name="GrammarlyDocumentId">
    <vt:lpwstr>00e3ca3c832c92f49b89894fc0932302e81d8d757c5f2e5b9e44d9bf792ebb0d</vt:lpwstr>
  </property>
  <property fmtid="{D5CDD505-2E9C-101B-9397-08002B2CF9AE}" pid="5" name="ContentTypeId">
    <vt:lpwstr>0x0101009D953D6983EF5F4EB0B6A5354F975E96</vt:lpwstr>
  </property>
  <property fmtid="{D5CDD505-2E9C-101B-9397-08002B2CF9AE}" pid="6" name="MediaServiceImageTags">
    <vt:lpwstr/>
  </property>
</Properties>
</file>