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63FD" w14:textId="2775D7AE" w:rsidR="00387619" w:rsidRPr="00B7769D" w:rsidRDefault="00387619" w:rsidP="002670DE">
      <w:pPr>
        <w:tabs>
          <w:tab w:val="left" w:pos="3817"/>
          <w:tab w:val="center" w:pos="4513"/>
        </w:tabs>
      </w:pPr>
      <w:r>
        <w:rPr>
          <w:noProof/>
        </w:rPr>
        <w:drawing>
          <wp:anchor distT="0" distB="0" distL="114300" distR="114300" simplePos="0" relativeHeight="251658240" behindDoc="1" locked="1" layoutInCell="1" allowOverlap="1" wp14:anchorId="210CF0F3" wp14:editId="08845480">
            <wp:simplePos x="0" y="0"/>
            <wp:positionH relativeFrom="page">
              <wp:posOffset>-136525</wp:posOffset>
            </wp:positionH>
            <wp:positionV relativeFrom="page">
              <wp:posOffset>-79375</wp:posOffset>
            </wp:positionV>
            <wp:extent cx="7700400" cy="1089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7700400" cy="10897200"/>
                    </a:xfrm>
                    <a:prstGeom prst="rect">
                      <a:avLst/>
                    </a:prstGeom>
                  </pic:spPr>
                </pic:pic>
              </a:graphicData>
            </a:graphic>
            <wp14:sizeRelH relativeFrom="page">
              <wp14:pctWidth>0</wp14:pctWidth>
            </wp14:sizeRelH>
            <wp14:sizeRelV relativeFrom="page">
              <wp14:pctHeight>0</wp14:pctHeight>
            </wp14:sizeRelV>
          </wp:anchor>
        </w:drawing>
      </w:r>
      <w:r w:rsidR="002670DE">
        <w:tab/>
      </w:r>
      <w:r w:rsidR="002670DE">
        <w:tab/>
      </w:r>
    </w:p>
    <w:p w14:paraId="4F18C3BD" w14:textId="77777777" w:rsidR="00387619" w:rsidRDefault="00387619" w:rsidP="00387619"/>
    <w:p w14:paraId="041A19E8" w14:textId="77777777" w:rsidR="00387619" w:rsidRDefault="00387619" w:rsidP="00387619"/>
    <w:p w14:paraId="78609080" w14:textId="77777777" w:rsidR="00387619" w:rsidRDefault="00387619" w:rsidP="00387619">
      <w:r>
        <w:rPr>
          <w:noProof/>
        </w:rPr>
        <w:drawing>
          <wp:inline distT="0" distB="0" distL="0" distR="0" wp14:anchorId="57AA6B25" wp14:editId="3FDD5092">
            <wp:extent cx="198783" cy="220870"/>
            <wp:effectExtent l="0" t="0" r="4445"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520" cy="237245"/>
                    </a:xfrm>
                    <a:prstGeom prst="rect">
                      <a:avLst/>
                    </a:prstGeom>
                  </pic:spPr>
                </pic:pic>
              </a:graphicData>
            </a:graphic>
          </wp:inline>
        </w:drawing>
      </w:r>
      <w:r>
        <w:t xml:space="preserve"> </w:t>
      </w:r>
    </w:p>
    <w:p w14:paraId="62BBEC57" w14:textId="6357AE0F" w:rsidR="002220CF" w:rsidRPr="002670DE" w:rsidRDefault="00893916" w:rsidP="002220CF">
      <w:pPr>
        <w:pStyle w:val="Heading1"/>
        <w:rPr>
          <w:rFonts w:asciiTheme="minorHAnsi" w:hAnsiTheme="minorHAnsi" w:cstheme="minorHAnsi"/>
          <w:color w:val="FFFFFF" w:themeColor="background1"/>
          <w:sz w:val="56"/>
          <w:szCs w:val="56"/>
        </w:rPr>
      </w:pPr>
      <w:r>
        <w:rPr>
          <w:rFonts w:asciiTheme="minorHAnsi" w:hAnsiTheme="minorHAnsi" w:cstheme="minorHAnsi"/>
          <w:b/>
          <w:bCs/>
          <w:color w:val="FFFFFF" w:themeColor="background1"/>
          <w:sz w:val="56"/>
          <w:szCs w:val="56"/>
        </w:rPr>
        <w:t>Complementary s</w:t>
      </w:r>
      <w:r w:rsidR="00664378" w:rsidRPr="002670DE">
        <w:rPr>
          <w:rFonts w:asciiTheme="minorHAnsi" w:hAnsiTheme="minorHAnsi" w:cstheme="minorHAnsi"/>
          <w:b/>
          <w:bCs/>
          <w:color w:val="FFFFFF" w:themeColor="background1"/>
          <w:sz w:val="56"/>
          <w:szCs w:val="56"/>
        </w:rPr>
        <w:t>ubmission</w:t>
      </w:r>
      <w:r w:rsidR="003552DA">
        <w:rPr>
          <w:rFonts w:asciiTheme="minorHAnsi" w:hAnsiTheme="minorHAnsi" w:cstheme="minorHAnsi"/>
          <w:b/>
          <w:bCs/>
          <w:color w:val="FFFFFF" w:themeColor="background1"/>
          <w:sz w:val="56"/>
          <w:szCs w:val="56"/>
        </w:rPr>
        <w:t xml:space="preserve"> on the status of the UN Declaration on the Rights of Indigenous Peoples in Aotearoa New Zealand </w:t>
      </w:r>
    </w:p>
    <w:p w14:paraId="7A02F62F" w14:textId="77777777" w:rsidR="002220CF" w:rsidRPr="0039628D" w:rsidRDefault="002220CF" w:rsidP="002220CF">
      <w:pPr>
        <w:pStyle w:val="Heading2"/>
        <w:rPr>
          <w:b/>
          <w:color w:val="FFFFFF" w:themeColor="background1"/>
          <w:sz w:val="28"/>
          <w:szCs w:val="28"/>
        </w:rPr>
      </w:pPr>
    </w:p>
    <w:p w14:paraId="5EAB5B57" w14:textId="3E9C23B1" w:rsidR="002220CF" w:rsidRPr="0039628D" w:rsidRDefault="002220CF" w:rsidP="002220CF">
      <w:pPr>
        <w:pStyle w:val="Heading2"/>
        <w:rPr>
          <w:b/>
          <w:color w:val="FFFFFF" w:themeColor="background1"/>
        </w:rPr>
      </w:pPr>
      <w:r w:rsidRPr="0039628D">
        <w:rPr>
          <w:b/>
          <w:bCs/>
          <w:color w:val="FFFFFF" w:themeColor="background1"/>
        </w:rPr>
        <w:t xml:space="preserve">To </w:t>
      </w:r>
      <w:r w:rsidR="002670DE">
        <w:rPr>
          <w:b/>
          <w:bCs/>
          <w:color w:val="FFFFFF" w:themeColor="background1"/>
        </w:rPr>
        <w:t>t</w:t>
      </w:r>
      <w:r w:rsidR="003552DA">
        <w:rPr>
          <w:b/>
          <w:bCs/>
          <w:color w:val="FFFFFF" w:themeColor="background1"/>
        </w:rPr>
        <w:t>he UN Expert Mechanism on the Rights of Indigenous Peoples (EMRIP)</w:t>
      </w:r>
    </w:p>
    <w:p w14:paraId="5ED53587" w14:textId="3647B743" w:rsidR="00387619" w:rsidRDefault="003552DA" w:rsidP="00387619">
      <w:r>
        <w:t>November</w:t>
      </w:r>
      <w:r w:rsidR="002670DE">
        <w:t xml:space="preserve"> 2023</w:t>
      </w:r>
    </w:p>
    <w:p w14:paraId="347357AE" w14:textId="77777777" w:rsidR="00387619" w:rsidRDefault="00387619" w:rsidP="00387619">
      <w:pPr>
        <w:spacing w:after="200" w:line="276" w:lineRule="auto"/>
      </w:pPr>
      <w:r>
        <w:br w:type="page"/>
      </w:r>
    </w:p>
    <w:p w14:paraId="3F5B04A7" w14:textId="2FA6E94F" w:rsidR="0004568A" w:rsidRPr="00705032" w:rsidRDefault="0004568A" w:rsidP="0FB09AD3">
      <w:pPr>
        <w:pStyle w:val="ListParagraph"/>
        <w:numPr>
          <w:ilvl w:val="0"/>
          <w:numId w:val="47"/>
        </w:numPr>
        <w:spacing w:line="276" w:lineRule="auto"/>
        <w:jc w:val="both"/>
        <w:rPr>
          <w:rFonts w:cstheme="minorHAnsi"/>
          <w:b/>
          <w:color w:val="1F4E79" w:themeColor="accent5" w:themeShade="80"/>
        </w:rPr>
      </w:pPr>
      <w:r w:rsidRPr="00705032">
        <w:rPr>
          <w:rFonts w:cstheme="minorHAnsi"/>
          <w:b/>
          <w:color w:val="1F4E79" w:themeColor="accent5" w:themeShade="80"/>
        </w:rPr>
        <w:lastRenderedPageBreak/>
        <w:t>Introduction</w:t>
      </w:r>
    </w:p>
    <w:p w14:paraId="2EB906DB" w14:textId="242E939B" w:rsidR="00450DDD" w:rsidRPr="00705032" w:rsidRDefault="00450DDD" w:rsidP="0FB09AD3">
      <w:pPr>
        <w:spacing w:line="276" w:lineRule="auto"/>
        <w:jc w:val="both"/>
        <w:rPr>
          <w:rFonts w:cstheme="minorHAnsi"/>
        </w:rPr>
      </w:pPr>
      <w:r w:rsidRPr="00705032">
        <w:rPr>
          <w:rFonts w:cstheme="minorHAnsi"/>
        </w:rPr>
        <w:t xml:space="preserve">Te Kāhui Tika Tangata o Aotearoa </w:t>
      </w:r>
      <w:r w:rsidR="00093316" w:rsidRPr="00705032">
        <w:rPr>
          <w:rFonts w:cstheme="minorHAnsi"/>
        </w:rPr>
        <w:t xml:space="preserve">| </w:t>
      </w:r>
      <w:r w:rsidRPr="00705032">
        <w:rPr>
          <w:rFonts w:cstheme="minorHAnsi"/>
        </w:rPr>
        <w:t>New Zealand Human Rights Commission</w:t>
      </w:r>
      <w:r w:rsidR="00093316" w:rsidRPr="00705032">
        <w:rPr>
          <w:rFonts w:cstheme="minorHAnsi"/>
        </w:rPr>
        <w:t xml:space="preserve"> (the Commission)</w:t>
      </w:r>
      <w:r w:rsidRPr="00705032">
        <w:rPr>
          <w:rFonts w:cstheme="minorHAnsi"/>
        </w:rPr>
        <w:t xml:space="preserve"> is established and operates under the Crown Entities Act 2004 and the Human Rights Act 1993 (HRA).</w:t>
      </w:r>
      <w:r w:rsidR="00785791" w:rsidRPr="00705032">
        <w:rPr>
          <w:rStyle w:val="FootnoteReference"/>
          <w:rFonts w:cstheme="minorHAnsi"/>
        </w:rPr>
        <w:footnoteReference w:id="2"/>
      </w:r>
      <w:r w:rsidRPr="00705032">
        <w:rPr>
          <w:rFonts w:cstheme="minorHAnsi"/>
        </w:rPr>
        <w:t xml:space="preserve"> Te Kāhui Tika Tangata is accredited as an ‘A status’ national human rights institution under the Paris Principles</w:t>
      </w:r>
      <w:r w:rsidR="00A617C5" w:rsidRPr="00705032">
        <w:rPr>
          <w:rFonts w:cstheme="minorHAnsi"/>
        </w:rPr>
        <w:t>.</w:t>
      </w:r>
    </w:p>
    <w:p w14:paraId="48881A9D" w14:textId="3C562E58" w:rsidR="00450DDD" w:rsidRPr="00705032" w:rsidRDefault="00450DDD" w:rsidP="0FB09AD3">
      <w:pPr>
        <w:spacing w:line="276" w:lineRule="auto"/>
        <w:jc w:val="both"/>
        <w:rPr>
          <w:rFonts w:cstheme="minorHAnsi"/>
        </w:rPr>
      </w:pPr>
      <w:r w:rsidRPr="00705032">
        <w:rPr>
          <w:rFonts w:cstheme="minorHAnsi"/>
        </w:rPr>
        <w:t>The Commission’s functions under the HRA include:</w:t>
      </w:r>
    </w:p>
    <w:p w14:paraId="4252DE27" w14:textId="1D455AD5" w:rsidR="00BF0CAC" w:rsidRPr="00705032" w:rsidRDefault="00450DDD" w:rsidP="0FB09AD3">
      <w:pPr>
        <w:pStyle w:val="ListParagraph"/>
        <w:numPr>
          <w:ilvl w:val="0"/>
          <w:numId w:val="46"/>
        </w:numPr>
        <w:spacing w:line="276" w:lineRule="auto"/>
        <w:jc w:val="both"/>
        <w:rPr>
          <w:rFonts w:cstheme="minorHAnsi"/>
        </w:rPr>
      </w:pPr>
      <w:r w:rsidRPr="00705032">
        <w:rPr>
          <w:rFonts w:cstheme="minorHAnsi"/>
        </w:rPr>
        <w:t>to be an advocate for human rights and promote and protect, by education and publicity, respect for, and observance of, human rights;</w:t>
      </w:r>
      <w:r w:rsidR="0066625C" w:rsidRPr="00705032">
        <w:rPr>
          <w:rStyle w:val="FootnoteReference"/>
          <w:rFonts w:cstheme="minorHAnsi"/>
        </w:rPr>
        <w:footnoteReference w:id="3"/>
      </w:r>
      <w:r w:rsidRPr="00705032">
        <w:rPr>
          <w:rFonts w:cstheme="minorHAnsi"/>
        </w:rPr>
        <w:t xml:space="preserve"> and</w:t>
      </w:r>
    </w:p>
    <w:p w14:paraId="7811EB77" w14:textId="77777777" w:rsidR="00A617C5" w:rsidRPr="00705032" w:rsidRDefault="00A617C5" w:rsidP="0FB09AD3">
      <w:pPr>
        <w:pStyle w:val="ListParagraph"/>
        <w:spacing w:line="276" w:lineRule="auto"/>
        <w:jc w:val="both"/>
        <w:rPr>
          <w:rFonts w:cstheme="minorHAnsi"/>
        </w:rPr>
      </w:pPr>
    </w:p>
    <w:p w14:paraId="45D2DB5E" w14:textId="6F6712BD" w:rsidR="00154013" w:rsidRPr="00705032" w:rsidRDefault="00450DDD" w:rsidP="0FB09AD3">
      <w:pPr>
        <w:pStyle w:val="ListParagraph"/>
        <w:numPr>
          <w:ilvl w:val="0"/>
          <w:numId w:val="46"/>
        </w:numPr>
        <w:spacing w:line="276" w:lineRule="auto"/>
        <w:jc w:val="both"/>
        <w:rPr>
          <w:rFonts w:cstheme="minorHAnsi"/>
        </w:rPr>
      </w:pPr>
      <w:r w:rsidRPr="00705032">
        <w:rPr>
          <w:rFonts w:cstheme="minorHAnsi"/>
        </w:rPr>
        <w:t>to promote by research, education, and discussion a better understanding of the human rights dimensions of the Treaty of Waitangi and their relationship with domestic and international human rights law.</w:t>
      </w:r>
      <w:r w:rsidR="0034361B" w:rsidRPr="00705032">
        <w:rPr>
          <w:rStyle w:val="FootnoteReference"/>
          <w:rFonts w:cstheme="minorHAnsi"/>
        </w:rPr>
        <w:footnoteReference w:id="4"/>
      </w:r>
    </w:p>
    <w:p w14:paraId="66A81898" w14:textId="08BB9C99" w:rsidR="00893916" w:rsidRPr="00705032" w:rsidRDefault="00154013" w:rsidP="0FB09AD3">
      <w:pPr>
        <w:spacing w:line="276" w:lineRule="auto"/>
        <w:jc w:val="both"/>
        <w:rPr>
          <w:rFonts w:cstheme="minorHAnsi"/>
        </w:rPr>
      </w:pPr>
      <w:r w:rsidRPr="00705032">
        <w:rPr>
          <w:rFonts w:cstheme="minorHAnsi"/>
        </w:rPr>
        <w:t xml:space="preserve">It is in line with these functions that the Commission </w:t>
      </w:r>
      <w:r w:rsidR="00893916" w:rsidRPr="00705032">
        <w:rPr>
          <w:rFonts w:cstheme="minorHAnsi"/>
        </w:rPr>
        <w:t xml:space="preserve">provides this submission </w:t>
      </w:r>
      <w:r w:rsidR="08233328" w:rsidRPr="00705032">
        <w:rPr>
          <w:rFonts w:cstheme="minorHAnsi"/>
        </w:rPr>
        <w:t>as a brief aid for</w:t>
      </w:r>
      <w:r w:rsidR="00893916" w:rsidRPr="00705032">
        <w:rPr>
          <w:rFonts w:cstheme="minorHAnsi"/>
        </w:rPr>
        <w:t xml:space="preserve"> the UN Expert Mechanism on the Rights of Indigenous Peoples</w:t>
      </w:r>
      <w:r w:rsidRPr="00705032">
        <w:rPr>
          <w:rFonts w:cstheme="minorHAnsi"/>
        </w:rPr>
        <w:t xml:space="preserve"> (EMRIP)</w:t>
      </w:r>
      <w:r w:rsidR="00893916" w:rsidRPr="00705032">
        <w:rPr>
          <w:rFonts w:cstheme="minorHAnsi"/>
        </w:rPr>
        <w:t xml:space="preserve"> </w:t>
      </w:r>
      <w:r w:rsidR="00675FD0" w:rsidRPr="00705032">
        <w:rPr>
          <w:rFonts w:cstheme="minorHAnsi"/>
        </w:rPr>
        <w:t xml:space="preserve">in </w:t>
      </w:r>
      <w:r w:rsidR="1BCC5479" w:rsidRPr="00705032">
        <w:rPr>
          <w:rFonts w:cstheme="minorHAnsi"/>
        </w:rPr>
        <w:t xml:space="preserve">discussions at its expert seminar from 6-8 November 2023, and </w:t>
      </w:r>
      <w:r w:rsidR="06722BE1" w:rsidRPr="00705032">
        <w:rPr>
          <w:rFonts w:cstheme="minorHAnsi"/>
        </w:rPr>
        <w:t xml:space="preserve">more generally </w:t>
      </w:r>
      <w:r w:rsidR="1BCC5479" w:rsidRPr="00705032">
        <w:rPr>
          <w:rFonts w:cstheme="minorHAnsi"/>
        </w:rPr>
        <w:t xml:space="preserve">in </w:t>
      </w:r>
      <w:r w:rsidR="00675FD0" w:rsidRPr="00705032">
        <w:rPr>
          <w:rFonts w:cstheme="minorHAnsi"/>
        </w:rPr>
        <w:t>developing its</w:t>
      </w:r>
      <w:r w:rsidR="00893916" w:rsidRPr="00705032">
        <w:rPr>
          <w:rFonts w:cstheme="minorHAnsi"/>
        </w:rPr>
        <w:t xml:space="preserve"> thematic study on:</w:t>
      </w:r>
    </w:p>
    <w:p w14:paraId="1FCC3DD0" w14:textId="68D6B6B1" w:rsidR="00893916" w:rsidRPr="00705032" w:rsidRDefault="00893916" w:rsidP="0FB09AD3">
      <w:pPr>
        <w:spacing w:line="276" w:lineRule="auto"/>
        <w:jc w:val="both"/>
        <w:rPr>
          <w:rFonts w:cstheme="minorHAnsi"/>
          <w:color w:val="1F4E79" w:themeColor="accent5" w:themeShade="80"/>
        </w:rPr>
      </w:pPr>
      <w:r w:rsidRPr="00705032">
        <w:rPr>
          <w:rFonts w:cstheme="minorHAnsi"/>
          <w:color w:val="1F4E79" w:themeColor="accent5" w:themeShade="80"/>
        </w:rPr>
        <w:t>Laws, legislation, policies, constitutions, judicial decisions and other mechanisms in which States had taken measures to achieve the ends of the United Nations Declaration on the Rights of Indigenous Peoples, in accordance with article 38 of the Declaration.</w:t>
      </w:r>
    </w:p>
    <w:p w14:paraId="109FE97E" w14:textId="3BD82D7F" w:rsidR="2DED9D6F" w:rsidRPr="00705032" w:rsidRDefault="2DED9D6F" w:rsidP="0FB09AD3">
      <w:pPr>
        <w:spacing w:line="276" w:lineRule="auto"/>
        <w:jc w:val="both"/>
        <w:rPr>
          <w:rFonts w:cstheme="minorHAnsi"/>
        </w:rPr>
      </w:pPr>
      <w:r w:rsidRPr="00705032">
        <w:rPr>
          <w:rFonts w:cstheme="minorHAnsi"/>
        </w:rPr>
        <w:t>The Commission</w:t>
      </w:r>
      <w:r w:rsidR="7355A67D" w:rsidRPr="00705032">
        <w:rPr>
          <w:rFonts w:cstheme="minorHAnsi"/>
        </w:rPr>
        <w:t xml:space="preserve"> </w:t>
      </w:r>
      <w:r w:rsidR="03C3EB86" w:rsidRPr="00705032">
        <w:rPr>
          <w:rFonts w:cstheme="minorHAnsi"/>
        </w:rPr>
        <w:t xml:space="preserve">is of the view that this submission might be of assistance to the EMRIP in understanding the </w:t>
      </w:r>
      <w:r w:rsidR="45FEB31E" w:rsidRPr="00705032">
        <w:rPr>
          <w:rFonts w:cstheme="minorHAnsi"/>
        </w:rPr>
        <w:t>political, legal,</w:t>
      </w:r>
      <w:r w:rsidR="007F7E7B" w:rsidRPr="00705032">
        <w:rPr>
          <w:rFonts w:cstheme="minorHAnsi"/>
        </w:rPr>
        <w:t xml:space="preserve"> and</w:t>
      </w:r>
      <w:r w:rsidR="45FEB31E" w:rsidRPr="00705032">
        <w:rPr>
          <w:rFonts w:cstheme="minorHAnsi"/>
        </w:rPr>
        <w:t xml:space="preserve"> constitutional </w:t>
      </w:r>
      <w:r w:rsidR="03C3EB86" w:rsidRPr="00705032">
        <w:rPr>
          <w:rFonts w:cstheme="minorHAnsi"/>
        </w:rPr>
        <w:t>status of the Declaration in New Zealand</w:t>
      </w:r>
      <w:r w:rsidR="75D60B7F" w:rsidRPr="00705032">
        <w:rPr>
          <w:rFonts w:cstheme="minorHAnsi"/>
        </w:rPr>
        <w:t xml:space="preserve">. We </w:t>
      </w:r>
      <w:r w:rsidR="7355A67D" w:rsidRPr="00705032">
        <w:rPr>
          <w:rFonts w:cstheme="minorHAnsi"/>
        </w:rPr>
        <w:t xml:space="preserve">may also provide further submissions </w:t>
      </w:r>
      <w:r w:rsidR="10D4904F" w:rsidRPr="00705032">
        <w:rPr>
          <w:rFonts w:cstheme="minorHAnsi"/>
        </w:rPr>
        <w:t>in response to the call for input issued by the EMRIP</w:t>
      </w:r>
      <w:r w:rsidR="756C2CB7" w:rsidRPr="00705032">
        <w:rPr>
          <w:rFonts w:cstheme="minorHAnsi"/>
        </w:rPr>
        <w:t xml:space="preserve"> to </w:t>
      </w:r>
      <w:r w:rsidR="0111905E" w:rsidRPr="00705032">
        <w:rPr>
          <w:rFonts w:cstheme="minorHAnsi"/>
        </w:rPr>
        <w:t xml:space="preserve">assist in the development of </w:t>
      </w:r>
      <w:r w:rsidR="69C23546" w:rsidRPr="00705032">
        <w:rPr>
          <w:rFonts w:cstheme="minorHAnsi"/>
        </w:rPr>
        <w:t>this study.</w:t>
      </w:r>
    </w:p>
    <w:p w14:paraId="7F575046" w14:textId="102B88B5" w:rsidR="00893916" w:rsidRPr="00705032" w:rsidRDefault="00893916" w:rsidP="0FB09AD3">
      <w:pPr>
        <w:spacing w:line="276" w:lineRule="auto"/>
        <w:jc w:val="both"/>
        <w:rPr>
          <w:rFonts w:cstheme="minorHAnsi"/>
        </w:rPr>
      </w:pPr>
      <w:r w:rsidRPr="00705032">
        <w:rPr>
          <w:rFonts w:cstheme="minorHAnsi"/>
        </w:rPr>
        <w:t xml:space="preserve">In this submission, </w:t>
      </w:r>
      <w:r w:rsidR="00154013" w:rsidRPr="00705032">
        <w:rPr>
          <w:rFonts w:cstheme="minorHAnsi"/>
        </w:rPr>
        <w:t>the Commission</w:t>
      </w:r>
      <w:r w:rsidR="009C0C4D" w:rsidRPr="00705032">
        <w:rPr>
          <w:rFonts w:cstheme="minorHAnsi"/>
        </w:rPr>
        <w:t>:</w:t>
      </w:r>
    </w:p>
    <w:p w14:paraId="07BC18B9" w14:textId="6AA55B4E" w:rsidR="00A617C5" w:rsidRPr="00705032" w:rsidRDefault="009C0C4D" w:rsidP="0FB09AD3">
      <w:pPr>
        <w:pStyle w:val="ListParagraph"/>
        <w:numPr>
          <w:ilvl w:val="0"/>
          <w:numId w:val="48"/>
        </w:numPr>
        <w:spacing w:line="276" w:lineRule="auto"/>
        <w:jc w:val="both"/>
        <w:rPr>
          <w:rFonts w:cstheme="minorHAnsi"/>
        </w:rPr>
      </w:pPr>
      <w:r w:rsidRPr="00705032">
        <w:rPr>
          <w:rFonts w:cstheme="minorHAnsi"/>
        </w:rPr>
        <w:t>provide</w:t>
      </w:r>
      <w:r w:rsidR="00E76D80" w:rsidRPr="00705032">
        <w:rPr>
          <w:rFonts w:cstheme="minorHAnsi"/>
        </w:rPr>
        <w:t>s</w:t>
      </w:r>
      <w:r w:rsidRPr="00705032">
        <w:rPr>
          <w:rFonts w:cstheme="minorHAnsi"/>
        </w:rPr>
        <w:t xml:space="preserve"> a brief background on</w:t>
      </w:r>
      <w:r w:rsidR="00B401D6" w:rsidRPr="00705032">
        <w:rPr>
          <w:rFonts w:cstheme="minorHAnsi"/>
        </w:rPr>
        <w:t xml:space="preserve"> </w:t>
      </w:r>
      <w:r w:rsidRPr="00705032">
        <w:rPr>
          <w:rFonts w:cstheme="minorHAnsi"/>
        </w:rPr>
        <w:t>New Zealand</w:t>
      </w:r>
      <w:r w:rsidR="00B401D6" w:rsidRPr="00705032">
        <w:rPr>
          <w:rFonts w:cstheme="minorHAnsi"/>
        </w:rPr>
        <w:t xml:space="preserve">’s </w:t>
      </w:r>
      <w:r w:rsidRPr="00705032">
        <w:rPr>
          <w:rFonts w:cstheme="minorHAnsi"/>
        </w:rPr>
        <w:t>relationship with the Declaration;</w:t>
      </w:r>
    </w:p>
    <w:p w14:paraId="057E9753" w14:textId="77777777" w:rsidR="00A617C5" w:rsidRPr="00705032" w:rsidRDefault="00E95F8A" w:rsidP="0FB09AD3">
      <w:pPr>
        <w:pStyle w:val="ListParagraph"/>
        <w:numPr>
          <w:ilvl w:val="0"/>
          <w:numId w:val="48"/>
        </w:numPr>
        <w:spacing w:line="276" w:lineRule="auto"/>
        <w:jc w:val="both"/>
        <w:rPr>
          <w:rFonts w:cstheme="minorHAnsi"/>
        </w:rPr>
      </w:pPr>
      <w:r w:rsidRPr="00705032">
        <w:rPr>
          <w:rFonts w:cstheme="minorHAnsi"/>
        </w:rPr>
        <w:t>describes some of the synergies between the Declaration and Te Tiriti o Waitangi</w:t>
      </w:r>
      <w:r w:rsidR="002E3A2B" w:rsidRPr="00705032">
        <w:rPr>
          <w:rFonts w:cstheme="minorHAnsi"/>
        </w:rPr>
        <w:t xml:space="preserve"> (</w:t>
      </w:r>
      <w:r w:rsidR="00B401D6" w:rsidRPr="00705032">
        <w:rPr>
          <w:rFonts w:cstheme="minorHAnsi"/>
        </w:rPr>
        <w:t>the treaty signed in 1840 between Māori and the Crown</w:t>
      </w:r>
      <w:r w:rsidR="002E3A2B" w:rsidRPr="00705032">
        <w:rPr>
          <w:rFonts w:cstheme="minorHAnsi"/>
        </w:rPr>
        <w:t>)</w:t>
      </w:r>
      <w:r w:rsidR="00BF0CAC" w:rsidRPr="00705032">
        <w:rPr>
          <w:rFonts w:cstheme="minorHAnsi"/>
        </w:rPr>
        <w:t xml:space="preserve"> </w:t>
      </w:r>
    </w:p>
    <w:p w14:paraId="32FC5AB2" w14:textId="77777777" w:rsidR="00A617C5" w:rsidRPr="00705032" w:rsidRDefault="009C0C4D" w:rsidP="0FB09AD3">
      <w:pPr>
        <w:pStyle w:val="ListParagraph"/>
        <w:numPr>
          <w:ilvl w:val="0"/>
          <w:numId w:val="48"/>
        </w:numPr>
        <w:spacing w:line="276" w:lineRule="auto"/>
        <w:jc w:val="both"/>
        <w:rPr>
          <w:rFonts w:cstheme="minorHAnsi"/>
        </w:rPr>
      </w:pPr>
      <w:r w:rsidRPr="00705032">
        <w:rPr>
          <w:rFonts w:cstheme="minorHAnsi"/>
        </w:rPr>
        <w:t>outline</w:t>
      </w:r>
      <w:r w:rsidR="00E76D80" w:rsidRPr="00705032">
        <w:rPr>
          <w:rFonts w:cstheme="minorHAnsi"/>
        </w:rPr>
        <w:t>s</w:t>
      </w:r>
      <w:r w:rsidRPr="00705032">
        <w:rPr>
          <w:rFonts w:cstheme="minorHAnsi"/>
        </w:rPr>
        <w:t xml:space="preserve"> instances </w:t>
      </w:r>
      <w:r w:rsidR="00E95F8A" w:rsidRPr="00705032">
        <w:rPr>
          <w:rFonts w:cstheme="minorHAnsi"/>
        </w:rPr>
        <w:t xml:space="preserve">where the Declaration has been recognised </w:t>
      </w:r>
      <w:r w:rsidRPr="00705032">
        <w:rPr>
          <w:rFonts w:cstheme="minorHAnsi"/>
        </w:rPr>
        <w:t>judicial</w:t>
      </w:r>
      <w:r w:rsidR="00E95F8A" w:rsidRPr="00705032">
        <w:rPr>
          <w:rFonts w:cstheme="minorHAnsi"/>
        </w:rPr>
        <w:t>ly, including</w:t>
      </w:r>
      <w:r w:rsidR="00993BC2" w:rsidRPr="00705032">
        <w:rPr>
          <w:rFonts w:cstheme="minorHAnsi"/>
        </w:rPr>
        <w:t xml:space="preserve"> </w:t>
      </w:r>
      <w:r w:rsidR="00E95F8A" w:rsidRPr="00705032">
        <w:rPr>
          <w:rFonts w:cstheme="minorHAnsi"/>
        </w:rPr>
        <w:t xml:space="preserve">by the </w:t>
      </w:r>
      <w:r w:rsidR="00993BC2" w:rsidRPr="00705032">
        <w:rPr>
          <w:rFonts w:cstheme="minorHAnsi"/>
        </w:rPr>
        <w:t>Waitangi Tribunal</w:t>
      </w:r>
      <w:r w:rsidR="00E95F8A" w:rsidRPr="00705032">
        <w:rPr>
          <w:rFonts w:cstheme="minorHAnsi"/>
        </w:rPr>
        <w:t>;</w:t>
      </w:r>
    </w:p>
    <w:p w14:paraId="050EAFF7" w14:textId="77777777" w:rsidR="00A617C5" w:rsidRPr="00705032" w:rsidRDefault="009C0C4D" w:rsidP="0FB09AD3">
      <w:pPr>
        <w:pStyle w:val="ListParagraph"/>
        <w:numPr>
          <w:ilvl w:val="0"/>
          <w:numId w:val="48"/>
        </w:numPr>
        <w:spacing w:line="276" w:lineRule="auto"/>
        <w:jc w:val="both"/>
        <w:rPr>
          <w:rFonts w:cstheme="minorHAnsi"/>
        </w:rPr>
      </w:pPr>
      <w:r w:rsidRPr="00705032">
        <w:rPr>
          <w:rFonts w:cstheme="minorHAnsi"/>
        </w:rPr>
        <w:t>highlight</w:t>
      </w:r>
      <w:r w:rsidR="00E76D80" w:rsidRPr="00705032">
        <w:rPr>
          <w:rFonts w:cstheme="minorHAnsi"/>
        </w:rPr>
        <w:t>s</w:t>
      </w:r>
      <w:r w:rsidRPr="00705032">
        <w:rPr>
          <w:rFonts w:cstheme="minorHAnsi"/>
        </w:rPr>
        <w:t xml:space="preserve"> progress on the National Action Plan to implement the Declaration in New Zealand; and</w:t>
      </w:r>
    </w:p>
    <w:p w14:paraId="59FCA0C7" w14:textId="2CFAB66C" w:rsidR="00604B3C" w:rsidRPr="00705032" w:rsidRDefault="00B401D6" w:rsidP="0FB09AD3">
      <w:pPr>
        <w:pStyle w:val="ListParagraph"/>
        <w:numPr>
          <w:ilvl w:val="0"/>
          <w:numId w:val="48"/>
        </w:numPr>
        <w:spacing w:line="276" w:lineRule="auto"/>
        <w:jc w:val="both"/>
        <w:rPr>
          <w:rFonts w:cstheme="minorHAnsi"/>
        </w:rPr>
      </w:pPr>
      <w:r w:rsidRPr="00705032">
        <w:rPr>
          <w:rFonts w:cstheme="minorHAnsi"/>
        </w:rPr>
        <w:t xml:space="preserve">provides </w:t>
      </w:r>
      <w:r w:rsidR="00A617C5" w:rsidRPr="00705032">
        <w:rPr>
          <w:rFonts w:cstheme="minorHAnsi"/>
        </w:rPr>
        <w:t>some</w:t>
      </w:r>
      <w:r w:rsidRPr="00705032">
        <w:rPr>
          <w:rFonts w:cstheme="minorHAnsi"/>
        </w:rPr>
        <w:t xml:space="preserve"> overall comment</w:t>
      </w:r>
      <w:r w:rsidR="00A617C5" w:rsidRPr="00705032">
        <w:rPr>
          <w:rFonts w:cstheme="minorHAnsi"/>
        </w:rPr>
        <w:t>s</w:t>
      </w:r>
      <w:r w:rsidRPr="00705032">
        <w:rPr>
          <w:rFonts w:cstheme="minorHAnsi"/>
        </w:rPr>
        <w:t xml:space="preserve"> on the implications of the Declaration’s status in New Zealand and measures needed to advance and protect the realisation of Māori rights</w:t>
      </w:r>
      <w:r w:rsidR="003F340E" w:rsidRPr="00705032">
        <w:rPr>
          <w:rFonts w:cstheme="minorHAnsi"/>
        </w:rPr>
        <w:t>.</w:t>
      </w:r>
    </w:p>
    <w:p w14:paraId="746E5041" w14:textId="77777777" w:rsidR="00A617C5" w:rsidRPr="00705032" w:rsidRDefault="00A617C5" w:rsidP="0FB09AD3">
      <w:pPr>
        <w:pStyle w:val="ListParagraph"/>
        <w:spacing w:line="276" w:lineRule="auto"/>
        <w:jc w:val="both"/>
        <w:rPr>
          <w:rFonts w:cstheme="minorHAnsi"/>
          <w:color w:val="1F4E79" w:themeColor="accent5" w:themeShade="80"/>
        </w:rPr>
      </w:pPr>
    </w:p>
    <w:p w14:paraId="768553B0" w14:textId="5F929412" w:rsidR="00B401D6" w:rsidRPr="00705032" w:rsidRDefault="00774010" w:rsidP="0FB09AD3">
      <w:pPr>
        <w:pStyle w:val="ListParagraph"/>
        <w:numPr>
          <w:ilvl w:val="0"/>
          <w:numId w:val="47"/>
        </w:numPr>
        <w:spacing w:line="276" w:lineRule="auto"/>
        <w:jc w:val="both"/>
        <w:rPr>
          <w:rFonts w:cstheme="minorHAnsi"/>
          <w:b/>
          <w:color w:val="1F4E79" w:themeColor="accent5" w:themeShade="80"/>
          <w:lang w:val="mi-NZ"/>
        </w:rPr>
      </w:pPr>
      <w:r w:rsidRPr="00705032">
        <w:rPr>
          <w:rFonts w:cstheme="minorHAnsi"/>
          <w:b/>
          <w:color w:val="1F4E79" w:themeColor="accent5" w:themeShade="80"/>
        </w:rPr>
        <w:t xml:space="preserve">Aotearoa New Zealand and </w:t>
      </w:r>
      <w:r w:rsidRPr="00705032">
        <w:rPr>
          <w:rFonts w:cstheme="minorHAnsi"/>
          <w:b/>
          <w:color w:val="1F4E79" w:themeColor="accent5" w:themeShade="80"/>
          <w:lang w:val="mi-NZ"/>
        </w:rPr>
        <w:t>t</w:t>
      </w:r>
      <w:r w:rsidR="36026B23" w:rsidRPr="00705032">
        <w:rPr>
          <w:rFonts w:cstheme="minorHAnsi"/>
          <w:b/>
          <w:color w:val="1F4E79" w:themeColor="accent5" w:themeShade="80"/>
          <w:lang w:val="mi-NZ"/>
        </w:rPr>
        <w:t xml:space="preserve">he </w:t>
      </w:r>
      <w:r w:rsidRPr="00705032">
        <w:rPr>
          <w:rFonts w:cstheme="minorHAnsi"/>
          <w:b/>
          <w:color w:val="1F4E79" w:themeColor="accent5" w:themeShade="80"/>
          <w:lang w:val="mi-NZ"/>
        </w:rPr>
        <w:t>Declaration</w:t>
      </w:r>
    </w:p>
    <w:p w14:paraId="68515B02" w14:textId="0E517A0A" w:rsidR="00993BC2" w:rsidRPr="00705032" w:rsidRDefault="00774010" w:rsidP="0FB09AD3">
      <w:pPr>
        <w:spacing w:line="276" w:lineRule="auto"/>
        <w:jc w:val="both"/>
        <w:rPr>
          <w:rFonts w:cstheme="minorHAnsi"/>
          <w:lang w:val="mi-NZ"/>
        </w:rPr>
      </w:pPr>
      <w:r w:rsidRPr="00705032">
        <w:rPr>
          <w:rFonts w:cstheme="minorHAnsi"/>
          <w:lang w:val="mi-NZ"/>
        </w:rPr>
        <w:lastRenderedPageBreak/>
        <w:t xml:space="preserve">New Zealand was among the four member states that rejected the adoption </w:t>
      </w:r>
      <w:r w:rsidR="00A617C5" w:rsidRPr="00705032">
        <w:rPr>
          <w:rFonts w:cstheme="minorHAnsi"/>
          <w:lang w:val="mi-NZ"/>
        </w:rPr>
        <w:t xml:space="preserve">of the Declaration </w:t>
      </w:r>
      <w:r w:rsidRPr="00705032">
        <w:rPr>
          <w:rFonts w:cstheme="minorHAnsi"/>
          <w:lang w:val="mi-NZ"/>
        </w:rPr>
        <w:t>by the General Assembly in 2007.</w:t>
      </w:r>
      <w:r w:rsidR="00BB7549" w:rsidRPr="00705032">
        <w:rPr>
          <w:rStyle w:val="FootnoteReference"/>
          <w:rFonts w:cstheme="minorHAnsi"/>
          <w:lang w:val="mi-NZ"/>
        </w:rPr>
        <w:footnoteReference w:id="5"/>
      </w:r>
    </w:p>
    <w:p w14:paraId="137A4416" w14:textId="4E0AD7CB" w:rsidR="00FA71CA" w:rsidRPr="00705032" w:rsidRDefault="007172B6" w:rsidP="0FB09AD3">
      <w:pPr>
        <w:spacing w:line="276" w:lineRule="auto"/>
        <w:jc w:val="both"/>
        <w:rPr>
          <w:rFonts w:cstheme="minorHAnsi"/>
          <w:lang w:val="mi-NZ"/>
        </w:rPr>
      </w:pPr>
      <w:r w:rsidRPr="00705032">
        <w:rPr>
          <w:rFonts w:cstheme="minorHAnsi"/>
          <w:lang w:val="mi-NZ"/>
        </w:rPr>
        <w:t xml:space="preserve">New Zealand </w:t>
      </w:r>
      <w:r w:rsidR="00774010" w:rsidRPr="00705032">
        <w:rPr>
          <w:rFonts w:cstheme="minorHAnsi"/>
          <w:lang w:val="mi-NZ"/>
        </w:rPr>
        <w:t xml:space="preserve">eventually </w:t>
      </w:r>
      <w:r w:rsidRPr="00705032">
        <w:rPr>
          <w:rFonts w:cstheme="minorHAnsi"/>
          <w:lang w:val="mi-NZ"/>
        </w:rPr>
        <w:t>expressed its support for the Declaration in 2010</w:t>
      </w:r>
      <w:r w:rsidR="001D5C8E" w:rsidRPr="00705032">
        <w:rPr>
          <w:rFonts w:cstheme="minorHAnsi"/>
          <w:lang w:val="mi-NZ"/>
        </w:rPr>
        <w:t xml:space="preserve">, stating that it “both affirms those </w:t>
      </w:r>
      <w:r w:rsidR="00993BC2" w:rsidRPr="00705032">
        <w:rPr>
          <w:rFonts w:cstheme="minorHAnsi"/>
          <w:lang w:val="mi-NZ"/>
        </w:rPr>
        <w:t xml:space="preserve">[Declaration] rights </w:t>
      </w:r>
      <w:r w:rsidR="001D5C8E" w:rsidRPr="00705032">
        <w:rPr>
          <w:rFonts w:cstheme="minorHAnsi"/>
        </w:rPr>
        <w:t>and reaffirms the legal and constitutional frameworks that underpin New Zealand’s legal system</w:t>
      </w:r>
      <w:r w:rsidR="00993BC2" w:rsidRPr="00705032">
        <w:rPr>
          <w:rFonts w:cstheme="minorHAnsi"/>
        </w:rPr>
        <w:t>”, and that “those existing frameworks, while they will continue to evolve in accordance with New Zealand’s domestic circumstances, define the bounds of New Zealand’s engagement with the aspirational elements of the Declaration.”</w:t>
      </w:r>
      <w:r w:rsidR="008A1491" w:rsidRPr="00705032">
        <w:rPr>
          <w:rStyle w:val="FootnoteReference"/>
          <w:rFonts w:cstheme="minorHAnsi"/>
        </w:rPr>
        <w:footnoteReference w:id="6"/>
      </w:r>
    </w:p>
    <w:p w14:paraId="08E39CC7" w14:textId="1D2EF4CB" w:rsidR="001D5C8E" w:rsidRPr="00705032" w:rsidRDefault="00993BC2" w:rsidP="0FB09AD3">
      <w:pPr>
        <w:spacing w:line="276" w:lineRule="auto"/>
        <w:jc w:val="both"/>
        <w:rPr>
          <w:rFonts w:cstheme="minorHAnsi"/>
        </w:rPr>
      </w:pPr>
      <w:r w:rsidRPr="00705032">
        <w:rPr>
          <w:rFonts w:cstheme="minorHAnsi"/>
        </w:rPr>
        <w:t>The Commission is of the view that t</w:t>
      </w:r>
      <w:r w:rsidR="001D5C8E" w:rsidRPr="00705032">
        <w:rPr>
          <w:rFonts w:cstheme="minorHAnsi"/>
        </w:rPr>
        <w:t xml:space="preserve">here is an inherent tension in the fact that, while the New Zealand recognises the rights in the Declaration to an extent, </w:t>
      </w:r>
      <w:r w:rsidR="00A6140E" w:rsidRPr="00705032">
        <w:rPr>
          <w:rFonts w:cstheme="minorHAnsi"/>
        </w:rPr>
        <w:t xml:space="preserve">it </w:t>
      </w:r>
      <w:r w:rsidR="001D5C8E" w:rsidRPr="00705032">
        <w:rPr>
          <w:rFonts w:cstheme="minorHAnsi"/>
        </w:rPr>
        <w:t>view</w:t>
      </w:r>
      <w:r w:rsidR="00A6140E" w:rsidRPr="00705032">
        <w:rPr>
          <w:rFonts w:cstheme="minorHAnsi"/>
        </w:rPr>
        <w:t>s</w:t>
      </w:r>
      <w:r w:rsidR="001D5C8E" w:rsidRPr="00705032">
        <w:rPr>
          <w:rFonts w:cstheme="minorHAnsi"/>
        </w:rPr>
        <w:t xml:space="preserve"> many of these as merely aspirational and continues to be resistant to the idea that changes may be required to New Zealand’s laws and constitutional frameworks in order to bring these into line with the Declaration. </w:t>
      </w:r>
    </w:p>
    <w:p w14:paraId="71EC4593" w14:textId="559E5688" w:rsidR="00E76D80" w:rsidRPr="00705032" w:rsidRDefault="006D5678" w:rsidP="0FB09AD3">
      <w:pPr>
        <w:spacing w:line="276" w:lineRule="auto"/>
        <w:jc w:val="both"/>
        <w:rPr>
          <w:rFonts w:cstheme="minorHAnsi"/>
        </w:rPr>
      </w:pPr>
      <w:r w:rsidRPr="00705032">
        <w:rPr>
          <w:rFonts w:cstheme="minorHAnsi"/>
        </w:rPr>
        <w:t>Accordingly, there is no recognition of the Declaration</w:t>
      </w:r>
      <w:r w:rsidR="002E3A2B" w:rsidRPr="00705032">
        <w:rPr>
          <w:rFonts w:cstheme="minorHAnsi"/>
        </w:rPr>
        <w:t xml:space="preserve">, and therefore positive obligation for its implementation, </w:t>
      </w:r>
      <w:r w:rsidRPr="00705032">
        <w:rPr>
          <w:rFonts w:cstheme="minorHAnsi"/>
        </w:rPr>
        <w:t>in New Zealand legislation or</w:t>
      </w:r>
      <w:r w:rsidR="00E76D80" w:rsidRPr="00705032">
        <w:rPr>
          <w:rFonts w:cstheme="minorHAnsi"/>
        </w:rPr>
        <w:t xml:space="preserve"> </w:t>
      </w:r>
      <w:r w:rsidR="006127EE" w:rsidRPr="00705032">
        <w:rPr>
          <w:rFonts w:cstheme="minorHAnsi"/>
        </w:rPr>
        <w:t xml:space="preserve">its </w:t>
      </w:r>
      <w:r w:rsidRPr="00705032">
        <w:rPr>
          <w:rFonts w:cstheme="minorHAnsi"/>
        </w:rPr>
        <w:t>constitutional arrangements</w:t>
      </w:r>
      <w:r w:rsidR="00F47D2C" w:rsidRPr="00705032">
        <w:rPr>
          <w:rFonts w:cstheme="minorHAnsi"/>
        </w:rPr>
        <w:t>.</w:t>
      </w:r>
    </w:p>
    <w:p w14:paraId="5254986A" w14:textId="0B4D2662" w:rsidR="00F47D2C" w:rsidRPr="00705032" w:rsidRDefault="00F47D2C" w:rsidP="0FB09AD3">
      <w:pPr>
        <w:pStyle w:val="ListParagraph"/>
        <w:numPr>
          <w:ilvl w:val="0"/>
          <w:numId w:val="47"/>
        </w:numPr>
        <w:spacing w:line="276" w:lineRule="auto"/>
        <w:jc w:val="both"/>
        <w:rPr>
          <w:rFonts w:cstheme="minorHAnsi"/>
          <w:b/>
          <w:color w:val="1F4E79" w:themeColor="accent5" w:themeShade="80"/>
        </w:rPr>
      </w:pPr>
      <w:r w:rsidRPr="00705032">
        <w:rPr>
          <w:rFonts w:cstheme="minorHAnsi"/>
          <w:b/>
          <w:color w:val="1F4E79" w:themeColor="accent5" w:themeShade="80"/>
        </w:rPr>
        <w:t xml:space="preserve">Synergies between the Declaration and </w:t>
      </w:r>
      <w:commentRangeStart w:id="0"/>
      <w:r w:rsidRPr="00705032">
        <w:rPr>
          <w:rFonts w:cstheme="minorHAnsi"/>
          <w:b/>
          <w:color w:val="1F4E79" w:themeColor="accent5" w:themeShade="80"/>
        </w:rPr>
        <w:t xml:space="preserve">Te Tiriti </w:t>
      </w:r>
      <w:commentRangeEnd w:id="0"/>
      <w:r w:rsidRPr="00705032">
        <w:rPr>
          <w:rStyle w:val="CommentReference"/>
          <w:rFonts w:cstheme="minorHAnsi"/>
        </w:rPr>
        <w:commentReference w:id="0"/>
      </w:r>
    </w:p>
    <w:p w14:paraId="170F9C9C" w14:textId="3DC4D213" w:rsidR="00604D04" w:rsidRPr="00705032" w:rsidRDefault="00604D04"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jc w:val="both"/>
        <w:rPr>
          <w:rFonts w:cstheme="minorHAnsi"/>
          <w:color w:val="000000" w:themeColor="text1"/>
          <w:lang w:val="en-GB"/>
        </w:rPr>
      </w:pPr>
      <w:r w:rsidRPr="00705032">
        <w:rPr>
          <w:rFonts w:cstheme="minorHAnsi"/>
        </w:rPr>
        <w:t xml:space="preserve">Te Tiriti </w:t>
      </w:r>
      <w:r w:rsidR="00AF37A7" w:rsidRPr="00705032">
        <w:rPr>
          <w:rFonts w:cstheme="minorHAnsi"/>
        </w:rPr>
        <w:t xml:space="preserve">o Waitangi </w:t>
      </w:r>
      <w:r w:rsidRPr="00705032">
        <w:rPr>
          <w:rFonts w:cstheme="minorHAnsi"/>
        </w:rPr>
        <w:t xml:space="preserve">is now </w:t>
      </w:r>
      <w:r w:rsidRPr="00705032">
        <w:rPr>
          <w:rFonts w:cstheme="minorHAnsi"/>
          <w:color w:val="000000" w:themeColor="text1"/>
          <w:lang w:val="en-GB"/>
        </w:rPr>
        <w:t>recognised as part of New Zealand’s constitutional arrangements through judicial, executive, and legislative recognition.</w:t>
      </w:r>
      <w:r w:rsidR="00AF37A7" w:rsidRPr="00705032">
        <w:rPr>
          <w:rFonts w:cstheme="minorHAnsi"/>
          <w:color w:val="000000" w:themeColor="text1"/>
          <w:lang w:val="en-GB"/>
        </w:rPr>
        <w:t xml:space="preserve"> </w:t>
      </w:r>
    </w:p>
    <w:p w14:paraId="14A557CC" w14:textId="1F5ABDD0" w:rsidR="0FB09AD3" w:rsidRPr="00705032" w:rsidRDefault="0FB09AD3"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jc w:val="both"/>
        <w:rPr>
          <w:rFonts w:cstheme="minorHAnsi"/>
          <w:color w:val="000000" w:themeColor="text1"/>
          <w:lang w:val="en-GB"/>
        </w:rPr>
      </w:pPr>
    </w:p>
    <w:p w14:paraId="64A556A0" w14:textId="63CB8624" w:rsidR="006A0D3C" w:rsidRPr="00705032" w:rsidRDefault="006A0D3C"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jc w:val="both"/>
        <w:rPr>
          <w:rFonts w:cstheme="minorHAnsi"/>
          <w:color w:val="000000" w:themeColor="text1"/>
          <w:lang w:val="en-GB"/>
        </w:rPr>
      </w:pPr>
      <w:r w:rsidRPr="00705032">
        <w:rPr>
          <w:rFonts w:cstheme="minorHAnsi"/>
          <w:color w:val="000000" w:themeColor="text1"/>
          <w:lang w:val="en-GB"/>
        </w:rPr>
        <w:t xml:space="preserve">The courts have recognised </w:t>
      </w:r>
      <w:r w:rsidR="00030D0D" w:rsidRPr="00705032">
        <w:rPr>
          <w:rFonts w:cstheme="minorHAnsi"/>
          <w:color w:val="000000" w:themeColor="text1"/>
          <w:lang w:val="en-GB"/>
        </w:rPr>
        <w:t>T</w:t>
      </w:r>
      <w:r w:rsidRPr="00705032">
        <w:rPr>
          <w:rFonts w:cstheme="minorHAnsi"/>
          <w:color w:val="000000" w:themeColor="text1"/>
          <w:lang w:val="en-GB"/>
        </w:rPr>
        <w:t>e Tiriti as of “the greatest constitutional importance to New Zealand”.</w:t>
      </w:r>
      <w:r w:rsidR="00073943" w:rsidRPr="00705032">
        <w:rPr>
          <w:rStyle w:val="FootnoteReference"/>
          <w:rFonts w:cstheme="minorHAnsi"/>
          <w:color w:val="000000" w:themeColor="text1"/>
          <w:lang w:val="en-GB"/>
        </w:rPr>
        <w:footnoteReference w:id="7"/>
      </w:r>
      <w:r w:rsidRPr="00705032">
        <w:rPr>
          <w:rFonts w:cstheme="minorHAnsi"/>
          <w:color w:val="000000" w:themeColor="text1"/>
          <w:lang w:val="en-GB"/>
        </w:rPr>
        <w:t xml:space="preserve"> </w:t>
      </w:r>
      <w:r w:rsidR="00E01DF4" w:rsidRPr="00705032">
        <w:rPr>
          <w:rFonts w:cstheme="minorHAnsi"/>
          <w:color w:val="000000" w:themeColor="text1"/>
          <w:lang w:val="en-GB"/>
        </w:rPr>
        <w:t>Te Tiriti has been incorporated into statute law, including through the Supreme Court Act 2003, which has as one of its purposes to establish the Supreme Court as our apex court “to enable … legal matters relating to the Treaty of Waitangi, to be resolved with an understanding of New Zealand conditions, history and traditions”;</w:t>
      </w:r>
      <w:r w:rsidR="00B23B84" w:rsidRPr="00705032">
        <w:rPr>
          <w:rStyle w:val="FootnoteReference"/>
          <w:rFonts w:cstheme="minorHAnsi"/>
          <w:color w:val="000000" w:themeColor="text1"/>
          <w:lang w:val="en-GB"/>
        </w:rPr>
        <w:footnoteReference w:id="8"/>
      </w:r>
      <w:r w:rsidR="00E01DF4" w:rsidRPr="00705032">
        <w:rPr>
          <w:rFonts w:cstheme="minorHAnsi"/>
          <w:color w:val="000000" w:themeColor="text1"/>
          <w:lang w:val="en-GB"/>
        </w:rPr>
        <w:t xml:space="preserve"> the Treaty of Waitangi Act 1975 which appends te Tiriti as the First Schedule; and by enacting “Treaty principles” provisions in numerous statutes. </w:t>
      </w:r>
      <w:r w:rsidR="007B014D" w:rsidRPr="00705032">
        <w:rPr>
          <w:rFonts w:cstheme="minorHAnsi"/>
          <w:color w:val="000000" w:themeColor="text1"/>
          <w:lang w:val="en-GB"/>
        </w:rPr>
        <w:t xml:space="preserve">Executive recognition has included the </w:t>
      </w:r>
      <w:r w:rsidR="000A1C65" w:rsidRPr="00705032">
        <w:rPr>
          <w:rFonts w:cstheme="minorHAnsi"/>
          <w:color w:val="000000" w:themeColor="text1"/>
          <w:lang w:val="en-GB"/>
        </w:rPr>
        <w:t xml:space="preserve">Cabinet Manual’s </w:t>
      </w:r>
      <w:r w:rsidR="00EA32DD" w:rsidRPr="00705032">
        <w:rPr>
          <w:rFonts w:cstheme="minorHAnsi"/>
          <w:color w:val="000000" w:themeColor="text1"/>
          <w:lang w:val="en-GB"/>
        </w:rPr>
        <w:t xml:space="preserve">express </w:t>
      </w:r>
      <w:r w:rsidR="00C6388D" w:rsidRPr="00705032">
        <w:rPr>
          <w:rFonts w:cstheme="minorHAnsi"/>
          <w:color w:val="000000" w:themeColor="text1"/>
          <w:lang w:val="en-GB"/>
        </w:rPr>
        <w:t>acknowledgement</w:t>
      </w:r>
      <w:r w:rsidR="00475EE8" w:rsidRPr="00705032">
        <w:rPr>
          <w:rFonts w:cstheme="minorHAnsi"/>
          <w:color w:val="000000" w:themeColor="text1"/>
          <w:lang w:val="en-GB"/>
        </w:rPr>
        <w:t xml:space="preserve"> that</w:t>
      </w:r>
      <w:r w:rsidR="00EA32DD" w:rsidRPr="00705032">
        <w:rPr>
          <w:rFonts w:cstheme="minorHAnsi"/>
          <w:color w:val="000000" w:themeColor="text1"/>
          <w:lang w:val="en-GB"/>
        </w:rPr>
        <w:t xml:space="preserve"> </w:t>
      </w:r>
      <w:r w:rsidR="00C6388D" w:rsidRPr="00705032">
        <w:rPr>
          <w:rFonts w:cstheme="minorHAnsi"/>
          <w:color w:val="000000" w:themeColor="text1"/>
          <w:lang w:val="en-GB"/>
        </w:rPr>
        <w:t>te Tiriti is “an integral part of New Zealand’s constitutional framework”,</w:t>
      </w:r>
      <w:r w:rsidR="00F21406" w:rsidRPr="00705032">
        <w:rPr>
          <w:rStyle w:val="FootnoteReference"/>
          <w:rFonts w:cstheme="minorHAnsi"/>
          <w:color w:val="000000" w:themeColor="text1"/>
          <w:lang w:val="en-GB"/>
        </w:rPr>
        <w:footnoteReference w:id="9"/>
      </w:r>
      <w:r w:rsidR="00C6388D" w:rsidRPr="00705032">
        <w:rPr>
          <w:rFonts w:cstheme="minorHAnsi"/>
          <w:color w:val="000000" w:themeColor="text1"/>
          <w:lang w:val="en-GB"/>
        </w:rPr>
        <w:t xml:space="preserve"> and notes that “the Treaty’s</w:t>
      </w:r>
      <w:r w:rsidR="00475EE8" w:rsidRPr="00705032">
        <w:rPr>
          <w:rFonts w:cstheme="minorHAnsi"/>
          <w:color w:val="000000" w:themeColor="text1"/>
          <w:lang w:val="en-GB"/>
        </w:rPr>
        <w:t xml:space="preserve"> </w:t>
      </w:r>
      <w:r w:rsidR="00C6388D" w:rsidRPr="00705032">
        <w:rPr>
          <w:rFonts w:cstheme="minorHAnsi"/>
          <w:color w:val="000000" w:themeColor="text1"/>
          <w:lang w:val="en-GB"/>
        </w:rPr>
        <w:t>status will continue to evolve along with other constitutional principles and</w:t>
      </w:r>
      <w:r w:rsidR="4448FB75" w:rsidRPr="00705032">
        <w:rPr>
          <w:rFonts w:cstheme="minorHAnsi"/>
          <w:color w:val="000000" w:themeColor="text1"/>
          <w:lang w:val="en-GB"/>
        </w:rPr>
        <w:t xml:space="preserve"> </w:t>
      </w:r>
      <w:r w:rsidR="00C6388D" w:rsidRPr="00705032">
        <w:rPr>
          <w:rFonts w:cstheme="minorHAnsi"/>
          <w:color w:val="000000" w:themeColor="text1"/>
          <w:lang w:val="en-GB"/>
        </w:rPr>
        <w:t>norms”</w:t>
      </w:r>
      <w:r w:rsidR="00475EE8" w:rsidRPr="00705032">
        <w:rPr>
          <w:rFonts w:cstheme="minorHAnsi"/>
          <w:color w:val="000000" w:themeColor="text1"/>
          <w:lang w:val="en-GB"/>
        </w:rPr>
        <w:t>.</w:t>
      </w:r>
      <w:r w:rsidR="00450EC0" w:rsidRPr="00705032">
        <w:rPr>
          <w:rStyle w:val="FootnoteReference"/>
          <w:rFonts w:cstheme="minorHAnsi"/>
          <w:color w:val="000000" w:themeColor="text1"/>
          <w:lang w:val="en-GB"/>
        </w:rPr>
        <w:footnoteReference w:id="10"/>
      </w:r>
      <w:r w:rsidR="00D86251" w:rsidRPr="00705032">
        <w:rPr>
          <w:rFonts w:cstheme="minorHAnsi"/>
          <w:color w:val="000000" w:themeColor="text1"/>
          <w:lang w:val="en-GB"/>
        </w:rPr>
        <w:t xml:space="preserve"> It also include</w:t>
      </w:r>
      <w:r w:rsidR="00DC2E84" w:rsidRPr="00705032">
        <w:rPr>
          <w:rFonts w:cstheme="minorHAnsi"/>
          <w:color w:val="000000" w:themeColor="text1"/>
          <w:lang w:val="en-GB"/>
        </w:rPr>
        <w:t>s</w:t>
      </w:r>
      <w:r w:rsidR="00D86251" w:rsidRPr="00705032">
        <w:rPr>
          <w:rFonts w:cstheme="minorHAnsi"/>
          <w:color w:val="000000" w:themeColor="text1"/>
          <w:lang w:val="en-GB"/>
        </w:rPr>
        <w:t xml:space="preserve"> the </w:t>
      </w:r>
      <w:r w:rsidR="00EF5C40" w:rsidRPr="00705032">
        <w:rPr>
          <w:rFonts w:cstheme="minorHAnsi"/>
          <w:color w:val="000000" w:themeColor="text1"/>
          <w:lang w:val="en-GB"/>
        </w:rPr>
        <w:t xml:space="preserve">Cabinet Office Circular CO 19(5), which states that Te Tiriti is “one of </w:t>
      </w:r>
      <w:r w:rsidR="00B679BD" w:rsidRPr="00705032">
        <w:rPr>
          <w:rFonts w:cstheme="minorHAnsi"/>
          <w:color w:val="000000" w:themeColor="text1"/>
          <w:lang w:val="en-GB"/>
        </w:rPr>
        <w:t>the major sources of New Zealand’s constitution”</w:t>
      </w:r>
      <w:r w:rsidR="00906835" w:rsidRPr="00705032">
        <w:rPr>
          <w:rFonts w:cstheme="minorHAnsi"/>
          <w:color w:val="000000" w:themeColor="text1"/>
          <w:lang w:val="en-GB"/>
        </w:rPr>
        <w:t>; identifies guidelines for policymaker to consider Te Tiriti</w:t>
      </w:r>
      <w:r w:rsidR="00F0028B" w:rsidRPr="00705032">
        <w:rPr>
          <w:rFonts w:cstheme="minorHAnsi"/>
          <w:color w:val="000000" w:themeColor="text1"/>
          <w:lang w:val="en-GB"/>
        </w:rPr>
        <w:t xml:space="preserve"> in policy development and implementation;</w:t>
      </w:r>
      <w:r w:rsidR="003F6788" w:rsidRPr="00705032">
        <w:rPr>
          <w:rStyle w:val="FootnoteReference"/>
          <w:rFonts w:cstheme="minorHAnsi"/>
          <w:color w:val="000000" w:themeColor="text1"/>
          <w:lang w:val="en-GB"/>
        </w:rPr>
        <w:footnoteReference w:id="11"/>
      </w:r>
      <w:r w:rsidR="00F0028B" w:rsidRPr="00705032">
        <w:rPr>
          <w:rFonts w:cstheme="minorHAnsi"/>
          <w:color w:val="000000" w:themeColor="text1"/>
          <w:lang w:val="en-GB"/>
        </w:rPr>
        <w:t xml:space="preserve"> and notes </w:t>
      </w:r>
      <w:r w:rsidR="00090FC9" w:rsidRPr="00705032">
        <w:rPr>
          <w:rFonts w:cstheme="minorHAnsi"/>
          <w:color w:val="000000" w:themeColor="text1"/>
          <w:lang w:val="en-GB"/>
        </w:rPr>
        <w:lastRenderedPageBreak/>
        <w:t xml:space="preserve">that “[w]hile the courts and previous guidance have developed and focussed on principles of the Treaty, this </w:t>
      </w:r>
      <w:r w:rsidR="00FE5C8C" w:rsidRPr="00705032">
        <w:rPr>
          <w:rFonts w:cstheme="minorHAnsi"/>
          <w:color w:val="000000" w:themeColor="text1"/>
          <w:lang w:val="en-GB"/>
        </w:rPr>
        <w:t>guidance ta</w:t>
      </w:r>
      <w:r w:rsidR="00262256" w:rsidRPr="00705032">
        <w:rPr>
          <w:rFonts w:cstheme="minorHAnsi"/>
          <w:color w:val="000000" w:themeColor="text1"/>
          <w:lang w:val="en-GB"/>
        </w:rPr>
        <w:t>k</w:t>
      </w:r>
      <w:r w:rsidR="00FE5C8C" w:rsidRPr="00705032">
        <w:rPr>
          <w:rFonts w:cstheme="minorHAnsi"/>
          <w:color w:val="000000" w:themeColor="text1"/>
          <w:lang w:val="en-GB"/>
        </w:rPr>
        <w:t>es the text of the Treaty as its focus”.</w:t>
      </w:r>
      <w:r w:rsidR="00812EBF" w:rsidRPr="00705032">
        <w:rPr>
          <w:rStyle w:val="FootnoteReference"/>
          <w:rFonts w:cstheme="minorHAnsi"/>
          <w:color w:val="000000" w:themeColor="text1"/>
          <w:lang w:val="en-GB"/>
        </w:rPr>
        <w:footnoteReference w:id="12"/>
      </w:r>
    </w:p>
    <w:p w14:paraId="0E983D45" w14:textId="1AC20365" w:rsidR="0FB09AD3" w:rsidRPr="00705032" w:rsidRDefault="0FB09AD3"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jc w:val="both"/>
        <w:rPr>
          <w:rFonts w:cstheme="minorHAnsi"/>
          <w:color w:val="000000" w:themeColor="text1"/>
          <w:lang w:val="en-GB"/>
        </w:rPr>
      </w:pPr>
    </w:p>
    <w:p w14:paraId="3D2D80E2" w14:textId="7F550F92" w:rsidR="00F47D2C" w:rsidRPr="00705032" w:rsidRDefault="00725182"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cstheme="minorHAnsi"/>
        </w:rPr>
      </w:pPr>
      <w:r w:rsidRPr="00705032">
        <w:rPr>
          <w:rFonts w:cstheme="minorHAnsi"/>
          <w:lang w:val="mi-NZ"/>
        </w:rPr>
        <w:t xml:space="preserve">Indigenous peoples’ rights in the Declaration have several synergies with Māori rights found in </w:t>
      </w:r>
      <w:r w:rsidR="005400F2" w:rsidRPr="00705032">
        <w:rPr>
          <w:rFonts w:cstheme="minorHAnsi"/>
          <w:lang w:val="mi-NZ"/>
        </w:rPr>
        <w:t>Te Tiriti.</w:t>
      </w:r>
      <w:r w:rsidR="005400F2" w:rsidRPr="00705032">
        <w:rPr>
          <w:rFonts w:cstheme="minorHAnsi"/>
        </w:rPr>
        <w:t xml:space="preserve"> </w:t>
      </w:r>
      <w:r w:rsidR="008103B4" w:rsidRPr="00705032">
        <w:rPr>
          <w:rFonts w:cstheme="minorHAnsi"/>
        </w:rPr>
        <w:t>This was h</w:t>
      </w:r>
      <w:r w:rsidR="2A4E7431" w:rsidRPr="00705032">
        <w:rPr>
          <w:rFonts w:cstheme="minorHAnsi"/>
        </w:rPr>
        <w:t>ighligh</w:t>
      </w:r>
      <w:r w:rsidR="008103B4" w:rsidRPr="00705032">
        <w:rPr>
          <w:rFonts w:cstheme="minorHAnsi"/>
        </w:rPr>
        <w:t xml:space="preserve">ted in </w:t>
      </w:r>
      <w:r w:rsidR="00050D76" w:rsidRPr="00705032">
        <w:rPr>
          <w:rFonts w:cstheme="minorHAnsi"/>
        </w:rPr>
        <w:t xml:space="preserve">New Zealand’s support for the Declaration, </w:t>
      </w:r>
      <w:r w:rsidR="008103B4" w:rsidRPr="00705032">
        <w:rPr>
          <w:rFonts w:cstheme="minorHAnsi"/>
        </w:rPr>
        <w:t xml:space="preserve">where </w:t>
      </w:r>
      <w:r w:rsidR="00050D76" w:rsidRPr="00705032">
        <w:rPr>
          <w:rFonts w:cstheme="minorHAnsi"/>
        </w:rPr>
        <w:t>Hon Pita Sharples stated, “[t]he Declaration contains principles that are consistent with the duties and principles inherent in the Treaty, such as operating in the spirit of partnership and mutual respect.”</w:t>
      </w:r>
      <w:r w:rsidR="00724F00" w:rsidRPr="00705032">
        <w:rPr>
          <w:rStyle w:val="FootnoteReference"/>
          <w:rFonts w:cstheme="minorHAnsi"/>
        </w:rPr>
        <w:footnoteReference w:id="13"/>
      </w:r>
      <w:r w:rsidR="00050D76" w:rsidRPr="00705032">
        <w:rPr>
          <w:rFonts w:cstheme="minorHAnsi"/>
        </w:rPr>
        <w:t xml:space="preserve"> Equally, </w:t>
      </w:r>
      <w:r w:rsidR="00A1390F" w:rsidRPr="00705032">
        <w:rPr>
          <w:rFonts w:cstheme="minorHAnsi"/>
        </w:rPr>
        <w:t xml:space="preserve">Indigenous </w:t>
      </w:r>
      <w:r w:rsidR="00050D76" w:rsidRPr="00705032">
        <w:rPr>
          <w:rFonts w:cstheme="minorHAnsi"/>
        </w:rPr>
        <w:t>Human Rights Commissioner Karen Johansen stated in 2010 that “[m]any of the articles in the Declaration intersect with the principles of the Treaty of Waitangi. There is considerable scope for the Declaration to be used to support, clarify and promote understanding of the Treaty”.</w:t>
      </w:r>
      <w:r w:rsidR="00724F00" w:rsidRPr="00705032">
        <w:rPr>
          <w:rStyle w:val="FootnoteReference"/>
          <w:rFonts w:cstheme="minorHAnsi"/>
        </w:rPr>
        <w:footnoteReference w:id="14"/>
      </w:r>
    </w:p>
    <w:p w14:paraId="37719CA8" w14:textId="77777777" w:rsidR="005400F2" w:rsidRPr="00705032" w:rsidRDefault="005400F2"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cstheme="minorHAnsi"/>
        </w:rPr>
      </w:pPr>
    </w:p>
    <w:p w14:paraId="75485C03" w14:textId="73FECEA8" w:rsidR="00A617C5" w:rsidRPr="00705032" w:rsidRDefault="00050D76" w:rsidP="0FB09AD3">
      <w:pPr>
        <w:spacing w:line="276" w:lineRule="auto"/>
        <w:jc w:val="both"/>
        <w:rPr>
          <w:rFonts w:cstheme="minorHAnsi"/>
        </w:rPr>
      </w:pPr>
      <w:r w:rsidRPr="00705032">
        <w:rPr>
          <w:rFonts w:cstheme="minorHAnsi"/>
        </w:rPr>
        <w:t>The following table sets out some of the provisions and core themes of the Declaration that most directly compliment the articles and principles of Te Tiriti:</w:t>
      </w:r>
    </w:p>
    <w:tbl>
      <w:tblPr>
        <w:tblStyle w:val="TableGrid"/>
        <w:tblW w:w="0" w:type="auto"/>
        <w:tblLook w:val="04A0" w:firstRow="1" w:lastRow="0" w:firstColumn="1" w:lastColumn="0" w:noHBand="0" w:noVBand="1"/>
      </w:tblPr>
      <w:tblGrid>
        <w:gridCol w:w="5949"/>
        <w:gridCol w:w="3067"/>
      </w:tblGrid>
      <w:tr w:rsidR="00050D76" w:rsidRPr="00705032" w14:paraId="61841630" w14:textId="77777777" w:rsidTr="00A617C5">
        <w:tc>
          <w:tcPr>
            <w:tcW w:w="5949" w:type="dxa"/>
            <w:shd w:val="clear" w:color="auto" w:fill="D9E2F3" w:themeFill="accent1" w:themeFillTint="33"/>
          </w:tcPr>
          <w:p w14:paraId="16FB0B3E" w14:textId="09B04B0A" w:rsidR="00154013" w:rsidRPr="00705032" w:rsidRDefault="00A8711B" w:rsidP="0FB09AD3">
            <w:pPr>
              <w:spacing w:line="276" w:lineRule="auto"/>
              <w:jc w:val="both"/>
              <w:rPr>
                <w:rFonts w:cstheme="minorHAnsi"/>
                <w:b/>
                <w:color w:val="1F4E79" w:themeColor="accent5" w:themeShade="80"/>
                <w:sz w:val="18"/>
                <w:szCs w:val="18"/>
              </w:rPr>
            </w:pPr>
            <w:r w:rsidRPr="00705032">
              <w:rPr>
                <w:rFonts w:cstheme="minorHAnsi"/>
                <w:b/>
                <w:color w:val="1F4E79" w:themeColor="accent5" w:themeShade="80"/>
                <w:sz w:val="18"/>
                <w:szCs w:val="18"/>
              </w:rPr>
              <w:t>Te Tiriti o Waitangi</w:t>
            </w:r>
          </w:p>
          <w:p w14:paraId="42486362" w14:textId="13469CD3" w:rsidR="00154013" w:rsidRPr="00705032" w:rsidRDefault="00154013" w:rsidP="0FB09AD3">
            <w:pPr>
              <w:spacing w:line="276" w:lineRule="auto"/>
              <w:jc w:val="both"/>
              <w:rPr>
                <w:rFonts w:cstheme="minorHAnsi"/>
                <w:b/>
                <w:color w:val="1F4E79" w:themeColor="accent5" w:themeShade="80"/>
                <w:sz w:val="18"/>
                <w:szCs w:val="18"/>
              </w:rPr>
            </w:pPr>
          </w:p>
        </w:tc>
        <w:tc>
          <w:tcPr>
            <w:tcW w:w="3067" w:type="dxa"/>
            <w:shd w:val="clear" w:color="auto" w:fill="D9E2F3" w:themeFill="accent1" w:themeFillTint="33"/>
          </w:tcPr>
          <w:p w14:paraId="6E197400" w14:textId="731518CF" w:rsidR="00050D76" w:rsidRPr="00705032" w:rsidRDefault="00A8711B" w:rsidP="0FB09AD3">
            <w:pPr>
              <w:spacing w:line="276" w:lineRule="auto"/>
              <w:jc w:val="both"/>
              <w:rPr>
                <w:rFonts w:cstheme="minorHAnsi"/>
                <w:b/>
                <w:color w:val="1F4E79" w:themeColor="accent5" w:themeShade="80"/>
                <w:sz w:val="18"/>
                <w:szCs w:val="18"/>
              </w:rPr>
            </w:pPr>
            <w:r w:rsidRPr="00705032">
              <w:rPr>
                <w:rFonts w:cstheme="minorHAnsi"/>
                <w:b/>
                <w:color w:val="1F4E79" w:themeColor="accent5" w:themeShade="80"/>
                <w:sz w:val="18"/>
                <w:szCs w:val="18"/>
              </w:rPr>
              <w:t>UN Declaration on the Rights of Indigenous Peoples</w:t>
            </w:r>
          </w:p>
        </w:tc>
      </w:tr>
      <w:tr w:rsidR="00050D76" w:rsidRPr="00705032" w14:paraId="5827FAB3" w14:textId="77777777" w:rsidTr="00A617C5">
        <w:tc>
          <w:tcPr>
            <w:tcW w:w="5949" w:type="dxa"/>
          </w:tcPr>
          <w:p w14:paraId="170E08C5" w14:textId="0B04909A" w:rsidR="00050D76" w:rsidRPr="00705032" w:rsidRDefault="00A8711B" w:rsidP="0FB09AD3">
            <w:pPr>
              <w:spacing w:line="276" w:lineRule="auto"/>
              <w:jc w:val="both"/>
              <w:rPr>
                <w:rFonts w:cstheme="minorHAnsi"/>
                <w:sz w:val="18"/>
                <w:szCs w:val="18"/>
              </w:rPr>
            </w:pPr>
            <w:r w:rsidRPr="00705032">
              <w:rPr>
                <w:rFonts w:cstheme="minorHAnsi"/>
                <w:b/>
                <w:sz w:val="18"/>
                <w:szCs w:val="18"/>
              </w:rPr>
              <w:t>Article 2</w:t>
            </w:r>
            <w:r w:rsidRPr="00705032">
              <w:rPr>
                <w:rFonts w:cstheme="minorHAnsi"/>
                <w:sz w:val="18"/>
                <w:szCs w:val="18"/>
              </w:rPr>
              <w:t xml:space="preserve"> – </w:t>
            </w:r>
            <w:r w:rsidR="008103B4" w:rsidRPr="00705032">
              <w:rPr>
                <w:rFonts w:cstheme="minorHAnsi"/>
                <w:sz w:val="18"/>
                <w:szCs w:val="18"/>
              </w:rPr>
              <w:t>t</w:t>
            </w:r>
            <w:r w:rsidR="008103B4" w:rsidRPr="00705032">
              <w:rPr>
                <w:rFonts w:cstheme="minorHAnsi"/>
                <w:color w:val="000000"/>
                <w:sz w:val="18"/>
                <w:szCs w:val="18"/>
                <w:shd w:val="clear" w:color="auto" w:fill="FFFFFF"/>
              </w:rPr>
              <w:t>he Queen of England agrees to protect the chiefs, the subtribes and all the people of New Zealand in the unqualified exercise</w:t>
            </w:r>
            <w:r w:rsidR="008103B4" w:rsidRPr="00705032">
              <w:rPr>
                <w:rFonts w:cstheme="minorHAnsi"/>
                <w:sz w:val="18"/>
                <w:szCs w:val="18"/>
              </w:rPr>
              <w:t xml:space="preserve"> </w:t>
            </w:r>
            <w:r w:rsidR="008103B4" w:rsidRPr="00705032">
              <w:rPr>
                <w:rFonts w:cstheme="minorHAnsi"/>
                <w:color w:val="000000"/>
                <w:sz w:val="18"/>
                <w:szCs w:val="18"/>
                <w:shd w:val="clear" w:color="auto" w:fill="FFFFFF"/>
              </w:rPr>
              <w:t>of their chieftainship over their lands, villages and all their treasures.</w:t>
            </w:r>
          </w:p>
          <w:p w14:paraId="235428C0" w14:textId="6859BACC" w:rsidR="00A8711B" w:rsidRPr="00705032" w:rsidRDefault="00A8711B" w:rsidP="0FB09AD3">
            <w:pPr>
              <w:spacing w:line="276" w:lineRule="auto"/>
              <w:jc w:val="both"/>
              <w:rPr>
                <w:rFonts w:cstheme="minorHAnsi"/>
                <w:sz w:val="18"/>
                <w:szCs w:val="18"/>
              </w:rPr>
            </w:pPr>
            <w:r w:rsidRPr="00705032">
              <w:rPr>
                <w:rFonts w:cstheme="minorHAnsi"/>
                <w:sz w:val="18"/>
                <w:szCs w:val="18"/>
              </w:rPr>
              <w:t xml:space="preserve">Principle of </w:t>
            </w:r>
            <w:r w:rsidRPr="00705032">
              <w:rPr>
                <w:rFonts w:cstheme="minorHAnsi"/>
                <w:b/>
                <w:sz w:val="18"/>
                <w:szCs w:val="18"/>
              </w:rPr>
              <w:t>tino rangatiratanga</w:t>
            </w:r>
            <w:r w:rsidRPr="00705032">
              <w:rPr>
                <w:rFonts w:cstheme="minorHAnsi"/>
                <w:sz w:val="18"/>
                <w:szCs w:val="18"/>
              </w:rPr>
              <w:t xml:space="preserve"> (Māori sovereign authority; self-determination)</w:t>
            </w:r>
          </w:p>
        </w:tc>
        <w:tc>
          <w:tcPr>
            <w:tcW w:w="3067" w:type="dxa"/>
          </w:tcPr>
          <w:p w14:paraId="338729C6" w14:textId="533005AC" w:rsidR="00050D76" w:rsidRPr="00705032" w:rsidRDefault="00A8711B" w:rsidP="0FB09AD3">
            <w:pPr>
              <w:spacing w:line="276" w:lineRule="auto"/>
              <w:jc w:val="both"/>
              <w:rPr>
                <w:rFonts w:cstheme="minorHAnsi"/>
                <w:sz w:val="18"/>
                <w:szCs w:val="18"/>
              </w:rPr>
            </w:pPr>
            <w:r w:rsidRPr="00705032">
              <w:rPr>
                <w:rFonts w:cstheme="minorHAnsi"/>
                <w:sz w:val="18"/>
                <w:szCs w:val="18"/>
              </w:rPr>
              <w:t>Articles 3, 4, 5, 33, 34, and 35</w:t>
            </w:r>
          </w:p>
          <w:p w14:paraId="6EAC0425" w14:textId="4A1D6951" w:rsidR="00A8711B" w:rsidRPr="00705032" w:rsidRDefault="00A8711B" w:rsidP="0FB09AD3">
            <w:pPr>
              <w:spacing w:line="276" w:lineRule="auto"/>
              <w:jc w:val="both"/>
              <w:rPr>
                <w:rFonts w:cstheme="minorHAnsi"/>
                <w:sz w:val="18"/>
                <w:szCs w:val="18"/>
              </w:rPr>
            </w:pPr>
            <w:r w:rsidRPr="00705032">
              <w:rPr>
                <w:rFonts w:cstheme="minorHAnsi"/>
                <w:sz w:val="18"/>
                <w:szCs w:val="18"/>
              </w:rPr>
              <w:t xml:space="preserve">Theme – </w:t>
            </w:r>
            <w:r w:rsidR="004A237D" w:rsidRPr="00705032">
              <w:rPr>
                <w:rFonts w:cstheme="minorHAnsi"/>
                <w:b/>
                <w:sz w:val="18"/>
                <w:szCs w:val="18"/>
              </w:rPr>
              <w:t>Rights to s</w:t>
            </w:r>
            <w:r w:rsidRPr="00705032">
              <w:rPr>
                <w:rFonts w:cstheme="minorHAnsi"/>
                <w:b/>
                <w:sz w:val="18"/>
                <w:szCs w:val="18"/>
              </w:rPr>
              <w:t>elf-determination</w:t>
            </w:r>
          </w:p>
        </w:tc>
      </w:tr>
      <w:tr w:rsidR="00050D76" w:rsidRPr="00705032" w14:paraId="5446DE54" w14:textId="77777777" w:rsidTr="00A617C5">
        <w:tc>
          <w:tcPr>
            <w:tcW w:w="5949" w:type="dxa"/>
          </w:tcPr>
          <w:p w14:paraId="2D0C46ED" w14:textId="132A236F" w:rsidR="00050D76" w:rsidRPr="00705032" w:rsidRDefault="00A8711B" w:rsidP="0FB09AD3">
            <w:pPr>
              <w:spacing w:line="276" w:lineRule="auto"/>
              <w:jc w:val="both"/>
              <w:rPr>
                <w:rFonts w:cstheme="minorHAnsi"/>
                <w:sz w:val="18"/>
                <w:szCs w:val="18"/>
              </w:rPr>
            </w:pPr>
            <w:r w:rsidRPr="00705032">
              <w:rPr>
                <w:rFonts w:cstheme="minorHAnsi"/>
                <w:b/>
                <w:sz w:val="18"/>
                <w:szCs w:val="18"/>
              </w:rPr>
              <w:t>Article 3</w:t>
            </w:r>
            <w:r w:rsidRPr="00705032">
              <w:rPr>
                <w:rFonts w:cstheme="minorHAnsi"/>
                <w:sz w:val="18"/>
                <w:szCs w:val="18"/>
              </w:rPr>
              <w:t xml:space="preserve"> – </w:t>
            </w:r>
            <w:r w:rsidR="008103B4" w:rsidRPr="00705032">
              <w:rPr>
                <w:rFonts w:cstheme="minorHAnsi"/>
                <w:color w:val="000000"/>
                <w:sz w:val="18"/>
                <w:szCs w:val="18"/>
                <w:shd w:val="clear" w:color="auto" w:fill="FFFFFF"/>
              </w:rPr>
              <w:t>the Queen of England will protect all the ordinary people [Māori] of New Zealand and will give them the same rights and duties</w:t>
            </w:r>
            <w:r w:rsidR="008103B4" w:rsidRPr="00705032">
              <w:rPr>
                <w:rFonts w:cstheme="minorHAnsi"/>
                <w:sz w:val="18"/>
                <w:szCs w:val="18"/>
              </w:rPr>
              <w:t xml:space="preserve"> </w:t>
            </w:r>
            <w:r w:rsidR="008103B4" w:rsidRPr="00705032">
              <w:rPr>
                <w:rFonts w:cstheme="minorHAnsi"/>
                <w:color w:val="000000"/>
                <w:sz w:val="18"/>
                <w:szCs w:val="18"/>
                <w:shd w:val="clear" w:color="auto" w:fill="FFFFFF"/>
              </w:rPr>
              <w:t>of citizenship as the people of England.</w:t>
            </w:r>
            <w:r w:rsidR="008103B4" w:rsidRPr="00705032">
              <w:rPr>
                <w:rFonts w:cstheme="minorHAnsi"/>
                <w:sz w:val="18"/>
                <w:szCs w:val="18"/>
              </w:rPr>
              <w:t xml:space="preserve"> </w:t>
            </w:r>
          </w:p>
          <w:p w14:paraId="10C9773A" w14:textId="4910016F" w:rsidR="00A8711B" w:rsidRPr="00705032" w:rsidRDefault="00A8711B" w:rsidP="0FB09AD3">
            <w:pPr>
              <w:spacing w:line="276" w:lineRule="auto"/>
              <w:jc w:val="both"/>
              <w:rPr>
                <w:rFonts w:cstheme="minorHAnsi"/>
                <w:sz w:val="18"/>
                <w:szCs w:val="18"/>
              </w:rPr>
            </w:pPr>
            <w:r w:rsidRPr="00705032">
              <w:rPr>
                <w:rFonts w:cstheme="minorHAnsi"/>
                <w:sz w:val="18"/>
                <w:szCs w:val="18"/>
              </w:rPr>
              <w:t xml:space="preserve">Principle of </w:t>
            </w:r>
            <w:r w:rsidRPr="00705032">
              <w:rPr>
                <w:rFonts w:cstheme="minorHAnsi"/>
                <w:b/>
                <w:sz w:val="18"/>
                <w:szCs w:val="18"/>
              </w:rPr>
              <w:t>equity and equality</w:t>
            </w:r>
          </w:p>
        </w:tc>
        <w:tc>
          <w:tcPr>
            <w:tcW w:w="3067" w:type="dxa"/>
          </w:tcPr>
          <w:p w14:paraId="4EA007F5" w14:textId="745675AB" w:rsidR="00050D76" w:rsidRPr="00705032" w:rsidRDefault="00A8711B" w:rsidP="0FB09AD3">
            <w:pPr>
              <w:spacing w:line="276" w:lineRule="auto"/>
              <w:jc w:val="both"/>
              <w:rPr>
                <w:rFonts w:cstheme="minorHAnsi"/>
                <w:sz w:val="18"/>
                <w:szCs w:val="18"/>
              </w:rPr>
            </w:pPr>
            <w:r w:rsidRPr="00705032">
              <w:rPr>
                <w:rFonts w:cstheme="minorHAnsi"/>
                <w:sz w:val="18"/>
                <w:szCs w:val="18"/>
              </w:rPr>
              <w:t>Articles 2, 5, 18, 20, and 39</w:t>
            </w:r>
          </w:p>
          <w:p w14:paraId="1BEFA984" w14:textId="5D4DCD9F" w:rsidR="00A8711B" w:rsidRPr="00705032" w:rsidRDefault="00A8711B" w:rsidP="0FB09AD3">
            <w:pPr>
              <w:spacing w:line="276" w:lineRule="auto"/>
              <w:jc w:val="both"/>
              <w:rPr>
                <w:rFonts w:cstheme="minorHAnsi"/>
                <w:sz w:val="18"/>
                <w:szCs w:val="18"/>
              </w:rPr>
            </w:pPr>
            <w:r w:rsidRPr="00705032">
              <w:rPr>
                <w:rFonts w:cstheme="minorHAnsi"/>
                <w:sz w:val="18"/>
                <w:szCs w:val="18"/>
              </w:rPr>
              <w:t xml:space="preserve">Theme – </w:t>
            </w:r>
            <w:r w:rsidR="004A237D" w:rsidRPr="00705032">
              <w:rPr>
                <w:rFonts w:cstheme="minorHAnsi"/>
                <w:b/>
                <w:sz w:val="18"/>
                <w:szCs w:val="18"/>
              </w:rPr>
              <w:t>Rights to f</w:t>
            </w:r>
            <w:r w:rsidRPr="00705032">
              <w:rPr>
                <w:rFonts w:cstheme="minorHAnsi"/>
                <w:b/>
                <w:sz w:val="18"/>
                <w:szCs w:val="18"/>
              </w:rPr>
              <w:t>reedom from discrimination</w:t>
            </w:r>
          </w:p>
        </w:tc>
      </w:tr>
      <w:tr w:rsidR="00050D76" w:rsidRPr="00705032" w14:paraId="2136C813" w14:textId="77777777" w:rsidTr="00A617C5">
        <w:tc>
          <w:tcPr>
            <w:tcW w:w="5949" w:type="dxa"/>
          </w:tcPr>
          <w:p w14:paraId="53640CC2" w14:textId="59C2A44C" w:rsidR="00050D76" w:rsidRPr="00705032" w:rsidRDefault="00A8711B" w:rsidP="0FB09AD3">
            <w:pPr>
              <w:spacing w:line="276" w:lineRule="auto"/>
              <w:jc w:val="both"/>
              <w:rPr>
                <w:rFonts w:cstheme="minorHAnsi"/>
                <w:sz w:val="18"/>
                <w:szCs w:val="18"/>
              </w:rPr>
            </w:pPr>
            <w:r w:rsidRPr="00705032">
              <w:rPr>
                <w:rFonts w:cstheme="minorHAnsi"/>
                <w:b/>
                <w:sz w:val="18"/>
                <w:szCs w:val="18"/>
              </w:rPr>
              <w:t>Article 1</w:t>
            </w:r>
            <w:r w:rsidRPr="00705032">
              <w:rPr>
                <w:rFonts w:cstheme="minorHAnsi"/>
                <w:sz w:val="18"/>
                <w:szCs w:val="18"/>
              </w:rPr>
              <w:t xml:space="preserve"> – </w:t>
            </w:r>
            <w:r w:rsidR="008103B4" w:rsidRPr="00705032">
              <w:rPr>
                <w:rFonts w:cstheme="minorHAnsi"/>
                <w:sz w:val="18"/>
                <w:szCs w:val="18"/>
              </w:rPr>
              <w:t>t</w:t>
            </w:r>
            <w:r w:rsidR="008103B4" w:rsidRPr="00705032">
              <w:rPr>
                <w:rFonts w:cstheme="minorHAnsi"/>
                <w:color w:val="000000"/>
                <w:sz w:val="18"/>
                <w:szCs w:val="18"/>
                <w:shd w:val="clear" w:color="auto" w:fill="FFFFFF"/>
              </w:rPr>
              <w:t>he Chiefs of the Confederation and all the Chiefs who have not joined that Confederation give absolutely to the Queen of England for ever the complete government</w:t>
            </w:r>
            <w:r w:rsidR="008103B4" w:rsidRPr="00705032">
              <w:rPr>
                <w:rFonts w:cstheme="minorHAnsi"/>
                <w:sz w:val="18"/>
                <w:szCs w:val="18"/>
              </w:rPr>
              <w:t xml:space="preserve"> </w:t>
            </w:r>
            <w:r w:rsidR="008103B4" w:rsidRPr="00705032">
              <w:rPr>
                <w:rFonts w:cstheme="minorHAnsi"/>
                <w:color w:val="000000"/>
                <w:sz w:val="18"/>
                <w:szCs w:val="18"/>
                <w:shd w:val="clear" w:color="auto" w:fill="FFFFFF"/>
              </w:rPr>
              <w:t>over their land.</w:t>
            </w:r>
          </w:p>
          <w:p w14:paraId="3DCC3141" w14:textId="38BD18CE" w:rsidR="00A8711B" w:rsidRPr="00705032" w:rsidRDefault="00A8711B" w:rsidP="0FB09AD3">
            <w:pPr>
              <w:spacing w:line="276" w:lineRule="auto"/>
              <w:jc w:val="both"/>
              <w:rPr>
                <w:rFonts w:cstheme="minorHAnsi"/>
                <w:sz w:val="18"/>
                <w:szCs w:val="18"/>
              </w:rPr>
            </w:pPr>
            <w:r w:rsidRPr="00705032">
              <w:rPr>
                <w:rFonts w:cstheme="minorHAnsi"/>
                <w:sz w:val="18"/>
                <w:szCs w:val="18"/>
              </w:rPr>
              <w:t xml:space="preserve">Principle of </w:t>
            </w:r>
            <w:r w:rsidRPr="00705032">
              <w:rPr>
                <w:rFonts w:cstheme="minorHAnsi"/>
                <w:b/>
                <w:sz w:val="18"/>
                <w:szCs w:val="18"/>
              </w:rPr>
              <w:t>good governance</w:t>
            </w:r>
          </w:p>
        </w:tc>
        <w:tc>
          <w:tcPr>
            <w:tcW w:w="3067" w:type="dxa"/>
          </w:tcPr>
          <w:p w14:paraId="341817EC" w14:textId="33ED0753" w:rsidR="00050D76" w:rsidRPr="00705032" w:rsidRDefault="00A8711B" w:rsidP="0FB09AD3">
            <w:pPr>
              <w:spacing w:line="276" w:lineRule="auto"/>
              <w:jc w:val="both"/>
              <w:rPr>
                <w:rFonts w:cstheme="minorHAnsi"/>
                <w:sz w:val="18"/>
                <w:szCs w:val="18"/>
              </w:rPr>
            </w:pPr>
            <w:r w:rsidRPr="00705032">
              <w:rPr>
                <w:rFonts w:cstheme="minorHAnsi"/>
                <w:sz w:val="18"/>
                <w:szCs w:val="18"/>
              </w:rPr>
              <w:t>Articles 19, 38, 39, and 46</w:t>
            </w:r>
          </w:p>
          <w:p w14:paraId="5D8A644D" w14:textId="3F2078BD" w:rsidR="00A8711B" w:rsidRPr="00705032" w:rsidRDefault="00A8711B" w:rsidP="0FB09AD3">
            <w:pPr>
              <w:spacing w:line="276" w:lineRule="auto"/>
              <w:jc w:val="both"/>
              <w:rPr>
                <w:rFonts w:cstheme="minorHAnsi"/>
                <w:sz w:val="18"/>
                <w:szCs w:val="18"/>
              </w:rPr>
            </w:pPr>
          </w:p>
        </w:tc>
      </w:tr>
      <w:tr w:rsidR="00050D76" w:rsidRPr="00705032" w14:paraId="47F94EAA" w14:textId="77777777" w:rsidTr="00A617C5">
        <w:tc>
          <w:tcPr>
            <w:tcW w:w="5949" w:type="dxa"/>
          </w:tcPr>
          <w:p w14:paraId="797D7C41" w14:textId="0857B29A" w:rsidR="00A8711B" w:rsidRPr="00705032" w:rsidRDefault="00A8711B" w:rsidP="0FB09AD3">
            <w:pPr>
              <w:spacing w:line="276" w:lineRule="auto"/>
              <w:jc w:val="both"/>
              <w:rPr>
                <w:rFonts w:cstheme="minorHAnsi"/>
                <w:sz w:val="18"/>
                <w:szCs w:val="18"/>
              </w:rPr>
            </w:pPr>
            <w:r w:rsidRPr="00705032">
              <w:rPr>
                <w:rFonts w:cstheme="minorHAnsi"/>
                <w:b/>
                <w:sz w:val="18"/>
                <w:szCs w:val="18"/>
              </w:rPr>
              <w:t>Article 1</w:t>
            </w:r>
            <w:r w:rsidRPr="00705032">
              <w:rPr>
                <w:rFonts w:cstheme="minorHAnsi"/>
                <w:sz w:val="18"/>
                <w:szCs w:val="18"/>
              </w:rPr>
              <w:t xml:space="preserve"> – </w:t>
            </w:r>
            <w:r w:rsidR="008103B4" w:rsidRPr="00705032">
              <w:rPr>
                <w:rFonts w:cstheme="minorHAnsi"/>
                <w:sz w:val="18"/>
                <w:szCs w:val="18"/>
              </w:rPr>
              <w:t>See above.</w:t>
            </w:r>
          </w:p>
          <w:p w14:paraId="4DA63C2C" w14:textId="55570E78" w:rsidR="00050D76" w:rsidRPr="00705032" w:rsidRDefault="00A8711B" w:rsidP="0FB09AD3">
            <w:pPr>
              <w:spacing w:line="276" w:lineRule="auto"/>
              <w:jc w:val="both"/>
              <w:rPr>
                <w:rFonts w:cstheme="minorHAnsi"/>
                <w:sz w:val="18"/>
                <w:szCs w:val="18"/>
              </w:rPr>
            </w:pPr>
            <w:r w:rsidRPr="00705032">
              <w:rPr>
                <w:rFonts w:cstheme="minorHAnsi"/>
                <w:sz w:val="18"/>
                <w:szCs w:val="18"/>
              </w:rPr>
              <w:t xml:space="preserve">Principle of </w:t>
            </w:r>
            <w:r w:rsidRPr="00705032">
              <w:rPr>
                <w:rFonts w:cstheme="minorHAnsi"/>
                <w:b/>
                <w:sz w:val="18"/>
                <w:szCs w:val="18"/>
              </w:rPr>
              <w:t>partnership</w:t>
            </w:r>
          </w:p>
        </w:tc>
        <w:tc>
          <w:tcPr>
            <w:tcW w:w="3067" w:type="dxa"/>
          </w:tcPr>
          <w:p w14:paraId="33634FA2" w14:textId="273ECBB4" w:rsidR="00050D76" w:rsidRPr="00705032" w:rsidRDefault="00A8711B" w:rsidP="0FB09AD3">
            <w:pPr>
              <w:spacing w:line="276" w:lineRule="auto"/>
              <w:jc w:val="both"/>
              <w:rPr>
                <w:rFonts w:cstheme="minorHAnsi"/>
                <w:sz w:val="18"/>
                <w:szCs w:val="18"/>
              </w:rPr>
            </w:pPr>
            <w:r w:rsidRPr="00705032">
              <w:rPr>
                <w:rFonts w:cstheme="minorHAnsi"/>
                <w:sz w:val="18"/>
                <w:szCs w:val="18"/>
              </w:rPr>
              <w:t xml:space="preserve">Articles </w:t>
            </w:r>
            <w:r w:rsidR="004A237D" w:rsidRPr="00705032">
              <w:rPr>
                <w:rFonts w:cstheme="minorHAnsi"/>
                <w:sz w:val="18"/>
                <w:szCs w:val="18"/>
              </w:rPr>
              <w:t xml:space="preserve">5, </w:t>
            </w:r>
            <w:r w:rsidRPr="00705032">
              <w:rPr>
                <w:rFonts w:cstheme="minorHAnsi"/>
                <w:sz w:val="18"/>
                <w:szCs w:val="18"/>
              </w:rPr>
              <w:t>18</w:t>
            </w:r>
            <w:r w:rsidR="004A237D" w:rsidRPr="00705032">
              <w:rPr>
                <w:rFonts w:cstheme="minorHAnsi"/>
                <w:sz w:val="18"/>
                <w:szCs w:val="18"/>
              </w:rPr>
              <w:t>,</w:t>
            </w:r>
            <w:r w:rsidRPr="00705032">
              <w:rPr>
                <w:rFonts w:cstheme="minorHAnsi"/>
                <w:sz w:val="18"/>
                <w:szCs w:val="18"/>
              </w:rPr>
              <w:t xml:space="preserve"> 19</w:t>
            </w:r>
            <w:r w:rsidR="004A237D" w:rsidRPr="00705032">
              <w:rPr>
                <w:rFonts w:cstheme="minorHAnsi"/>
                <w:sz w:val="18"/>
                <w:szCs w:val="18"/>
              </w:rPr>
              <w:t xml:space="preserve"> and 32</w:t>
            </w:r>
          </w:p>
          <w:p w14:paraId="7D5F3175" w14:textId="4D6A9996" w:rsidR="00A8711B" w:rsidRPr="00705032" w:rsidRDefault="00A8711B" w:rsidP="0FB09AD3">
            <w:pPr>
              <w:spacing w:line="276" w:lineRule="auto"/>
              <w:jc w:val="both"/>
              <w:rPr>
                <w:rFonts w:cstheme="minorHAnsi"/>
                <w:sz w:val="18"/>
                <w:szCs w:val="18"/>
              </w:rPr>
            </w:pPr>
            <w:r w:rsidRPr="00705032">
              <w:rPr>
                <w:rFonts w:cstheme="minorHAnsi"/>
                <w:sz w:val="18"/>
                <w:szCs w:val="18"/>
              </w:rPr>
              <w:t xml:space="preserve">Themes – </w:t>
            </w:r>
            <w:r w:rsidRPr="00705032">
              <w:rPr>
                <w:rFonts w:cstheme="minorHAnsi"/>
                <w:b/>
                <w:sz w:val="18"/>
                <w:szCs w:val="18"/>
              </w:rPr>
              <w:t xml:space="preserve">Free, prior and informed consent; and </w:t>
            </w:r>
            <w:r w:rsidR="004A237D" w:rsidRPr="00705032">
              <w:rPr>
                <w:rFonts w:cstheme="minorHAnsi"/>
                <w:b/>
                <w:sz w:val="18"/>
                <w:szCs w:val="18"/>
              </w:rPr>
              <w:t xml:space="preserve">rights to </w:t>
            </w:r>
            <w:r w:rsidRPr="00705032">
              <w:rPr>
                <w:rFonts w:cstheme="minorHAnsi"/>
                <w:b/>
                <w:sz w:val="18"/>
                <w:szCs w:val="18"/>
              </w:rPr>
              <w:t>participat</w:t>
            </w:r>
            <w:r w:rsidR="004A237D" w:rsidRPr="00705032">
              <w:rPr>
                <w:rFonts w:cstheme="minorHAnsi"/>
                <w:b/>
                <w:sz w:val="18"/>
                <w:szCs w:val="18"/>
              </w:rPr>
              <w:t>e</w:t>
            </w:r>
            <w:r w:rsidRPr="00705032">
              <w:rPr>
                <w:rFonts w:cstheme="minorHAnsi"/>
                <w:b/>
                <w:sz w:val="18"/>
                <w:szCs w:val="18"/>
              </w:rPr>
              <w:t xml:space="preserve"> in decision-making.</w:t>
            </w:r>
          </w:p>
        </w:tc>
      </w:tr>
      <w:tr w:rsidR="00050D76" w:rsidRPr="00705032" w14:paraId="617146F7" w14:textId="77777777" w:rsidTr="00A617C5">
        <w:tc>
          <w:tcPr>
            <w:tcW w:w="5949" w:type="dxa"/>
          </w:tcPr>
          <w:p w14:paraId="6A0EC548" w14:textId="70D67D08" w:rsidR="00050D76" w:rsidRPr="00705032" w:rsidRDefault="00A8711B" w:rsidP="0FB09AD3">
            <w:pPr>
              <w:spacing w:line="276" w:lineRule="auto"/>
              <w:jc w:val="both"/>
              <w:rPr>
                <w:rFonts w:cstheme="minorHAnsi"/>
                <w:sz w:val="18"/>
                <w:szCs w:val="18"/>
              </w:rPr>
            </w:pPr>
            <w:r w:rsidRPr="00705032">
              <w:rPr>
                <w:rFonts w:cstheme="minorHAnsi"/>
                <w:b/>
                <w:sz w:val="18"/>
                <w:szCs w:val="18"/>
              </w:rPr>
              <w:t>Article 2</w:t>
            </w:r>
            <w:r w:rsidRPr="00705032">
              <w:rPr>
                <w:rFonts w:cstheme="minorHAnsi"/>
                <w:sz w:val="18"/>
                <w:szCs w:val="18"/>
              </w:rPr>
              <w:t xml:space="preserve"> – </w:t>
            </w:r>
            <w:r w:rsidR="008103B4" w:rsidRPr="00705032">
              <w:rPr>
                <w:rFonts w:cstheme="minorHAnsi"/>
                <w:sz w:val="18"/>
                <w:szCs w:val="18"/>
              </w:rPr>
              <w:t>See above.</w:t>
            </w:r>
          </w:p>
          <w:p w14:paraId="424B9EA8" w14:textId="64EE5DB3" w:rsidR="00A8711B" w:rsidRPr="00705032" w:rsidRDefault="004A237D" w:rsidP="0FB09AD3">
            <w:pPr>
              <w:spacing w:line="276" w:lineRule="auto"/>
              <w:jc w:val="both"/>
              <w:rPr>
                <w:rFonts w:cstheme="minorHAnsi"/>
                <w:sz w:val="18"/>
                <w:szCs w:val="18"/>
              </w:rPr>
            </w:pPr>
            <w:r w:rsidRPr="00705032">
              <w:rPr>
                <w:rFonts w:cstheme="minorHAnsi"/>
                <w:sz w:val="18"/>
                <w:szCs w:val="18"/>
              </w:rPr>
              <w:t xml:space="preserve">Rights to </w:t>
            </w:r>
            <w:r w:rsidRPr="00705032">
              <w:rPr>
                <w:rFonts w:cstheme="minorHAnsi"/>
                <w:b/>
                <w:sz w:val="18"/>
                <w:szCs w:val="18"/>
              </w:rPr>
              <w:t>culture and property</w:t>
            </w:r>
          </w:p>
        </w:tc>
        <w:tc>
          <w:tcPr>
            <w:tcW w:w="3067" w:type="dxa"/>
          </w:tcPr>
          <w:p w14:paraId="39C4470F" w14:textId="7ED003DC" w:rsidR="00050D76" w:rsidRPr="00705032" w:rsidRDefault="004A237D" w:rsidP="0FB09AD3">
            <w:pPr>
              <w:spacing w:line="276" w:lineRule="auto"/>
              <w:jc w:val="both"/>
              <w:rPr>
                <w:rFonts w:cstheme="minorHAnsi"/>
                <w:sz w:val="18"/>
                <w:szCs w:val="18"/>
              </w:rPr>
            </w:pPr>
            <w:r w:rsidRPr="00705032">
              <w:rPr>
                <w:rFonts w:cstheme="minorHAnsi"/>
                <w:sz w:val="18"/>
                <w:szCs w:val="18"/>
              </w:rPr>
              <w:t>(</w:t>
            </w:r>
            <w:r w:rsidRPr="00705032">
              <w:rPr>
                <w:rFonts w:cstheme="minorHAnsi"/>
                <w:b/>
                <w:sz w:val="18"/>
                <w:szCs w:val="18"/>
              </w:rPr>
              <w:t>Rights to culture</w:t>
            </w:r>
            <w:r w:rsidRPr="00705032">
              <w:rPr>
                <w:rFonts w:cstheme="minorHAnsi"/>
                <w:sz w:val="18"/>
                <w:szCs w:val="18"/>
              </w:rPr>
              <w:t>) Articles 8, 9, 11, 12, 13, 14, 15, 31, and 34</w:t>
            </w:r>
          </w:p>
          <w:p w14:paraId="6A127722" w14:textId="0D30FB6C" w:rsidR="004A237D" w:rsidRPr="00705032" w:rsidRDefault="004A237D" w:rsidP="0FB09AD3">
            <w:pPr>
              <w:spacing w:line="276" w:lineRule="auto"/>
              <w:jc w:val="both"/>
              <w:rPr>
                <w:rFonts w:cstheme="minorHAnsi"/>
                <w:sz w:val="18"/>
                <w:szCs w:val="18"/>
              </w:rPr>
            </w:pPr>
            <w:r w:rsidRPr="00705032">
              <w:rPr>
                <w:rFonts w:cstheme="minorHAnsi"/>
                <w:sz w:val="18"/>
                <w:szCs w:val="18"/>
              </w:rPr>
              <w:t>(</w:t>
            </w:r>
            <w:r w:rsidRPr="00705032">
              <w:rPr>
                <w:rFonts w:cstheme="minorHAnsi"/>
                <w:b/>
                <w:sz w:val="18"/>
                <w:szCs w:val="18"/>
              </w:rPr>
              <w:t>Rights to lands, territories, and resources</w:t>
            </w:r>
            <w:r w:rsidRPr="00705032">
              <w:rPr>
                <w:rFonts w:cstheme="minorHAnsi"/>
                <w:sz w:val="18"/>
                <w:szCs w:val="18"/>
              </w:rPr>
              <w:t>) Articles 25, 26, 27, 28, 29, 30, and 32</w:t>
            </w:r>
          </w:p>
        </w:tc>
      </w:tr>
      <w:tr w:rsidR="00050D76" w:rsidRPr="00705032" w14:paraId="22A02B50" w14:textId="77777777" w:rsidTr="00A617C5">
        <w:tc>
          <w:tcPr>
            <w:tcW w:w="5949" w:type="dxa"/>
          </w:tcPr>
          <w:p w14:paraId="25D6DE0A" w14:textId="4106A9B6" w:rsidR="00050D76" w:rsidRPr="00705032" w:rsidRDefault="004A237D" w:rsidP="0FB09AD3">
            <w:pPr>
              <w:spacing w:line="276" w:lineRule="auto"/>
              <w:jc w:val="both"/>
              <w:rPr>
                <w:rFonts w:cstheme="minorHAnsi"/>
                <w:sz w:val="18"/>
                <w:szCs w:val="18"/>
              </w:rPr>
            </w:pPr>
            <w:r w:rsidRPr="00705032">
              <w:rPr>
                <w:rFonts w:cstheme="minorHAnsi"/>
                <w:b/>
                <w:sz w:val="18"/>
                <w:szCs w:val="18"/>
              </w:rPr>
              <w:t>Article 3</w:t>
            </w:r>
            <w:r w:rsidRPr="00705032">
              <w:rPr>
                <w:rFonts w:cstheme="minorHAnsi"/>
                <w:sz w:val="18"/>
                <w:szCs w:val="18"/>
              </w:rPr>
              <w:t xml:space="preserve"> –</w:t>
            </w:r>
            <w:r w:rsidR="008103B4" w:rsidRPr="00705032">
              <w:rPr>
                <w:rFonts w:cstheme="minorHAnsi"/>
                <w:sz w:val="18"/>
                <w:szCs w:val="18"/>
              </w:rPr>
              <w:t xml:space="preserve"> See above.</w:t>
            </w:r>
          </w:p>
          <w:p w14:paraId="51BC55FC" w14:textId="1FCBA4B8" w:rsidR="004A237D" w:rsidRPr="00705032" w:rsidRDefault="004A237D" w:rsidP="0FB09AD3">
            <w:pPr>
              <w:spacing w:line="276" w:lineRule="auto"/>
              <w:jc w:val="both"/>
              <w:rPr>
                <w:rFonts w:cstheme="minorHAnsi"/>
                <w:sz w:val="18"/>
                <w:szCs w:val="18"/>
              </w:rPr>
            </w:pPr>
            <w:r w:rsidRPr="00705032">
              <w:rPr>
                <w:rFonts w:cstheme="minorHAnsi"/>
                <w:sz w:val="18"/>
                <w:szCs w:val="18"/>
              </w:rPr>
              <w:t xml:space="preserve">Rights of </w:t>
            </w:r>
            <w:r w:rsidRPr="00705032">
              <w:rPr>
                <w:rFonts w:cstheme="minorHAnsi"/>
                <w:b/>
                <w:sz w:val="18"/>
                <w:szCs w:val="18"/>
              </w:rPr>
              <w:t>citizenship</w:t>
            </w:r>
          </w:p>
        </w:tc>
        <w:tc>
          <w:tcPr>
            <w:tcW w:w="3067" w:type="dxa"/>
          </w:tcPr>
          <w:p w14:paraId="54FAAB89" w14:textId="2B2A1250" w:rsidR="00050D76" w:rsidRPr="00705032" w:rsidRDefault="004A237D" w:rsidP="0FB09AD3">
            <w:pPr>
              <w:spacing w:line="276" w:lineRule="auto"/>
              <w:jc w:val="both"/>
              <w:rPr>
                <w:rFonts w:cstheme="minorHAnsi"/>
                <w:sz w:val="18"/>
                <w:szCs w:val="18"/>
              </w:rPr>
            </w:pPr>
            <w:r w:rsidRPr="00705032">
              <w:rPr>
                <w:rFonts w:cstheme="minorHAnsi"/>
                <w:sz w:val="18"/>
                <w:szCs w:val="18"/>
              </w:rPr>
              <w:t>Article 5 and 33</w:t>
            </w:r>
          </w:p>
          <w:p w14:paraId="413B7FBC" w14:textId="78E70ECF" w:rsidR="004A237D" w:rsidRPr="00705032" w:rsidRDefault="004A237D" w:rsidP="0FB09AD3">
            <w:pPr>
              <w:spacing w:line="276" w:lineRule="auto"/>
              <w:jc w:val="both"/>
              <w:rPr>
                <w:rFonts w:cstheme="minorHAnsi"/>
                <w:sz w:val="18"/>
                <w:szCs w:val="18"/>
              </w:rPr>
            </w:pPr>
            <w:r w:rsidRPr="00705032">
              <w:rPr>
                <w:rFonts w:cstheme="minorHAnsi"/>
                <w:sz w:val="18"/>
                <w:szCs w:val="18"/>
              </w:rPr>
              <w:t xml:space="preserve">Theme – </w:t>
            </w:r>
            <w:r w:rsidRPr="00705032">
              <w:rPr>
                <w:rFonts w:cstheme="minorHAnsi"/>
                <w:b/>
                <w:sz w:val="18"/>
                <w:szCs w:val="18"/>
              </w:rPr>
              <w:t>Civil and political rights</w:t>
            </w:r>
          </w:p>
        </w:tc>
      </w:tr>
    </w:tbl>
    <w:p w14:paraId="4BDFAEB1" w14:textId="77777777" w:rsidR="00A617C5" w:rsidRPr="00705032" w:rsidRDefault="00A617C5" w:rsidP="0FB09AD3">
      <w:pPr>
        <w:spacing w:line="276" w:lineRule="auto"/>
        <w:jc w:val="both"/>
        <w:rPr>
          <w:rFonts w:cstheme="minorHAnsi"/>
        </w:rPr>
      </w:pPr>
    </w:p>
    <w:p w14:paraId="6C7E1865" w14:textId="0DAC8422" w:rsidR="00BD1BF4" w:rsidRPr="00705032" w:rsidRDefault="00D010E0"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cstheme="minorHAnsi"/>
          <w:color w:val="000000"/>
          <w:lang w:val="en-GB"/>
        </w:rPr>
      </w:pPr>
      <w:r w:rsidRPr="00705032">
        <w:rPr>
          <w:rFonts w:cstheme="minorHAnsi"/>
          <w:color w:val="000000" w:themeColor="text1"/>
          <w:lang w:val="en-GB"/>
        </w:rPr>
        <w:t>The Declaration’</w:t>
      </w:r>
      <w:r w:rsidR="00BD1BF4" w:rsidRPr="00705032">
        <w:rPr>
          <w:rFonts w:cstheme="minorHAnsi"/>
          <w:color w:val="000000" w:themeColor="text1"/>
          <w:lang w:val="en-GB"/>
        </w:rPr>
        <w:t xml:space="preserve">s emphasis on positive action is important because it recognises that historic injustices resulting from colonisation and dispossession may already have negatively impacted </w:t>
      </w:r>
      <w:r w:rsidR="00BD1BF4" w:rsidRPr="00705032">
        <w:rPr>
          <w:rFonts w:cstheme="minorHAnsi"/>
          <w:color w:val="000000" w:themeColor="text1"/>
          <w:lang w:val="en-GB"/>
        </w:rPr>
        <w:lastRenderedPageBreak/>
        <w:t xml:space="preserve">indigenous peoples’ ability to enjoy the full measure of their rights. A purely negative conception of rights and freedoms assumes an adequate and equal baseline of enjoyment of rights in respect of all people. That is of course not the case in respect of Māori, who suffered manifest denials of their culture </w:t>
      </w:r>
      <w:proofErr w:type="gramStart"/>
      <w:r w:rsidR="00BD1BF4" w:rsidRPr="00705032">
        <w:rPr>
          <w:rFonts w:cstheme="minorHAnsi"/>
          <w:color w:val="000000" w:themeColor="text1"/>
          <w:lang w:val="en-GB"/>
        </w:rPr>
        <w:t>as a result of</w:t>
      </w:r>
      <w:proofErr w:type="gramEnd"/>
      <w:r w:rsidR="00BD1BF4" w:rsidRPr="00705032">
        <w:rPr>
          <w:rFonts w:cstheme="minorHAnsi"/>
          <w:color w:val="000000" w:themeColor="text1"/>
          <w:lang w:val="en-GB"/>
        </w:rPr>
        <w:t xml:space="preserve"> the government policies carried out in the second half of the 19th and well into the 20th century.</w:t>
      </w:r>
    </w:p>
    <w:p w14:paraId="60DE7BDC" w14:textId="77777777" w:rsidR="00BB3E34" w:rsidRPr="00705032" w:rsidRDefault="00BB3E34" w:rsidP="0FB09A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cstheme="minorHAnsi"/>
          <w:color w:val="000000"/>
          <w:lang w:val="en-GB"/>
        </w:rPr>
      </w:pPr>
    </w:p>
    <w:p w14:paraId="568DAB68" w14:textId="1B718167" w:rsidR="00050D76" w:rsidRPr="00705032" w:rsidRDefault="00E95F8A" w:rsidP="0FB09AD3">
      <w:pPr>
        <w:spacing w:line="276" w:lineRule="auto"/>
        <w:jc w:val="both"/>
        <w:rPr>
          <w:rFonts w:cstheme="minorHAnsi"/>
        </w:rPr>
      </w:pPr>
      <w:commentRangeStart w:id="1"/>
      <w:r w:rsidRPr="00705032">
        <w:rPr>
          <w:rFonts w:cstheme="minorHAnsi"/>
        </w:rPr>
        <w:t>T</w:t>
      </w:r>
      <w:r w:rsidR="00050D76" w:rsidRPr="00705032">
        <w:rPr>
          <w:rFonts w:cstheme="minorHAnsi"/>
        </w:rPr>
        <w:t>h</w:t>
      </w:r>
      <w:commentRangeEnd w:id="1"/>
      <w:r w:rsidRPr="00705032">
        <w:rPr>
          <w:rStyle w:val="CommentReference"/>
          <w:rFonts w:cstheme="minorHAnsi"/>
        </w:rPr>
        <w:commentReference w:id="1"/>
      </w:r>
      <w:r w:rsidR="00050D76" w:rsidRPr="00705032">
        <w:rPr>
          <w:rFonts w:cstheme="minorHAnsi"/>
        </w:rPr>
        <w:t>e</w:t>
      </w:r>
      <w:r w:rsidR="004A237D" w:rsidRPr="00705032">
        <w:rPr>
          <w:rFonts w:cstheme="minorHAnsi"/>
        </w:rPr>
        <w:t xml:space="preserve"> sections</w:t>
      </w:r>
      <w:r w:rsidR="00093316" w:rsidRPr="00705032">
        <w:rPr>
          <w:rFonts w:cstheme="minorHAnsi"/>
        </w:rPr>
        <w:t xml:space="preserve"> below</w:t>
      </w:r>
      <w:r w:rsidR="004A237D" w:rsidRPr="00705032">
        <w:rPr>
          <w:rFonts w:cstheme="minorHAnsi"/>
        </w:rPr>
        <w:t xml:space="preserve"> </w:t>
      </w:r>
      <w:r w:rsidR="00093316" w:rsidRPr="00705032">
        <w:rPr>
          <w:rFonts w:cstheme="minorHAnsi"/>
        </w:rPr>
        <w:t xml:space="preserve">offer </w:t>
      </w:r>
      <w:r w:rsidR="004A237D" w:rsidRPr="00705032">
        <w:rPr>
          <w:rFonts w:cstheme="minorHAnsi"/>
        </w:rPr>
        <w:t xml:space="preserve">examples of </w:t>
      </w:r>
      <w:r w:rsidR="00050D76" w:rsidRPr="00705032">
        <w:rPr>
          <w:rFonts w:cstheme="minorHAnsi"/>
        </w:rPr>
        <w:t>official</w:t>
      </w:r>
      <w:r w:rsidR="00050D76" w:rsidRPr="00705032">
        <w:rPr>
          <w:rFonts w:cstheme="minorHAnsi"/>
          <w:lang w:val="mi-NZ"/>
        </w:rPr>
        <w:t xml:space="preserve"> recognition of the relationship between te Tiriti and the Declaration</w:t>
      </w:r>
      <w:r w:rsidR="004A237D" w:rsidRPr="00705032">
        <w:rPr>
          <w:rFonts w:cstheme="minorHAnsi"/>
          <w:lang w:val="mi-NZ"/>
        </w:rPr>
        <w:t xml:space="preserve"> by the New Zealand courts and Waitangi Tribunal.</w:t>
      </w:r>
    </w:p>
    <w:p w14:paraId="54D76B7D" w14:textId="51174B22" w:rsidR="001D5C8E" w:rsidRPr="00705032" w:rsidRDefault="001D5C8E" w:rsidP="0FB09AD3">
      <w:pPr>
        <w:pStyle w:val="ListParagraph"/>
        <w:numPr>
          <w:ilvl w:val="0"/>
          <w:numId w:val="47"/>
        </w:numPr>
        <w:spacing w:line="276" w:lineRule="auto"/>
        <w:jc w:val="both"/>
        <w:rPr>
          <w:rFonts w:cstheme="minorHAnsi"/>
          <w:b/>
          <w:color w:val="1F4E79" w:themeColor="accent5" w:themeShade="80"/>
          <w:lang w:val="mi-NZ"/>
        </w:rPr>
      </w:pPr>
      <w:r w:rsidRPr="00705032">
        <w:rPr>
          <w:rFonts w:cstheme="minorHAnsi"/>
          <w:b/>
          <w:color w:val="1F4E79" w:themeColor="accent5" w:themeShade="80"/>
          <w:lang w:val="mi-NZ"/>
        </w:rPr>
        <w:t xml:space="preserve">Judicial recognition of the Declaration </w:t>
      </w:r>
    </w:p>
    <w:p w14:paraId="2F5EFEE4" w14:textId="517DEF42" w:rsidR="00E76D80" w:rsidRPr="00705032" w:rsidRDefault="00E76D80" w:rsidP="0FB09AD3">
      <w:pPr>
        <w:spacing w:line="276" w:lineRule="auto"/>
        <w:jc w:val="both"/>
        <w:rPr>
          <w:rFonts w:cstheme="minorHAnsi"/>
          <w:lang w:val="mi-NZ"/>
        </w:rPr>
      </w:pPr>
      <w:r w:rsidRPr="00705032">
        <w:rPr>
          <w:rFonts w:cstheme="minorHAnsi"/>
        </w:rPr>
        <w:t>New Zealand’s courts, including the Supreme Court, have drawn on the Declaration in their interpretation of Te Tiriti, and in support of M</w:t>
      </w:r>
      <w:r w:rsidRPr="00705032">
        <w:rPr>
          <w:rFonts w:cstheme="minorHAnsi"/>
          <w:lang w:val="mi-NZ"/>
        </w:rPr>
        <w:t xml:space="preserve">āori rights in a range of areas. </w:t>
      </w:r>
    </w:p>
    <w:p w14:paraId="573FFC24" w14:textId="73254FB6" w:rsidR="001D5C8E" w:rsidRPr="00705032" w:rsidRDefault="001D5C8E" w:rsidP="0FB09AD3">
      <w:pPr>
        <w:spacing w:line="276" w:lineRule="auto"/>
        <w:jc w:val="both"/>
        <w:rPr>
          <w:rFonts w:cstheme="minorHAnsi"/>
        </w:rPr>
      </w:pPr>
      <w:r w:rsidRPr="00705032">
        <w:rPr>
          <w:rFonts w:cstheme="minorHAnsi"/>
          <w:lang w:val="mi-NZ"/>
        </w:rPr>
        <w:t xml:space="preserve">The Supreme Court in NZMC (freshwater) stated, </w:t>
      </w:r>
      <w:r w:rsidRPr="00705032">
        <w:rPr>
          <w:rFonts w:cstheme="minorHAnsi"/>
        </w:rPr>
        <w:t>“that the Declaration provides some support for the view that [Te Tiriti] principles should be construed broadly”,</w:t>
      </w:r>
      <w:r w:rsidRPr="00705032">
        <w:rPr>
          <w:rStyle w:val="FootnoteReference"/>
          <w:rFonts w:eastAsiaTheme="majorEastAsia" w:cstheme="minorHAnsi"/>
        </w:rPr>
        <w:footnoteReference w:id="15"/>
      </w:r>
      <w:r w:rsidRPr="00705032">
        <w:rPr>
          <w:rFonts w:cstheme="minorHAnsi"/>
        </w:rPr>
        <w:t xml:space="preserve"> an important point if this statement is to be read as requiring a Declaration-consistent interpretation of Tiriti principles more generally. </w:t>
      </w:r>
    </w:p>
    <w:p w14:paraId="48E298B1" w14:textId="29BFC18A" w:rsidR="00A6140E" w:rsidRPr="00705032" w:rsidRDefault="001D5C8E" w:rsidP="0FB09AD3">
      <w:pPr>
        <w:spacing w:line="276" w:lineRule="auto"/>
        <w:jc w:val="both"/>
        <w:rPr>
          <w:rFonts w:cstheme="minorHAnsi"/>
        </w:rPr>
      </w:pPr>
      <w:r w:rsidRPr="00705032">
        <w:rPr>
          <w:rFonts w:cstheme="minorHAnsi"/>
        </w:rPr>
        <w:t xml:space="preserve">More recently in </w:t>
      </w:r>
      <w:r w:rsidRPr="00705032">
        <w:rPr>
          <w:rFonts w:cstheme="minorHAnsi"/>
          <w:i/>
          <w:iCs/>
        </w:rPr>
        <w:t>Ellis</w:t>
      </w:r>
      <w:r w:rsidRPr="00705032">
        <w:rPr>
          <w:rFonts w:cstheme="minorHAnsi"/>
        </w:rPr>
        <w:t>, the Supreme Court concluded that the current place of tikanga</w:t>
      </w:r>
      <w:r w:rsidR="00A6140E" w:rsidRPr="00705032">
        <w:rPr>
          <w:rFonts w:cstheme="minorHAnsi"/>
        </w:rPr>
        <w:t xml:space="preserve"> (Māori customary law)</w:t>
      </w:r>
      <w:r w:rsidRPr="00705032">
        <w:rPr>
          <w:rFonts w:cstheme="minorHAnsi"/>
        </w:rPr>
        <w:t>, as a part of the fabric of New Zealand’s law through legislative and common law recognition, is a manifestation of article two of Te Tiriti and highlights New Zealand’s commitment to the Declaration,</w:t>
      </w:r>
      <w:r w:rsidRPr="00705032">
        <w:rPr>
          <w:rStyle w:val="FootnoteReference"/>
          <w:rFonts w:eastAsiaTheme="majorEastAsia" w:cstheme="minorHAnsi"/>
        </w:rPr>
        <w:footnoteReference w:id="16"/>
      </w:r>
      <w:r w:rsidRPr="00705032">
        <w:rPr>
          <w:rFonts w:cstheme="minorHAnsi"/>
        </w:rPr>
        <w:t xml:space="preserve"> citing a provision on </w:t>
      </w:r>
      <w:r w:rsidR="00C008BC" w:rsidRPr="00705032">
        <w:rPr>
          <w:rFonts w:cstheme="minorHAnsi"/>
        </w:rPr>
        <w:t>I</w:t>
      </w:r>
      <w:r w:rsidRPr="00705032">
        <w:rPr>
          <w:rFonts w:cstheme="minorHAnsi"/>
        </w:rPr>
        <w:t>ndigenous peoples rights to maintain and develop their institutions, customs, traditions, and juridical systems.</w:t>
      </w:r>
      <w:r w:rsidRPr="00705032">
        <w:rPr>
          <w:rFonts w:cstheme="minorHAnsi"/>
        </w:rPr>
        <w:footnoteReference w:id="17"/>
      </w:r>
      <w:r w:rsidRPr="00705032">
        <w:rPr>
          <w:rFonts w:cstheme="minorHAnsi"/>
        </w:rPr>
        <w:t xml:space="preserve"> The statements provide a judicial indication that consistency with Te Tiriti and the Declaration requires a firm recognition and protection of tikanga Māori in New Zealand’s legal landscape, and that analogies might be made between the Declaration’s recognition of </w:t>
      </w:r>
      <w:r w:rsidR="00223B34" w:rsidRPr="00705032">
        <w:rPr>
          <w:rFonts w:cstheme="minorHAnsi"/>
        </w:rPr>
        <w:t>I</w:t>
      </w:r>
      <w:r w:rsidRPr="00705032">
        <w:rPr>
          <w:rFonts w:cstheme="minorHAnsi"/>
        </w:rPr>
        <w:t>ndigenous peoples rights to their institutions and legal systems, and the Tiriti guarantee of Māori rights to tino rangatiratanga.</w:t>
      </w:r>
    </w:p>
    <w:p w14:paraId="3BF58B75" w14:textId="010407BF" w:rsidR="00A6140E" w:rsidRPr="00705032" w:rsidRDefault="001D5C8E" w:rsidP="0FB09AD3">
      <w:pPr>
        <w:spacing w:line="276" w:lineRule="auto"/>
        <w:jc w:val="both"/>
        <w:rPr>
          <w:rFonts w:cstheme="minorHAnsi"/>
        </w:rPr>
      </w:pPr>
      <w:commentRangeStart w:id="2"/>
      <w:r w:rsidRPr="00705032">
        <w:rPr>
          <w:rFonts w:cstheme="minorHAnsi"/>
        </w:rPr>
        <w:t xml:space="preserve">While not always explicitly drawing on analogies with Te Tiriti or human rights, key cases which have referenced the Declaration include: </w:t>
      </w:r>
      <w:r w:rsidRPr="00705032">
        <w:rPr>
          <w:rFonts w:cstheme="minorHAnsi"/>
          <w:i/>
          <w:iCs/>
          <w:lang w:val="mi-NZ"/>
        </w:rPr>
        <w:t>Ngāti Whātua Ōrākei Trust v Attorney-General</w:t>
      </w:r>
      <w:r w:rsidRPr="00705032">
        <w:rPr>
          <w:rFonts w:cstheme="minorHAnsi"/>
          <w:lang w:val="mi-NZ"/>
        </w:rPr>
        <w:t xml:space="preserve"> </w:t>
      </w:r>
      <w:r w:rsidRPr="00705032">
        <w:rPr>
          <w:rFonts w:cstheme="minorHAnsi"/>
          <w:i/>
          <w:iCs/>
          <w:lang w:val="mi-NZ"/>
        </w:rPr>
        <w:t>(</w:t>
      </w:r>
      <w:r w:rsidRPr="00705032">
        <w:rPr>
          <w:rFonts w:cstheme="minorHAnsi"/>
          <w:i/>
          <w:iCs/>
        </w:rPr>
        <w:t>Ngāti Whātua Ōrākei);</w:t>
      </w:r>
      <w:r w:rsidRPr="00705032">
        <w:rPr>
          <w:rStyle w:val="FootnoteReference"/>
          <w:rFonts w:eastAsiaTheme="majorEastAsia" w:cstheme="minorHAnsi"/>
          <w:i/>
          <w:iCs/>
        </w:rPr>
        <w:footnoteReference w:id="18"/>
      </w:r>
      <w:r w:rsidRPr="00705032">
        <w:rPr>
          <w:rFonts w:cstheme="minorHAnsi"/>
          <w:i/>
          <w:iCs/>
        </w:rPr>
        <w:t xml:space="preserve"> Proprietors of Wakatū &amp; Rore Stafford v Attorney-General (Wakatū);</w:t>
      </w:r>
      <w:r w:rsidRPr="00705032">
        <w:rPr>
          <w:rStyle w:val="FootnoteReference"/>
          <w:rFonts w:eastAsiaTheme="majorEastAsia" w:cstheme="minorHAnsi"/>
          <w:i/>
          <w:iCs/>
        </w:rPr>
        <w:t xml:space="preserve"> </w:t>
      </w:r>
      <w:r w:rsidRPr="00705032">
        <w:rPr>
          <w:rStyle w:val="FootnoteReference"/>
          <w:rFonts w:eastAsiaTheme="majorEastAsia" w:cstheme="minorHAnsi"/>
          <w:i/>
          <w:iCs/>
        </w:rPr>
        <w:footnoteReference w:id="19"/>
      </w:r>
      <w:r w:rsidRPr="00705032">
        <w:rPr>
          <w:rFonts w:cstheme="minorHAnsi"/>
          <w:i/>
          <w:iCs/>
        </w:rPr>
        <w:t xml:space="preserve"> Takamore;</w:t>
      </w:r>
      <w:r w:rsidRPr="00705032">
        <w:rPr>
          <w:rStyle w:val="FootnoteReference"/>
          <w:rFonts w:eastAsiaTheme="majorEastAsia" w:cstheme="minorHAnsi"/>
          <w:i/>
          <w:iCs/>
        </w:rPr>
        <w:footnoteReference w:id="20"/>
      </w:r>
      <w:r w:rsidRPr="00705032">
        <w:rPr>
          <w:rFonts w:cstheme="minorHAnsi"/>
          <w:i/>
          <w:iCs/>
        </w:rPr>
        <w:t xml:space="preserve"> Paki No 2;</w:t>
      </w:r>
      <w:r w:rsidRPr="00705032">
        <w:rPr>
          <w:rStyle w:val="FootnoteReference"/>
          <w:rFonts w:eastAsiaTheme="majorEastAsia" w:cstheme="minorHAnsi"/>
          <w:i/>
          <w:iCs/>
        </w:rPr>
        <w:footnoteReference w:id="21"/>
      </w:r>
      <w:r w:rsidRPr="00705032">
        <w:rPr>
          <w:rFonts w:cstheme="minorHAnsi"/>
          <w:i/>
          <w:iCs/>
        </w:rPr>
        <w:t xml:space="preserve"> </w:t>
      </w:r>
      <w:r w:rsidRPr="00705032">
        <w:rPr>
          <w:rFonts w:cstheme="minorHAnsi"/>
        </w:rPr>
        <w:t xml:space="preserve">and </w:t>
      </w:r>
      <w:r w:rsidR="00223B34" w:rsidRPr="00705032">
        <w:rPr>
          <w:rFonts w:cstheme="minorHAnsi"/>
        </w:rPr>
        <w:t xml:space="preserve">the abovementioned </w:t>
      </w:r>
      <w:r w:rsidRPr="00705032">
        <w:rPr>
          <w:rFonts w:cstheme="minorHAnsi"/>
          <w:i/>
          <w:iCs/>
        </w:rPr>
        <w:t>NZMC v Attorney-General (freshwater);</w:t>
      </w:r>
      <w:r w:rsidRPr="00705032">
        <w:rPr>
          <w:rStyle w:val="FootnoteReference"/>
          <w:rFonts w:eastAsiaTheme="majorEastAsia" w:cstheme="minorHAnsi"/>
          <w:i/>
          <w:iCs/>
        </w:rPr>
        <w:t xml:space="preserve"> </w:t>
      </w:r>
      <w:r w:rsidRPr="00705032">
        <w:rPr>
          <w:rStyle w:val="FootnoteReference"/>
          <w:rFonts w:eastAsiaTheme="majorEastAsia" w:cstheme="minorHAnsi"/>
          <w:i/>
          <w:iCs/>
        </w:rPr>
        <w:footnoteReference w:id="22"/>
      </w:r>
      <w:r w:rsidRPr="00705032">
        <w:rPr>
          <w:rFonts w:cstheme="minorHAnsi"/>
        </w:rPr>
        <w:t xml:space="preserve"> </w:t>
      </w:r>
      <w:commentRangeEnd w:id="2"/>
      <w:r w:rsidR="00D65A62" w:rsidRPr="00705032">
        <w:rPr>
          <w:rStyle w:val="CommentReference"/>
          <w:rFonts w:cstheme="minorHAnsi"/>
        </w:rPr>
        <w:commentReference w:id="2"/>
      </w:r>
      <w:r w:rsidRPr="00705032">
        <w:rPr>
          <w:rFonts w:cstheme="minorHAnsi"/>
        </w:rPr>
        <w:t xml:space="preserve">In </w:t>
      </w:r>
      <w:r w:rsidRPr="00705032">
        <w:rPr>
          <w:rFonts w:cstheme="minorHAnsi"/>
          <w:i/>
          <w:iCs/>
        </w:rPr>
        <w:t>Ngāti Whātua Ōrākei</w:t>
      </w:r>
      <w:r w:rsidRPr="00705032">
        <w:rPr>
          <w:rFonts w:cstheme="minorHAnsi"/>
        </w:rPr>
        <w:t xml:space="preserve">, the </w:t>
      </w:r>
      <w:r w:rsidR="002741A9" w:rsidRPr="00705032">
        <w:rPr>
          <w:rFonts w:cstheme="minorHAnsi"/>
        </w:rPr>
        <w:t>Chief Justice</w:t>
      </w:r>
      <w:r w:rsidR="00B55E60" w:rsidRPr="00705032">
        <w:rPr>
          <w:rFonts w:cstheme="minorHAnsi"/>
        </w:rPr>
        <w:t>, al</w:t>
      </w:r>
      <w:r w:rsidR="00493CE4" w:rsidRPr="00705032">
        <w:rPr>
          <w:rFonts w:cstheme="minorHAnsi"/>
        </w:rPr>
        <w:t>biet</w:t>
      </w:r>
      <w:r w:rsidR="008B10A9" w:rsidRPr="00705032">
        <w:rPr>
          <w:rFonts w:cstheme="minorHAnsi"/>
        </w:rPr>
        <w:t xml:space="preserve"> in the minority, </w:t>
      </w:r>
      <w:r w:rsidRPr="00705032">
        <w:rPr>
          <w:rFonts w:cstheme="minorHAnsi"/>
        </w:rPr>
        <w:t xml:space="preserve">required the lower courts to assess an argument for judicial review of a decision against Ngāti Whātua on the basis of the Declaration, amongst a number of other standards.  In </w:t>
      </w:r>
      <w:r w:rsidRPr="00705032">
        <w:rPr>
          <w:rFonts w:cstheme="minorHAnsi"/>
          <w:i/>
          <w:iCs/>
        </w:rPr>
        <w:t>Wakatū</w:t>
      </w:r>
      <w:r w:rsidRPr="00705032">
        <w:rPr>
          <w:rFonts w:cstheme="minorHAnsi"/>
        </w:rPr>
        <w:t xml:space="preserve">, the minority took the Declaration into account as one of the relevant factors to determine standing of a wide range of Māori representative structures.  In </w:t>
      </w:r>
      <w:r w:rsidRPr="00705032">
        <w:rPr>
          <w:rFonts w:cstheme="minorHAnsi"/>
          <w:i/>
          <w:iCs/>
        </w:rPr>
        <w:t>Takamore,</w:t>
      </w:r>
      <w:r w:rsidRPr="00705032">
        <w:rPr>
          <w:rFonts w:cstheme="minorHAnsi"/>
        </w:rPr>
        <w:t xml:space="preserve"> the Supreme Court cited the Declaration in support arguments made by a whānau Māori to determine where to bury their son/sibling. In </w:t>
      </w:r>
      <w:r w:rsidRPr="00705032">
        <w:rPr>
          <w:rFonts w:cstheme="minorHAnsi"/>
          <w:i/>
          <w:iCs/>
        </w:rPr>
        <w:t>Paki No 2,</w:t>
      </w:r>
      <w:r w:rsidRPr="00705032">
        <w:rPr>
          <w:rFonts w:cstheme="minorHAnsi"/>
        </w:rPr>
        <w:t xml:space="preserve"> Supreme Court Chief Justice Elias referred, when making obiter comments on potential duties in equity owed by the Crown to Māori, to the Declaration’s provisions </w:t>
      </w:r>
      <w:r w:rsidRPr="00705032">
        <w:rPr>
          <w:rFonts w:cstheme="minorHAnsi"/>
        </w:rPr>
        <w:lastRenderedPageBreak/>
        <w:t xml:space="preserve">with respect to redress for lands, territories and resources taken from Indigenous peoples without their free, prior and informed consent. </w:t>
      </w:r>
    </w:p>
    <w:p w14:paraId="4EE68E71" w14:textId="00187346" w:rsidR="00993BC2" w:rsidRPr="00705032" w:rsidRDefault="001D5C8E" w:rsidP="0FB09AD3">
      <w:pPr>
        <w:spacing w:line="276" w:lineRule="auto"/>
        <w:jc w:val="both"/>
        <w:rPr>
          <w:rFonts w:cstheme="minorHAnsi"/>
        </w:rPr>
      </w:pPr>
      <w:r w:rsidRPr="00705032">
        <w:rPr>
          <w:rFonts w:cstheme="minorHAnsi"/>
        </w:rPr>
        <w:t>While the courts’ consideration and referencing of the Declaration in these cases is significant, the Declaration was, however, not singularly decisive in any of these cases.</w:t>
      </w:r>
    </w:p>
    <w:p w14:paraId="7DA2F5F4" w14:textId="13DD7318" w:rsidR="00993BC2" w:rsidRPr="00705032" w:rsidRDefault="00993BC2" w:rsidP="0FB09AD3">
      <w:pPr>
        <w:pStyle w:val="ListParagraph"/>
        <w:numPr>
          <w:ilvl w:val="0"/>
          <w:numId w:val="47"/>
        </w:numPr>
        <w:spacing w:line="276" w:lineRule="auto"/>
        <w:jc w:val="both"/>
        <w:rPr>
          <w:rFonts w:cstheme="minorHAnsi"/>
          <w:b/>
          <w:color w:val="1F4E79" w:themeColor="accent5" w:themeShade="80"/>
        </w:rPr>
      </w:pPr>
      <w:r w:rsidRPr="00705032">
        <w:rPr>
          <w:rFonts w:cstheme="minorHAnsi"/>
          <w:b/>
          <w:color w:val="1F4E79" w:themeColor="accent5" w:themeShade="80"/>
        </w:rPr>
        <w:t>Waitangi Tribunal recognition of the Declaration</w:t>
      </w:r>
    </w:p>
    <w:p w14:paraId="79A4A6C4" w14:textId="1C09B387" w:rsidR="00993BC2" w:rsidRPr="00705032" w:rsidRDefault="00993BC2" w:rsidP="0FB09AD3">
      <w:pPr>
        <w:spacing w:line="276" w:lineRule="auto"/>
        <w:jc w:val="both"/>
        <w:rPr>
          <w:rFonts w:cstheme="minorHAnsi"/>
          <w:color w:val="000000"/>
          <w:shd w:val="clear" w:color="auto" w:fill="FFFFFF"/>
        </w:rPr>
      </w:pPr>
      <w:r w:rsidRPr="00705032">
        <w:rPr>
          <w:rFonts w:cstheme="minorHAnsi"/>
          <w:color w:val="000000"/>
          <w:shd w:val="clear" w:color="auto" w:fill="FFFFFF"/>
        </w:rPr>
        <w:t>The Waitangi Tribunal is a standing commission of inquiry</w:t>
      </w:r>
      <w:r w:rsidR="007D2F02" w:rsidRPr="00705032">
        <w:rPr>
          <w:rFonts w:cstheme="minorHAnsi"/>
          <w:color w:val="000000"/>
          <w:shd w:val="clear" w:color="auto" w:fill="FFFFFF"/>
        </w:rPr>
        <w:t xml:space="preserve"> that </w:t>
      </w:r>
      <w:r w:rsidRPr="00705032">
        <w:rPr>
          <w:rFonts w:cstheme="minorHAnsi"/>
          <w:color w:val="000000"/>
          <w:shd w:val="clear" w:color="auto" w:fill="FFFFFF"/>
        </w:rPr>
        <w:t>makes recommendations on claims brought by Māori relating to legislation, policies, actions or omissions of the Crown that are alleged to breach Te Tiriti o Waitangi (</w:t>
      </w:r>
      <w:r w:rsidR="007D2F02" w:rsidRPr="00705032">
        <w:rPr>
          <w:rFonts w:cstheme="minorHAnsi"/>
          <w:color w:val="000000"/>
          <w:shd w:val="clear" w:color="auto" w:fill="FFFFFF"/>
        </w:rPr>
        <w:t>Te Tiriti</w:t>
      </w:r>
      <w:r w:rsidRPr="00705032">
        <w:rPr>
          <w:rFonts w:cstheme="minorHAnsi"/>
          <w:color w:val="000000"/>
          <w:shd w:val="clear" w:color="auto" w:fill="FFFFFF"/>
        </w:rPr>
        <w:t>).</w:t>
      </w:r>
      <w:r w:rsidR="001F25E9" w:rsidRPr="00705032">
        <w:rPr>
          <w:rStyle w:val="FootnoteReference"/>
          <w:rFonts w:cstheme="minorHAnsi"/>
          <w:color w:val="000000"/>
          <w:shd w:val="clear" w:color="auto" w:fill="FFFFFF"/>
        </w:rPr>
        <w:footnoteReference w:id="23"/>
      </w:r>
      <w:r w:rsidRPr="00705032">
        <w:rPr>
          <w:rFonts w:cstheme="minorHAnsi"/>
          <w:color w:val="000000"/>
          <w:shd w:val="clear" w:color="auto" w:fill="FFFFFF"/>
        </w:rPr>
        <w:t xml:space="preserve"> In fulfilling this role, the</w:t>
      </w:r>
      <w:r w:rsidR="007E6503" w:rsidRPr="00705032">
        <w:rPr>
          <w:rFonts w:cstheme="minorHAnsi"/>
          <w:color w:val="000000"/>
          <w:shd w:val="clear" w:color="auto" w:fill="FFFFFF"/>
        </w:rPr>
        <w:t xml:space="preserve"> </w:t>
      </w:r>
      <w:r w:rsidRPr="00705032">
        <w:rPr>
          <w:rFonts w:cstheme="minorHAnsi"/>
          <w:color w:val="000000"/>
          <w:shd w:val="clear" w:color="auto" w:fill="FFFFFF"/>
        </w:rPr>
        <w:t xml:space="preserve">Tribunal has exclusive authority to </w:t>
      </w:r>
      <w:r w:rsidR="00A6140E" w:rsidRPr="00705032">
        <w:rPr>
          <w:rFonts w:cstheme="minorHAnsi"/>
          <w:color w:val="000000"/>
          <w:shd w:val="clear" w:color="auto" w:fill="FFFFFF"/>
        </w:rPr>
        <w:t xml:space="preserve">interpret and </w:t>
      </w:r>
      <w:r w:rsidRPr="00705032">
        <w:rPr>
          <w:rFonts w:cstheme="minorHAnsi"/>
          <w:color w:val="000000"/>
          <w:shd w:val="clear" w:color="auto" w:fill="FFFFFF"/>
        </w:rPr>
        <w:t>determine the meaning and effect of the principles of Te Tiri</w:t>
      </w:r>
      <w:r w:rsidR="007D2F02" w:rsidRPr="00705032">
        <w:rPr>
          <w:rFonts w:cstheme="minorHAnsi"/>
          <w:color w:val="000000"/>
          <w:shd w:val="clear" w:color="auto" w:fill="FFFFFF"/>
        </w:rPr>
        <w:t>ti.</w:t>
      </w:r>
      <w:r w:rsidR="0034197A" w:rsidRPr="00705032">
        <w:rPr>
          <w:rStyle w:val="FootnoteReference"/>
          <w:rFonts w:cstheme="minorHAnsi"/>
          <w:color w:val="000000"/>
          <w:shd w:val="clear" w:color="auto" w:fill="FFFFFF"/>
        </w:rPr>
        <w:footnoteReference w:id="24"/>
      </w:r>
    </w:p>
    <w:p w14:paraId="54F80A87" w14:textId="5FC3A029" w:rsidR="00993BC2" w:rsidRPr="00705032" w:rsidRDefault="00993BC2" w:rsidP="0FB09AD3">
      <w:pPr>
        <w:spacing w:line="276" w:lineRule="auto"/>
        <w:jc w:val="both"/>
        <w:rPr>
          <w:rFonts w:cstheme="minorHAnsi"/>
        </w:rPr>
      </w:pPr>
      <w:r w:rsidRPr="00705032">
        <w:rPr>
          <w:rFonts w:cstheme="minorHAnsi"/>
        </w:rPr>
        <w:t>The Waitangi Tribunal addressed the relationship between the Declaration and Te Tiriti in its WAI 2417 inquiry.</w:t>
      </w:r>
      <w:r w:rsidR="002722FB" w:rsidRPr="00705032">
        <w:rPr>
          <w:rStyle w:val="FootnoteReference"/>
          <w:rFonts w:cstheme="minorHAnsi"/>
        </w:rPr>
        <w:footnoteReference w:id="25"/>
      </w:r>
      <w:r w:rsidRPr="00705032">
        <w:rPr>
          <w:rFonts w:cstheme="minorHAnsi"/>
        </w:rPr>
        <w:t xml:space="preserve"> WAI 2417 raised the question of Māori right to self-determine the structure, nature and development of Māori institutions, in this case the New Zealand Māori Council (NZMC), which had been legislatively established under the Māori Community Development Act 1962.  </w:t>
      </w:r>
    </w:p>
    <w:p w14:paraId="3574EBCC" w14:textId="14B5FB15" w:rsidR="00494FDE" w:rsidRPr="00705032" w:rsidRDefault="00993BC2" w:rsidP="0FB09AD3">
      <w:pPr>
        <w:spacing w:line="276" w:lineRule="auto"/>
        <w:jc w:val="both"/>
        <w:rPr>
          <w:rFonts w:cstheme="minorHAnsi"/>
        </w:rPr>
      </w:pPr>
      <w:r w:rsidRPr="00705032">
        <w:rPr>
          <w:rFonts w:cstheme="minorHAnsi"/>
        </w:rPr>
        <w:t xml:space="preserve">In </w:t>
      </w:r>
      <w:r w:rsidR="00494FDE" w:rsidRPr="00705032">
        <w:rPr>
          <w:rFonts w:cstheme="minorHAnsi"/>
        </w:rPr>
        <w:t>its final report on WAI 2417, the Tribunal devoted a</w:t>
      </w:r>
      <w:r w:rsidRPr="00705032">
        <w:rPr>
          <w:rFonts w:cstheme="minorHAnsi"/>
        </w:rPr>
        <w:t xml:space="preserve"> whole preliminary chapter to “The Treaty and the Declaration on the Rights of Indigenous Peoples”. It includes</w:t>
      </w:r>
      <w:r w:rsidR="00494FDE" w:rsidRPr="00705032">
        <w:rPr>
          <w:rFonts w:cstheme="minorHAnsi"/>
        </w:rPr>
        <w:t xml:space="preserve"> a reinforcement of the Declaration’s </w:t>
      </w:r>
      <w:r w:rsidR="00B92364" w:rsidRPr="00705032">
        <w:rPr>
          <w:rFonts w:cstheme="minorHAnsi"/>
        </w:rPr>
        <w:t>“</w:t>
      </w:r>
      <w:r w:rsidR="00494FDE" w:rsidRPr="00705032">
        <w:rPr>
          <w:rFonts w:cstheme="minorHAnsi"/>
        </w:rPr>
        <w:t>significant normative weight</w:t>
      </w:r>
      <w:r w:rsidR="00B92364" w:rsidRPr="00705032">
        <w:rPr>
          <w:rFonts w:cstheme="minorHAnsi"/>
        </w:rPr>
        <w:t>”</w:t>
      </w:r>
      <w:r w:rsidR="00494FDE" w:rsidRPr="00705032">
        <w:rPr>
          <w:rFonts w:cstheme="minorHAnsi"/>
        </w:rPr>
        <w:t>,</w:t>
      </w:r>
      <w:r w:rsidR="00B92364" w:rsidRPr="00705032">
        <w:rPr>
          <w:rStyle w:val="FootnoteReference"/>
          <w:rFonts w:cstheme="minorHAnsi"/>
        </w:rPr>
        <w:footnoteReference w:id="26"/>
      </w:r>
      <w:r w:rsidR="00494FDE" w:rsidRPr="00705032">
        <w:rPr>
          <w:rFonts w:cstheme="minorHAnsi"/>
        </w:rPr>
        <w:t xml:space="preserve"> and </w:t>
      </w:r>
      <w:r w:rsidRPr="00705032">
        <w:rPr>
          <w:rFonts w:cstheme="minorHAnsi"/>
        </w:rPr>
        <w:t>justifications for interpreting Tiriti principles consistently with the Declaration</w:t>
      </w:r>
      <w:r w:rsidR="00494FDE" w:rsidRPr="00705032">
        <w:rPr>
          <w:rFonts w:cstheme="minorHAnsi"/>
        </w:rPr>
        <w:t>, stating that “</w:t>
      </w:r>
      <w:r w:rsidR="00494FDE" w:rsidRPr="00705032">
        <w:rPr>
          <w:rFonts w:cstheme="minorHAnsi"/>
          <w:color w:val="000000" w:themeColor="text1"/>
        </w:rPr>
        <w:t>UNDRIP is therefore relevant to the manner in which the principles of the Treaty of Waitangi should be observed by Crown official</w:t>
      </w:r>
      <w:r w:rsidR="003236A9" w:rsidRPr="00705032">
        <w:rPr>
          <w:rFonts w:cstheme="minorHAnsi"/>
          <w:color w:val="000000" w:themeColor="text1"/>
        </w:rPr>
        <w:t>. T</w:t>
      </w:r>
      <w:r w:rsidR="00494FDE" w:rsidRPr="00705032">
        <w:rPr>
          <w:rFonts w:cstheme="minorHAnsi"/>
          <w:color w:val="000000" w:themeColor="text1"/>
        </w:rPr>
        <w:t>his is particularly the case where the UNDRIP articles provide specific guidance as to how the Crown should be interacting with Māori or recognising their interests.”</w:t>
      </w:r>
      <w:r w:rsidR="003236A9" w:rsidRPr="00705032">
        <w:rPr>
          <w:rStyle w:val="FootnoteReference"/>
          <w:rFonts w:cstheme="minorHAnsi"/>
          <w:color w:val="000000" w:themeColor="text1"/>
        </w:rPr>
        <w:footnoteReference w:id="27"/>
      </w:r>
      <w:r w:rsidR="00494FDE" w:rsidRPr="00705032">
        <w:rPr>
          <w:rFonts w:cstheme="minorHAnsi"/>
          <w:color w:val="000000" w:themeColor="text1"/>
        </w:rPr>
        <w:t xml:space="preserve"> The chapter also</w:t>
      </w:r>
      <w:r w:rsidR="00494FDE" w:rsidRPr="00705032">
        <w:rPr>
          <w:rFonts w:cstheme="minorHAnsi"/>
        </w:rPr>
        <w:t xml:space="preserve"> outline</w:t>
      </w:r>
      <w:r w:rsidR="00837619" w:rsidRPr="00705032">
        <w:rPr>
          <w:rFonts w:cstheme="minorHAnsi"/>
        </w:rPr>
        <w:t>s</w:t>
      </w:r>
      <w:r w:rsidR="00494FDE" w:rsidRPr="00705032">
        <w:rPr>
          <w:rFonts w:cstheme="minorHAnsi"/>
        </w:rPr>
        <w:t xml:space="preserve"> </w:t>
      </w:r>
      <w:r w:rsidRPr="00705032">
        <w:rPr>
          <w:rFonts w:cstheme="minorHAnsi"/>
        </w:rPr>
        <w:t>consistencies between the Declaration and relevant Tiriti principles including kāwanatanga</w:t>
      </w:r>
      <w:r w:rsidR="00494FDE" w:rsidRPr="00705032">
        <w:rPr>
          <w:rFonts w:cstheme="minorHAnsi"/>
        </w:rPr>
        <w:t xml:space="preserve"> (good Crown governance)</w:t>
      </w:r>
      <w:r w:rsidRPr="00705032">
        <w:rPr>
          <w:rFonts w:cstheme="minorHAnsi"/>
        </w:rPr>
        <w:t>, rangatiratanga</w:t>
      </w:r>
      <w:r w:rsidR="00494FDE" w:rsidRPr="00705032">
        <w:rPr>
          <w:rFonts w:cstheme="minorHAnsi"/>
        </w:rPr>
        <w:t xml:space="preserve"> (Māori sovereign authority; self-determination)</w:t>
      </w:r>
      <w:r w:rsidRPr="00705032">
        <w:rPr>
          <w:rFonts w:cstheme="minorHAnsi"/>
        </w:rPr>
        <w:t xml:space="preserve"> and partnership. </w:t>
      </w:r>
    </w:p>
    <w:p w14:paraId="272D5A06" w14:textId="594B11B3" w:rsidR="007D2F02" w:rsidRPr="00705032" w:rsidRDefault="00211800" w:rsidP="0FB09AD3">
      <w:pPr>
        <w:spacing w:line="276" w:lineRule="auto"/>
        <w:jc w:val="both"/>
        <w:rPr>
          <w:rFonts w:cstheme="minorHAnsi"/>
        </w:rPr>
      </w:pPr>
      <w:r w:rsidRPr="00705032">
        <w:rPr>
          <w:rFonts w:cstheme="minorHAnsi"/>
        </w:rPr>
        <w:t xml:space="preserve">The Declaration was referred to by </w:t>
      </w:r>
      <w:r w:rsidR="00FA47F2" w:rsidRPr="00705032">
        <w:rPr>
          <w:rFonts w:cstheme="minorHAnsi"/>
        </w:rPr>
        <w:t xml:space="preserve">Waitangi Tribunal </w:t>
      </w:r>
      <w:r w:rsidR="00C6025D" w:rsidRPr="00705032">
        <w:rPr>
          <w:rFonts w:cstheme="minorHAnsi"/>
        </w:rPr>
        <w:t>P</w:t>
      </w:r>
      <w:r w:rsidR="00FA47F2" w:rsidRPr="00705032">
        <w:rPr>
          <w:rFonts w:cstheme="minorHAnsi"/>
        </w:rPr>
        <w:t xml:space="preserve">residing </w:t>
      </w:r>
      <w:r w:rsidR="00C6025D" w:rsidRPr="00705032">
        <w:rPr>
          <w:rFonts w:cstheme="minorHAnsi"/>
        </w:rPr>
        <w:t>O</w:t>
      </w:r>
      <w:r w:rsidR="00FA47F2" w:rsidRPr="00705032">
        <w:rPr>
          <w:rFonts w:cstheme="minorHAnsi"/>
        </w:rPr>
        <w:t>fficer, D</w:t>
      </w:r>
      <w:r w:rsidRPr="00705032">
        <w:rPr>
          <w:rFonts w:cstheme="minorHAnsi"/>
        </w:rPr>
        <w:t>eputy Chief Judge Caren Fox,</w:t>
      </w:r>
      <w:r w:rsidR="00C6025D" w:rsidRPr="00705032">
        <w:rPr>
          <w:rFonts w:cstheme="minorHAnsi"/>
        </w:rPr>
        <w:t xml:space="preserve"> </w:t>
      </w:r>
      <w:r w:rsidRPr="00705032">
        <w:rPr>
          <w:rFonts w:cstheme="minorHAnsi"/>
        </w:rPr>
        <w:t xml:space="preserve"> and Emeritus Professor Tamati Reedy in</w:t>
      </w:r>
      <w:r w:rsidR="000C3FD5" w:rsidRPr="00705032">
        <w:rPr>
          <w:rFonts w:cstheme="minorHAnsi"/>
        </w:rPr>
        <w:t xml:space="preserve"> its</w:t>
      </w:r>
      <w:r w:rsidRPr="00705032">
        <w:rPr>
          <w:rFonts w:cstheme="minorHAnsi"/>
        </w:rPr>
        <w:t xml:space="preserve"> W</w:t>
      </w:r>
      <w:r w:rsidR="001528F3" w:rsidRPr="00705032">
        <w:rPr>
          <w:rFonts w:cstheme="minorHAnsi"/>
        </w:rPr>
        <w:t>AI</w:t>
      </w:r>
      <w:r w:rsidRPr="00705032">
        <w:rPr>
          <w:rFonts w:cstheme="minorHAnsi"/>
        </w:rPr>
        <w:t xml:space="preserve"> 2200</w:t>
      </w:r>
      <w:r w:rsidR="000C3FD5" w:rsidRPr="00705032">
        <w:rPr>
          <w:rFonts w:cstheme="minorHAnsi"/>
        </w:rPr>
        <w:t xml:space="preserve"> inquiry</w:t>
      </w:r>
      <w:r w:rsidR="0075717C" w:rsidRPr="00705032">
        <w:rPr>
          <w:rFonts w:cstheme="minorHAnsi"/>
        </w:rPr>
        <w:t>.</w:t>
      </w:r>
      <w:r w:rsidR="00941701" w:rsidRPr="00705032">
        <w:rPr>
          <w:rStyle w:val="FootnoteReference"/>
          <w:rFonts w:cstheme="minorHAnsi"/>
        </w:rPr>
        <w:footnoteReference w:id="28"/>
      </w:r>
      <w:r w:rsidR="0075717C" w:rsidRPr="00705032">
        <w:rPr>
          <w:rFonts w:cstheme="minorHAnsi"/>
        </w:rPr>
        <w:t xml:space="preserve"> </w:t>
      </w:r>
      <w:r w:rsidR="002B03FF" w:rsidRPr="00705032">
        <w:rPr>
          <w:rFonts w:cstheme="minorHAnsi"/>
        </w:rPr>
        <w:t>The subject of this inquiry was</w:t>
      </w:r>
      <w:r w:rsidR="00A716DD" w:rsidRPr="00705032">
        <w:rPr>
          <w:rFonts w:cstheme="minorHAnsi"/>
        </w:rPr>
        <w:t xml:space="preserve"> </w:t>
      </w:r>
      <w:r w:rsidR="00CA4946" w:rsidRPr="00705032">
        <w:rPr>
          <w:rFonts w:cstheme="minorHAnsi"/>
        </w:rPr>
        <w:t>various</w:t>
      </w:r>
      <w:r w:rsidR="004729AF" w:rsidRPr="00705032">
        <w:rPr>
          <w:rFonts w:cstheme="minorHAnsi"/>
        </w:rPr>
        <w:t xml:space="preserve"> </w:t>
      </w:r>
      <w:r w:rsidR="00436920" w:rsidRPr="00705032">
        <w:rPr>
          <w:rFonts w:cstheme="minorHAnsi"/>
        </w:rPr>
        <w:t xml:space="preserve">treaty </w:t>
      </w:r>
      <w:r w:rsidR="004729AF" w:rsidRPr="00705032">
        <w:rPr>
          <w:rFonts w:cstheme="minorHAnsi"/>
        </w:rPr>
        <w:t>claims</w:t>
      </w:r>
      <w:r w:rsidR="0015591B" w:rsidRPr="00705032">
        <w:rPr>
          <w:rFonts w:cstheme="minorHAnsi"/>
        </w:rPr>
        <w:t xml:space="preserve"> </w:t>
      </w:r>
      <w:r w:rsidR="0075717C" w:rsidRPr="00705032">
        <w:rPr>
          <w:rFonts w:cstheme="minorHAnsi"/>
        </w:rPr>
        <w:t xml:space="preserve">lodged by tribes within the Porirua ki Manawatū district </w:t>
      </w:r>
      <w:r w:rsidR="00CA4946" w:rsidRPr="00705032">
        <w:rPr>
          <w:rFonts w:cstheme="minorHAnsi"/>
        </w:rPr>
        <w:t xml:space="preserve">concerning </w:t>
      </w:r>
      <w:r w:rsidR="00166BA5" w:rsidRPr="00705032">
        <w:rPr>
          <w:rFonts w:cstheme="minorHAnsi"/>
        </w:rPr>
        <w:t xml:space="preserve">the loss of their </w:t>
      </w:r>
      <w:r w:rsidR="00EF41D6" w:rsidRPr="00705032">
        <w:rPr>
          <w:rFonts w:cstheme="minorHAnsi"/>
        </w:rPr>
        <w:t>land</w:t>
      </w:r>
      <w:r w:rsidR="001B046B" w:rsidRPr="00705032">
        <w:rPr>
          <w:rFonts w:cstheme="minorHAnsi"/>
        </w:rPr>
        <w:t>; economic disadvantage</w:t>
      </w:r>
      <w:r w:rsidR="001321FF" w:rsidRPr="00705032">
        <w:rPr>
          <w:rFonts w:cstheme="minorHAnsi"/>
        </w:rPr>
        <w:t>;</w:t>
      </w:r>
      <w:r w:rsidR="00ED025A" w:rsidRPr="00705032">
        <w:rPr>
          <w:rFonts w:cstheme="minorHAnsi"/>
        </w:rPr>
        <w:t xml:space="preserve"> </w:t>
      </w:r>
      <w:r w:rsidR="00C84994" w:rsidRPr="00705032">
        <w:rPr>
          <w:rFonts w:cstheme="minorHAnsi"/>
        </w:rPr>
        <w:t xml:space="preserve">education policies </w:t>
      </w:r>
      <w:r w:rsidR="00407BD6" w:rsidRPr="00705032">
        <w:rPr>
          <w:rFonts w:cstheme="minorHAnsi"/>
        </w:rPr>
        <w:t xml:space="preserve">and their effect </w:t>
      </w:r>
      <w:r w:rsidR="00C84994" w:rsidRPr="00705032">
        <w:rPr>
          <w:rFonts w:cstheme="minorHAnsi"/>
        </w:rPr>
        <w:t xml:space="preserve">on the Māori language; </w:t>
      </w:r>
      <w:r w:rsidR="00EE7BCB" w:rsidRPr="00705032">
        <w:rPr>
          <w:rFonts w:cstheme="minorHAnsi"/>
        </w:rPr>
        <w:t xml:space="preserve">and </w:t>
      </w:r>
      <w:r w:rsidR="001845E5" w:rsidRPr="00705032">
        <w:rPr>
          <w:rFonts w:cstheme="minorHAnsi"/>
        </w:rPr>
        <w:t>en</w:t>
      </w:r>
      <w:r w:rsidR="00105382" w:rsidRPr="00705032">
        <w:rPr>
          <w:rFonts w:cstheme="minorHAnsi"/>
        </w:rPr>
        <w:t>vironmental issues</w:t>
      </w:r>
      <w:r w:rsidR="00166BA5" w:rsidRPr="00705032">
        <w:rPr>
          <w:rFonts w:cstheme="minorHAnsi"/>
        </w:rPr>
        <w:t xml:space="preserve"> resulting from Crown actions</w:t>
      </w:r>
      <w:r w:rsidR="00B86D78" w:rsidRPr="00705032">
        <w:rPr>
          <w:rFonts w:cstheme="minorHAnsi"/>
        </w:rPr>
        <w:t>.</w:t>
      </w:r>
      <w:r w:rsidR="00013DE0" w:rsidRPr="00705032">
        <w:rPr>
          <w:rStyle w:val="FootnoteReference"/>
          <w:rFonts w:cstheme="minorHAnsi"/>
        </w:rPr>
        <w:footnoteReference w:id="29"/>
      </w:r>
      <w:r w:rsidR="002F221B" w:rsidRPr="00705032">
        <w:rPr>
          <w:rFonts w:cstheme="minorHAnsi"/>
        </w:rPr>
        <w:t xml:space="preserve"> </w:t>
      </w:r>
      <w:r w:rsidR="007D2F02" w:rsidRPr="00705032">
        <w:rPr>
          <w:rFonts w:cstheme="minorHAnsi"/>
        </w:rPr>
        <w:t xml:space="preserve">In </w:t>
      </w:r>
      <w:r w:rsidR="004C3B33" w:rsidRPr="00705032">
        <w:rPr>
          <w:rFonts w:cstheme="minorHAnsi"/>
        </w:rPr>
        <w:t xml:space="preserve">a </w:t>
      </w:r>
      <w:r w:rsidR="00D85BAC" w:rsidRPr="00705032">
        <w:rPr>
          <w:rFonts w:cstheme="minorHAnsi"/>
        </w:rPr>
        <w:t>December 2010</w:t>
      </w:r>
      <w:r w:rsidR="007D2F02" w:rsidRPr="00705032">
        <w:rPr>
          <w:rFonts w:cstheme="minorHAnsi"/>
        </w:rPr>
        <w:t xml:space="preserve"> Memorandum of Directions (No.7)</w:t>
      </w:r>
      <w:r w:rsidR="004C3B33" w:rsidRPr="00705032">
        <w:rPr>
          <w:rFonts w:cstheme="minorHAnsi"/>
        </w:rPr>
        <w:t xml:space="preserve">, </w:t>
      </w:r>
      <w:r w:rsidR="007D2F02" w:rsidRPr="00705032">
        <w:rPr>
          <w:rFonts w:cstheme="minorHAnsi"/>
        </w:rPr>
        <w:t>Deputy Chief Judge Fox stated that the Declaration declares “base standards of Indigenous rights for all States who have affirmed it” and that “as the courts and tribunals of this country are part of the state of New Zealand”, then “to the extent that rights declared in the UNDRIP may be recognised consistent with the jurisdiction and procedures of the Tribunal, then this Tribunal should do so.”</w:t>
      </w:r>
      <w:r w:rsidR="00106A7E" w:rsidRPr="00705032">
        <w:rPr>
          <w:rStyle w:val="FootnoteReference"/>
          <w:rFonts w:cstheme="minorHAnsi"/>
        </w:rPr>
        <w:footnoteReference w:id="30"/>
      </w:r>
      <w:r w:rsidR="007D2F02" w:rsidRPr="00705032">
        <w:rPr>
          <w:rFonts w:cstheme="minorHAnsi"/>
        </w:rPr>
        <w:t xml:space="preserve"> She also was of the view that it was consistent with relevant legislation for the Tribunal to adopt a process “that gives due </w:t>
      </w:r>
      <w:r w:rsidR="007D2F02" w:rsidRPr="00705032">
        <w:rPr>
          <w:rFonts w:cstheme="minorHAnsi"/>
        </w:rPr>
        <w:lastRenderedPageBreak/>
        <w:t>recognition to the relevant articles of the UNDRIP whilst performing its functions in accordance with the law of New Zealand.”</w:t>
      </w:r>
      <w:r w:rsidR="00435B14" w:rsidRPr="00705032">
        <w:rPr>
          <w:rStyle w:val="FootnoteReference"/>
          <w:rFonts w:cstheme="minorHAnsi"/>
        </w:rPr>
        <w:footnoteReference w:id="31"/>
      </w:r>
    </w:p>
    <w:p w14:paraId="2BB402BF" w14:textId="32C34022" w:rsidR="00837619" w:rsidRPr="00705032" w:rsidRDefault="00A6140E" w:rsidP="0FB09AD3">
      <w:pPr>
        <w:spacing w:line="276" w:lineRule="auto"/>
        <w:jc w:val="both"/>
        <w:rPr>
          <w:rStyle w:val="normaltextrun"/>
          <w:rFonts w:cstheme="minorHAnsi"/>
          <w:color w:val="000000"/>
          <w:position w:val="1"/>
          <w:bdr w:val="none" w:sz="0" w:space="0" w:color="auto" w:frame="1"/>
          <w:lang w:val="en-US"/>
        </w:rPr>
      </w:pPr>
      <w:r w:rsidRPr="00705032">
        <w:rPr>
          <w:rFonts w:cstheme="minorHAnsi"/>
          <w:color w:val="000000"/>
          <w:shd w:val="clear" w:color="auto" w:fill="FFFFFF"/>
        </w:rPr>
        <w:t>The Waitangi Tribuna</w:t>
      </w:r>
      <w:r w:rsidR="00837619" w:rsidRPr="00705032">
        <w:rPr>
          <w:rFonts w:cstheme="minorHAnsi"/>
          <w:color w:val="000000"/>
          <w:shd w:val="clear" w:color="auto" w:fill="FFFFFF"/>
        </w:rPr>
        <w:t xml:space="preserve">l, in its </w:t>
      </w:r>
      <w:r w:rsidR="007D2F02" w:rsidRPr="00705032">
        <w:rPr>
          <w:rFonts w:cstheme="minorHAnsi"/>
          <w:color w:val="000000"/>
          <w:shd w:val="clear" w:color="auto" w:fill="FFFFFF"/>
        </w:rPr>
        <w:t xml:space="preserve">WAI 262 report on </w:t>
      </w:r>
      <w:r w:rsidR="007D2F02" w:rsidRPr="00705032">
        <w:rPr>
          <w:rFonts w:cstheme="minorHAnsi"/>
        </w:rPr>
        <w:t>Indigenous Flora and Fauna and Cultural Intellectual Property</w:t>
      </w:r>
      <w:r w:rsidR="007D2F02" w:rsidRPr="00705032">
        <w:rPr>
          <w:rFonts w:cstheme="minorHAnsi"/>
          <w:color w:val="000000"/>
          <w:shd w:val="clear" w:color="auto" w:fill="FFFFFF"/>
        </w:rPr>
        <w:t xml:space="preserve"> </w:t>
      </w:r>
      <w:r w:rsidR="00837619" w:rsidRPr="00705032">
        <w:rPr>
          <w:rFonts w:cstheme="minorHAnsi"/>
          <w:color w:val="000000"/>
          <w:shd w:val="clear" w:color="auto" w:fill="FFFFFF"/>
        </w:rPr>
        <w:t>(2011)</w:t>
      </w:r>
      <w:r w:rsidR="007D2F02" w:rsidRPr="00705032">
        <w:rPr>
          <w:rFonts w:cstheme="minorHAnsi"/>
          <w:color w:val="000000"/>
          <w:shd w:val="clear" w:color="auto" w:fill="FFFFFF"/>
        </w:rPr>
        <w:t>,</w:t>
      </w:r>
      <w:r w:rsidR="0042156B" w:rsidRPr="00705032">
        <w:rPr>
          <w:rStyle w:val="FootnoteReference"/>
          <w:rFonts w:cstheme="minorHAnsi"/>
          <w:color w:val="000000"/>
          <w:shd w:val="clear" w:color="auto" w:fill="FFFFFF"/>
        </w:rPr>
        <w:footnoteReference w:id="32"/>
      </w:r>
      <w:r w:rsidR="007D2F02" w:rsidRPr="00705032">
        <w:rPr>
          <w:rFonts w:cstheme="minorHAnsi"/>
          <w:color w:val="000000"/>
          <w:shd w:val="clear" w:color="auto" w:fill="FFFFFF"/>
        </w:rPr>
        <w:t xml:space="preserve"> </w:t>
      </w:r>
      <w:r w:rsidR="00837619" w:rsidRPr="00705032">
        <w:rPr>
          <w:rFonts w:cstheme="minorHAnsi"/>
          <w:color w:val="000000"/>
          <w:shd w:val="clear" w:color="auto" w:fill="FFFFFF"/>
        </w:rPr>
        <w:t xml:space="preserve">described the Declaration as “a landmark international acknowledgement that </w:t>
      </w:r>
      <w:r w:rsidR="00D51C6D" w:rsidRPr="00705032">
        <w:rPr>
          <w:rFonts w:cstheme="minorHAnsi"/>
          <w:color w:val="000000"/>
          <w:shd w:val="clear" w:color="auto" w:fill="FFFFFF"/>
        </w:rPr>
        <w:t>I</w:t>
      </w:r>
      <w:r w:rsidR="00837619" w:rsidRPr="00705032">
        <w:rPr>
          <w:rFonts w:cstheme="minorHAnsi"/>
          <w:color w:val="000000"/>
          <w:shd w:val="clear" w:color="auto" w:fill="FFFFFF"/>
        </w:rPr>
        <w:t>ndigenous collectives as well as individuals have rights to self-determination and in respect of their culture, identity, language, employment, health, education, and other matter”.</w:t>
      </w:r>
      <w:r w:rsidR="00727806" w:rsidRPr="00705032">
        <w:rPr>
          <w:rStyle w:val="FootnoteReference"/>
          <w:rFonts w:cstheme="minorHAnsi"/>
          <w:color w:val="000000"/>
          <w:shd w:val="clear" w:color="auto" w:fill="FFFFFF"/>
        </w:rPr>
        <w:footnoteReference w:id="33"/>
      </w:r>
      <w:r w:rsidR="00837619" w:rsidRPr="00705032">
        <w:rPr>
          <w:rFonts w:cstheme="minorHAnsi"/>
          <w:color w:val="000000"/>
          <w:shd w:val="clear" w:color="auto" w:fill="FFFFFF"/>
        </w:rPr>
        <w:t xml:space="preserve"> </w:t>
      </w:r>
      <w:r w:rsidR="00E25B73" w:rsidRPr="00705032">
        <w:rPr>
          <w:rFonts w:cstheme="minorHAnsi"/>
          <w:color w:val="000000"/>
          <w:shd w:val="clear" w:color="auto" w:fill="FFFFFF"/>
        </w:rPr>
        <w:t>It</w:t>
      </w:r>
      <w:r w:rsidR="00837619" w:rsidRPr="00705032">
        <w:rPr>
          <w:rFonts w:cstheme="minorHAnsi"/>
          <w:color w:val="000000"/>
          <w:shd w:val="clear" w:color="auto" w:fill="FFFFFF"/>
        </w:rPr>
        <w:t xml:space="preserve"> </w:t>
      </w:r>
      <w:r w:rsidR="00E25B73" w:rsidRPr="00705032">
        <w:rPr>
          <w:rFonts w:cstheme="minorHAnsi"/>
          <w:color w:val="000000"/>
          <w:shd w:val="clear" w:color="auto" w:fill="FFFFFF"/>
        </w:rPr>
        <w:t xml:space="preserve">also </w:t>
      </w:r>
      <w:r w:rsidR="00837619" w:rsidRPr="00705032">
        <w:rPr>
          <w:rFonts w:cstheme="minorHAnsi"/>
          <w:color w:val="000000"/>
          <w:shd w:val="clear" w:color="auto" w:fill="FFFFFF"/>
        </w:rPr>
        <w:t>considered the Declaration</w:t>
      </w:r>
      <w:r w:rsidR="00837619" w:rsidRPr="00705032">
        <w:rPr>
          <w:rStyle w:val="normaltextrun"/>
          <w:rFonts w:cstheme="minorHAnsi"/>
          <w:color w:val="000000"/>
          <w:position w:val="1"/>
          <w:bdr w:val="none" w:sz="0" w:space="0" w:color="auto" w:frame="1"/>
          <w:lang w:val="en-US"/>
        </w:rPr>
        <w:t xml:space="preserve"> </w:t>
      </w:r>
      <w:r w:rsidR="007D2F02" w:rsidRPr="00705032">
        <w:rPr>
          <w:rStyle w:val="normaltextrun"/>
          <w:rFonts w:cstheme="minorHAnsi"/>
          <w:color w:val="000000"/>
          <w:position w:val="1"/>
          <w:bdr w:val="none" w:sz="0" w:space="0" w:color="auto" w:frame="1"/>
          <w:lang w:val="en-US"/>
        </w:rPr>
        <w:t>as carrying</w:t>
      </w:r>
      <w:r w:rsidR="00E25B73" w:rsidRPr="00705032">
        <w:rPr>
          <w:rStyle w:val="normaltextrun"/>
          <w:rFonts w:cstheme="minorHAnsi"/>
          <w:color w:val="000000"/>
          <w:position w:val="1"/>
          <w:bdr w:val="none" w:sz="0" w:space="0" w:color="auto" w:frame="1"/>
          <w:lang w:val="en-US"/>
        </w:rPr>
        <w:t xml:space="preserve"> a moral and political force that is expected to form the basis of customary international law on </w:t>
      </w:r>
      <w:r w:rsidR="00D51C6D" w:rsidRPr="00705032">
        <w:rPr>
          <w:rStyle w:val="normaltextrun"/>
          <w:rFonts w:cstheme="minorHAnsi"/>
          <w:color w:val="000000"/>
          <w:position w:val="1"/>
          <w:bdr w:val="none" w:sz="0" w:space="0" w:color="auto" w:frame="1"/>
          <w:lang w:val="en-US"/>
        </w:rPr>
        <w:t>I</w:t>
      </w:r>
      <w:r w:rsidR="00E25B73" w:rsidRPr="00705032">
        <w:rPr>
          <w:rStyle w:val="normaltextrun"/>
          <w:rFonts w:cstheme="minorHAnsi"/>
          <w:color w:val="000000"/>
          <w:position w:val="1"/>
          <w:bdr w:val="none" w:sz="0" w:space="0" w:color="auto" w:frame="1"/>
          <w:lang w:val="en-US"/>
        </w:rPr>
        <w:t>ndigenous peoples rights.</w:t>
      </w:r>
      <w:r w:rsidR="00FF5867" w:rsidRPr="00705032">
        <w:rPr>
          <w:rStyle w:val="FootnoteReference"/>
          <w:rFonts w:cstheme="minorHAnsi"/>
          <w:color w:val="000000"/>
          <w:position w:val="1"/>
          <w:bdr w:val="none" w:sz="0" w:space="0" w:color="auto" w:frame="1"/>
          <w:lang w:val="en-US"/>
        </w:rPr>
        <w:footnoteReference w:id="34"/>
      </w:r>
    </w:p>
    <w:p w14:paraId="4732C852" w14:textId="574A5E46" w:rsidR="007D2F02" w:rsidRPr="00705032" w:rsidRDefault="007D2F02" w:rsidP="0FB09AD3">
      <w:pPr>
        <w:spacing w:line="276" w:lineRule="auto"/>
        <w:jc w:val="both"/>
        <w:rPr>
          <w:rFonts w:cstheme="minorHAnsi"/>
        </w:rPr>
      </w:pPr>
      <w:r w:rsidRPr="00705032">
        <w:rPr>
          <w:rStyle w:val="normaltextrun"/>
          <w:rFonts w:cstheme="minorHAnsi"/>
          <w:color w:val="000000"/>
          <w:position w:val="1"/>
          <w:bdr w:val="none" w:sz="0" w:space="0" w:color="auto" w:frame="1"/>
          <w:lang w:val="en-US"/>
        </w:rPr>
        <w:t xml:space="preserve">There are many </w:t>
      </w:r>
      <w:r w:rsidRPr="00705032">
        <w:rPr>
          <w:rFonts w:cstheme="minorHAnsi"/>
        </w:rPr>
        <w:t xml:space="preserve">other references to the Declaration by the Waitangi Tribunal, including in the following reports: </w:t>
      </w:r>
    </w:p>
    <w:p w14:paraId="25629611" w14:textId="15DF7D7D" w:rsidR="00A617C5" w:rsidRPr="00705032" w:rsidRDefault="007D2F02" w:rsidP="0FB09AD3">
      <w:pPr>
        <w:pStyle w:val="ListParagraph"/>
        <w:numPr>
          <w:ilvl w:val="0"/>
          <w:numId w:val="49"/>
        </w:numPr>
        <w:spacing w:line="276" w:lineRule="auto"/>
        <w:jc w:val="both"/>
        <w:rPr>
          <w:rFonts w:cstheme="minorHAnsi"/>
        </w:rPr>
      </w:pPr>
      <w:r w:rsidRPr="00705032">
        <w:rPr>
          <w:rFonts w:cstheme="minorHAnsi"/>
        </w:rPr>
        <w:t>The Taranaki Report;</w:t>
      </w:r>
      <w:r w:rsidR="00271526" w:rsidRPr="00705032">
        <w:rPr>
          <w:rStyle w:val="FootnoteReference"/>
          <w:rFonts w:cstheme="minorHAnsi"/>
        </w:rPr>
        <w:footnoteReference w:id="35"/>
      </w:r>
    </w:p>
    <w:p w14:paraId="36A761C2" w14:textId="1C6CCAB6" w:rsidR="007D2F02" w:rsidRPr="00705032" w:rsidRDefault="007D2F02" w:rsidP="0FB09AD3">
      <w:pPr>
        <w:pStyle w:val="ListParagraph"/>
        <w:numPr>
          <w:ilvl w:val="0"/>
          <w:numId w:val="49"/>
        </w:numPr>
        <w:spacing w:line="276" w:lineRule="auto"/>
        <w:jc w:val="both"/>
        <w:rPr>
          <w:rFonts w:cstheme="minorHAnsi"/>
        </w:rPr>
      </w:pPr>
      <w:r w:rsidRPr="00705032">
        <w:rPr>
          <w:rFonts w:cstheme="minorHAnsi"/>
        </w:rPr>
        <w:t>The Report on the Management of Petroleum Resource;</w:t>
      </w:r>
      <w:r w:rsidR="003957A5" w:rsidRPr="00705032">
        <w:rPr>
          <w:rStyle w:val="FootnoteReference"/>
          <w:rFonts w:cstheme="minorHAnsi"/>
        </w:rPr>
        <w:footnoteReference w:id="36"/>
      </w:r>
    </w:p>
    <w:p w14:paraId="58F50248" w14:textId="64BF296A" w:rsidR="00837619" w:rsidRPr="00705032" w:rsidRDefault="007D2F02" w:rsidP="0FB09AD3">
      <w:pPr>
        <w:pStyle w:val="ListParagraph"/>
        <w:numPr>
          <w:ilvl w:val="0"/>
          <w:numId w:val="49"/>
        </w:numPr>
        <w:spacing w:line="276" w:lineRule="auto"/>
        <w:jc w:val="both"/>
        <w:rPr>
          <w:rFonts w:cstheme="minorHAnsi"/>
        </w:rPr>
      </w:pPr>
      <w:r w:rsidRPr="00705032">
        <w:rPr>
          <w:rFonts w:cstheme="minorHAnsi"/>
        </w:rPr>
        <w:t>The Stage 1 Report on the National Freshwater and Geothermal Resources Claim.</w:t>
      </w:r>
      <w:r w:rsidR="003957A5" w:rsidRPr="00705032">
        <w:rPr>
          <w:rStyle w:val="FootnoteReference"/>
          <w:rFonts w:cstheme="minorHAnsi"/>
        </w:rPr>
        <w:footnoteReference w:id="37"/>
      </w:r>
    </w:p>
    <w:p w14:paraId="1F40E859" w14:textId="77777777" w:rsidR="00A617C5" w:rsidRPr="00705032" w:rsidRDefault="00A617C5" w:rsidP="0FB09AD3">
      <w:pPr>
        <w:pStyle w:val="ListParagraph"/>
        <w:spacing w:line="276" w:lineRule="auto"/>
        <w:jc w:val="both"/>
        <w:rPr>
          <w:rStyle w:val="normaltextrun"/>
          <w:rFonts w:cstheme="minorHAnsi"/>
        </w:rPr>
      </w:pPr>
    </w:p>
    <w:p w14:paraId="5B44F999" w14:textId="26C7E6FF" w:rsidR="00E25B73" w:rsidRPr="00705032" w:rsidRDefault="00E25B73" w:rsidP="0FB09AD3">
      <w:pPr>
        <w:pStyle w:val="ListParagraph"/>
        <w:numPr>
          <w:ilvl w:val="0"/>
          <w:numId w:val="47"/>
        </w:numPr>
        <w:spacing w:line="276" w:lineRule="auto"/>
        <w:jc w:val="both"/>
        <w:rPr>
          <w:rFonts w:cstheme="minorHAnsi"/>
          <w:b/>
          <w:color w:val="1F4E79" w:themeColor="accent5" w:themeShade="80"/>
          <w:shd w:val="clear" w:color="auto" w:fill="FFFFFF"/>
        </w:rPr>
      </w:pPr>
      <w:r w:rsidRPr="00705032">
        <w:rPr>
          <w:rFonts w:cstheme="minorHAnsi"/>
          <w:b/>
          <w:color w:val="1F4E79" w:themeColor="accent5" w:themeShade="80"/>
          <w:shd w:val="clear" w:color="auto" w:fill="FFFFFF"/>
        </w:rPr>
        <w:t>National Action Plan on the Declaration</w:t>
      </w:r>
    </w:p>
    <w:p w14:paraId="30B9CFDC" w14:textId="1A398F55" w:rsidR="00684192" w:rsidRPr="00705032" w:rsidRDefault="00E25B73" w:rsidP="0FB09AD3">
      <w:pPr>
        <w:spacing w:line="276" w:lineRule="auto"/>
        <w:jc w:val="both"/>
        <w:rPr>
          <w:rFonts w:cstheme="minorHAnsi"/>
        </w:rPr>
      </w:pPr>
      <w:r w:rsidRPr="00705032">
        <w:rPr>
          <w:rFonts w:cstheme="minorHAnsi"/>
          <w:lang w:val="mi-NZ"/>
        </w:rPr>
        <w:t xml:space="preserve">In March 2019, Cabinet approved a process to develop a </w:t>
      </w:r>
      <w:r w:rsidR="00D51C6D" w:rsidRPr="00705032">
        <w:rPr>
          <w:rFonts w:cstheme="minorHAnsi"/>
          <w:lang w:val="mi-NZ"/>
        </w:rPr>
        <w:t>n</w:t>
      </w:r>
      <w:r w:rsidRPr="00705032">
        <w:rPr>
          <w:rFonts w:cstheme="minorHAnsi"/>
          <w:lang w:val="mi-NZ"/>
        </w:rPr>
        <w:t xml:space="preserve">ational </w:t>
      </w:r>
      <w:r w:rsidR="00D51C6D" w:rsidRPr="00705032">
        <w:rPr>
          <w:rFonts w:cstheme="minorHAnsi"/>
          <w:lang w:val="mi-NZ"/>
        </w:rPr>
        <w:t>a</w:t>
      </w:r>
      <w:r w:rsidRPr="00705032">
        <w:rPr>
          <w:rFonts w:cstheme="minorHAnsi"/>
          <w:lang w:val="mi-NZ"/>
        </w:rPr>
        <w:t xml:space="preserve">ction </w:t>
      </w:r>
      <w:r w:rsidR="00D51C6D" w:rsidRPr="00705032">
        <w:rPr>
          <w:rFonts w:cstheme="minorHAnsi"/>
          <w:lang w:val="mi-NZ"/>
        </w:rPr>
        <w:t>p</w:t>
      </w:r>
      <w:r w:rsidRPr="00705032">
        <w:rPr>
          <w:rFonts w:cstheme="minorHAnsi"/>
          <w:lang w:val="mi-NZ"/>
        </w:rPr>
        <w:t>lan to implement the Declaration in New Zealand.</w:t>
      </w:r>
      <w:r w:rsidR="006F426B" w:rsidRPr="00705032">
        <w:rPr>
          <w:rStyle w:val="FootnoteReference"/>
          <w:rFonts w:cstheme="minorHAnsi"/>
          <w:lang w:val="mi-NZ"/>
        </w:rPr>
        <w:footnoteReference w:id="38"/>
      </w:r>
      <w:r w:rsidRPr="00705032">
        <w:rPr>
          <w:rFonts w:cstheme="minorHAnsi"/>
          <w:lang w:val="mi-NZ"/>
        </w:rPr>
        <w:t xml:space="preserve"> </w:t>
      </w:r>
      <w:r w:rsidR="00684192" w:rsidRPr="00705032">
        <w:rPr>
          <w:rFonts w:cstheme="minorHAnsi"/>
          <w:lang w:val="mi-NZ"/>
        </w:rPr>
        <w:t xml:space="preserve">This commitment followed numerous recomendations </w:t>
      </w:r>
      <w:r w:rsidR="00684192" w:rsidRPr="00705032">
        <w:rPr>
          <w:rStyle w:val="eop"/>
          <w:rFonts w:cstheme="minorHAnsi"/>
        </w:rPr>
        <w:t xml:space="preserve">made during the 3rd Cycle </w:t>
      </w:r>
      <w:r w:rsidR="00B57FDB" w:rsidRPr="00705032">
        <w:rPr>
          <w:rStyle w:val="eop"/>
          <w:rFonts w:cstheme="minorHAnsi"/>
        </w:rPr>
        <w:t xml:space="preserve">of the Human Rights Council’s </w:t>
      </w:r>
      <w:r w:rsidR="00684192" w:rsidRPr="00705032">
        <w:rPr>
          <w:rStyle w:val="eop"/>
          <w:rFonts w:cstheme="minorHAnsi"/>
        </w:rPr>
        <w:t xml:space="preserve">Universal Periodic Review </w:t>
      </w:r>
      <w:r w:rsidR="00B57FDB" w:rsidRPr="00705032">
        <w:rPr>
          <w:rStyle w:val="eop"/>
          <w:rFonts w:cstheme="minorHAnsi"/>
        </w:rPr>
        <w:t xml:space="preserve">of New Zealand </w:t>
      </w:r>
      <w:r w:rsidR="00684192" w:rsidRPr="00705032">
        <w:rPr>
          <w:rStyle w:val="eop"/>
          <w:rFonts w:cstheme="minorHAnsi"/>
        </w:rPr>
        <w:t>which urged New Zealand to implement the Declaration and Te Tiriti through a national action plan, and/or by ensuring that law, policy and practice conform with these obligations.</w:t>
      </w:r>
      <w:r w:rsidR="000F2DED" w:rsidRPr="00705032">
        <w:rPr>
          <w:rStyle w:val="FootnoteReference"/>
          <w:rFonts w:cstheme="minorHAnsi"/>
        </w:rPr>
        <w:footnoteReference w:id="39"/>
      </w:r>
      <w:r w:rsidR="00684192" w:rsidRPr="00705032">
        <w:rPr>
          <w:rStyle w:val="eop"/>
          <w:rFonts w:cstheme="minorHAnsi"/>
        </w:rPr>
        <w:t xml:space="preserve"> </w:t>
      </w:r>
    </w:p>
    <w:p w14:paraId="4017BB7D" w14:textId="4A931E2D" w:rsidR="00E25B73" w:rsidRPr="00705032" w:rsidRDefault="00F47D2C" w:rsidP="0FB09AD3">
      <w:pPr>
        <w:spacing w:line="276" w:lineRule="auto"/>
        <w:jc w:val="both"/>
        <w:rPr>
          <w:rFonts w:cstheme="minorHAnsi"/>
        </w:rPr>
      </w:pPr>
      <w:r w:rsidRPr="00705032">
        <w:rPr>
          <w:rFonts w:cstheme="minorHAnsi"/>
          <w:lang w:val="mi-NZ"/>
        </w:rPr>
        <w:t>Between 2021 and 2022</w:t>
      </w:r>
      <w:r w:rsidR="00E25B73" w:rsidRPr="00705032">
        <w:rPr>
          <w:rFonts w:cstheme="minorHAnsi"/>
        </w:rPr>
        <w:t>, representatives from Pou Tikanga of the National Iwi Chairs Forum, alongside representatives from the Human Rights Commission and Ministry for Māori Development worked in partnership to develop a national action plan to implement the Declaration. The process drew on the Advice provided by the Expert Mechanism following its country visit to New Zealand in 2019.</w:t>
      </w:r>
      <w:r w:rsidR="00E25B73" w:rsidRPr="00705032">
        <w:rPr>
          <w:rStyle w:val="FootnoteReference"/>
          <w:rFonts w:cstheme="minorHAnsi"/>
        </w:rPr>
        <w:footnoteReference w:id="40"/>
      </w:r>
      <w:r w:rsidR="00E25B73" w:rsidRPr="00705032">
        <w:rPr>
          <w:rFonts w:cstheme="minorHAnsi"/>
        </w:rPr>
        <w:t xml:space="preserve">  </w:t>
      </w:r>
      <w:r w:rsidR="00E25B73" w:rsidRPr="00705032">
        <w:rPr>
          <w:rFonts w:cstheme="minorHAnsi"/>
          <w:lang w:val="mi-NZ"/>
        </w:rPr>
        <w:t>The process was commendable for the equal governance authority of both Māori and the Crown.</w:t>
      </w:r>
    </w:p>
    <w:p w14:paraId="01502915" w14:textId="5DF57B7C" w:rsidR="00E25B73" w:rsidRPr="00705032" w:rsidRDefault="00E25B73" w:rsidP="0FB09AD3">
      <w:pPr>
        <w:spacing w:line="276" w:lineRule="auto"/>
        <w:jc w:val="both"/>
        <w:rPr>
          <w:rFonts w:eastAsiaTheme="minorEastAsia" w:cstheme="minorHAnsi"/>
          <w:color w:val="000000"/>
          <w:shd w:val="clear" w:color="auto" w:fill="FFFFFF"/>
        </w:rPr>
      </w:pPr>
      <w:r w:rsidRPr="00705032">
        <w:rPr>
          <w:rFonts w:cstheme="minorHAnsi"/>
        </w:rPr>
        <w:t>The plan was based on feedback received from engagement with Māori</w:t>
      </w:r>
      <w:r w:rsidRPr="00705032">
        <w:rPr>
          <w:rStyle w:val="FootnoteReference"/>
          <w:rFonts w:eastAsiaTheme="majorEastAsia" w:cstheme="minorHAnsi"/>
        </w:rPr>
        <w:footnoteReference w:id="41"/>
      </w:r>
      <w:r w:rsidRPr="00705032">
        <w:rPr>
          <w:rFonts w:cstheme="minorHAnsi"/>
        </w:rPr>
        <w:t xml:space="preserve"> which stressed the need to strengthen Māori self-determination and tino rangatiratanga (sovereign authority), including in </w:t>
      </w:r>
      <w:r w:rsidRPr="00705032">
        <w:rPr>
          <w:rFonts w:cstheme="minorHAnsi"/>
        </w:rPr>
        <w:lastRenderedPageBreak/>
        <w:t>relation to health, justice, housing, and the environment; to ensure greater Māori participation in decision-making;</w:t>
      </w:r>
      <w:r w:rsidRPr="00705032">
        <w:rPr>
          <w:rFonts w:eastAsiaTheme="minorEastAsia" w:cstheme="minorHAnsi"/>
          <w:color w:val="000000"/>
          <w:shd w:val="clear" w:color="auto" w:fill="FFFFFF"/>
        </w:rPr>
        <w:t xml:space="preserve"> to </w:t>
      </w:r>
      <w:r w:rsidRPr="00705032">
        <w:rPr>
          <w:rFonts w:cstheme="minorHAnsi"/>
        </w:rPr>
        <w:t>address racism and discrimination; and to improve understanding of Te Tiriti and Indigenous peoples’ rights.</w:t>
      </w:r>
    </w:p>
    <w:p w14:paraId="64CF18B0" w14:textId="2D8F1C64" w:rsidR="007E6503" w:rsidRPr="00705032" w:rsidRDefault="00E25B73" w:rsidP="0FB09AD3">
      <w:pPr>
        <w:spacing w:line="276" w:lineRule="auto"/>
        <w:jc w:val="both"/>
        <w:rPr>
          <w:rFonts w:eastAsia="Arial" w:cstheme="minorHAnsi"/>
        </w:rPr>
      </w:pPr>
      <w:r w:rsidRPr="00705032">
        <w:rPr>
          <w:rFonts w:eastAsia="Arial" w:cstheme="minorHAnsi"/>
        </w:rPr>
        <w:t xml:space="preserve">The targeted engagement was intended to be the first of two engagement phases. A draft action plan was intended to be released for broad public engagement, before being finalised by February 2023. </w:t>
      </w:r>
    </w:p>
    <w:p w14:paraId="098D3FCB" w14:textId="691E6F24" w:rsidR="00E25B73" w:rsidRPr="00705032" w:rsidRDefault="00E25B73" w:rsidP="0FB09AD3">
      <w:pPr>
        <w:spacing w:line="276" w:lineRule="auto"/>
        <w:jc w:val="both"/>
        <w:rPr>
          <w:rFonts w:cstheme="minorHAnsi"/>
          <w:color w:val="000000"/>
          <w:lang w:eastAsia="en-GB"/>
        </w:rPr>
      </w:pPr>
      <w:r w:rsidRPr="00705032">
        <w:rPr>
          <w:rFonts w:cstheme="minorHAnsi"/>
          <w:color w:val="000000"/>
          <w:lang w:eastAsia="en-GB"/>
        </w:rPr>
        <w:t>Ultimately, the Government unilaterally decided to pause the process rather than agree a draft for public consultation.</w:t>
      </w:r>
      <w:r w:rsidRPr="00705032">
        <w:rPr>
          <w:rStyle w:val="FootnoteReference"/>
          <w:rFonts w:eastAsiaTheme="majorEastAsia" w:cstheme="minorHAnsi"/>
          <w:color w:val="000000"/>
        </w:rPr>
        <w:footnoteReference w:id="42"/>
      </w:r>
      <w:r w:rsidRPr="00705032">
        <w:rPr>
          <w:rFonts w:cstheme="minorHAnsi"/>
          <w:color w:val="000000"/>
          <w:lang w:eastAsia="en-GB"/>
        </w:rPr>
        <w:t xml:space="preserve"> Reasons included timing, the need for greater public awareness and acceptance of the Declaration, and </w:t>
      </w:r>
      <w:r w:rsidRPr="00705032">
        <w:rPr>
          <w:rStyle w:val="eop"/>
          <w:rFonts w:eastAsiaTheme="minorEastAsia" w:cstheme="minorHAnsi"/>
        </w:rPr>
        <w:t>because of the significant legislative and policy reform required to meet the Declaration’s standards.</w:t>
      </w:r>
      <w:r w:rsidR="00675FD0" w:rsidRPr="00705032">
        <w:rPr>
          <w:rStyle w:val="eop"/>
          <w:rFonts w:eastAsiaTheme="minorEastAsia" w:cstheme="minorHAnsi"/>
        </w:rPr>
        <w:t xml:space="preserve"> </w:t>
      </w:r>
      <w:r w:rsidR="009704A5" w:rsidRPr="00705032">
        <w:rPr>
          <w:rStyle w:val="eop"/>
          <w:rFonts w:eastAsiaTheme="minorEastAsia" w:cstheme="minorHAnsi"/>
        </w:rPr>
        <w:t xml:space="preserve">It </w:t>
      </w:r>
      <w:r w:rsidR="0051018F" w:rsidRPr="00705032">
        <w:rPr>
          <w:rStyle w:val="eop"/>
          <w:rFonts w:eastAsiaTheme="minorEastAsia" w:cstheme="minorHAnsi"/>
        </w:rPr>
        <w:t>was a political decision given the growing unpopularity of recognition of Māori rights in the build up to the election.</w:t>
      </w:r>
    </w:p>
    <w:p w14:paraId="6589FF47" w14:textId="74683828" w:rsidR="00154013" w:rsidRPr="00705032" w:rsidRDefault="00450DDD" w:rsidP="0FB09AD3">
      <w:pPr>
        <w:pStyle w:val="ListParagraph"/>
        <w:numPr>
          <w:ilvl w:val="0"/>
          <w:numId w:val="47"/>
        </w:numPr>
        <w:spacing w:line="276" w:lineRule="auto"/>
        <w:jc w:val="both"/>
        <w:rPr>
          <w:rFonts w:cstheme="minorHAnsi"/>
          <w:b/>
          <w:color w:val="1F4E79" w:themeColor="accent5" w:themeShade="80"/>
          <w:shd w:val="clear" w:color="auto" w:fill="FFFFFF"/>
        </w:rPr>
      </w:pPr>
      <w:r w:rsidRPr="00705032">
        <w:rPr>
          <w:rFonts w:cstheme="minorHAnsi"/>
          <w:b/>
          <w:color w:val="1F4E79" w:themeColor="accent5" w:themeShade="80"/>
          <w:shd w:val="clear" w:color="auto" w:fill="FFFFFF"/>
        </w:rPr>
        <w:t>Overall comment</w:t>
      </w:r>
      <w:r w:rsidR="00A617C5" w:rsidRPr="00705032">
        <w:rPr>
          <w:rFonts w:cstheme="minorHAnsi"/>
          <w:b/>
          <w:color w:val="1F4E79" w:themeColor="accent5" w:themeShade="80"/>
          <w:shd w:val="clear" w:color="auto" w:fill="FFFFFF"/>
        </w:rPr>
        <w:t>s</w:t>
      </w:r>
    </w:p>
    <w:p w14:paraId="5FB5DAE1" w14:textId="5D3F4426" w:rsidR="00727488" w:rsidRPr="00705032" w:rsidRDefault="00727488" w:rsidP="0FB09AD3">
      <w:pPr>
        <w:spacing w:line="276" w:lineRule="auto"/>
        <w:jc w:val="both"/>
        <w:rPr>
          <w:rFonts w:eastAsiaTheme="minorEastAsia" w:cstheme="minorHAnsi"/>
        </w:rPr>
      </w:pPr>
      <w:r w:rsidRPr="00705032">
        <w:rPr>
          <w:rFonts w:cstheme="minorHAnsi"/>
          <w:lang w:val="mi-NZ"/>
        </w:rPr>
        <w:t xml:space="preserve">The Commission agrees with the Government that the Declaration requires more socialisation nationally.  However, we are of the view that New Zealand’s human rights obligations require it to act now to realise Indigenous peoples’ rights under the Declaration.  </w:t>
      </w:r>
    </w:p>
    <w:p w14:paraId="09B8C36B" w14:textId="5F265C1D" w:rsidR="00B401D6" w:rsidRPr="00705032" w:rsidRDefault="00DD542D" w:rsidP="0FB09AD3">
      <w:pPr>
        <w:spacing w:line="276" w:lineRule="auto"/>
        <w:jc w:val="both"/>
        <w:rPr>
          <w:rFonts w:cstheme="minorHAnsi"/>
        </w:rPr>
      </w:pPr>
      <w:r w:rsidRPr="00705032">
        <w:rPr>
          <w:rFonts w:cstheme="minorHAnsi"/>
          <w:color w:val="000000"/>
          <w:shd w:val="clear" w:color="auto" w:fill="FFFFFF"/>
        </w:rPr>
        <w:t xml:space="preserve">Despite being cited positively by New Zealand courts and the Waitangi Tribunal, and the active duties (including legislative measures) on the State to achieve the ends of the Declaration arising out of article 38, </w:t>
      </w:r>
      <w:r w:rsidR="000579F5" w:rsidRPr="00705032">
        <w:rPr>
          <w:rFonts w:cstheme="minorHAnsi"/>
          <w:color w:val="000000"/>
          <w:shd w:val="clear" w:color="auto" w:fill="FFFFFF"/>
        </w:rPr>
        <w:t>t</w:t>
      </w:r>
      <w:r w:rsidR="00EF7388" w:rsidRPr="00705032">
        <w:rPr>
          <w:rFonts w:cstheme="minorHAnsi"/>
        </w:rPr>
        <w:t xml:space="preserve">here </w:t>
      </w:r>
      <w:r w:rsidR="000579F5" w:rsidRPr="00705032">
        <w:rPr>
          <w:rFonts w:cstheme="minorHAnsi"/>
        </w:rPr>
        <w:t xml:space="preserve">is </w:t>
      </w:r>
      <w:r w:rsidR="00EF7388" w:rsidRPr="00705032">
        <w:rPr>
          <w:rFonts w:cstheme="minorHAnsi"/>
        </w:rPr>
        <w:t xml:space="preserve">no </w:t>
      </w:r>
      <w:r w:rsidR="00A2400D" w:rsidRPr="00705032">
        <w:rPr>
          <w:rFonts w:cstheme="minorHAnsi"/>
        </w:rPr>
        <w:t xml:space="preserve">explicit </w:t>
      </w:r>
      <w:r w:rsidR="00F8527F" w:rsidRPr="00705032">
        <w:rPr>
          <w:rFonts w:cstheme="minorHAnsi"/>
        </w:rPr>
        <w:t xml:space="preserve">acknowledgement or protection </w:t>
      </w:r>
      <w:r w:rsidR="00A2400D" w:rsidRPr="00705032">
        <w:rPr>
          <w:rFonts w:cstheme="minorHAnsi"/>
        </w:rPr>
        <w:t xml:space="preserve">for </w:t>
      </w:r>
      <w:r w:rsidR="00EF7388" w:rsidRPr="00705032">
        <w:rPr>
          <w:rFonts w:cstheme="minorHAnsi"/>
        </w:rPr>
        <w:t xml:space="preserve">the Declaration </w:t>
      </w:r>
      <w:r w:rsidR="00A2400D" w:rsidRPr="00705032">
        <w:rPr>
          <w:rFonts w:cstheme="minorHAnsi"/>
        </w:rPr>
        <w:t xml:space="preserve">provided </w:t>
      </w:r>
      <w:r w:rsidR="00EF7388" w:rsidRPr="00705032">
        <w:rPr>
          <w:rFonts w:cstheme="minorHAnsi"/>
        </w:rPr>
        <w:t>in New Zealand legislation or its constitutional arrangements</w:t>
      </w:r>
      <w:r w:rsidR="000579F5" w:rsidRPr="00705032">
        <w:rPr>
          <w:rFonts w:cstheme="minorHAnsi"/>
        </w:rPr>
        <w:t>.</w:t>
      </w:r>
      <w:r w:rsidR="00A2400D" w:rsidRPr="00705032">
        <w:rPr>
          <w:rFonts w:cstheme="minorHAnsi"/>
        </w:rPr>
        <w:t xml:space="preserve"> Accordingly, there is no positive domestic legal obligation for the implementation of the Declaration and it remains difficult to enforce without incorporation in law.</w:t>
      </w:r>
      <w:r w:rsidR="0020015C" w:rsidRPr="00705032">
        <w:rPr>
          <w:rFonts w:cstheme="minorHAnsi"/>
        </w:rPr>
        <w:t xml:space="preserve"> </w:t>
      </w:r>
    </w:p>
    <w:p w14:paraId="4984EDD3" w14:textId="5DA8BD78" w:rsidR="00727488" w:rsidRPr="00705032" w:rsidRDefault="00A2400D" w:rsidP="0FB09AD3">
      <w:pPr>
        <w:spacing w:line="276" w:lineRule="auto"/>
        <w:jc w:val="both"/>
        <w:rPr>
          <w:rFonts w:cstheme="minorHAnsi"/>
        </w:rPr>
      </w:pPr>
      <w:r w:rsidRPr="00705032">
        <w:rPr>
          <w:rFonts w:cstheme="minorHAnsi"/>
        </w:rPr>
        <w:t>N</w:t>
      </w:r>
      <w:r w:rsidRPr="00705032">
        <w:rPr>
          <w:rFonts w:cstheme="minorHAnsi"/>
          <w:color w:val="000000"/>
          <w:shd w:val="clear" w:color="auto" w:fill="FFFFFF"/>
        </w:rPr>
        <w:t xml:space="preserve">ew Zealand’s formal commitment to the Declaration remains political. </w:t>
      </w:r>
      <w:r w:rsidR="005E2F43" w:rsidRPr="00705032">
        <w:rPr>
          <w:rFonts w:cstheme="minorHAnsi"/>
        </w:rPr>
        <w:t>As a result</w:t>
      </w:r>
      <w:r w:rsidRPr="00705032">
        <w:rPr>
          <w:rFonts w:cstheme="minorHAnsi"/>
        </w:rPr>
        <w:t>,</w:t>
      </w:r>
      <w:r w:rsidR="00F8527F" w:rsidRPr="00705032">
        <w:rPr>
          <w:rFonts w:cstheme="minorHAnsi"/>
        </w:rPr>
        <w:t xml:space="preserve"> measures</w:t>
      </w:r>
      <w:r w:rsidRPr="00705032">
        <w:rPr>
          <w:rFonts w:cstheme="minorHAnsi"/>
        </w:rPr>
        <w:t xml:space="preserve"> taken</w:t>
      </w:r>
      <w:r w:rsidR="00F8527F" w:rsidRPr="00705032">
        <w:rPr>
          <w:rFonts w:cstheme="minorHAnsi"/>
        </w:rPr>
        <w:t xml:space="preserve"> to progress </w:t>
      </w:r>
      <w:r w:rsidR="00727488" w:rsidRPr="00705032">
        <w:rPr>
          <w:rFonts w:cstheme="minorHAnsi"/>
        </w:rPr>
        <w:t xml:space="preserve">Māori rights under </w:t>
      </w:r>
      <w:r w:rsidRPr="00705032">
        <w:rPr>
          <w:rFonts w:cstheme="minorHAnsi"/>
        </w:rPr>
        <w:t xml:space="preserve">the Declaration </w:t>
      </w:r>
      <w:r w:rsidR="00727488" w:rsidRPr="00705032">
        <w:rPr>
          <w:rFonts w:cstheme="minorHAnsi"/>
        </w:rPr>
        <w:t xml:space="preserve">and </w:t>
      </w:r>
      <w:r w:rsidRPr="00705032">
        <w:rPr>
          <w:rFonts w:cstheme="minorHAnsi"/>
        </w:rPr>
        <w:t xml:space="preserve">Te Tiriti are </w:t>
      </w:r>
      <w:r w:rsidR="00E86D21" w:rsidRPr="00705032">
        <w:rPr>
          <w:rFonts w:cstheme="minorHAnsi"/>
        </w:rPr>
        <w:t xml:space="preserve">consistently </w:t>
      </w:r>
      <w:r w:rsidRPr="00705032">
        <w:rPr>
          <w:rFonts w:cstheme="minorHAnsi"/>
        </w:rPr>
        <w:t>vulnerable to politicisation, rejection, and regression</w:t>
      </w:r>
      <w:r w:rsidR="005E2F43" w:rsidRPr="00705032">
        <w:rPr>
          <w:rFonts w:cstheme="minorHAnsi"/>
        </w:rPr>
        <w:t>, as was highlighted with the stalling of the National Action Plan.</w:t>
      </w:r>
    </w:p>
    <w:p w14:paraId="4F44C9F9" w14:textId="21C587CE" w:rsidR="00F77D49" w:rsidRPr="00705032" w:rsidRDefault="00727488" w:rsidP="0FB09AD3">
      <w:pPr>
        <w:spacing w:line="276" w:lineRule="auto"/>
        <w:jc w:val="both"/>
        <w:rPr>
          <w:rFonts w:cstheme="minorHAnsi"/>
        </w:rPr>
      </w:pPr>
      <w:r w:rsidRPr="00705032">
        <w:rPr>
          <w:rFonts w:cstheme="minorHAnsi"/>
        </w:rPr>
        <w:t xml:space="preserve">To advert the longstanding political fragility of </w:t>
      </w:r>
      <w:r w:rsidR="0020015C" w:rsidRPr="00705032">
        <w:rPr>
          <w:rFonts w:cstheme="minorHAnsi"/>
        </w:rPr>
        <w:t>Māori</w:t>
      </w:r>
      <w:r w:rsidRPr="00705032">
        <w:rPr>
          <w:rFonts w:cstheme="minorHAnsi"/>
        </w:rPr>
        <w:t xml:space="preserve"> rights in New Zealand and </w:t>
      </w:r>
      <w:r w:rsidR="002442D0" w:rsidRPr="00705032">
        <w:rPr>
          <w:rFonts w:cstheme="minorHAnsi"/>
        </w:rPr>
        <w:t>create</w:t>
      </w:r>
      <w:r w:rsidRPr="00705032">
        <w:rPr>
          <w:rFonts w:cstheme="minorHAnsi"/>
        </w:rPr>
        <w:t xml:space="preserve"> a positive legal obligation on the State to realise th</w:t>
      </w:r>
      <w:r w:rsidR="0020015C" w:rsidRPr="00705032">
        <w:rPr>
          <w:rFonts w:cstheme="minorHAnsi"/>
        </w:rPr>
        <w:t xml:space="preserve">ese rights as set out in the Declaration; in line with article 38, </w:t>
      </w:r>
      <w:r w:rsidR="00F77D49" w:rsidRPr="00705032">
        <w:rPr>
          <w:rFonts w:cstheme="minorHAnsi"/>
        </w:rPr>
        <w:t>t</w:t>
      </w:r>
      <w:r w:rsidR="005E2F43" w:rsidRPr="00705032">
        <w:rPr>
          <w:rFonts w:cstheme="minorHAnsi"/>
        </w:rPr>
        <w:t xml:space="preserve">he Commission is of the firm view that </w:t>
      </w:r>
      <w:r w:rsidR="00F77D49" w:rsidRPr="00705032">
        <w:rPr>
          <w:rFonts w:cstheme="minorHAnsi"/>
        </w:rPr>
        <w:t xml:space="preserve">New Zealand must make </w:t>
      </w:r>
      <w:r w:rsidR="005E2F43" w:rsidRPr="00705032">
        <w:rPr>
          <w:rFonts w:cstheme="minorHAnsi"/>
        </w:rPr>
        <w:t>a strong</w:t>
      </w:r>
      <w:r w:rsidR="00675FD0" w:rsidRPr="00705032">
        <w:rPr>
          <w:rFonts w:cstheme="minorHAnsi"/>
        </w:rPr>
        <w:t xml:space="preserve"> legal and constitutional commitment </w:t>
      </w:r>
      <w:r w:rsidR="005E2F43" w:rsidRPr="00705032">
        <w:rPr>
          <w:rFonts w:cstheme="minorHAnsi"/>
        </w:rPr>
        <w:t xml:space="preserve">to </w:t>
      </w:r>
      <w:r w:rsidR="00F77D49" w:rsidRPr="00705032">
        <w:rPr>
          <w:rFonts w:cstheme="minorHAnsi"/>
        </w:rPr>
        <w:t xml:space="preserve">achieve the ends of the </w:t>
      </w:r>
      <w:r w:rsidR="005E2F43" w:rsidRPr="00705032">
        <w:rPr>
          <w:rFonts w:cstheme="minorHAnsi"/>
        </w:rPr>
        <w:t>Declaration</w:t>
      </w:r>
      <w:r w:rsidR="00675FD0" w:rsidRPr="00705032">
        <w:rPr>
          <w:rFonts w:cstheme="minorHAnsi"/>
        </w:rPr>
        <w:t xml:space="preserve">. This should form the basis for the continued development of a National Action Plan, and undertaking the policy, statutory, and constitutional reforms necessary for New Zealand to meet its standards. The Commission also recognises that this </w:t>
      </w:r>
      <w:r w:rsidR="00F77D49" w:rsidRPr="00705032">
        <w:rPr>
          <w:rFonts w:cstheme="minorHAnsi"/>
        </w:rPr>
        <w:t xml:space="preserve">must be accompanied by a comprehensive effort to </w:t>
      </w:r>
      <w:r w:rsidR="00675FD0" w:rsidRPr="00705032">
        <w:rPr>
          <w:rFonts w:cstheme="minorHAnsi"/>
        </w:rPr>
        <w:t>socialise the Declaration, Te Tiriti o Waitangi, Māori rights, and the collective benefits of their realisation with the New Zealand public.</w:t>
      </w:r>
    </w:p>
    <w:p w14:paraId="5B2B404C" w14:textId="77777777" w:rsidR="008813BB" w:rsidRPr="00705032" w:rsidRDefault="008813BB" w:rsidP="00A617C5">
      <w:pPr>
        <w:jc w:val="both"/>
        <w:rPr>
          <w:rFonts w:cstheme="minorHAnsi"/>
        </w:rPr>
      </w:pPr>
    </w:p>
    <w:p w14:paraId="102D90A7" w14:textId="77777777" w:rsidR="00B401D6" w:rsidRPr="00705032" w:rsidRDefault="00B401D6" w:rsidP="00A617C5">
      <w:pPr>
        <w:jc w:val="both"/>
        <w:rPr>
          <w:rFonts w:cstheme="minorHAnsi"/>
        </w:rPr>
      </w:pPr>
    </w:p>
    <w:sectPr w:rsidR="00B401D6" w:rsidRPr="00705032">
      <w:headerReference w:type="default" r:id="rId18"/>
      <w:footerReference w:type="even" r:id="rId19"/>
      <w:footerReference w:type="defaul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eanor Vermunt" w:date="2023-11-03T14:44:00Z" w:initials="EV">
    <w:p w14:paraId="0E0F3FB0" w14:textId="77777777" w:rsidR="001B5E0F" w:rsidRDefault="001B5E0F">
      <w:pPr>
        <w:pStyle w:val="CommentText"/>
      </w:pPr>
      <w:r>
        <w:rPr>
          <w:rStyle w:val="CommentReference"/>
        </w:rPr>
        <w:annotationRef/>
      </w:r>
      <w:r>
        <w:rPr>
          <w:lang w:val="mi-NZ"/>
        </w:rPr>
        <w:t>We could mention that Te Tiriti is now recognised as part of New Zealand’s constitutional arrangements through judicial, executive, and legislative recognition and add FNs: (Ignore if too detialed for this sub!)</w:t>
      </w:r>
      <w:r>
        <w:rPr>
          <w:rStyle w:val="CommentReference"/>
        </w:rPr>
        <w:annotationRef/>
      </w:r>
      <w:r>
        <w:rPr>
          <w:rStyle w:val="CommentReference"/>
        </w:rPr>
        <w:annotationRef/>
      </w:r>
    </w:p>
    <w:p w14:paraId="7A0AFF7A" w14:textId="77777777" w:rsidR="001B5E0F" w:rsidRDefault="001B5E0F">
      <w:pPr>
        <w:pStyle w:val="CommentText"/>
      </w:pPr>
    </w:p>
    <w:p w14:paraId="12F7E289" w14:textId="77777777" w:rsidR="001B5E0F" w:rsidRDefault="001B5E0F">
      <w:pPr>
        <w:pStyle w:val="CommentText"/>
      </w:pPr>
      <w:r>
        <w:rPr>
          <w:lang w:val="mi-NZ"/>
        </w:rPr>
        <w:t>Judicial: The courts have recognised te Tiriti as of “the greatest constitutional importance to New Zealand”.( New Zealand Maori Council v Attorney-General [1994] 1 NZLR 513 (PC) at [516]. See also New Zealand Maori Council v Attorney-General [Lands case] [1987] 1 NZLR 641 at 682 per Richardson J (noting that the “crucial point that the Treaty is a positive force</w:t>
      </w:r>
    </w:p>
    <w:p w14:paraId="4ABA54F2" w14:textId="77777777" w:rsidR="001B5E0F" w:rsidRDefault="001B5E0F">
      <w:pPr>
        <w:pStyle w:val="CommentText"/>
      </w:pPr>
      <w:r>
        <w:rPr>
          <w:lang w:val="mi-NZ"/>
        </w:rPr>
        <w:t>in the life of the nation and so in the government of the country”); Te Waka hi Ika o Te Arawa v The Treaty of Waitangi Fisheries Commission [2000] 1 NZLR 285 (CA) at [64] per Thomas J (“The Treaty of Waitangi is this country’s fundamental constitutional</w:t>
      </w:r>
    </w:p>
    <w:p w14:paraId="6959A413" w14:textId="77777777" w:rsidR="001B5E0F" w:rsidRDefault="001B5E0F">
      <w:pPr>
        <w:pStyle w:val="CommentText"/>
      </w:pPr>
      <w:r>
        <w:rPr>
          <w:lang w:val="mi-NZ"/>
        </w:rPr>
        <w:t>document”).</w:t>
      </w:r>
    </w:p>
    <w:p w14:paraId="2EF856C7" w14:textId="77777777" w:rsidR="001B5E0F" w:rsidRDefault="001B5E0F">
      <w:pPr>
        <w:pStyle w:val="CommentText"/>
      </w:pPr>
    </w:p>
    <w:p w14:paraId="0825DD06" w14:textId="77777777" w:rsidR="001B5E0F" w:rsidRDefault="001B5E0F">
      <w:pPr>
        <w:pStyle w:val="CommentText"/>
      </w:pPr>
      <w:r>
        <w:rPr>
          <w:lang w:val="mi-NZ"/>
        </w:rPr>
        <w:t>Legislative: Te Tiriti has been incorporated into statute law, including through the Supreme Court Act 2003, which has as one of its purposes to</w:t>
      </w:r>
    </w:p>
    <w:p w14:paraId="2F9CE2A8" w14:textId="77777777" w:rsidR="001B5E0F" w:rsidRDefault="001B5E0F">
      <w:pPr>
        <w:pStyle w:val="CommentText"/>
      </w:pPr>
      <w:r>
        <w:rPr>
          <w:lang w:val="mi-NZ"/>
        </w:rPr>
        <w:t>establish the Supreme Court as our apex court “to enable … legal matters relating to the Treaty of Waitangi, to be resolved with an understanding of New Zealand conditions, history and traditions”; the Treaty of Waitangi Act 1975 which appends te Tiriti as the First Schedule; and by enacting “Treaty</w:t>
      </w:r>
    </w:p>
    <w:p w14:paraId="30B018B4" w14:textId="77777777" w:rsidR="001B5E0F" w:rsidRDefault="001B5E0F">
      <w:pPr>
        <w:pStyle w:val="CommentText"/>
      </w:pPr>
      <w:r>
        <w:rPr>
          <w:lang w:val="mi-NZ"/>
        </w:rPr>
        <w:t>principles” provisions in numerous statutes.</w:t>
      </w:r>
      <w:r>
        <w:rPr>
          <w:lang w:val="mi-NZ"/>
        </w:rPr>
        <w:br/>
      </w:r>
      <w:r>
        <w:rPr>
          <w:lang w:val="mi-NZ"/>
        </w:rPr>
        <w:br/>
        <w:t>Executive: (i) The Cabinet Manual expressly recognises te Tiriti as a source of New Zealand’s constitution, recognises that te Tiriti is “an integral part of New Zealand’s constitutional framework”, and notes that “the Treaty’s</w:t>
      </w:r>
    </w:p>
    <w:p w14:paraId="6EB08AC7" w14:textId="77777777" w:rsidR="001B5E0F" w:rsidRDefault="001B5E0F">
      <w:pPr>
        <w:pStyle w:val="CommentText"/>
      </w:pPr>
      <w:r>
        <w:rPr>
          <w:lang w:val="mi-NZ"/>
        </w:rPr>
        <w:t>status will continue to evolve along with other constitutional principles and</w:t>
      </w:r>
    </w:p>
    <w:p w14:paraId="05C8E8E3" w14:textId="77777777" w:rsidR="001B5E0F" w:rsidRDefault="001B5E0F">
      <w:pPr>
        <w:pStyle w:val="CommentText"/>
      </w:pPr>
      <w:r>
        <w:rPr>
          <w:lang w:val="mi-NZ"/>
        </w:rPr>
        <w:t>norms”;</w:t>
      </w:r>
      <w:r>
        <w:rPr>
          <w:lang w:val="mi-NZ"/>
        </w:rPr>
        <w:br/>
        <w:t>(ii) Cabinet Office Circular CO 19(5) states that te Tiriti is “one of the major sources of New Zealand’s constitution”; identifies guidelines for</w:t>
      </w:r>
    </w:p>
    <w:p w14:paraId="079AF1DC" w14:textId="77777777" w:rsidR="001B5E0F" w:rsidRDefault="001B5E0F">
      <w:pPr>
        <w:pStyle w:val="CommentText"/>
      </w:pPr>
      <w:r>
        <w:rPr>
          <w:lang w:val="mi-NZ"/>
        </w:rPr>
        <w:t>policymakers to consider te Tiriti in policy development and implementation; and notes that “[w]hile the courts and previous guidance</w:t>
      </w:r>
    </w:p>
    <w:p w14:paraId="5E3D2A89" w14:textId="77777777" w:rsidR="001B5E0F" w:rsidRDefault="001B5E0F">
      <w:pPr>
        <w:pStyle w:val="CommentText"/>
      </w:pPr>
      <w:r>
        <w:rPr>
          <w:lang w:val="mi-NZ"/>
        </w:rPr>
        <w:t>have developed and focussed on principles of the Treaty, this guidance takes the texts of the Treaty as its focus”;</w:t>
      </w:r>
    </w:p>
    <w:p w14:paraId="6B95AAA6" w14:textId="77777777" w:rsidR="001B5E0F" w:rsidRDefault="001B5E0F">
      <w:pPr>
        <w:pStyle w:val="CommentText"/>
      </w:pPr>
      <w:r>
        <w:rPr>
          <w:lang w:val="mi-NZ"/>
        </w:rPr>
        <w:t>(iii) the Legislation Design and</w:t>
      </w:r>
    </w:p>
    <w:p w14:paraId="67C09D2F" w14:textId="77777777" w:rsidR="001B5E0F" w:rsidRDefault="001B5E0F">
      <w:pPr>
        <w:pStyle w:val="CommentText"/>
      </w:pPr>
      <w:r>
        <w:rPr>
          <w:lang w:val="mi-NZ"/>
        </w:rPr>
        <w:t>Advisory Committee’s 2021 Legislation Guidelines identify te Tiriti as part of</w:t>
      </w:r>
    </w:p>
    <w:p w14:paraId="635B1014" w14:textId="77777777" w:rsidR="001B5E0F" w:rsidRDefault="001B5E0F">
      <w:pPr>
        <w:pStyle w:val="CommentText"/>
      </w:pPr>
      <w:r>
        <w:rPr>
          <w:lang w:val="mi-NZ"/>
        </w:rPr>
        <w:t>the New Zealand constitution and provides guidelines on how to ensure te</w:t>
      </w:r>
    </w:p>
    <w:p w14:paraId="2F4BEE5C" w14:textId="77777777" w:rsidR="001B5E0F" w:rsidRDefault="001B5E0F">
      <w:pPr>
        <w:pStyle w:val="CommentText"/>
      </w:pPr>
      <w:r>
        <w:rPr>
          <w:lang w:val="mi-NZ"/>
        </w:rPr>
        <w:t>Tiriti is taken into account in the legislative process.</w:t>
      </w:r>
    </w:p>
  </w:comment>
  <w:comment w:id="1" w:author="Eleanor Vermunt" w:date="2023-11-03T14:34:00Z" w:initials="EV">
    <w:p w14:paraId="63501E06" w14:textId="77777777" w:rsidR="00CC2F77" w:rsidRDefault="00CC2F77">
      <w:pPr>
        <w:pStyle w:val="CommentText"/>
      </w:pPr>
      <w:r>
        <w:rPr>
          <w:rStyle w:val="CommentReference"/>
        </w:rPr>
        <w:annotationRef/>
      </w:r>
      <w:r>
        <w:rPr>
          <w:lang w:val="mi-NZ"/>
        </w:rPr>
        <w:t xml:space="preserve">Could add a para here emphasising: </w:t>
      </w:r>
      <w:r>
        <w:rPr>
          <w:rStyle w:val="CommentReference"/>
        </w:rPr>
        <w:annotationRef/>
      </w:r>
    </w:p>
    <w:p w14:paraId="139CC8CA" w14:textId="77777777" w:rsidR="00CC2F77" w:rsidRDefault="00CC2F77">
      <w:pPr>
        <w:pStyle w:val="CommentText"/>
      </w:pPr>
    </w:p>
    <w:p w14:paraId="00CFA37C" w14:textId="77777777" w:rsidR="00CC2F77" w:rsidRDefault="00CC2F77">
      <w:pPr>
        <w:pStyle w:val="CommentText"/>
      </w:pPr>
      <w:r>
        <w:rPr>
          <w:lang w:val="mi-NZ"/>
        </w:rPr>
        <w:t>UNDRIP’s emphasis on positive action is important because it recognises that historic injustices resulting from colonisation and dispossession may</w:t>
      </w:r>
    </w:p>
    <w:p w14:paraId="38BF8511" w14:textId="77777777" w:rsidR="00CC2F77" w:rsidRDefault="00CC2F77">
      <w:pPr>
        <w:pStyle w:val="CommentText"/>
      </w:pPr>
      <w:r>
        <w:rPr>
          <w:lang w:val="mi-NZ"/>
        </w:rPr>
        <w:t>already have negatively impacted indigenous peoples’ ability to enjoy the full</w:t>
      </w:r>
    </w:p>
    <w:p w14:paraId="2660BFC9" w14:textId="77777777" w:rsidR="00CC2F77" w:rsidRDefault="00CC2F77">
      <w:pPr>
        <w:pStyle w:val="CommentText"/>
      </w:pPr>
      <w:r>
        <w:rPr>
          <w:lang w:val="mi-NZ"/>
        </w:rPr>
        <w:t>measure of their rights. A purely negative conception of rights and freedoms</w:t>
      </w:r>
    </w:p>
    <w:p w14:paraId="68AA4275" w14:textId="77777777" w:rsidR="00CC2F77" w:rsidRDefault="00CC2F77">
      <w:pPr>
        <w:pStyle w:val="CommentText"/>
      </w:pPr>
      <w:r>
        <w:rPr>
          <w:lang w:val="mi-NZ"/>
        </w:rPr>
        <w:t>assumes an adequate and equal baseline of enjoyment of rights in respect of all</w:t>
      </w:r>
    </w:p>
    <w:p w14:paraId="29B72BD5" w14:textId="77777777" w:rsidR="00CC2F77" w:rsidRDefault="00CC2F77">
      <w:pPr>
        <w:pStyle w:val="CommentText"/>
      </w:pPr>
      <w:r>
        <w:rPr>
          <w:lang w:val="mi-NZ"/>
        </w:rPr>
        <w:t>people. That is of course not the case in respect of Māori, who suffered manifest denials of their culture as a result of the government policies carried out in the second half of the 19th and well into the 20th century.</w:t>
      </w:r>
    </w:p>
  </w:comment>
  <w:comment w:id="2" w:author="Eleanor Vermunt" w:date="2023-11-03T14:32:00Z" w:initials="EV">
    <w:p w14:paraId="5E80A64D" w14:textId="174DDFAD" w:rsidR="00D65A62" w:rsidRDefault="00D65A62">
      <w:pPr>
        <w:pStyle w:val="CommentText"/>
      </w:pPr>
      <w:r>
        <w:rPr>
          <w:rStyle w:val="CommentReference"/>
        </w:rPr>
        <w:annotationRef/>
      </w:r>
      <w:r>
        <w:rPr>
          <w:lang w:val="mi-NZ"/>
        </w:rPr>
        <w:t>We could shorten this para by simply saying "The Declaration has been cited positively by NZ Courts including the Supreme Court"</w:t>
      </w:r>
      <w:r>
        <w:rPr>
          <w:rStyle w:val="CommentReference"/>
        </w:rPr>
        <w:annotationRef/>
      </w:r>
    </w:p>
    <w:p w14:paraId="0878C931" w14:textId="77777777" w:rsidR="00D65A62" w:rsidRDefault="00D65A62">
      <w:pPr>
        <w:pStyle w:val="CommentText"/>
      </w:pPr>
    </w:p>
    <w:p w14:paraId="1CCB21E3" w14:textId="77777777" w:rsidR="00D65A62" w:rsidRDefault="00D65A62">
      <w:pPr>
        <w:pStyle w:val="CommentText"/>
      </w:pPr>
      <w:r>
        <w:rPr>
          <w:lang w:val="mi-NZ"/>
        </w:rPr>
        <w:t xml:space="preserve">Then FN: </w:t>
      </w:r>
    </w:p>
    <w:p w14:paraId="37DFC713" w14:textId="77777777" w:rsidR="00D65A62" w:rsidRDefault="00D65A62">
      <w:pPr>
        <w:pStyle w:val="CommentText"/>
      </w:pPr>
    </w:p>
    <w:p w14:paraId="1EE4F3EE" w14:textId="77777777" w:rsidR="00D65A62" w:rsidRDefault="00D65A62">
      <w:pPr>
        <w:pStyle w:val="CommentText"/>
      </w:pPr>
      <w:r>
        <w:rPr>
          <w:lang w:val="mi-NZ"/>
        </w:rPr>
        <w:t>Takamore v Clarke [2012] NZSC 116, [2013] 2 NZLR 733 at [12], [35]; Paki v Attorney-General (No 2) [2014] NZSC 118, [2015] 1 NZLR 67 at [164]; Proprietors of Wakatū v Attorney-General (Wakatū) [2017] NZSC 17, [2017] 1 NZLR 423at [491], [657 at fn 867]; Ngāti Whātua Ōrākei Trust v Attorney-General [2019] 1 NZLR 116</w:t>
      </w:r>
    </w:p>
    <w:p w14:paraId="506EA4A3" w14:textId="77777777" w:rsidR="00D65A62" w:rsidRDefault="00D65A62">
      <w:pPr>
        <w:pStyle w:val="CommentText"/>
      </w:pPr>
      <w:r>
        <w:rPr>
          <w:lang w:val="mi-NZ"/>
        </w:rPr>
        <w:t>[2018] NZSC 84; Ellis v R [2022] NZSC 114, [2022] 1 NZLR 338, at [126].</w:t>
      </w:r>
    </w:p>
    <w:p w14:paraId="3FAEDD61" w14:textId="77777777" w:rsidR="00D65A62" w:rsidRDefault="00D65A62">
      <w:pPr>
        <w:pStyle w:val="CommentText"/>
      </w:pPr>
    </w:p>
    <w:p w14:paraId="5ADF4ABB" w14:textId="77777777" w:rsidR="00D65A62" w:rsidRDefault="00D65A62">
      <w:pPr>
        <w:pStyle w:val="CommentText"/>
      </w:pPr>
      <w:r>
        <w:rPr>
          <w:lang w:val="mi-NZ"/>
        </w:rPr>
        <w:t>I had to recently check these cases and the precise para reference for the Smith v AG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4BEE5C" w15:done="1"/>
  <w15:commentEx w15:paraId="29B72BD5" w15:done="1"/>
  <w15:commentEx w15:paraId="5ADF4AB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C1D124F" w16cex:dateUtc="2023-11-03T01:44:00Z">
    <w16cex:extLst>
      <w16:ext xmlns="" xmlns:cr="http://schemas.microsoft.com/office/comments/2020/reactions" xmlns:w16du="http://schemas.microsoft.com/office/word/2023/wordml/word16du" w16:uri="{CE6994B0-6A32-4C9F-8C6B-6E91EDA988CE}">
        <cr:reactions xmlns:cr="http://schemas.microsoft.com/office/comments/2020/reactions">
          <cr:reaction reactionType="1">
            <cr:reactionInfo dateUtc="2023-11-03T03:24:10Z">
              <cr:user userId="S::manawap@hrc.co.nz::43e9a177-86fe-46d0-b3f5-a48d72885ac2" userProvider="AD" userName="Manawa Pomare"/>
            </cr:reactionInfo>
            <cr:reactionInfo dateUtc="2023-11-03T03:45:43Z">
              <cr:user userId="S::waimihiam@hrc.co.nz::677bfbd8-1880-47aa-9c5c-50143a0d2d98" userProvider="AD" userName="Waimihia Maniapoto-Love"/>
            </cr:reactionInfo>
          </cr:reaction>
        </cr:reactions>
      </w16:ext>
    </w16cex:extLst>
  </w16cex:commentExtensible>
  <w16cex:commentExtensible w16cex:durableId="0413103D" w16cex:dateUtc="2023-11-03T01:34:00Z"/>
  <w16cex:commentExtensible w16cex:durableId="2AD6F001" w16cex:dateUtc="2023-11-03T01:32:00Z">
    <w16cex:extLst>
      <w16:ext xmlns="" xmlns:cr="http://schemas.microsoft.com/office/comments/2020/reactions" xmlns:w16du="http://schemas.microsoft.com/office/word/2023/wordml/word16du" w16:uri="{CE6994B0-6A32-4C9F-8C6B-6E91EDA988CE}">
        <cr:reactions xmlns:cr="http://schemas.microsoft.com/office/comments/2020/reactions">
          <cr:reaction reactionType="1">
            <cr:reactionInfo dateUtc="2023-11-03T03:26:23Z">
              <cr:user userId="S::manawap@hrc.co.nz::43e9a177-86fe-46d0-b3f5-a48d72885ac2" userProvider="AD" userName="Manawa Pomar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4BEE5C" w16cid:durableId="4C1D124F"/>
  <w16cid:commentId w16cid:paraId="29B72BD5" w16cid:durableId="0413103D"/>
  <w16cid:commentId w16cid:paraId="5ADF4ABB" w16cid:durableId="2AD6F0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BD5FB" w14:textId="77777777" w:rsidR="00FC2B8C" w:rsidRDefault="00FC2B8C" w:rsidP="009E300D">
      <w:pPr>
        <w:spacing w:after="0" w:line="240" w:lineRule="auto"/>
      </w:pPr>
      <w:r>
        <w:separator/>
      </w:r>
    </w:p>
  </w:endnote>
  <w:endnote w:type="continuationSeparator" w:id="0">
    <w:p w14:paraId="443564C9" w14:textId="77777777" w:rsidR="00FC2B8C" w:rsidRDefault="00FC2B8C" w:rsidP="009E300D">
      <w:pPr>
        <w:spacing w:after="0" w:line="240" w:lineRule="auto"/>
      </w:pPr>
      <w:r>
        <w:continuationSeparator/>
      </w:r>
    </w:p>
  </w:endnote>
  <w:endnote w:type="continuationNotice" w:id="1">
    <w:p w14:paraId="7098773C" w14:textId="77777777" w:rsidR="00FC2B8C" w:rsidRDefault="00FC2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alibri Light&quot;,sans-serif">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titled Sans">
    <w:altName w:val="Calibri"/>
    <w:charset w:val="4D"/>
    <w:family w:val="swiss"/>
    <w:pitch w:val="variable"/>
    <w:sig w:usb0="00000007" w:usb1="00000001" w:usb2="00000000" w:usb3="00000000" w:csb0="00000093" w:csb1="00000000"/>
  </w:font>
  <w:font w:name="Untitled Sans Light">
    <w:altName w:val="Calibri"/>
    <w:charset w:val="4D"/>
    <w:family w:val="swiss"/>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8672" w14:textId="77777777" w:rsidR="00387619" w:rsidRDefault="00387619">
    <w:pPr>
      <w:rPr>
        <w:rStyle w:val="PageNumber"/>
      </w:rPr>
    </w:pPr>
    <w:r>
      <w:rPr>
        <w:rStyle w:val="PageNumber"/>
      </w:rPr>
      <w:fldChar w:fldCharType="begin"/>
    </w:r>
    <w:r>
      <w:rPr>
        <w:rStyle w:val="PageNumber"/>
      </w:rPr>
      <w:instrText xml:space="preserve"> PAGE </w:instrText>
    </w:r>
    <w:r>
      <w:rPr>
        <w:rStyle w:val="PageNumber"/>
      </w:rPr>
      <w:fldChar w:fldCharType="end"/>
    </w:r>
  </w:p>
  <w:p w14:paraId="36E78055" w14:textId="77777777" w:rsidR="00387619" w:rsidRDefault="00387619">
    <w:pPr>
      <w:rPr>
        <w:rStyle w:val="PageNumber"/>
      </w:rPr>
    </w:pPr>
  </w:p>
  <w:p w14:paraId="6A330A34" w14:textId="77777777" w:rsidR="00387619" w:rsidRDefault="003876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olor w:val="002060"/>
        <w:sz w:val="18"/>
        <w:szCs w:val="18"/>
        <w:lang w:val="en-NZ"/>
      </w:rPr>
      <w:id w:val="-1256121309"/>
      <w:docPartObj>
        <w:docPartGallery w:val="Page Numbers (Bottom of Page)"/>
        <w:docPartUnique/>
      </w:docPartObj>
    </w:sdtPr>
    <w:sdtEndPr>
      <w:rPr>
        <w:rStyle w:val="PageNumber"/>
        <w:sz w:val="22"/>
        <w:szCs w:val="22"/>
      </w:rPr>
    </w:sdtEndPr>
    <w:sdtContent>
      <w:p w14:paraId="0B10279B" w14:textId="304F2B4D" w:rsidR="00387619" w:rsidRDefault="00387619">
        <w:pPr>
          <w:pStyle w:val="Footnote-Citations"/>
        </w:pPr>
        <w:r>
          <w:rPr>
            <w:noProof/>
          </w:rPr>
          <w:drawing>
            <wp:anchor distT="0" distB="0" distL="114300" distR="114300" simplePos="0" relativeHeight="251658240" behindDoc="0" locked="1" layoutInCell="1" allowOverlap="1" wp14:anchorId="3054666C" wp14:editId="30EA1B58">
              <wp:simplePos x="0" y="0"/>
              <wp:positionH relativeFrom="column">
                <wp:posOffset>-100330</wp:posOffset>
              </wp:positionH>
              <wp:positionV relativeFrom="bottomMargin">
                <wp:posOffset>525145</wp:posOffset>
              </wp:positionV>
              <wp:extent cx="6565900" cy="571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flipH="1">
                        <a:off x="0" y="0"/>
                        <a:ext cx="6565900" cy="57150"/>
                      </a:xfrm>
                      <a:prstGeom prst="rect">
                        <a:avLst/>
                      </a:prstGeom>
                    </pic:spPr>
                  </pic:pic>
                </a:graphicData>
              </a:graphic>
              <wp14:sizeRelH relativeFrom="page">
                <wp14:pctWidth>0</wp14:pctWidth>
              </wp14:sizeRelH>
              <wp14:sizeRelV relativeFrom="page">
                <wp14:pctHeight>0</wp14:pctHeight>
              </wp14:sizeRelV>
            </wp:anchor>
          </w:drawing>
        </w:r>
        <w:r>
          <w:rPr>
            <w:noProof/>
            <w:vertAlign w:val="superscript"/>
          </w:rPr>
          <mc:AlternateContent>
            <mc:Choice Requires="wps">
              <w:drawing>
                <wp:anchor distT="107950" distB="71755" distL="114300" distR="114300" simplePos="0" relativeHeight="251658241" behindDoc="0" locked="0" layoutInCell="1" allowOverlap="1" wp14:anchorId="2027DE34" wp14:editId="34844590">
                  <wp:simplePos x="0" y="0"/>
                  <wp:positionH relativeFrom="margin">
                    <wp:posOffset>-11430</wp:posOffset>
                  </wp:positionH>
                  <wp:positionV relativeFrom="paragraph">
                    <wp:posOffset>-46990</wp:posOffset>
                  </wp:positionV>
                  <wp:extent cx="6271200" cy="0"/>
                  <wp:effectExtent l="0" t="0" r="15875" b="12700"/>
                  <wp:wrapTopAndBottom/>
                  <wp:docPr id="8" name="Straight Connector 8"/>
                  <wp:cNvGraphicFramePr/>
                  <a:graphic xmlns:a="http://schemas.openxmlformats.org/drawingml/2006/main">
                    <a:graphicData uri="http://schemas.microsoft.com/office/word/2010/wordprocessingShape">
                      <wps:wsp>
                        <wps:cNvCnPr/>
                        <wps:spPr>
                          <a:xfrm>
                            <a:off x="0" y="0"/>
                            <a:ext cx="6271200" cy="0"/>
                          </a:xfrm>
                          <a:prstGeom prst="line">
                            <a:avLst/>
                          </a:prstGeom>
                          <a:ln>
                            <a:solidFill>
                              <a:schemeClr val="accent1">
                                <a:alpha val="2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373C9668">
                <v:line id="Straight Connector 8" style="position:absolute;z-index:251658241;visibility:visible;mso-wrap-style:square;mso-width-percent:0;mso-wrap-distance-left:9pt;mso-wrap-distance-top:8.5pt;mso-wrap-distance-right:9pt;mso-wrap-distance-bottom:5.65pt;mso-position-horizontal:absolute;mso-position-horizontal-relative:margin;mso-position-vertical:absolute;mso-position-vertical-relative:text;mso-width-percent:0;mso-width-relative:margin" o:spid="_x0000_s1026" strokecolor="#4472c4 [3204]" strokeweight=".5pt" from="-.9pt,-3.7pt" to="492.9pt,-3.7pt" w14:anchorId="2E62E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">
                  <v:stroke opacity="13107f" joinstyle="miter"/>
                  <w10:wrap type="topAndBottom" anchorx="margin"/>
                </v:line>
              </w:pict>
            </mc:Fallback>
          </mc:AlternateContent>
        </w:r>
      </w:p>
      <w:p w14:paraId="05CC1B56" w14:textId="77777777" w:rsidR="00387619" w:rsidRPr="00B276C1" w:rsidRDefault="00387619">
        <w:pPr>
          <w:pStyle w:val="FootnoteText"/>
        </w:pPr>
      </w:p>
      <w:p w14:paraId="0241644C" w14:textId="77777777" w:rsidR="00387619" w:rsidRPr="00167CCC" w:rsidRDefault="00387619">
        <w:pPr>
          <w:jc w:val="right"/>
          <w:rPr>
            <w:color w:val="002060"/>
          </w:rPr>
        </w:pPr>
        <w:r w:rsidRPr="009F432E">
          <w:rPr>
            <w:rStyle w:val="PageNumber"/>
            <w:color w:val="002060"/>
          </w:rPr>
          <w:fldChar w:fldCharType="begin"/>
        </w:r>
        <w:r w:rsidRPr="009F432E">
          <w:rPr>
            <w:rStyle w:val="PageNumber"/>
            <w:color w:val="002060"/>
          </w:rPr>
          <w:instrText xml:space="preserve"> PAGE </w:instrText>
        </w:r>
        <w:r w:rsidRPr="009F432E">
          <w:rPr>
            <w:rStyle w:val="PageNumber"/>
            <w:color w:val="002060"/>
          </w:rPr>
          <w:fldChar w:fldCharType="separate"/>
        </w:r>
        <w:r w:rsidRPr="009F432E">
          <w:rPr>
            <w:rStyle w:val="PageNumber"/>
            <w:noProof/>
            <w:color w:val="002060"/>
          </w:rPr>
          <w:t>2</w:t>
        </w:r>
        <w:r w:rsidRPr="009F432E">
          <w:rPr>
            <w:rStyle w:val="PageNumber"/>
            <w:color w:val="00206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19B4" w14:textId="77777777" w:rsidR="00FC2B8C" w:rsidRDefault="00FC2B8C" w:rsidP="009E300D">
      <w:pPr>
        <w:spacing w:after="0" w:line="240" w:lineRule="auto"/>
      </w:pPr>
      <w:r>
        <w:separator/>
      </w:r>
    </w:p>
  </w:footnote>
  <w:footnote w:type="continuationSeparator" w:id="0">
    <w:p w14:paraId="4EAD07EC" w14:textId="77777777" w:rsidR="00FC2B8C" w:rsidRDefault="00FC2B8C" w:rsidP="009E300D">
      <w:pPr>
        <w:spacing w:after="0" w:line="240" w:lineRule="auto"/>
      </w:pPr>
      <w:r>
        <w:continuationSeparator/>
      </w:r>
    </w:p>
  </w:footnote>
  <w:footnote w:type="continuationNotice" w:id="1">
    <w:p w14:paraId="62EA1B26" w14:textId="77777777" w:rsidR="00FC2B8C" w:rsidRDefault="00FC2B8C">
      <w:pPr>
        <w:spacing w:after="0" w:line="240" w:lineRule="auto"/>
      </w:pPr>
    </w:p>
  </w:footnote>
  <w:footnote w:id="2">
    <w:p w14:paraId="29E16EB6" w14:textId="3A4251B5" w:rsidR="00785791" w:rsidRPr="00407029" w:rsidRDefault="00785791"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005B1C57" w:rsidRPr="00407029">
        <w:rPr>
          <w:rFonts w:cstheme="minorHAnsi"/>
          <w:sz w:val="18"/>
          <w:szCs w:val="18"/>
          <w:lang w:val="mi-NZ"/>
        </w:rPr>
        <w:t xml:space="preserve">Human Rights Act </w:t>
      </w:r>
      <w:r w:rsidR="0066625C" w:rsidRPr="00407029">
        <w:rPr>
          <w:rFonts w:cstheme="minorHAnsi"/>
          <w:sz w:val="18"/>
          <w:szCs w:val="18"/>
          <w:lang w:val="mi-NZ"/>
        </w:rPr>
        <w:t>1993.</w:t>
      </w:r>
    </w:p>
  </w:footnote>
  <w:footnote w:id="3">
    <w:p w14:paraId="08BA5B33" w14:textId="60F9EF88" w:rsidR="0066625C" w:rsidRPr="00407029" w:rsidRDefault="0066625C"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sz w:val="18"/>
          <w:szCs w:val="18"/>
          <w:lang w:val="mi-NZ"/>
        </w:rPr>
        <w:t>Ibid</w:t>
      </w:r>
      <w:r w:rsidR="00061F91" w:rsidRPr="00407029">
        <w:rPr>
          <w:rFonts w:cstheme="minorHAnsi"/>
          <w:sz w:val="18"/>
          <w:szCs w:val="18"/>
          <w:lang w:val="mi-NZ"/>
        </w:rPr>
        <w:t>, s</w:t>
      </w:r>
      <w:r w:rsidR="0034361B" w:rsidRPr="00407029">
        <w:rPr>
          <w:rFonts w:cstheme="minorHAnsi"/>
          <w:sz w:val="18"/>
          <w:szCs w:val="18"/>
          <w:lang w:val="mi-NZ"/>
        </w:rPr>
        <w:t xml:space="preserve"> 2(a).</w:t>
      </w:r>
    </w:p>
  </w:footnote>
  <w:footnote w:id="4">
    <w:p w14:paraId="6046D0CC" w14:textId="053C9E5B" w:rsidR="0034361B" w:rsidRPr="00407029" w:rsidRDefault="0034361B"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sz w:val="18"/>
          <w:szCs w:val="18"/>
          <w:lang w:val="mi-NZ"/>
        </w:rPr>
        <w:t xml:space="preserve">Ibid, s </w:t>
      </w:r>
      <w:r w:rsidR="00EB3F3E" w:rsidRPr="00407029">
        <w:rPr>
          <w:rFonts w:cstheme="minorHAnsi"/>
          <w:sz w:val="18"/>
          <w:szCs w:val="18"/>
          <w:lang w:val="mi-NZ"/>
        </w:rPr>
        <w:t>2(d).</w:t>
      </w:r>
    </w:p>
  </w:footnote>
  <w:footnote w:id="5">
    <w:p w14:paraId="66C3846F" w14:textId="2223D0DC" w:rsidR="00BB7549" w:rsidRPr="00407029" w:rsidRDefault="00BB7549"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hyperlink r:id="rId1" w:history="1">
        <w:r w:rsidR="00DD3228" w:rsidRPr="00407029">
          <w:rPr>
            <w:rStyle w:val="Hyperlink"/>
            <w:sz w:val="18"/>
            <w:szCs w:val="18"/>
          </w:rPr>
          <w:t>https://press.un.org/en/2007/ga10612.doc.htm</w:t>
        </w:r>
      </w:hyperlink>
      <w:r w:rsidR="00DD3228" w:rsidRPr="00407029">
        <w:rPr>
          <w:sz w:val="18"/>
          <w:szCs w:val="18"/>
        </w:rPr>
        <w:t xml:space="preserve"> </w:t>
      </w:r>
    </w:p>
  </w:footnote>
  <w:footnote w:id="6">
    <w:p w14:paraId="11056396" w14:textId="12346C4B" w:rsidR="008A1491" w:rsidRPr="00407029" w:rsidRDefault="008A1491"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CB763E" w:rsidRPr="00407029">
        <w:rPr>
          <w:sz w:val="18"/>
          <w:szCs w:val="18"/>
          <w:lang w:val="mi-NZ"/>
        </w:rPr>
        <w:t>New Zealand Government</w:t>
      </w:r>
      <w:r w:rsidR="00D32F3C" w:rsidRPr="00407029">
        <w:rPr>
          <w:sz w:val="18"/>
          <w:szCs w:val="18"/>
          <w:lang w:val="mi-NZ"/>
        </w:rPr>
        <w:t xml:space="preserve"> </w:t>
      </w:r>
      <w:hyperlink r:id="rId2" w:history="1">
        <w:r w:rsidR="00D32F3C" w:rsidRPr="00407029">
          <w:rPr>
            <w:rStyle w:val="Hyperlink"/>
            <w:sz w:val="18"/>
            <w:szCs w:val="18"/>
            <w:lang w:val="mi-NZ"/>
          </w:rPr>
          <w:t>“Supporting UN Declaration restores NZ’s mana”</w:t>
        </w:r>
      </w:hyperlink>
      <w:r w:rsidR="00AC4058" w:rsidRPr="00407029">
        <w:rPr>
          <w:sz w:val="18"/>
          <w:szCs w:val="18"/>
          <w:lang w:val="mi-NZ"/>
        </w:rPr>
        <w:t xml:space="preserve"> (press release</w:t>
      </w:r>
      <w:r w:rsidR="009E77A9" w:rsidRPr="00407029">
        <w:rPr>
          <w:sz w:val="18"/>
          <w:szCs w:val="18"/>
          <w:lang w:val="mi-NZ"/>
        </w:rPr>
        <w:t>,</w:t>
      </w:r>
      <w:r w:rsidR="00AC4058" w:rsidRPr="00407029">
        <w:rPr>
          <w:sz w:val="18"/>
          <w:szCs w:val="18"/>
          <w:lang w:val="mi-NZ"/>
        </w:rPr>
        <w:t xml:space="preserve"> 20 April 2010)</w:t>
      </w:r>
      <w:r w:rsidR="009E77A9" w:rsidRPr="00407029">
        <w:rPr>
          <w:sz w:val="18"/>
          <w:szCs w:val="18"/>
          <w:lang w:val="mi-NZ"/>
        </w:rPr>
        <w:t>.</w:t>
      </w:r>
    </w:p>
  </w:footnote>
  <w:footnote w:id="7">
    <w:p w14:paraId="22C763A8" w14:textId="2B9CFCC9" w:rsidR="00073943" w:rsidRPr="00407029" w:rsidRDefault="00073943"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D66A8B" w:rsidRPr="00407029">
        <w:rPr>
          <w:i/>
          <w:iCs/>
          <w:sz w:val="18"/>
          <w:szCs w:val="18"/>
          <w:lang w:val="mi-NZ"/>
        </w:rPr>
        <w:t>Trans-Tasman</w:t>
      </w:r>
      <w:r w:rsidR="00075139" w:rsidRPr="00407029">
        <w:rPr>
          <w:i/>
          <w:iCs/>
          <w:sz w:val="18"/>
          <w:szCs w:val="18"/>
          <w:lang w:val="mi-NZ"/>
        </w:rPr>
        <w:t xml:space="preserve"> Resources Limited</w:t>
      </w:r>
      <w:r w:rsidR="00E016B7" w:rsidRPr="00407029">
        <w:rPr>
          <w:i/>
          <w:iCs/>
          <w:sz w:val="18"/>
          <w:szCs w:val="18"/>
          <w:lang w:val="mi-NZ"/>
        </w:rPr>
        <w:t xml:space="preserve"> v</w:t>
      </w:r>
      <w:r w:rsidR="00075139" w:rsidRPr="00407029">
        <w:rPr>
          <w:i/>
          <w:iCs/>
          <w:sz w:val="18"/>
          <w:szCs w:val="18"/>
          <w:lang w:val="mi-NZ"/>
        </w:rPr>
        <w:t xml:space="preserve"> The Taranaki</w:t>
      </w:r>
      <w:r w:rsidR="001706F0" w:rsidRPr="00407029">
        <w:rPr>
          <w:i/>
          <w:iCs/>
          <w:sz w:val="18"/>
          <w:szCs w:val="18"/>
          <w:lang w:val="mi-NZ"/>
        </w:rPr>
        <w:t>-Whanganui Conservation Board</w:t>
      </w:r>
      <w:r w:rsidR="00D66A8B" w:rsidRPr="00407029">
        <w:rPr>
          <w:i/>
          <w:iCs/>
          <w:sz w:val="18"/>
          <w:szCs w:val="18"/>
          <w:lang w:val="mi-NZ"/>
        </w:rPr>
        <w:t xml:space="preserve"> </w:t>
      </w:r>
      <w:r w:rsidR="00D66A8B" w:rsidRPr="00407029">
        <w:rPr>
          <w:sz w:val="18"/>
          <w:szCs w:val="18"/>
          <w:lang w:val="mi-NZ"/>
        </w:rPr>
        <w:t xml:space="preserve">at </w:t>
      </w:r>
      <w:r w:rsidR="00E016B7" w:rsidRPr="00407029">
        <w:rPr>
          <w:sz w:val="18"/>
          <w:szCs w:val="18"/>
          <w:lang w:val="mi-NZ"/>
        </w:rPr>
        <w:t xml:space="preserve">[150] per William young and Ellen France JJ. </w:t>
      </w:r>
      <w:r w:rsidR="001706F0" w:rsidRPr="00407029">
        <w:rPr>
          <w:sz w:val="18"/>
          <w:szCs w:val="18"/>
          <w:lang w:val="mi-NZ"/>
        </w:rPr>
        <w:t>See also at [237] per Glazebrook J, [296] per Williams J, and [332] per Win</w:t>
      </w:r>
      <w:r w:rsidR="00D45599" w:rsidRPr="00407029">
        <w:rPr>
          <w:sz w:val="18"/>
          <w:szCs w:val="18"/>
          <w:lang w:val="mi-NZ"/>
        </w:rPr>
        <w:t>kelmann CJ.</w:t>
      </w:r>
    </w:p>
  </w:footnote>
  <w:footnote w:id="8">
    <w:p w14:paraId="00036526" w14:textId="107CF4E0" w:rsidR="00B23B84" w:rsidRPr="00407029" w:rsidRDefault="00B23B84"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9D72DA" w:rsidRPr="00407029">
        <w:rPr>
          <w:sz w:val="18"/>
          <w:szCs w:val="18"/>
          <w:lang w:val="mi-NZ"/>
        </w:rPr>
        <w:t xml:space="preserve">Supreme Court Act 2003, s 3(1)(a)(ii). </w:t>
      </w:r>
      <w:r w:rsidR="005C1878" w:rsidRPr="00407029">
        <w:rPr>
          <w:sz w:val="18"/>
          <w:szCs w:val="18"/>
          <w:lang w:val="mi-NZ"/>
        </w:rPr>
        <w:t>While this purpose was on stated in res</w:t>
      </w:r>
      <w:r w:rsidR="006424B6" w:rsidRPr="00407029">
        <w:rPr>
          <w:sz w:val="18"/>
          <w:szCs w:val="18"/>
          <w:lang w:val="mi-NZ"/>
        </w:rPr>
        <w:t>pect</w:t>
      </w:r>
      <w:r w:rsidR="005C1878" w:rsidRPr="00407029">
        <w:rPr>
          <w:sz w:val="18"/>
          <w:szCs w:val="18"/>
          <w:lang w:val="mi-NZ"/>
        </w:rPr>
        <w:t xml:space="preserve"> of the Supreme Court, it goes without saying that courts further down the hierarchy would be expected to do the s</w:t>
      </w:r>
      <w:r w:rsidR="006424B6" w:rsidRPr="00407029">
        <w:rPr>
          <w:sz w:val="18"/>
          <w:szCs w:val="18"/>
          <w:lang w:val="mi-NZ"/>
        </w:rPr>
        <w:t>am</w:t>
      </w:r>
      <w:r w:rsidR="005C1878" w:rsidRPr="00407029">
        <w:rPr>
          <w:sz w:val="18"/>
          <w:szCs w:val="18"/>
          <w:lang w:val="mi-NZ"/>
        </w:rPr>
        <w:t xml:space="preserve">e. The Treaty is also relevant to the Court’s leave criteria, </w:t>
      </w:r>
      <w:r w:rsidR="00504A6B" w:rsidRPr="00407029">
        <w:rPr>
          <w:sz w:val="18"/>
          <w:szCs w:val="18"/>
          <w:lang w:val="mi-NZ"/>
        </w:rPr>
        <w:t>Supreme Court Act 2003, s 13(2)(a) and (3). See also Senior Courts Act 2016, s 66(1) and</w:t>
      </w:r>
      <w:r w:rsidR="001316B5" w:rsidRPr="00407029">
        <w:rPr>
          <w:sz w:val="18"/>
          <w:szCs w:val="18"/>
          <w:lang w:val="mi-NZ"/>
        </w:rPr>
        <w:t>, for the leave crite</w:t>
      </w:r>
      <w:r w:rsidR="006424B6" w:rsidRPr="00407029">
        <w:rPr>
          <w:sz w:val="18"/>
          <w:szCs w:val="18"/>
          <w:lang w:val="mi-NZ"/>
        </w:rPr>
        <w:t>ria</w:t>
      </w:r>
      <w:r w:rsidR="001316B5" w:rsidRPr="00407029">
        <w:rPr>
          <w:sz w:val="18"/>
          <w:szCs w:val="18"/>
          <w:lang w:val="mi-NZ"/>
        </w:rPr>
        <w:t>, s 74(2)(a) and (3).</w:t>
      </w:r>
    </w:p>
  </w:footnote>
  <w:footnote w:id="9">
    <w:p w14:paraId="1424E62B" w14:textId="47FB9DBE" w:rsidR="00F21406" w:rsidRPr="00407029" w:rsidRDefault="00F21406"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401852" w:rsidRPr="00407029">
        <w:rPr>
          <w:sz w:val="18"/>
          <w:szCs w:val="18"/>
          <w:lang w:val="mi-NZ"/>
        </w:rPr>
        <w:t>Department of Prime Minister and Cabinet, Cabinet Manual 2023, at 2 and Appendix A</w:t>
      </w:r>
      <w:r w:rsidR="005C4279" w:rsidRPr="00407029">
        <w:rPr>
          <w:sz w:val="18"/>
          <w:szCs w:val="18"/>
          <w:lang w:val="mi-NZ"/>
        </w:rPr>
        <w:t xml:space="preserve"> (accessible at </w:t>
      </w:r>
      <w:hyperlink r:id="rId3" w:history="1">
        <w:r w:rsidR="0029019A" w:rsidRPr="00407029">
          <w:rPr>
            <w:rStyle w:val="Hyperlink"/>
            <w:sz w:val="18"/>
            <w:szCs w:val="18"/>
            <w:lang w:val="mi-NZ"/>
          </w:rPr>
          <w:t>https://www.dpmc.govt.nz/sites/default/files/2023-06/cabinet-manual-2023-v2.pdf</w:t>
        </w:r>
      </w:hyperlink>
      <w:r w:rsidR="0029019A" w:rsidRPr="00407029">
        <w:rPr>
          <w:sz w:val="18"/>
          <w:szCs w:val="18"/>
          <w:lang w:val="mi-NZ"/>
        </w:rPr>
        <w:t xml:space="preserve">). </w:t>
      </w:r>
    </w:p>
  </w:footnote>
  <w:footnote w:id="10">
    <w:p w14:paraId="51890B55" w14:textId="0CD21E14" w:rsidR="00450EC0" w:rsidRPr="00407029" w:rsidRDefault="00450EC0"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Ibid at 155.</w:t>
      </w:r>
    </w:p>
  </w:footnote>
  <w:footnote w:id="11">
    <w:p w14:paraId="16CDB00D" w14:textId="2ECFF0E5" w:rsidR="003F6788" w:rsidRPr="00407029" w:rsidRDefault="003F6788"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Cabinet Office Circular</w:t>
      </w:r>
      <w:r w:rsidR="00D44597" w:rsidRPr="00407029">
        <w:rPr>
          <w:sz w:val="18"/>
          <w:szCs w:val="18"/>
          <w:lang w:val="mi-NZ"/>
        </w:rPr>
        <w:t>, CO19(5), 22 October 2019, at [2]</w:t>
      </w:r>
      <w:r w:rsidR="00B85F5D" w:rsidRPr="00407029">
        <w:rPr>
          <w:sz w:val="18"/>
          <w:szCs w:val="18"/>
          <w:lang w:val="mi-NZ"/>
        </w:rPr>
        <w:t xml:space="preserve"> (accessible at </w:t>
      </w:r>
      <w:hyperlink r:id="rId4" w:history="1">
        <w:r w:rsidR="005A5E0D" w:rsidRPr="00407029">
          <w:rPr>
            <w:rStyle w:val="Hyperlink"/>
            <w:sz w:val="18"/>
            <w:szCs w:val="18"/>
            <w:lang w:val="mi-NZ"/>
          </w:rPr>
          <w:t>https://www.dpmc.govt.nz/sites/default/files/2019-10/CO%2019%20%285%29%20Treaty%20of%20Waitangi%20Guidance%20for%20Agencies.pdf</w:t>
        </w:r>
      </w:hyperlink>
      <w:r w:rsidR="005A5E0D" w:rsidRPr="00407029">
        <w:rPr>
          <w:sz w:val="18"/>
          <w:szCs w:val="18"/>
          <w:lang w:val="mi-NZ"/>
        </w:rPr>
        <w:t xml:space="preserve">) </w:t>
      </w:r>
    </w:p>
  </w:footnote>
  <w:footnote w:id="12">
    <w:p w14:paraId="29408E05" w14:textId="6721ED86" w:rsidR="00812EBF" w:rsidRPr="00407029" w:rsidRDefault="00812EBF"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Ibid at [17].</w:t>
      </w:r>
    </w:p>
  </w:footnote>
  <w:footnote w:id="13">
    <w:p w14:paraId="33AF5DB7" w14:textId="2ED472DE" w:rsidR="00724F00" w:rsidRPr="00407029" w:rsidRDefault="00724F00"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Rt Hon Pita Sharples “The Declaration contains principles that are consistent with the duties and principles inherent in the Treaty, such as operating in the spirit of partnership and mutual respect.” New York, 19 April 2010 and in New Zealand Māori Council v Attorney-General [2013] 3 NZLR 31 (SC).</w:t>
      </w:r>
    </w:p>
  </w:footnote>
  <w:footnote w:id="14">
    <w:p w14:paraId="7D4355B3" w14:textId="0952368D" w:rsidR="00724F00" w:rsidRPr="00407029" w:rsidRDefault="00724F00"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38406B" w:rsidRPr="00407029">
        <w:rPr>
          <w:sz w:val="18"/>
          <w:szCs w:val="18"/>
        </w:rPr>
        <w:t>Commissioner Karen Johansen’s address to the UN Expert Mechanism on the Rights of Indigenous Peoples, Third Session, July 2010.</w:t>
      </w:r>
    </w:p>
  </w:footnote>
  <w:footnote w:id="15">
    <w:p w14:paraId="0854228B" w14:textId="77777777" w:rsidR="001D5C8E" w:rsidRPr="00407029" w:rsidRDefault="001D5C8E"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color w:val="000000" w:themeColor="text1"/>
          <w:sz w:val="18"/>
          <w:szCs w:val="18"/>
        </w:rPr>
        <w:t>NZMC v Attorney General</w:t>
      </w:r>
      <w:r w:rsidRPr="00407029">
        <w:rPr>
          <w:rFonts w:cstheme="minorHAnsi"/>
          <w:color w:val="000000" w:themeColor="text1"/>
          <w:sz w:val="18"/>
          <w:szCs w:val="18"/>
        </w:rPr>
        <w:t xml:space="preserve"> (</w:t>
      </w:r>
      <w:r w:rsidRPr="00407029">
        <w:rPr>
          <w:rFonts w:cstheme="minorHAnsi"/>
          <w:i/>
          <w:color w:val="000000" w:themeColor="text1"/>
          <w:sz w:val="18"/>
          <w:szCs w:val="18"/>
        </w:rPr>
        <w:t xml:space="preserve">NZMC freshwater) </w:t>
      </w:r>
      <w:r w:rsidRPr="00407029">
        <w:rPr>
          <w:rFonts w:cstheme="minorHAnsi"/>
          <w:iCs/>
          <w:color w:val="000000" w:themeColor="text1"/>
          <w:sz w:val="18"/>
          <w:szCs w:val="18"/>
        </w:rPr>
        <w:t>[2013] NZSC 6 at [92].</w:t>
      </w:r>
    </w:p>
  </w:footnote>
  <w:footnote w:id="16">
    <w:p w14:paraId="1EBDEFFC" w14:textId="77777777" w:rsidR="001D5C8E" w:rsidRPr="00407029" w:rsidRDefault="001D5C8E" w:rsidP="000E3342">
      <w:pPr>
        <w:pStyle w:val="FootnoteText"/>
        <w:jc w:val="both"/>
        <w:rPr>
          <w:rFonts w:cstheme="minorHAnsi"/>
          <w:sz w:val="18"/>
          <w:szCs w:val="18"/>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iCs/>
          <w:sz w:val="18"/>
          <w:szCs w:val="18"/>
        </w:rPr>
        <w:t xml:space="preserve">Ellis v R </w:t>
      </w:r>
      <w:r w:rsidRPr="00407029">
        <w:rPr>
          <w:rFonts w:cstheme="minorHAnsi"/>
          <w:sz w:val="18"/>
          <w:szCs w:val="18"/>
        </w:rPr>
        <w:t>[2022) NZSC 114 at [126].</w:t>
      </w:r>
    </w:p>
  </w:footnote>
  <w:footnote w:id="17">
    <w:p w14:paraId="77AC66F1" w14:textId="77777777" w:rsidR="001D5C8E" w:rsidRPr="00407029" w:rsidRDefault="001D5C8E" w:rsidP="000E3342">
      <w:pPr>
        <w:pStyle w:val="FootnoteText"/>
        <w:jc w:val="both"/>
        <w:rPr>
          <w:rFonts w:cstheme="minorHAnsi"/>
          <w:sz w:val="18"/>
          <w:szCs w:val="18"/>
        </w:rPr>
      </w:pPr>
      <w:r w:rsidRPr="00407029">
        <w:rPr>
          <w:rStyle w:val="FootnoteReference"/>
          <w:rFonts w:cstheme="minorHAnsi"/>
          <w:sz w:val="18"/>
          <w:szCs w:val="18"/>
        </w:rPr>
        <w:footnoteRef/>
      </w:r>
      <w:r w:rsidRPr="00407029">
        <w:rPr>
          <w:rFonts w:cstheme="minorHAnsi"/>
          <w:sz w:val="18"/>
          <w:szCs w:val="18"/>
        </w:rPr>
        <w:t xml:space="preserve"> UNDRIP, art 34.</w:t>
      </w:r>
    </w:p>
  </w:footnote>
  <w:footnote w:id="18">
    <w:p w14:paraId="2BF627EF" w14:textId="77777777" w:rsidR="001D5C8E" w:rsidRPr="00407029" w:rsidRDefault="001D5C8E"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iCs/>
          <w:color w:val="000000" w:themeColor="text1"/>
          <w:sz w:val="18"/>
          <w:szCs w:val="18"/>
        </w:rPr>
        <w:t xml:space="preserve">Ngati Whatua Orakei Trust v Attorney General </w:t>
      </w:r>
      <w:r w:rsidRPr="00407029">
        <w:rPr>
          <w:rFonts w:cstheme="minorHAnsi"/>
          <w:color w:val="000000" w:themeColor="text1"/>
          <w:sz w:val="18"/>
          <w:szCs w:val="18"/>
        </w:rPr>
        <w:t>[2018] NZSC 84</w:t>
      </w:r>
      <w:r w:rsidRPr="00407029">
        <w:rPr>
          <w:rFonts w:cstheme="minorHAnsi"/>
          <w:i/>
          <w:iCs/>
          <w:color w:val="000000" w:themeColor="text1"/>
          <w:sz w:val="18"/>
          <w:szCs w:val="18"/>
        </w:rPr>
        <w:t>.</w:t>
      </w:r>
    </w:p>
  </w:footnote>
  <w:footnote w:id="19">
    <w:p w14:paraId="1D66C362" w14:textId="77777777" w:rsidR="001D5C8E" w:rsidRPr="00407029" w:rsidRDefault="001D5C8E"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iCs/>
          <w:color w:val="000000" w:themeColor="text1"/>
          <w:sz w:val="18"/>
          <w:szCs w:val="18"/>
          <w:bdr w:val="none" w:sz="0" w:space="0" w:color="auto" w:frame="1"/>
          <w:shd w:val="clear" w:color="auto" w:fill="FFFFFF"/>
        </w:rPr>
        <w:t>Proprietors of Wakatu v Attorney-General</w:t>
      </w:r>
      <w:r w:rsidRPr="00407029">
        <w:rPr>
          <w:rFonts w:cstheme="minorHAnsi"/>
          <w:i/>
          <w:iCs/>
          <w:color w:val="000000" w:themeColor="text1"/>
          <w:sz w:val="18"/>
          <w:szCs w:val="18"/>
          <w:shd w:val="clear" w:color="auto" w:fill="FFFFFF"/>
        </w:rPr>
        <w:t xml:space="preserve">  </w:t>
      </w:r>
      <w:r w:rsidRPr="00407029">
        <w:rPr>
          <w:rFonts w:cstheme="minorHAnsi"/>
          <w:color w:val="000000" w:themeColor="text1"/>
          <w:sz w:val="18"/>
          <w:szCs w:val="18"/>
          <w:shd w:val="clear" w:color="auto" w:fill="FFFFFF"/>
        </w:rPr>
        <w:t>[2017] NZSC 17</w:t>
      </w:r>
      <w:r w:rsidRPr="00407029">
        <w:rPr>
          <w:rFonts w:cstheme="minorHAnsi"/>
          <w:i/>
          <w:iCs/>
          <w:color w:val="000000" w:themeColor="text1"/>
          <w:sz w:val="18"/>
          <w:szCs w:val="18"/>
          <w:shd w:val="clear" w:color="auto" w:fill="FFFFFF"/>
        </w:rPr>
        <w:t>.</w:t>
      </w:r>
    </w:p>
  </w:footnote>
  <w:footnote w:id="20">
    <w:p w14:paraId="0A624BFD" w14:textId="77777777" w:rsidR="001D5C8E" w:rsidRPr="00407029" w:rsidRDefault="001D5C8E" w:rsidP="000E3342">
      <w:pPr>
        <w:spacing w:after="0" w:line="240" w:lineRule="auto"/>
        <w:jc w:val="both"/>
        <w:rPr>
          <w:rFonts w:cstheme="minorHAnsi"/>
          <w:i/>
          <w:color w:val="000000" w:themeColor="text1"/>
          <w:sz w:val="18"/>
          <w:szCs w:val="18"/>
          <w:bdr w:val="none" w:sz="0" w:space="0" w:color="auto" w:frame="1"/>
          <w:shd w:val="clear" w:color="auto" w:fill="FFFFFF"/>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iCs/>
          <w:color w:val="000000" w:themeColor="text1"/>
          <w:sz w:val="18"/>
          <w:szCs w:val="18"/>
          <w:bdr w:val="none" w:sz="0" w:space="0" w:color="auto" w:frame="1"/>
          <w:shd w:val="clear" w:color="auto" w:fill="FFFFFF"/>
        </w:rPr>
        <w:t>Takamore v Clarke</w:t>
      </w:r>
      <w:r w:rsidRPr="00407029">
        <w:rPr>
          <w:rFonts w:cstheme="minorHAnsi"/>
          <w:i/>
          <w:iCs/>
          <w:color w:val="000000" w:themeColor="text1"/>
          <w:sz w:val="18"/>
          <w:szCs w:val="18"/>
          <w:shd w:val="clear" w:color="auto" w:fill="FFFFFF"/>
        </w:rPr>
        <w:t xml:space="preserve"> </w:t>
      </w:r>
      <w:r w:rsidRPr="00407029">
        <w:rPr>
          <w:rFonts w:cstheme="minorHAnsi"/>
          <w:color w:val="000000" w:themeColor="text1"/>
          <w:sz w:val="18"/>
          <w:szCs w:val="18"/>
          <w:shd w:val="clear" w:color="auto" w:fill="FFFFFF"/>
        </w:rPr>
        <w:t>[2012] NZSC 116</w:t>
      </w:r>
      <w:r w:rsidRPr="00407029">
        <w:rPr>
          <w:rFonts w:cstheme="minorHAnsi"/>
          <w:i/>
          <w:iCs/>
          <w:color w:val="000000" w:themeColor="text1"/>
          <w:sz w:val="18"/>
          <w:szCs w:val="18"/>
          <w:shd w:val="clear" w:color="auto" w:fill="FFFFFF"/>
        </w:rPr>
        <w:t>.</w:t>
      </w:r>
    </w:p>
  </w:footnote>
  <w:footnote w:id="21">
    <w:p w14:paraId="7809E407" w14:textId="77777777" w:rsidR="001D5C8E" w:rsidRPr="00407029" w:rsidRDefault="001D5C8E"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iCs/>
          <w:color w:val="000000" w:themeColor="text1"/>
          <w:sz w:val="18"/>
          <w:szCs w:val="18"/>
        </w:rPr>
        <w:t>Paki v Attorney-General (No 2</w:t>
      </w:r>
      <w:r w:rsidRPr="00407029">
        <w:rPr>
          <w:rFonts w:cstheme="minorHAnsi"/>
          <w:color w:val="000000" w:themeColor="text1"/>
          <w:sz w:val="18"/>
          <w:szCs w:val="18"/>
        </w:rPr>
        <w:t>) [2014] NZSC 118</w:t>
      </w:r>
      <w:r w:rsidRPr="00407029">
        <w:rPr>
          <w:rFonts w:cstheme="minorHAnsi"/>
          <w:i/>
          <w:iCs/>
          <w:color w:val="000000" w:themeColor="text1"/>
          <w:sz w:val="18"/>
          <w:szCs w:val="18"/>
        </w:rPr>
        <w:t>.</w:t>
      </w:r>
    </w:p>
  </w:footnote>
  <w:footnote w:id="22">
    <w:p w14:paraId="2E7DC672" w14:textId="77777777" w:rsidR="001D5C8E" w:rsidRPr="00407029" w:rsidRDefault="001D5C8E"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r w:rsidRPr="00407029">
        <w:rPr>
          <w:rFonts w:cstheme="minorHAnsi"/>
          <w:i/>
          <w:color w:val="000000" w:themeColor="text1"/>
          <w:sz w:val="18"/>
          <w:szCs w:val="18"/>
        </w:rPr>
        <w:t>NZMC v Attorney General</w:t>
      </w:r>
      <w:r w:rsidRPr="00407029">
        <w:rPr>
          <w:rFonts w:cstheme="minorHAnsi"/>
          <w:color w:val="000000" w:themeColor="text1"/>
          <w:sz w:val="18"/>
          <w:szCs w:val="18"/>
        </w:rPr>
        <w:t xml:space="preserve"> (</w:t>
      </w:r>
      <w:r w:rsidRPr="00407029">
        <w:rPr>
          <w:rFonts w:cstheme="minorHAnsi"/>
          <w:i/>
          <w:color w:val="000000" w:themeColor="text1"/>
          <w:sz w:val="18"/>
          <w:szCs w:val="18"/>
        </w:rPr>
        <w:t xml:space="preserve">NZMC freshwater) </w:t>
      </w:r>
      <w:r w:rsidRPr="00407029">
        <w:rPr>
          <w:rFonts w:cstheme="minorHAnsi"/>
          <w:iCs/>
          <w:color w:val="000000" w:themeColor="text1"/>
          <w:sz w:val="18"/>
          <w:szCs w:val="18"/>
        </w:rPr>
        <w:t>[2013] NZSC 6.</w:t>
      </w:r>
    </w:p>
  </w:footnote>
  <w:footnote w:id="23">
    <w:p w14:paraId="46020AE3" w14:textId="41C07FBE" w:rsidR="001F25E9" w:rsidRPr="00407029" w:rsidRDefault="001F25E9"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A24D14" w:rsidRPr="00407029">
        <w:rPr>
          <w:sz w:val="18"/>
          <w:szCs w:val="18"/>
          <w:lang w:val="mi-NZ"/>
        </w:rPr>
        <w:t xml:space="preserve">Waitangi Tribunal “About the Waitangi Tribunal” </w:t>
      </w:r>
      <w:r w:rsidR="00825610" w:rsidRPr="00407029">
        <w:rPr>
          <w:sz w:val="18"/>
          <w:szCs w:val="18"/>
          <w:lang w:val="mi-NZ"/>
        </w:rPr>
        <w:t xml:space="preserve">(4 September 2023) </w:t>
      </w:r>
      <w:r w:rsidR="00083D0A" w:rsidRPr="00407029">
        <w:rPr>
          <w:sz w:val="18"/>
          <w:szCs w:val="18"/>
          <w:lang w:val="mi-NZ"/>
        </w:rPr>
        <w:t xml:space="preserve">Waitangi Tribunal </w:t>
      </w:r>
      <w:hyperlink r:id="rId5" w:history="1">
        <w:r w:rsidR="0034197A" w:rsidRPr="00407029">
          <w:rPr>
            <w:rStyle w:val="Hyperlink"/>
            <w:sz w:val="18"/>
            <w:szCs w:val="18"/>
            <w:lang w:val="mi-NZ"/>
          </w:rPr>
          <w:t>https://www.waitangitribunal.govt.nz/about/</w:t>
        </w:r>
      </w:hyperlink>
      <w:r w:rsidR="0034197A" w:rsidRPr="00407029">
        <w:rPr>
          <w:sz w:val="18"/>
          <w:szCs w:val="18"/>
          <w:lang w:val="mi-NZ"/>
        </w:rPr>
        <w:t xml:space="preserve"> </w:t>
      </w:r>
    </w:p>
  </w:footnote>
  <w:footnote w:id="24">
    <w:p w14:paraId="3B39136A" w14:textId="564EE0A3" w:rsidR="0034197A" w:rsidRPr="00407029" w:rsidRDefault="0034197A"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Ibid.</w:t>
      </w:r>
    </w:p>
  </w:footnote>
  <w:footnote w:id="25">
    <w:p w14:paraId="6EE4300A" w14:textId="6C6B0510" w:rsidR="002722FB" w:rsidRPr="00407029" w:rsidRDefault="002722FB"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Waitangi Tribunal </w:t>
      </w:r>
      <w:hyperlink r:id="rId6" w:history="1">
        <w:r w:rsidRPr="00407029">
          <w:rPr>
            <w:rStyle w:val="Hyperlink"/>
            <w:i/>
            <w:iCs/>
            <w:sz w:val="18"/>
            <w:szCs w:val="18"/>
          </w:rPr>
          <w:t>Report on the Māori Community Development Act</w:t>
        </w:r>
      </w:hyperlink>
      <w:r w:rsidRPr="00407029">
        <w:rPr>
          <w:i/>
          <w:iCs/>
          <w:sz w:val="18"/>
          <w:szCs w:val="18"/>
        </w:rPr>
        <w:t xml:space="preserve"> </w:t>
      </w:r>
      <w:r w:rsidR="000515FA" w:rsidRPr="00407029">
        <w:rPr>
          <w:sz w:val="18"/>
          <w:szCs w:val="18"/>
        </w:rPr>
        <w:t>(Wai 2417, 2014).</w:t>
      </w:r>
    </w:p>
  </w:footnote>
  <w:footnote w:id="26">
    <w:p w14:paraId="5EEDAA08" w14:textId="53841F0D" w:rsidR="00B92364" w:rsidRPr="00407029" w:rsidRDefault="00B92364"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 xml:space="preserve">Ibid at </w:t>
      </w:r>
      <w:r w:rsidR="0051546A" w:rsidRPr="00407029">
        <w:rPr>
          <w:sz w:val="18"/>
          <w:szCs w:val="18"/>
          <w:lang w:val="mi-NZ"/>
        </w:rPr>
        <w:t>34.</w:t>
      </w:r>
    </w:p>
  </w:footnote>
  <w:footnote w:id="27">
    <w:p w14:paraId="246DFEAA" w14:textId="70395ACA" w:rsidR="003236A9" w:rsidRPr="00407029" w:rsidRDefault="003236A9"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 xml:space="preserve">Ibid at </w:t>
      </w:r>
      <w:r w:rsidR="00DC7391" w:rsidRPr="00407029">
        <w:rPr>
          <w:sz w:val="18"/>
          <w:szCs w:val="18"/>
          <w:lang w:val="mi-NZ"/>
        </w:rPr>
        <w:t>39.</w:t>
      </w:r>
    </w:p>
  </w:footnote>
  <w:footnote w:id="28">
    <w:p w14:paraId="71101ACB" w14:textId="55701101" w:rsidR="00941701" w:rsidRPr="00407029" w:rsidRDefault="00941701"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Waitangi Tribunal “Inquiries</w:t>
      </w:r>
      <w:r w:rsidR="00290731" w:rsidRPr="00407029">
        <w:rPr>
          <w:sz w:val="18"/>
          <w:szCs w:val="18"/>
          <w:lang w:val="mi-NZ"/>
        </w:rPr>
        <w:t>: Porirua ki Manawatū”</w:t>
      </w:r>
      <w:r w:rsidR="00013DE0" w:rsidRPr="00407029">
        <w:rPr>
          <w:sz w:val="18"/>
          <w:szCs w:val="18"/>
          <w:lang w:val="mi-NZ"/>
        </w:rPr>
        <w:t xml:space="preserve"> </w:t>
      </w:r>
      <w:hyperlink r:id="rId7" w:history="1">
        <w:r w:rsidR="00013DE0" w:rsidRPr="00407029">
          <w:rPr>
            <w:rStyle w:val="Hyperlink"/>
            <w:sz w:val="18"/>
            <w:szCs w:val="18"/>
            <w:lang w:val="mi-NZ"/>
          </w:rPr>
          <w:t>https://waitangitribunal.govt.nz/inquiries/district-inquiries/porirua-ki-manawatu/</w:t>
        </w:r>
      </w:hyperlink>
      <w:r w:rsidR="00013DE0" w:rsidRPr="00407029">
        <w:rPr>
          <w:sz w:val="18"/>
          <w:szCs w:val="18"/>
          <w:lang w:val="mi-NZ"/>
        </w:rPr>
        <w:t xml:space="preserve">. </w:t>
      </w:r>
    </w:p>
  </w:footnote>
  <w:footnote w:id="29">
    <w:p w14:paraId="6E84CE0E" w14:textId="264CE8CF" w:rsidR="00013DE0" w:rsidRPr="00407029" w:rsidRDefault="00013DE0"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Ibid.</w:t>
      </w:r>
    </w:p>
  </w:footnote>
  <w:footnote w:id="30">
    <w:p w14:paraId="18ABB1E4" w14:textId="62BB9FC9" w:rsidR="00106A7E" w:rsidRPr="00407029" w:rsidRDefault="00106A7E"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Para</w:t>
      </w:r>
      <w:r w:rsidR="00435B14" w:rsidRPr="00407029">
        <w:rPr>
          <w:sz w:val="18"/>
          <w:szCs w:val="18"/>
          <w:lang w:val="mi-NZ"/>
        </w:rPr>
        <w:t xml:space="preserve"> 55.</w:t>
      </w:r>
    </w:p>
  </w:footnote>
  <w:footnote w:id="31">
    <w:p w14:paraId="2FF2F0DF" w14:textId="2D3CA397" w:rsidR="00435B14" w:rsidRPr="00407029" w:rsidRDefault="00435B14"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Para 56.</w:t>
      </w:r>
    </w:p>
  </w:footnote>
  <w:footnote w:id="32">
    <w:p w14:paraId="1CFE6EF3" w14:textId="67E58642" w:rsidR="0042156B" w:rsidRPr="00407029" w:rsidRDefault="0042156B"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3C4749" w:rsidRPr="00407029">
        <w:rPr>
          <w:sz w:val="18"/>
          <w:szCs w:val="18"/>
        </w:rPr>
        <w:t xml:space="preserve">Waitangi Tribunal </w:t>
      </w:r>
      <w:hyperlink r:id="rId8" w:history="1">
        <w:r w:rsidR="003C4749" w:rsidRPr="00407029">
          <w:rPr>
            <w:rStyle w:val="Hyperlink"/>
            <w:i/>
            <w:iCs/>
            <w:sz w:val="18"/>
            <w:szCs w:val="18"/>
          </w:rPr>
          <w:t>Ko Aotearoa Tēnei</w:t>
        </w:r>
      </w:hyperlink>
      <w:r w:rsidR="00727806" w:rsidRPr="00407029">
        <w:rPr>
          <w:i/>
          <w:iCs/>
          <w:sz w:val="18"/>
          <w:szCs w:val="18"/>
        </w:rPr>
        <w:t xml:space="preserve"> </w:t>
      </w:r>
      <w:r w:rsidR="00727806" w:rsidRPr="00407029">
        <w:rPr>
          <w:sz w:val="18"/>
          <w:szCs w:val="18"/>
        </w:rPr>
        <w:t>(Wai 262, 2011).</w:t>
      </w:r>
    </w:p>
  </w:footnote>
  <w:footnote w:id="33">
    <w:p w14:paraId="503093FE" w14:textId="4E587668" w:rsidR="00727806" w:rsidRPr="00407029" w:rsidRDefault="00727806"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 xml:space="preserve">Ibid at </w:t>
      </w:r>
      <w:r w:rsidR="00FF5867" w:rsidRPr="00407029">
        <w:rPr>
          <w:sz w:val="18"/>
          <w:szCs w:val="18"/>
          <w:lang w:val="mi-NZ"/>
        </w:rPr>
        <w:t>672.</w:t>
      </w:r>
    </w:p>
  </w:footnote>
  <w:footnote w:id="34">
    <w:p w14:paraId="078035B7" w14:textId="23551AD4" w:rsidR="00FF5867" w:rsidRPr="00407029" w:rsidRDefault="00FF5867"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Ibid at 233.</w:t>
      </w:r>
    </w:p>
  </w:footnote>
  <w:footnote w:id="35">
    <w:p w14:paraId="39DDEBBE" w14:textId="0EE3DAD0" w:rsidR="00271526" w:rsidRPr="00407029" w:rsidRDefault="00271526"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F4766A" w:rsidRPr="00407029">
        <w:rPr>
          <w:sz w:val="18"/>
          <w:szCs w:val="18"/>
          <w:lang w:val="mi-NZ"/>
        </w:rPr>
        <w:t>Wai 143 (Wellington, 1996) at 307-308.</w:t>
      </w:r>
    </w:p>
  </w:footnote>
  <w:footnote w:id="36">
    <w:p w14:paraId="14A96689" w14:textId="247C85A7" w:rsidR="003957A5" w:rsidRPr="00407029" w:rsidRDefault="003957A5"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Wai 796 (Wellington, 2010) 144 and 152-153.</w:t>
      </w:r>
    </w:p>
  </w:footnote>
  <w:footnote w:id="37">
    <w:p w14:paraId="14A4C311" w14:textId="2E573650" w:rsidR="003957A5" w:rsidRPr="00407029" w:rsidRDefault="003957A5"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Pr="00407029">
        <w:rPr>
          <w:sz w:val="18"/>
          <w:szCs w:val="18"/>
          <w:lang w:val="mi-NZ"/>
        </w:rPr>
        <w:t>Wai 2359 (Wellington, 2012) at 33, 35, 98, 140 and 235.</w:t>
      </w:r>
    </w:p>
  </w:footnote>
  <w:footnote w:id="38">
    <w:p w14:paraId="6E89F429" w14:textId="127E52B2" w:rsidR="006F426B" w:rsidRPr="00407029" w:rsidRDefault="006F426B"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C011B6" w:rsidRPr="00407029">
        <w:rPr>
          <w:sz w:val="18"/>
          <w:szCs w:val="18"/>
          <w:lang w:val="mi-NZ"/>
        </w:rPr>
        <w:t xml:space="preserve">Cabinet Minute of Descison </w:t>
      </w:r>
      <w:r w:rsidR="00457001" w:rsidRPr="00407029">
        <w:rPr>
          <w:sz w:val="18"/>
          <w:szCs w:val="18"/>
          <w:lang w:val="mi-NZ"/>
        </w:rPr>
        <w:t>“New Zealand’s Progress on the United Nations Declaration on the Rights of Indigenous Peoples</w:t>
      </w:r>
      <w:r w:rsidR="00930D3F" w:rsidRPr="00407029">
        <w:rPr>
          <w:sz w:val="18"/>
          <w:szCs w:val="18"/>
          <w:lang w:val="mi-NZ"/>
        </w:rPr>
        <w:t>: Development of a National Plan” (</w:t>
      </w:r>
      <w:r w:rsidR="00FC549B" w:rsidRPr="00407029">
        <w:rPr>
          <w:sz w:val="18"/>
          <w:szCs w:val="18"/>
          <w:lang w:val="mi-NZ"/>
        </w:rPr>
        <w:t xml:space="preserve">March 2019) </w:t>
      </w:r>
      <w:r w:rsidR="000551A1" w:rsidRPr="00407029">
        <w:rPr>
          <w:sz w:val="18"/>
          <w:szCs w:val="18"/>
          <w:lang w:val="mi-NZ"/>
        </w:rPr>
        <w:t>CAB MCR-19-MIN-0003</w:t>
      </w:r>
      <w:r w:rsidR="00E34197" w:rsidRPr="00407029">
        <w:rPr>
          <w:sz w:val="18"/>
          <w:szCs w:val="18"/>
          <w:lang w:val="mi-NZ"/>
        </w:rPr>
        <w:t xml:space="preserve"> at [4]. See also </w:t>
      </w:r>
      <w:hyperlink r:id="rId9" w:history="1">
        <w:r w:rsidR="00F71471" w:rsidRPr="00407029">
          <w:rPr>
            <w:rStyle w:val="Hyperlink"/>
            <w:sz w:val="18"/>
            <w:szCs w:val="18"/>
            <w:lang w:val="mi-NZ"/>
          </w:rPr>
          <w:t>https://www.tpk.govt.nz/en/mo-te-puni-kokiri/corporate-documents/cabinet-papers/all-cabinet-papers/next-steps-for-declaration-plan</w:t>
        </w:r>
      </w:hyperlink>
      <w:r w:rsidR="00F71471" w:rsidRPr="00407029">
        <w:rPr>
          <w:sz w:val="18"/>
          <w:szCs w:val="18"/>
          <w:lang w:val="mi-NZ"/>
        </w:rPr>
        <w:t>.</w:t>
      </w:r>
    </w:p>
  </w:footnote>
  <w:footnote w:id="39">
    <w:p w14:paraId="2D3C6A1A" w14:textId="285CF7A9" w:rsidR="000F2DED" w:rsidRPr="00407029" w:rsidRDefault="000F2DED" w:rsidP="000E3342">
      <w:pPr>
        <w:pStyle w:val="FootnoteText"/>
        <w:jc w:val="both"/>
        <w:rPr>
          <w:sz w:val="18"/>
          <w:szCs w:val="18"/>
          <w:lang w:val="mi-NZ"/>
        </w:rPr>
      </w:pPr>
      <w:r w:rsidRPr="00407029">
        <w:rPr>
          <w:rStyle w:val="FootnoteReference"/>
          <w:sz w:val="18"/>
          <w:szCs w:val="18"/>
        </w:rPr>
        <w:footnoteRef/>
      </w:r>
      <w:r w:rsidRPr="00407029">
        <w:rPr>
          <w:sz w:val="18"/>
          <w:szCs w:val="18"/>
        </w:rPr>
        <w:t xml:space="preserve"> </w:t>
      </w:r>
      <w:r w:rsidR="002835DA" w:rsidRPr="00407029">
        <w:rPr>
          <w:rFonts w:cstheme="minorHAnsi"/>
          <w:sz w:val="18"/>
          <w:szCs w:val="18"/>
          <w:lang w:val="mi-NZ"/>
        </w:rPr>
        <w:t xml:space="preserve">For example: recommendations 122.167-172, </w:t>
      </w:r>
      <w:r w:rsidR="002835DA" w:rsidRPr="00407029">
        <w:rPr>
          <w:rFonts w:cstheme="minorHAnsi"/>
          <w:color w:val="000000"/>
          <w:sz w:val="18"/>
          <w:szCs w:val="18"/>
          <w:lang w:eastAsia="en-GB"/>
        </w:rPr>
        <w:t>A/HRC/41/4/Add.1 - Para. 56-63</w:t>
      </w:r>
      <w:r w:rsidR="000E3342" w:rsidRPr="00407029">
        <w:rPr>
          <w:rFonts w:cstheme="minorHAnsi"/>
          <w:color w:val="000000"/>
          <w:sz w:val="18"/>
          <w:szCs w:val="18"/>
          <w:lang w:eastAsia="en-GB"/>
        </w:rPr>
        <w:t>.</w:t>
      </w:r>
    </w:p>
  </w:footnote>
  <w:footnote w:id="40">
    <w:p w14:paraId="7A237F21" w14:textId="77777777" w:rsidR="00E25B73" w:rsidRPr="00407029" w:rsidRDefault="00E25B73" w:rsidP="000E3342">
      <w:pPr>
        <w:pStyle w:val="FootnoteText"/>
        <w:jc w:val="both"/>
        <w:rPr>
          <w:rFonts w:cstheme="minorHAnsi"/>
          <w:sz w:val="18"/>
          <w:szCs w:val="18"/>
          <w:lang w:val="mi-NZ"/>
        </w:rPr>
      </w:pPr>
      <w:r w:rsidRPr="00407029">
        <w:rPr>
          <w:rStyle w:val="FootnoteReference"/>
          <w:rFonts w:cstheme="minorHAnsi"/>
          <w:sz w:val="18"/>
          <w:szCs w:val="18"/>
        </w:rPr>
        <w:footnoteRef/>
      </w:r>
      <w:r w:rsidRPr="00407029">
        <w:rPr>
          <w:rFonts w:cstheme="minorHAnsi"/>
          <w:sz w:val="18"/>
          <w:szCs w:val="18"/>
        </w:rPr>
        <w:t xml:space="preserve"> EMRIP (2019), </w:t>
      </w:r>
      <w:r w:rsidRPr="00407029">
        <w:rPr>
          <w:rFonts w:cstheme="minorHAnsi"/>
          <w:i/>
          <w:iCs/>
          <w:sz w:val="18"/>
          <w:szCs w:val="18"/>
        </w:rPr>
        <w:t>Expert Mechanism on the Rights of Indigenous Peoples Country Engagement Mission (8 – 13 April 2019) – New Zealand, 14 July 2019</w:t>
      </w:r>
      <w:r w:rsidRPr="00407029">
        <w:rPr>
          <w:rFonts w:cstheme="minorHAnsi"/>
          <w:sz w:val="18"/>
          <w:szCs w:val="18"/>
        </w:rPr>
        <w:t xml:space="preserve">, accessible at: </w:t>
      </w:r>
      <w:hyperlink r:id="rId10" w:history="1">
        <w:r w:rsidRPr="00407029">
          <w:rPr>
            <w:rStyle w:val="Hyperlink"/>
            <w:rFonts w:cstheme="minorHAnsi"/>
            <w:sz w:val="18"/>
            <w:szCs w:val="18"/>
          </w:rPr>
          <w:t>https://www.ohchr.org/sites/default/files/Documents/Issues/IPeoples/EMRIP/Session12/EMRIPAdvisroyNoteNZ2019.docx</w:t>
        </w:r>
      </w:hyperlink>
      <w:r w:rsidRPr="00407029">
        <w:rPr>
          <w:rFonts w:cstheme="minorHAnsi"/>
          <w:sz w:val="18"/>
          <w:szCs w:val="18"/>
        </w:rPr>
        <w:t xml:space="preserve"> </w:t>
      </w:r>
    </w:p>
  </w:footnote>
  <w:footnote w:id="41">
    <w:p w14:paraId="3ED11724" w14:textId="77777777" w:rsidR="00E25B73" w:rsidRPr="00407029" w:rsidRDefault="00E25B73" w:rsidP="000E3342">
      <w:pPr>
        <w:spacing w:after="0" w:line="240" w:lineRule="auto"/>
        <w:jc w:val="both"/>
        <w:rPr>
          <w:rFonts w:eastAsia="Arial" w:cstheme="minorHAnsi"/>
          <w:sz w:val="18"/>
          <w:szCs w:val="18"/>
        </w:rPr>
      </w:pPr>
      <w:r w:rsidRPr="00407029">
        <w:rPr>
          <w:rStyle w:val="FootnoteReference"/>
          <w:rFonts w:cstheme="minorHAnsi"/>
          <w:sz w:val="18"/>
          <w:szCs w:val="18"/>
        </w:rPr>
        <w:footnoteRef/>
      </w:r>
      <w:r w:rsidRPr="00407029">
        <w:rPr>
          <w:rFonts w:cstheme="minorHAnsi"/>
          <w:sz w:val="18"/>
          <w:szCs w:val="18"/>
        </w:rPr>
        <w:t xml:space="preserve"> The report of targeted engagement is available at: </w:t>
      </w:r>
      <w:hyperlink r:id="rId11" w:history="1">
        <w:r w:rsidRPr="00407029">
          <w:rPr>
            <w:rStyle w:val="Hyperlink"/>
            <w:rFonts w:cstheme="minorHAnsi"/>
            <w:sz w:val="18"/>
            <w:szCs w:val="18"/>
          </w:rPr>
          <w:t>https://www.tpk.govt.nz/docs/tpk-undrip-keythemesm%C4%81oritargetedengagement-april2022v2.pdf</w:t>
        </w:r>
      </w:hyperlink>
    </w:p>
  </w:footnote>
  <w:footnote w:id="42">
    <w:p w14:paraId="7671872F" w14:textId="77777777" w:rsidR="00E25B73" w:rsidRPr="00F56DC9" w:rsidRDefault="00E25B73" w:rsidP="000E3342">
      <w:pPr>
        <w:pStyle w:val="FootnoteText"/>
        <w:jc w:val="both"/>
        <w:rPr>
          <w:rFonts w:ascii="Arial" w:hAnsi="Arial" w:cs="Arial"/>
          <w:sz w:val="18"/>
          <w:szCs w:val="18"/>
          <w:lang w:val="mi-NZ"/>
        </w:rPr>
      </w:pPr>
      <w:r w:rsidRPr="00407029">
        <w:rPr>
          <w:rStyle w:val="FootnoteReference"/>
          <w:rFonts w:cstheme="minorHAnsi"/>
          <w:sz w:val="18"/>
          <w:szCs w:val="18"/>
        </w:rPr>
        <w:footnoteRef/>
      </w:r>
      <w:r w:rsidRPr="00407029">
        <w:rPr>
          <w:rFonts w:cstheme="minorHAnsi"/>
          <w:sz w:val="18"/>
          <w:szCs w:val="18"/>
        </w:rPr>
        <w:t xml:space="preserve"> </w:t>
      </w:r>
      <w:hyperlink r:id="rId12" w:history="1">
        <w:r w:rsidRPr="00407029">
          <w:rPr>
            <w:rStyle w:val="Hyperlink"/>
            <w:rFonts w:cstheme="minorHAnsi"/>
            <w:sz w:val="18"/>
            <w:szCs w:val="18"/>
          </w:rPr>
          <w:t>https://www.newsroom.co.nz/co-governance-plan-kicked-down-the-road-to-2024</w:t>
        </w:r>
      </w:hyperlink>
      <w:r w:rsidRPr="00F56DC9">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116400235"/>
      <w:dataBinding w:prefixMappings="xmlns:ns0='http://purl.org/dc/elements/1.1/' xmlns:ns1='http://schemas.openxmlformats.org/package/2006/metadata/core-properties' " w:xpath="/ns1:coreProperties[1]/ns0:title[1]" w:storeItemID="{6C3C8BC8-F283-45AE-878A-BAB7291924A1}"/>
      <w:text/>
    </w:sdtPr>
    <w:sdtEndPr/>
    <w:sdtContent>
      <w:p w14:paraId="0DCBE852" w14:textId="3464CD68" w:rsidR="00387619" w:rsidRPr="009605EE" w:rsidRDefault="00AF6B30">
        <w:pPr>
          <w:pStyle w:val="Header"/>
          <w:jc w:val="right"/>
          <w:rPr>
            <w:color w:val="7F7F7F" w:themeColor="text1" w:themeTint="80"/>
          </w:rPr>
        </w:pPr>
        <w:r>
          <w:rPr>
            <w:color w:val="7F7F7F" w:themeColor="text1" w:themeTint="80"/>
          </w:rPr>
          <w:t>Submission on tikanga Māori and its place in Aotearoa New Zealand’s legal landscape</w:t>
        </w:r>
      </w:p>
    </w:sdtContent>
  </w:sdt>
</w:hdr>
</file>

<file path=word/intelligence2.xml><?xml version="1.0" encoding="utf-8"?>
<int2:intelligence xmlns:int2="http://schemas.microsoft.com/office/intelligence/2020/intelligence" xmlns:oel="http://schemas.microsoft.com/office/2019/extlst">
  <int2:observations>
    <int2:textHash int2:hashCode="pjXZoFlJYuE+3H" int2:id="1NmLhC8i">
      <int2:state int2:value="Rejected" int2:type="AugLoop_Text_Critique"/>
    </int2:textHash>
    <int2:textHash int2:hashCode="a4eXgNNiBqhqPV" int2:id="1SaEbEKJ">
      <int2:state int2:value="Rejected" int2:type="AugLoop_Text_Critique"/>
    </int2:textHash>
    <int2:textHash int2:hashCode="QIFYZD7VZMcvoJ" int2:id="3Z6SBeIG">
      <int2:state int2:value="Rejected" int2:type="AugLoop_Text_Critique"/>
    </int2:textHash>
    <int2:textHash int2:hashCode="cS4IZ6J1W4Qj5m" int2:id="44ebNjJb">
      <int2:state int2:value="Rejected" int2:type="AugLoop_Text_Critique"/>
    </int2:textHash>
    <int2:textHash int2:hashCode="wqawPxkN+ytKqR" int2:id="A0v1g5cd">
      <int2:state int2:value="Rejected" int2:type="AugLoop_Text_Critique"/>
    </int2:textHash>
    <int2:textHash int2:hashCode="WGUCD8oB92AVtH" int2:id="FRkuGA8B">
      <int2:state int2:value="Rejected" int2:type="AugLoop_Text_Critique"/>
    </int2:textHash>
    <int2:textHash int2:hashCode="rxDvIN2QYLvurQ" int2:id="HX36xHMM">
      <int2:state int2:value="Rejected" int2:type="AugLoop_Text_Critique"/>
    </int2:textHash>
    <int2:textHash int2:hashCode="M7giAQgex8Q4y1" int2:id="QuUGAD53">
      <int2:state int2:value="Rejected" int2:type="AugLoop_Text_Critique"/>
    </int2:textHash>
    <int2:textHash int2:hashCode="Hwh6WVT2JJu3JF" int2:id="UP1TzSPV">
      <int2:state int2:value="Rejected" int2:type="AugLoop_Text_Critique"/>
    </int2:textHash>
    <int2:textHash int2:hashCode="u8zfLvsztS5snQ" int2:id="VKTZGA9J">
      <int2:state int2:value="Rejected" int2:type="AugLoop_Text_Critique"/>
    </int2:textHash>
    <int2:textHash int2:hashCode="9kIXkgYRKD6AfN" int2:id="YQqpQ6Y5">
      <int2:state int2:value="Rejected" int2:type="AugLoop_Text_Critique"/>
    </int2:textHash>
    <int2:textHash int2:hashCode="n49+7F3qWsQ3OH" int2:id="ZkbjOGLY">
      <int2:state int2:value="Rejected" int2:type="AugLoop_Text_Critique"/>
    </int2:textHash>
    <int2:textHash int2:hashCode="9KCU2zg5UVKZuh" int2:id="mz7dNM8n">
      <int2:state int2:value="Rejected" int2:type="AugLoop_Text_Critique"/>
    </int2:textHash>
    <int2:textHash int2:hashCode="PeUh02GRVekij4" int2:id="psKoueFx">
      <int2:state int2:value="Rejected" int2:type="AugLoop_Text_Critique"/>
    </int2:textHash>
    <int2:textHash int2:hashCode="ZGe6o7GHNz45MU" int2:id="tyRSk2tY">
      <int2:state int2:value="Rejected" int2:type="AugLoop_Text_Critique"/>
    </int2:textHash>
    <int2:textHash int2:hashCode="3+LbdJdeCqn2/d" int2:id="v3eRDprx">
      <int2:state int2:value="Rejected" int2:type="AugLoop_Text_Critique"/>
    </int2:textHash>
    <int2:textHash int2:hashCode="D/Bx6XniAGKiXA" int2:id="z5UtcCg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914"/>
    <w:multiLevelType w:val="hybridMultilevel"/>
    <w:tmpl w:val="D95093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7369A2"/>
    <w:multiLevelType w:val="multilevel"/>
    <w:tmpl w:val="2E327BB8"/>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pStyle w:val="ListLevel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6E2128"/>
    <w:multiLevelType w:val="hybridMultilevel"/>
    <w:tmpl w:val="6B68E06C"/>
    <w:lvl w:ilvl="0" w:tplc="A90E275E">
      <w:start w:val="1"/>
      <w:numFmt w:val="bullet"/>
      <w:lvlText w:val="·"/>
      <w:lvlJc w:val="left"/>
      <w:pPr>
        <w:ind w:left="720" w:hanging="360"/>
      </w:pPr>
      <w:rPr>
        <w:rFonts w:ascii="&quot;Calibri Light&quot;,sans-serif" w:hAnsi="&quot;Calibri Light&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1FACF"/>
    <w:multiLevelType w:val="hybridMultilevel"/>
    <w:tmpl w:val="A9709A4E"/>
    <w:lvl w:ilvl="0" w:tplc="0ED095EA">
      <w:start w:val="1"/>
      <w:numFmt w:val="bullet"/>
      <w:lvlText w:val="·"/>
      <w:lvlJc w:val="left"/>
      <w:pPr>
        <w:ind w:left="720" w:hanging="360"/>
      </w:pPr>
      <w:rPr>
        <w:rFonts w:ascii="Symbol" w:hAnsi="Symbol" w:hint="default"/>
      </w:rPr>
    </w:lvl>
    <w:lvl w:ilvl="1" w:tplc="986E47CE">
      <w:start w:val="1"/>
      <w:numFmt w:val="bullet"/>
      <w:lvlText w:val="o"/>
      <w:lvlJc w:val="left"/>
      <w:pPr>
        <w:ind w:left="1440" w:hanging="360"/>
      </w:pPr>
      <w:rPr>
        <w:rFonts w:ascii="Courier New" w:hAnsi="Courier New" w:hint="default"/>
      </w:rPr>
    </w:lvl>
    <w:lvl w:ilvl="2" w:tplc="0DD05CDE">
      <w:start w:val="1"/>
      <w:numFmt w:val="bullet"/>
      <w:lvlText w:val=""/>
      <w:lvlJc w:val="left"/>
      <w:pPr>
        <w:ind w:left="2160" w:hanging="360"/>
      </w:pPr>
      <w:rPr>
        <w:rFonts w:ascii="Wingdings" w:hAnsi="Wingdings" w:hint="default"/>
      </w:rPr>
    </w:lvl>
    <w:lvl w:ilvl="3" w:tplc="431E41C0">
      <w:start w:val="1"/>
      <w:numFmt w:val="bullet"/>
      <w:lvlText w:val=""/>
      <w:lvlJc w:val="left"/>
      <w:pPr>
        <w:ind w:left="2880" w:hanging="360"/>
      </w:pPr>
      <w:rPr>
        <w:rFonts w:ascii="Symbol" w:hAnsi="Symbol" w:hint="default"/>
      </w:rPr>
    </w:lvl>
    <w:lvl w:ilvl="4" w:tplc="D8FCD716">
      <w:start w:val="1"/>
      <w:numFmt w:val="bullet"/>
      <w:lvlText w:val="o"/>
      <w:lvlJc w:val="left"/>
      <w:pPr>
        <w:ind w:left="3600" w:hanging="360"/>
      </w:pPr>
      <w:rPr>
        <w:rFonts w:ascii="Courier New" w:hAnsi="Courier New" w:hint="default"/>
      </w:rPr>
    </w:lvl>
    <w:lvl w:ilvl="5" w:tplc="FDC65A1C">
      <w:start w:val="1"/>
      <w:numFmt w:val="bullet"/>
      <w:lvlText w:val=""/>
      <w:lvlJc w:val="left"/>
      <w:pPr>
        <w:ind w:left="4320" w:hanging="360"/>
      </w:pPr>
      <w:rPr>
        <w:rFonts w:ascii="Wingdings" w:hAnsi="Wingdings" w:hint="default"/>
      </w:rPr>
    </w:lvl>
    <w:lvl w:ilvl="6" w:tplc="3CFCFBA8">
      <w:start w:val="1"/>
      <w:numFmt w:val="bullet"/>
      <w:lvlText w:val=""/>
      <w:lvlJc w:val="left"/>
      <w:pPr>
        <w:ind w:left="5040" w:hanging="360"/>
      </w:pPr>
      <w:rPr>
        <w:rFonts w:ascii="Symbol" w:hAnsi="Symbol" w:hint="default"/>
      </w:rPr>
    </w:lvl>
    <w:lvl w:ilvl="7" w:tplc="E2BABF10">
      <w:start w:val="1"/>
      <w:numFmt w:val="bullet"/>
      <w:lvlText w:val="o"/>
      <w:lvlJc w:val="left"/>
      <w:pPr>
        <w:ind w:left="5760" w:hanging="360"/>
      </w:pPr>
      <w:rPr>
        <w:rFonts w:ascii="Courier New" w:hAnsi="Courier New" w:hint="default"/>
      </w:rPr>
    </w:lvl>
    <w:lvl w:ilvl="8" w:tplc="4D26024A">
      <w:start w:val="1"/>
      <w:numFmt w:val="bullet"/>
      <w:lvlText w:val=""/>
      <w:lvlJc w:val="left"/>
      <w:pPr>
        <w:ind w:left="6480" w:hanging="360"/>
      </w:pPr>
      <w:rPr>
        <w:rFonts w:ascii="Wingdings" w:hAnsi="Wingdings" w:hint="default"/>
      </w:rPr>
    </w:lvl>
  </w:abstractNum>
  <w:abstractNum w:abstractNumId="4" w15:restartNumberingAfterBreak="0">
    <w:nsid w:val="0C739879"/>
    <w:multiLevelType w:val="hybridMultilevel"/>
    <w:tmpl w:val="DCB00B3E"/>
    <w:lvl w:ilvl="0" w:tplc="A90E275E">
      <w:start w:val="1"/>
      <w:numFmt w:val="bullet"/>
      <w:lvlText w:val="·"/>
      <w:lvlJc w:val="left"/>
      <w:pPr>
        <w:ind w:left="720" w:hanging="360"/>
      </w:pPr>
      <w:rPr>
        <w:rFonts w:ascii="&quot;Calibri Light&quot;,sans-serif" w:hAnsi="&quot;Calibri Light&quot;,sans-serif" w:hint="default"/>
      </w:rPr>
    </w:lvl>
    <w:lvl w:ilvl="1" w:tplc="8FB202F2">
      <w:start w:val="1"/>
      <w:numFmt w:val="bullet"/>
      <w:lvlText w:val="o"/>
      <w:lvlJc w:val="left"/>
      <w:pPr>
        <w:ind w:left="1440" w:hanging="360"/>
      </w:pPr>
      <w:rPr>
        <w:rFonts w:ascii="Courier New" w:hAnsi="Courier New" w:hint="default"/>
      </w:rPr>
    </w:lvl>
    <w:lvl w:ilvl="2" w:tplc="7D70C068">
      <w:start w:val="1"/>
      <w:numFmt w:val="bullet"/>
      <w:lvlText w:val=""/>
      <w:lvlJc w:val="left"/>
      <w:pPr>
        <w:ind w:left="2160" w:hanging="360"/>
      </w:pPr>
      <w:rPr>
        <w:rFonts w:ascii="Wingdings" w:hAnsi="Wingdings" w:hint="default"/>
      </w:rPr>
    </w:lvl>
    <w:lvl w:ilvl="3" w:tplc="FC4A4F0E">
      <w:start w:val="1"/>
      <w:numFmt w:val="bullet"/>
      <w:lvlText w:val=""/>
      <w:lvlJc w:val="left"/>
      <w:pPr>
        <w:ind w:left="2880" w:hanging="360"/>
      </w:pPr>
      <w:rPr>
        <w:rFonts w:ascii="Symbol" w:hAnsi="Symbol" w:hint="default"/>
      </w:rPr>
    </w:lvl>
    <w:lvl w:ilvl="4" w:tplc="38BE4D9A">
      <w:start w:val="1"/>
      <w:numFmt w:val="bullet"/>
      <w:lvlText w:val="o"/>
      <w:lvlJc w:val="left"/>
      <w:pPr>
        <w:ind w:left="3600" w:hanging="360"/>
      </w:pPr>
      <w:rPr>
        <w:rFonts w:ascii="Courier New" w:hAnsi="Courier New" w:hint="default"/>
      </w:rPr>
    </w:lvl>
    <w:lvl w:ilvl="5" w:tplc="61E404BE">
      <w:start w:val="1"/>
      <w:numFmt w:val="bullet"/>
      <w:lvlText w:val=""/>
      <w:lvlJc w:val="left"/>
      <w:pPr>
        <w:ind w:left="4320" w:hanging="360"/>
      </w:pPr>
      <w:rPr>
        <w:rFonts w:ascii="Wingdings" w:hAnsi="Wingdings" w:hint="default"/>
      </w:rPr>
    </w:lvl>
    <w:lvl w:ilvl="6" w:tplc="6212A6F6">
      <w:start w:val="1"/>
      <w:numFmt w:val="bullet"/>
      <w:lvlText w:val=""/>
      <w:lvlJc w:val="left"/>
      <w:pPr>
        <w:ind w:left="5040" w:hanging="360"/>
      </w:pPr>
      <w:rPr>
        <w:rFonts w:ascii="Symbol" w:hAnsi="Symbol" w:hint="default"/>
      </w:rPr>
    </w:lvl>
    <w:lvl w:ilvl="7" w:tplc="AA76F63E">
      <w:start w:val="1"/>
      <w:numFmt w:val="bullet"/>
      <w:lvlText w:val="o"/>
      <w:lvlJc w:val="left"/>
      <w:pPr>
        <w:ind w:left="5760" w:hanging="360"/>
      </w:pPr>
      <w:rPr>
        <w:rFonts w:ascii="Courier New" w:hAnsi="Courier New" w:hint="default"/>
      </w:rPr>
    </w:lvl>
    <w:lvl w:ilvl="8" w:tplc="635C3F96">
      <w:start w:val="1"/>
      <w:numFmt w:val="bullet"/>
      <w:lvlText w:val=""/>
      <w:lvlJc w:val="left"/>
      <w:pPr>
        <w:ind w:left="6480" w:hanging="360"/>
      </w:pPr>
      <w:rPr>
        <w:rFonts w:ascii="Wingdings" w:hAnsi="Wingdings" w:hint="default"/>
      </w:rPr>
    </w:lvl>
  </w:abstractNum>
  <w:abstractNum w:abstractNumId="5" w15:restartNumberingAfterBreak="0">
    <w:nsid w:val="0C9BFD31"/>
    <w:multiLevelType w:val="hybridMultilevel"/>
    <w:tmpl w:val="54C68AC6"/>
    <w:lvl w:ilvl="0" w:tplc="5262E8CC">
      <w:start w:val="1"/>
      <w:numFmt w:val="bullet"/>
      <w:lvlText w:val="·"/>
      <w:lvlJc w:val="left"/>
      <w:pPr>
        <w:ind w:left="720" w:hanging="360"/>
      </w:pPr>
      <w:rPr>
        <w:rFonts w:ascii="Symbol" w:hAnsi="Symbol" w:hint="default"/>
      </w:rPr>
    </w:lvl>
    <w:lvl w:ilvl="1" w:tplc="6BFE7020">
      <w:start w:val="1"/>
      <w:numFmt w:val="bullet"/>
      <w:lvlText w:val="o"/>
      <w:lvlJc w:val="left"/>
      <w:pPr>
        <w:ind w:left="1440" w:hanging="360"/>
      </w:pPr>
      <w:rPr>
        <w:rFonts w:ascii="Courier New" w:hAnsi="Courier New" w:hint="default"/>
      </w:rPr>
    </w:lvl>
    <w:lvl w:ilvl="2" w:tplc="DCFA244A">
      <w:start w:val="1"/>
      <w:numFmt w:val="bullet"/>
      <w:lvlText w:val=""/>
      <w:lvlJc w:val="left"/>
      <w:pPr>
        <w:ind w:left="2160" w:hanging="360"/>
      </w:pPr>
      <w:rPr>
        <w:rFonts w:ascii="Wingdings" w:hAnsi="Wingdings" w:hint="default"/>
      </w:rPr>
    </w:lvl>
    <w:lvl w:ilvl="3" w:tplc="86C6DB68">
      <w:start w:val="1"/>
      <w:numFmt w:val="bullet"/>
      <w:lvlText w:val=""/>
      <w:lvlJc w:val="left"/>
      <w:pPr>
        <w:ind w:left="2880" w:hanging="360"/>
      </w:pPr>
      <w:rPr>
        <w:rFonts w:ascii="Symbol" w:hAnsi="Symbol" w:hint="default"/>
      </w:rPr>
    </w:lvl>
    <w:lvl w:ilvl="4" w:tplc="A9BC05A2">
      <w:start w:val="1"/>
      <w:numFmt w:val="bullet"/>
      <w:lvlText w:val="o"/>
      <w:lvlJc w:val="left"/>
      <w:pPr>
        <w:ind w:left="3600" w:hanging="360"/>
      </w:pPr>
      <w:rPr>
        <w:rFonts w:ascii="Courier New" w:hAnsi="Courier New" w:hint="default"/>
      </w:rPr>
    </w:lvl>
    <w:lvl w:ilvl="5" w:tplc="608C5738">
      <w:start w:val="1"/>
      <w:numFmt w:val="bullet"/>
      <w:lvlText w:val=""/>
      <w:lvlJc w:val="left"/>
      <w:pPr>
        <w:ind w:left="4320" w:hanging="360"/>
      </w:pPr>
      <w:rPr>
        <w:rFonts w:ascii="Wingdings" w:hAnsi="Wingdings" w:hint="default"/>
      </w:rPr>
    </w:lvl>
    <w:lvl w:ilvl="6" w:tplc="71EE4ADC">
      <w:start w:val="1"/>
      <w:numFmt w:val="bullet"/>
      <w:lvlText w:val=""/>
      <w:lvlJc w:val="left"/>
      <w:pPr>
        <w:ind w:left="5040" w:hanging="360"/>
      </w:pPr>
      <w:rPr>
        <w:rFonts w:ascii="Symbol" w:hAnsi="Symbol" w:hint="default"/>
      </w:rPr>
    </w:lvl>
    <w:lvl w:ilvl="7" w:tplc="51DE2E5E">
      <w:start w:val="1"/>
      <w:numFmt w:val="bullet"/>
      <w:lvlText w:val="o"/>
      <w:lvlJc w:val="left"/>
      <w:pPr>
        <w:ind w:left="5760" w:hanging="360"/>
      </w:pPr>
      <w:rPr>
        <w:rFonts w:ascii="Courier New" w:hAnsi="Courier New" w:hint="default"/>
      </w:rPr>
    </w:lvl>
    <w:lvl w:ilvl="8" w:tplc="558A05DE">
      <w:start w:val="1"/>
      <w:numFmt w:val="bullet"/>
      <w:lvlText w:val=""/>
      <w:lvlJc w:val="left"/>
      <w:pPr>
        <w:ind w:left="6480" w:hanging="360"/>
      </w:pPr>
      <w:rPr>
        <w:rFonts w:ascii="Wingdings" w:hAnsi="Wingdings" w:hint="default"/>
      </w:rPr>
    </w:lvl>
  </w:abstractNum>
  <w:abstractNum w:abstractNumId="6" w15:restartNumberingAfterBreak="0">
    <w:nsid w:val="0DBD9286"/>
    <w:multiLevelType w:val="hybridMultilevel"/>
    <w:tmpl w:val="34EA6E38"/>
    <w:lvl w:ilvl="0" w:tplc="BFFE08C4">
      <w:start w:val="1"/>
      <w:numFmt w:val="bullet"/>
      <w:lvlText w:val="·"/>
      <w:lvlJc w:val="left"/>
      <w:pPr>
        <w:ind w:left="2520" w:hanging="360"/>
      </w:pPr>
      <w:rPr>
        <w:rFonts w:ascii="&quot;Calibri Light&quot;,sans-serif" w:hAnsi="&quot;Calibri Light&quot;,sans-serif" w:hint="default"/>
      </w:rPr>
    </w:lvl>
    <w:lvl w:ilvl="1" w:tplc="B1D0EA68">
      <w:start w:val="1"/>
      <w:numFmt w:val="bullet"/>
      <w:lvlText w:val="o"/>
      <w:lvlJc w:val="left"/>
      <w:pPr>
        <w:ind w:left="3240" w:hanging="360"/>
      </w:pPr>
      <w:rPr>
        <w:rFonts w:ascii="Courier New" w:hAnsi="Courier New" w:hint="default"/>
      </w:rPr>
    </w:lvl>
    <w:lvl w:ilvl="2" w:tplc="2C32C7AA">
      <w:start w:val="1"/>
      <w:numFmt w:val="bullet"/>
      <w:lvlText w:val=""/>
      <w:lvlJc w:val="left"/>
      <w:pPr>
        <w:ind w:left="3960" w:hanging="360"/>
      </w:pPr>
      <w:rPr>
        <w:rFonts w:ascii="Wingdings" w:hAnsi="Wingdings" w:hint="default"/>
      </w:rPr>
    </w:lvl>
    <w:lvl w:ilvl="3" w:tplc="4750275C">
      <w:start w:val="1"/>
      <w:numFmt w:val="bullet"/>
      <w:lvlText w:val=""/>
      <w:lvlJc w:val="left"/>
      <w:pPr>
        <w:ind w:left="4680" w:hanging="360"/>
      </w:pPr>
      <w:rPr>
        <w:rFonts w:ascii="Symbol" w:hAnsi="Symbol" w:hint="default"/>
      </w:rPr>
    </w:lvl>
    <w:lvl w:ilvl="4" w:tplc="61D480A4">
      <w:start w:val="1"/>
      <w:numFmt w:val="bullet"/>
      <w:lvlText w:val="o"/>
      <w:lvlJc w:val="left"/>
      <w:pPr>
        <w:ind w:left="5400" w:hanging="360"/>
      </w:pPr>
      <w:rPr>
        <w:rFonts w:ascii="Courier New" w:hAnsi="Courier New" w:hint="default"/>
      </w:rPr>
    </w:lvl>
    <w:lvl w:ilvl="5" w:tplc="991E8FE8">
      <w:start w:val="1"/>
      <w:numFmt w:val="bullet"/>
      <w:lvlText w:val=""/>
      <w:lvlJc w:val="left"/>
      <w:pPr>
        <w:ind w:left="6120" w:hanging="360"/>
      </w:pPr>
      <w:rPr>
        <w:rFonts w:ascii="Wingdings" w:hAnsi="Wingdings" w:hint="default"/>
      </w:rPr>
    </w:lvl>
    <w:lvl w:ilvl="6" w:tplc="4CE2D734">
      <w:start w:val="1"/>
      <w:numFmt w:val="bullet"/>
      <w:lvlText w:val=""/>
      <w:lvlJc w:val="left"/>
      <w:pPr>
        <w:ind w:left="6840" w:hanging="360"/>
      </w:pPr>
      <w:rPr>
        <w:rFonts w:ascii="Symbol" w:hAnsi="Symbol" w:hint="default"/>
      </w:rPr>
    </w:lvl>
    <w:lvl w:ilvl="7" w:tplc="6C10093E">
      <w:start w:val="1"/>
      <w:numFmt w:val="bullet"/>
      <w:lvlText w:val="o"/>
      <w:lvlJc w:val="left"/>
      <w:pPr>
        <w:ind w:left="7560" w:hanging="360"/>
      </w:pPr>
      <w:rPr>
        <w:rFonts w:ascii="Courier New" w:hAnsi="Courier New" w:hint="default"/>
      </w:rPr>
    </w:lvl>
    <w:lvl w:ilvl="8" w:tplc="E48443DC">
      <w:start w:val="1"/>
      <w:numFmt w:val="bullet"/>
      <w:lvlText w:val=""/>
      <w:lvlJc w:val="left"/>
      <w:pPr>
        <w:ind w:left="8280" w:hanging="360"/>
      </w:pPr>
      <w:rPr>
        <w:rFonts w:ascii="Wingdings" w:hAnsi="Wingdings" w:hint="default"/>
      </w:rPr>
    </w:lvl>
  </w:abstractNum>
  <w:abstractNum w:abstractNumId="7" w15:restartNumberingAfterBreak="0">
    <w:nsid w:val="14E06D46"/>
    <w:multiLevelType w:val="hybridMultilevel"/>
    <w:tmpl w:val="8228C0B8"/>
    <w:lvl w:ilvl="0" w:tplc="FE9A1AC4">
      <w:start w:val="1"/>
      <w:numFmt w:val="bullet"/>
      <w:lvlText w:val="·"/>
      <w:lvlJc w:val="left"/>
      <w:pPr>
        <w:ind w:left="720" w:hanging="360"/>
      </w:pPr>
      <w:rPr>
        <w:rFonts w:ascii="Symbol" w:hAnsi="Symbol" w:hint="default"/>
      </w:rPr>
    </w:lvl>
    <w:lvl w:ilvl="1" w:tplc="543CF048">
      <w:start w:val="1"/>
      <w:numFmt w:val="bullet"/>
      <w:lvlText w:val="o"/>
      <w:lvlJc w:val="left"/>
      <w:pPr>
        <w:ind w:left="1440" w:hanging="360"/>
      </w:pPr>
      <w:rPr>
        <w:rFonts w:ascii="Courier New" w:hAnsi="Courier New" w:hint="default"/>
      </w:rPr>
    </w:lvl>
    <w:lvl w:ilvl="2" w:tplc="7A90473A">
      <w:start w:val="1"/>
      <w:numFmt w:val="bullet"/>
      <w:lvlText w:val=""/>
      <w:lvlJc w:val="left"/>
      <w:pPr>
        <w:ind w:left="2160" w:hanging="360"/>
      </w:pPr>
      <w:rPr>
        <w:rFonts w:ascii="Wingdings" w:hAnsi="Wingdings" w:hint="default"/>
      </w:rPr>
    </w:lvl>
    <w:lvl w:ilvl="3" w:tplc="FBB4BEB8">
      <w:start w:val="1"/>
      <w:numFmt w:val="bullet"/>
      <w:lvlText w:val=""/>
      <w:lvlJc w:val="left"/>
      <w:pPr>
        <w:ind w:left="2880" w:hanging="360"/>
      </w:pPr>
      <w:rPr>
        <w:rFonts w:ascii="Symbol" w:hAnsi="Symbol" w:hint="default"/>
      </w:rPr>
    </w:lvl>
    <w:lvl w:ilvl="4" w:tplc="08E233DC">
      <w:start w:val="1"/>
      <w:numFmt w:val="bullet"/>
      <w:lvlText w:val="o"/>
      <w:lvlJc w:val="left"/>
      <w:pPr>
        <w:ind w:left="3600" w:hanging="360"/>
      </w:pPr>
      <w:rPr>
        <w:rFonts w:ascii="Courier New" w:hAnsi="Courier New" w:hint="default"/>
      </w:rPr>
    </w:lvl>
    <w:lvl w:ilvl="5" w:tplc="D222129C">
      <w:start w:val="1"/>
      <w:numFmt w:val="bullet"/>
      <w:lvlText w:val=""/>
      <w:lvlJc w:val="left"/>
      <w:pPr>
        <w:ind w:left="4320" w:hanging="360"/>
      </w:pPr>
      <w:rPr>
        <w:rFonts w:ascii="Wingdings" w:hAnsi="Wingdings" w:hint="default"/>
      </w:rPr>
    </w:lvl>
    <w:lvl w:ilvl="6" w:tplc="4B74F33C">
      <w:start w:val="1"/>
      <w:numFmt w:val="bullet"/>
      <w:lvlText w:val=""/>
      <w:lvlJc w:val="left"/>
      <w:pPr>
        <w:ind w:left="5040" w:hanging="360"/>
      </w:pPr>
      <w:rPr>
        <w:rFonts w:ascii="Symbol" w:hAnsi="Symbol" w:hint="default"/>
      </w:rPr>
    </w:lvl>
    <w:lvl w:ilvl="7" w:tplc="E40C2D3E">
      <w:start w:val="1"/>
      <w:numFmt w:val="bullet"/>
      <w:lvlText w:val="o"/>
      <w:lvlJc w:val="left"/>
      <w:pPr>
        <w:ind w:left="5760" w:hanging="360"/>
      </w:pPr>
      <w:rPr>
        <w:rFonts w:ascii="Courier New" w:hAnsi="Courier New" w:hint="default"/>
      </w:rPr>
    </w:lvl>
    <w:lvl w:ilvl="8" w:tplc="1264F470">
      <w:start w:val="1"/>
      <w:numFmt w:val="bullet"/>
      <w:lvlText w:val=""/>
      <w:lvlJc w:val="left"/>
      <w:pPr>
        <w:ind w:left="6480" w:hanging="360"/>
      </w:pPr>
      <w:rPr>
        <w:rFonts w:ascii="Wingdings" w:hAnsi="Wingdings" w:hint="default"/>
      </w:rPr>
    </w:lvl>
  </w:abstractNum>
  <w:abstractNum w:abstractNumId="8" w15:restartNumberingAfterBreak="0">
    <w:nsid w:val="15115EF6"/>
    <w:multiLevelType w:val="hybridMultilevel"/>
    <w:tmpl w:val="3AD8C8B6"/>
    <w:lvl w:ilvl="0" w:tplc="E95C2F48">
      <w:start w:val="5"/>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87C075E"/>
    <w:multiLevelType w:val="hybridMultilevel"/>
    <w:tmpl w:val="A9FE1A94"/>
    <w:lvl w:ilvl="0" w:tplc="A90E275E">
      <w:start w:val="1"/>
      <w:numFmt w:val="bullet"/>
      <w:lvlText w:val="·"/>
      <w:lvlJc w:val="left"/>
      <w:pPr>
        <w:ind w:left="720" w:hanging="360"/>
      </w:pPr>
      <w:rPr>
        <w:rFonts w:ascii="&quot;Calibri Light&quot;,sans-serif" w:hAnsi="&quot;Calibri Light&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06A61"/>
    <w:multiLevelType w:val="hybridMultilevel"/>
    <w:tmpl w:val="8EA0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DC78C5"/>
    <w:multiLevelType w:val="hybridMultilevel"/>
    <w:tmpl w:val="C61234DC"/>
    <w:lvl w:ilvl="0" w:tplc="BFFE08C4">
      <w:start w:val="1"/>
      <w:numFmt w:val="bullet"/>
      <w:lvlText w:val="·"/>
      <w:lvlJc w:val="left"/>
      <w:pPr>
        <w:ind w:left="360" w:hanging="360"/>
      </w:pPr>
      <w:rPr>
        <w:rFonts w:ascii="&quot;Calibri Light&quot;,sans-serif" w:hAnsi="&quot;Calibri Light&quot;,sans-serif"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5347A68"/>
    <w:multiLevelType w:val="hybridMultilevel"/>
    <w:tmpl w:val="7E085C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653B8F"/>
    <w:multiLevelType w:val="hybridMultilevel"/>
    <w:tmpl w:val="DF463F18"/>
    <w:lvl w:ilvl="0" w:tplc="F96A08B2">
      <w:start w:val="1"/>
      <w:numFmt w:val="bullet"/>
      <w:lvlText w:val="·"/>
      <w:lvlJc w:val="left"/>
      <w:pPr>
        <w:ind w:left="720" w:hanging="360"/>
      </w:pPr>
      <w:rPr>
        <w:rFonts w:ascii="Symbol" w:hAnsi="Symbol" w:hint="default"/>
      </w:rPr>
    </w:lvl>
    <w:lvl w:ilvl="1" w:tplc="E38864D0">
      <w:start w:val="1"/>
      <w:numFmt w:val="bullet"/>
      <w:lvlText w:val="o"/>
      <w:lvlJc w:val="left"/>
      <w:pPr>
        <w:ind w:left="1440" w:hanging="360"/>
      </w:pPr>
      <w:rPr>
        <w:rFonts w:ascii="Courier New" w:hAnsi="Courier New" w:hint="default"/>
      </w:rPr>
    </w:lvl>
    <w:lvl w:ilvl="2" w:tplc="16CC11A2">
      <w:start w:val="1"/>
      <w:numFmt w:val="bullet"/>
      <w:lvlText w:val=""/>
      <w:lvlJc w:val="left"/>
      <w:pPr>
        <w:ind w:left="2160" w:hanging="360"/>
      </w:pPr>
      <w:rPr>
        <w:rFonts w:ascii="Wingdings" w:hAnsi="Wingdings" w:hint="default"/>
      </w:rPr>
    </w:lvl>
    <w:lvl w:ilvl="3" w:tplc="B2E2F9E4">
      <w:start w:val="1"/>
      <w:numFmt w:val="bullet"/>
      <w:lvlText w:val=""/>
      <w:lvlJc w:val="left"/>
      <w:pPr>
        <w:ind w:left="2880" w:hanging="360"/>
      </w:pPr>
      <w:rPr>
        <w:rFonts w:ascii="Symbol" w:hAnsi="Symbol" w:hint="default"/>
      </w:rPr>
    </w:lvl>
    <w:lvl w:ilvl="4" w:tplc="58EA86FE">
      <w:start w:val="1"/>
      <w:numFmt w:val="bullet"/>
      <w:lvlText w:val="o"/>
      <w:lvlJc w:val="left"/>
      <w:pPr>
        <w:ind w:left="3600" w:hanging="360"/>
      </w:pPr>
      <w:rPr>
        <w:rFonts w:ascii="Courier New" w:hAnsi="Courier New" w:hint="default"/>
      </w:rPr>
    </w:lvl>
    <w:lvl w:ilvl="5" w:tplc="3DEA9C44">
      <w:start w:val="1"/>
      <w:numFmt w:val="bullet"/>
      <w:lvlText w:val=""/>
      <w:lvlJc w:val="left"/>
      <w:pPr>
        <w:ind w:left="4320" w:hanging="360"/>
      </w:pPr>
      <w:rPr>
        <w:rFonts w:ascii="Wingdings" w:hAnsi="Wingdings" w:hint="default"/>
      </w:rPr>
    </w:lvl>
    <w:lvl w:ilvl="6" w:tplc="5BBA697A">
      <w:start w:val="1"/>
      <w:numFmt w:val="bullet"/>
      <w:lvlText w:val=""/>
      <w:lvlJc w:val="left"/>
      <w:pPr>
        <w:ind w:left="5040" w:hanging="360"/>
      </w:pPr>
      <w:rPr>
        <w:rFonts w:ascii="Symbol" w:hAnsi="Symbol" w:hint="default"/>
      </w:rPr>
    </w:lvl>
    <w:lvl w:ilvl="7" w:tplc="C9C2935C">
      <w:start w:val="1"/>
      <w:numFmt w:val="bullet"/>
      <w:lvlText w:val="o"/>
      <w:lvlJc w:val="left"/>
      <w:pPr>
        <w:ind w:left="5760" w:hanging="360"/>
      </w:pPr>
      <w:rPr>
        <w:rFonts w:ascii="Courier New" w:hAnsi="Courier New" w:hint="default"/>
      </w:rPr>
    </w:lvl>
    <w:lvl w:ilvl="8" w:tplc="C344BF2C">
      <w:start w:val="1"/>
      <w:numFmt w:val="bullet"/>
      <w:lvlText w:val=""/>
      <w:lvlJc w:val="left"/>
      <w:pPr>
        <w:ind w:left="6480" w:hanging="360"/>
      </w:pPr>
      <w:rPr>
        <w:rFonts w:ascii="Wingdings" w:hAnsi="Wingdings" w:hint="default"/>
      </w:rPr>
    </w:lvl>
  </w:abstractNum>
  <w:abstractNum w:abstractNumId="14" w15:restartNumberingAfterBreak="0">
    <w:nsid w:val="26635648"/>
    <w:multiLevelType w:val="hybridMultilevel"/>
    <w:tmpl w:val="9FFC21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51155A"/>
    <w:multiLevelType w:val="multilevel"/>
    <w:tmpl w:val="9F4A45E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218C1"/>
    <w:multiLevelType w:val="hybridMultilevel"/>
    <w:tmpl w:val="A94449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17AB0"/>
    <w:multiLevelType w:val="multilevel"/>
    <w:tmpl w:val="FDE29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5D057F"/>
    <w:multiLevelType w:val="hybridMultilevel"/>
    <w:tmpl w:val="EF2E590E"/>
    <w:lvl w:ilvl="0" w:tplc="A90E275E">
      <w:start w:val="1"/>
      <w:numFmt w:val="bullet"/>
      <w:lvlText w:val="·"/>
      <w:lvlJc w:val="left"/>
      <w:pPr>
        <w:ind w:left="720" w:hanging="360"/>
      </w:pPr>
      <w:rPr>
        <w:rFonts w:ascii="&quot;Calibri Light&quot;,sans-serif" w:hAnsi="&quot;Calibri Light&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E2BDB"/>
    <w:multiLevelType w:val="hybridMultilevel"/>
    <w:tmpl w:val="76EC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C541D"/>
    <w:multiLevelType w:val="hybridMultilevel"/>
    <w:tmpl w:val="0B842C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ACF91D"/>
    <w:multiLevelType w:val="hybridMultilevel"/>
    <w:tmpl w:val="E25ED842"/>
    <w:lvl w:ilvl="0" w:tplc="EB38524C">
      <w:start w:val="1"/>
      <w:numFmt w:val="decimal"/>
      <w:lvlText w:val="%1."/>
      <w:lvlJc w:val="left"/>
      <w:pPr>
        <w:ind w:left="720" w:hanging="360"/>
      </w:pPr>
    </w:lvl>
    <w:lvl w:ilvl="1" w:tplc="8AAA1DF8">
      <w:start w:val="1"/>
      <w:numFmt w:val="lowerLetter"/>
      <w:lvlText w:val="%2."/>
      <w:lvlJc w:val="left"/>
      <w:pPr>
        <w:ind w:left="1440" w:hanging="360"/>
      </w:pPr>
    </w:lvl>
    <w:lvl w:ilvl="2" w:tplc="164E3708">
      <w:start w:val="2"/>
      <w:numFmt w:val="decimal"/>
      <w:lvlText w:val="%3."/>
      <w:lvlJc w:val="left"/>
      <w:pPr>
        <w:ind w:left="2160" w:hanging="180"/>
      </w:pPr>
    </w:lvl>
    <w:lvl w:ilvl="3" w:tplc="B8FE8636">
      <w:start w:val="1"/>
      <w:numFmt w:val="decimal"/>
      <w:lvlText w:val="%4."/>
      <w:lvlJc w:val="left"/>
      <w:pPr>
        <w:ind w:left="2880" w:hanging="360"/>
      </w:pPr>
    </w:lvl>
    <w:lvl w:ilvl="4" w:tplc="40C2AD7A">
      <w:start w:val="1"/>
      <w:numFmt w:val="lowerLetter"/>
      <w:lvlText w:val="%5."/>
      <w:lvlJc w:val="left"/>
      <w:pPr>
        <w:ind w:left="3600" w:hanging="360"/>
      </w:pPr>
    </w:lvl>
    <w:lvl w:ilvl="5" w:tplc="9D64B168">
      <w:start w:val="1"/>
      <w:numFmt w:val="lowerRoman"/>
      <w:lvlText w:val="%6."/>
      <w:lvlJc w:val="right"/>
      <w:pPr>
        <w:ind w:left="4320" w:hanging="180"/>
      </w:pPr>
    </w:lvl>
    <w:lvl w:ilvl="6" w:tplc="87B81FD6">
      <w:start w:val="1"/>
      <w:numFmt w:val="decimal"/>
      <w:lvlText w:val="%7."/>
      <w:lvlJc w:val="left"/>
      <w:pPr>
        <w:ind w:left="5040" w:hanging="360"/>
      </w:pPr>
    </w:lvl>
    <w:lvl w:ilvl="7" w:tplc="AE22EDF6">
      <w:start w:val="1"/>
      <w:numFmt w:val="lowerLetter"/>
      <w:lvlText w:val="%8."/>
      <w:lvlJc w:val="left"/>
      <w:pPr>
        <w:ind w:left="5760" w:hanging="360"/>
      </w:pPr>
    </w:lvl>
    <w:lvl w:ilvl="8" w:tplc="BFA4950A">
      <w:start w:val="1"/>
      <w:numFmt w:val="lowerRoman"/>
      <w:lvlText w:val="%9."/>
      <w:lvlJc w:val="right"/>
      <w:pPr>
        <w:ind w:left="6480" w:hanging="180"/>
      </w:pPr>
    </w:lvl>
  </w:abstractNum>
  <w:abstractNum w:abstractNumId="22" w15:restartNumberingAfterBreak="0">
    <w:nsid w:val="3CC060EE"/>
    <w:multiLevelType w:val="hybridMultilevel"/>
    <w:tmpl w:val="F97489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FB03D0A"/>
    <w:multiLevelType w:val="hybridMultilevel"/>
    <w:tmpl w:val="F530F7A8"/>
    <w:lvl w:ilvl="0" w:tplc="860E41A6">
      <w:start w:val="1"/>
      <w:numFmt w:val="bullet"/>
      <w:lvlText w:val="·"/>
      <w:lvlJc w:val="left"/>
      <w:pPr>
        <w:ind w:left="720" w:hanging="360"/>
      </w:pPr>
      <w:rPr>
        <w:rFonts w:ascii="Symbol" w:hAnsi="Symbol" w:hint="default"/>
      </w:rPr>
    </w:lvl>
    <w:lvl w:ilvl="1" w:tplc="F72ABE20">
      <w:start w:val="1"/>
      <w:numFmt w:val="bullet"/>
      <w:lvlText w:val="o"/>
      <w:lvlJc w:val="left"/>
      <w:pPr>
        <w:ind w:left="1440" w:hanging="360"/>
      </w:pPr>
      <w:rPr>
        <w:rFonts w:ascii="Courier New" w:hAnsi="Courier New" w:hint="default"/>
      </w:rPr>
    </w:lvl>
    <w:lvl w:ilvl="2" w:tplc="687CD884">
      <w:start w:val="1"/>
      <w:numFmt w:val="bullet"/>
      <w:lvlText w:val=""/>
      <w:lvlJc w:val="left"/>
      <w:pPr>
        <w:ind w:left="2160" w:hanging="360"/>
      </w:pPr>
      <w:rPr>
        <w:rFonts w:ascii="Wingdings" w:hAnsi="Wingdings" w:hint="default"/>
      </w:rPr>
    </w:lvl>
    <w:lvl w:ilvl="3" w:tplc="DDA48936">
      <w:start w:val="1"/>
      <w:numFmt w:val="bullet"/>
      <w:lvlText w:val=""/>
      <w:lvlJc w:val="left"/>
      <w:pPr>
        <w:ind w:left="2880" w:hanging="360"/>
      </w:pPr>
      <w:rPr>
        <w:rFonts w:ascii="Symbol" w:hAnsi="Symbol" w:hint="default"/>
      </w:rPr>
    </w:lvl>
    <w:lvl w:ilvl="4" w:tplc="83DAD980">
      <w:start w:val="1"/>
      <w:numFmt w:val="bullet"/>
      <w:lvlText w:val="o"/>
      <w:lvlJc w:val="left"/>
      <w:pPr>
        <w:ind w:left="3600" w:hanging="360"/>
      </w:pPr>
      <w:rPr>
        <w:rFonts w:ascii="Courier New" w:hAnsi="Courier New" w:hint="default"/>
      </w:rPr>
    </w:lvl>
    <w:lvl w:ilvl="5" w:tplc="C2C44E18">
      <w:start w:val="1"/>
      <w:numFmt w:val="bullet"/>
      <w:lvlText w:val=""/>
      <w:lvlJc w:val="left"/>
      <w:pPr>
        <w:ind w:left="4320" w:hanging="360"/>
      </w:pPr>
      <w:rPr>
        <w:rFonts w:ascii="Wingdings" w:hAnsi="Wingdings" w:hint="default"/>
      </w:rPr>
    </w:lvl>
    <w:lvl w:ilvl="6" w:tplc="7D1CFBA4">
      <w:start w:val="1"/>
      <w:numFmt w:val="bullet"/>
      <w:lvlText w:val=""/>
      <w:lvlJc w:val="left"/>
      <w:pPr>
        <w:ind w:left="5040" w:hanging="360"/>
      </w:pPr>
      <w:rPr>
        <w:rFonts w:ascii="Symbol" w:hAnsi="Symbol" w:hint="default"/>
      </w:rPr>
    </w:lvl>
    <w:lvl w:ilvl="7" w:tplc="707A95A0">
      <w:start w:val="1"/>
      <w:numFmt w:val="bullet"/>
      <w:lvlText w:val="o"/>
      <w:lvlJc w:val="left"/>
      <w:pPr>
        <w:ind w:left="5760" w:hanging="360"/>
      </w:pPr>
      <w:rPr>
        <w:rFonts w:ascii="Courier New" w:hAnsi="Courier New" w:hint="default"/>
      </w:rPr>
    </w:lvl>
    <w:lvl w:ilvl="8" w:tplc="9E4A249C">
      <w:start w:val="1"/>
      <w:numFmt w:val="bullet"/>
      <w:lvlText w:val=""/>
      <w:lvlJc w:val="left"/>
      <w:pPr>
        <w:ind w:left="6480" w:hanging="360"/>
      </w:pPr>
      <w:rPr>
        <w:rFonts w:ascii="Wingdings" w:hAnsi="Wingdings" w:hint="default"/>
      </w:rPr>
    </w:lvl>
  </w:abstractNum>
  <w:abstractNum w:abstractNumId="24" w15:restartNumberingAfterBreak="0">
    <w:nsid w:val="41800452"/>
    <w:multiLevelType w:val="multilevel"/>
    <w:tmpl w:val="D8D8700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38F770A"/>
    <w:multiLevelType w:val="hybridMultilevel"/>
    <w:tmpl w:val="528A1118"/>
    <w:lvl w:ilvl="0" w:tplc="BFFE08C4">
      <w:start w:val="1"/>
      <w:numFmt w:val="bullet"/>
      <w:lvlText w:val="·"/>
      <w:lvlJc w:val="left"/>
      <w:pPr>
        <w:ind w:left="360" w:hanging="360"/>
      </w:pPr>
      <w:rPr>
        <w:rFonts w:ascii="&quot;Calibri Light&quot;,sans-serif" w:hAnsi="&quot;Calibri Light&quot;,sans-serif"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7BB24EF"/>
    <w:multiLevelType w:val="hybridMultilevel"/>
    <w:tmpl w:val="7B9C8896"/>
    <w:lvl w:ilvl="0" w:tplc="FFEA518C">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B4B15DA"/>
    <w:multiLevelType w:val="hybridMultilevel"/>
    <w:tmpl w:val="A0EE691C"/>
    <w:lvl w:ilvl="0" w:tplc="B4F013CC">
      <w:start w:val="1"/>
      <w:numFmt w:val="decimal"/>
      <w:lvlText w:val="%1."/>
      <w:lvlJc w:val="left"/>
      <w:pPr>
        <w:ind w:left="720" w:hanging="360"/>
      </w:pPr>
    </w:lvl>
    <w:lvl w:ilvl="1" w:tplc="E2E4FD38">
      <w:start w:val="1"/>
      <w:numFmt w:val="lowerLetter"/>
      <w:lvlText w:val="%2."/>
      <w:lvlJc w:val="left"/>
      <w:pPr>
        <w:ind w:left="1440" w:hanging="360"/>
      </w:pPr>
    </w:lvl>
    <w:lvl w:ilvl="2" w:tplc="1134678C">
      <w:start w:val="1"/>
      <w:numFmt w:val="lowerRoman"/>
      <w:lvlText w:val="%3."/>
      <w:lvlJc w:val="right"/>
      <w:pPr>
        <w:ind w:left="2160" w:hanging="180"/>
      </w:pPr>
    </w:lvl>
    <w:lvl w:ilvl="3" w:tplc="0616DBAA">
      <w:start w:val="1"/>
      <w:numFmt w:val="decimal"/>
      <w:lvlText w:val="%4."/>
      <w:lvlJc w:val="left"/>
      <w:pPr>
        <w:ind w:left="2880" w:hanging="360"/>
      </w:pPr>
    </w:lvl>
    <w:lvl w:ilvl="4" w:tplc="9244D92E">
      <w:start w:val="1"/>
      <w:numFmt w:val="lowerLetter"/>
      <w:lvlText w:val="%5."/>
      <w:lvlJc w:val="left"/>
      <w:pPr>
        <w:ind w:left="3600" w:hanging="360"/>
      </w:pPr>
    </w:lvl>
    <w:lvl w:ilvl="5" w:tplc="765E79EA">
      <w:start w:val="1"/>
      <w:numFmt w:val="lowerRoman"/>
      <w:lvlText w:val="%6."/>
      <w:lvlJc w:val="right"/>
      <w:pPr>
        <w:ind w:left="4320" w:hanging="180"/>
      </w:pPr>
    </w:lvl>
    <w:lvl w:ilvl="6" w:tplc="A5DA0C98">
      <w:start w:val="1"/>
      <w:numFmt w:val="decimal"/>
      <w:lvlText w:val="%7."/>
      <w:lvlJc w:val="left"/>
      <w:pPr>
        <w:ind w:left="5040" w:hanging="360"/>
      </w:pPr>
    </w:lvl>
    <w:lvl w:ilvl="7" w:tplc="5F70E934">
      <w:start w:val="1"/>
      <w:numFmt w:val="lowerLetter"/>
      <w:lvlText w:val="%8."/>
      <w:lvlJc w:val="left"/>
      <w:pPr>
        <w:ind w:left="5760" w:hanging="360"/>
      </w:pPr>
    </w:lvl>
    <w:lvl w:ilvl="8" w:tplc="28F481E4">
      <w:start w:val="1"/>
      <w:numFmt w:val="lowerRoman"/>
      <w:lvlText w:val="%9."/>
      <w:lvlJc w:val="right"/>
      <w:pPr>
        <w:ind w:left="6480" w:hanging="180"/>
      </w:pPr>
    </w:lvl>
  </w:abstractNum>
  <w:abstractNum w:abstractNumId="28" w15:restartNumberingAfterBreak="0">
    <w:nsid w:val="4C4D77C7"/>
    <w:multiLevelType w:val="multilevel"/>
    <w:tmpl w:val="E29ACE1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D98EA1E"/>
    <w:multiLevelType w:val="hybridMultilevel"/>
    <w:tmpl w:val="B4BC3106"/>
    <w:lvl w:ilvl="0" w:tplc="03CE3612">
      <w:start w:val="1"/>
      <w:numFmt w:val="bullet"/>
      <w:lvlText w:val="·"/>
      <w:lvlJc w:val="left"/>
      <w:pPr>
        <w:ind w:left="720" w:hanging="360"/>
      </w:pPr>
      <w:rPr>
        <w:rFonts w:ascii="&quot;Calibri Light&quot;,sans-serif" w:hAnsi="&quot;Calibri Light&quot;,sans-serif" w:hint="default"/>
      </w:rPr>
    </w:lvl>
    <w:lvl w:ilvl="1" w:tplc="C09EEBD0">
      <w:start w:val="1"/>
      <w:numFmt w:val="bullet"/>
      <w:lvlText w:val="o"/>
      <w:lvlJc w:val="left"/>
      <w:pPr>
        <w:ind w:left="1440" w:hanging="360"/>
      </w:pPr>
      <w:rPr>
        <w:rFonts w:ascii="Courier New" w:hAnsi="Courier New" w:hint="default"/>
      </w:rPr>
    </w:lvl>
    <w:lvl w:ilvl="2" w:tplc="27707F30">
      <w:start w:val="1"/>
      <w:numFmt w:val="bullet"/>
      <w:lvlText w:val=""/>
      <w:lvlJc w:val="left"/>
      <w:pPr>
        <w:ind w:left="2160" w:hanging="360"/>
      </w:pPr>
      <w:rPr>
        <w:rFonts w:ascii="Wingdings" w:hAnsi="Wingdings" w:hint="default"/>
      </w:rPr>
    </w:lvl>
    <w:lvl w:ilvl="3" w:tplc="D53AAE0A">
      <w:start w:val="1"/>
      <w:numFmt w:val="bullet"/>
      <w:lvlText w:val=""/>
      <w:lvlJc w:val="left"/>
      <w:pPr>
        <w:ind w:left="2880" w:hanging="360"/>
      </w:pPr>
      <w:rPr>
        <w:rFonts w:ascii="Symbol" w:hAnsi="Symbol" w:hint="default"/>
      </w:rPr>
    </w:lvl>
    <w:lvl w:ilvl="4" w:tplc="1FFC4ACE">
      <w:start w:val="1"/>
      <w:numFmt w:val="bullet"/>
      <w:lvlText w:val="o"/>
      <w:lvlJc w:val="left"/>
      <w:pPr>
        <w:ind w:left="3600" w:hanging="360"/>
      </w:pPr>
      <w:rPr>
        <w:rFonts w:ascii="Courier New" w:hAnsi="Courier New" w:hint="default"/>
      </w:rPr>
    </w:lvl>
    <w:lvl w:ilvl="5" w:tplc="1A6E7572">
      <w:start w:val="1"/>
      <w:numFmt w:val="bullet"/>
      <w:lvlText w:val=""/>
      <w:lvlJc w:val="left"/>
      <w:pPr>
        <w:ind w:left="4320" w:hanging="360"/>
      </w:pPr>
      <w:rPr>
        <w:rFonts w:ascii="Wingdings" w:hAnsi="Wingdings" w:hint="default"/>
      </w:rPr>
    </w:lvl>
    <w:lvl w:ilvl="6" w:tplc="1630A004">
      <w:start w:val="1"/>
      <w:numFmt w:val="bullet"/>
      <w:lvlText w:val=""/>
      <w:lvlJc w:val="left"/>
      <w:pPr>
        <w:ind w:left="5040" w:hanging="360"/>
      </w:pPr>
      <w:rPr>
        <w:rFonts w:ascii="Symbol" w:hAnsi="Symbol" w:hint="default"/>
      </w:rPr>
    </w:lvl>
    <w:lvl w:ilvl="7" w:tplc="5240C2E6">
      <w:start w:val="1"/>
      <w:numFmt w:val="bullet"/>
      <w:lvlText w:val="o"/>
      <w:lvlJc w:val="left"/>
      <w:pPr>
        <w:ind w:left="5760" w:hanging="360"/>
      </w:pPr>
      <w:rPr>
        <w:rFonts w:ascii="Courier New" w:hAnsi="Courier New" w:hint="default"/>
      </w:rPr>
    </w:lvl>
    <w:lvl w:ilvl="8" w:tplc="75165D16">
      <w:start w:val="1"/>
      <w:numFmt w:val="bullet"/>
      <w:lvlText w:val=""/>
      <w:lvlJc w:val="left"/>
      <w:pPr>
        <w:ind w:left="6480" w:hanging="360"/>
      </w:pPr>
      <w:rPr>
        <w:rFonts w:ascii="Wingdings" w:hAnsi="Wingdings" w:hint="default"/>
      </w:rPr>
    </w:lvl>
  </w:abstractNum>
  <w:abstractNum w:abstractNumId="30" w15:restartNumberingAfterBreak="0">
    <w:nsid w:val="50A33890"/>
    <w:multiLevelType w:val="hybridMultilevel"/>
    <w:tmpl w:val="A7A25B5C"/>
    <w:lvl w:ilvl="0" w:tplc="BFFE08C4">
      <w:start w:val="1"/>
      <w:numFmt w:val="bullet"/>
      <w:lvlText w:val="·"/>
      <w:lvlJc w:val="left"/>
      <w:pPr>
        <w:ind w:left="360" w:hanging="360"/>
      </w:pPr>
      <w:rPr>
        <w:rFonts w:ascii="&quot;Calibri Light&quot;,sans-serif" w:hAnsi="&quot;Calibri Light&quot;,sans-serif"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33B2F49"/>
    <w:multiLevelType w:val="hybridMultilevel"/>
    <w:tmpl w:val="F4A4CE42"/>
    <w:lvl w:ilvl="0" w:tplc="75F015AE">
      <w:start w:val="1"/>
      <w:numFmt w:val="bullet"/>
      <w:lvlText w:val="·"/>
      <w:lvlJc w:val="left"/>
      <w:pPr>
        <w:ind w:left="720" w:hanging="360"/>
      </w:pPr>
      <w:rPr>
        <w:rFonts w:ascii="Symbol" w:hAnsi="Symbol" w:hint="default"/>
      </w:rPr>
    </w:lvl>
    <w:lvl w:ilvl="1" w:tplc="3D6A6B86">
      <w:start w:val="1"/>
      <w:numFmt w:val="bullet"/>
      <w:lvlText w:val="o"/>
      <w:lvlJc w:val="left"/>
      <w:pPr>
        <w:ind w:left="1440" w:hanging="360"/>
      </w:pPr>
      <w:rPr>
        <w:rFonts w:ascii="Courier New" w:hAnsi="Courier New" w:hint="default"/>
      </w:rPr>
    </w:lvl>
    <w:lvl w:ilvl="2" w:tplc="77161F98">
      <w:start w:val="1"/>
      <w:numFmt w:val="bullet"/>
      <w:lvlText w:val=""/>
      <w:lvlJc w:val="left"/>
      <w:pPr>
        <w:ind w:left="2160" w:hanging="360"/>
      </w:pPr>
      <w:rPr>
        <w:rFonts w:ascii="Wingdings" w:hAnsi="Wingdings" w:hint="default"/>
      </w:rPr>
    </w:lvl>
    <w:lvl w:ilvl="3" w:tplc="4D9E301A">
      <w:start w:val="1"/>
      <w:numFmt w:val="bullet"/>
      <w:lvlText w:val=""/>
      <w:lvlJc w:val="left"/>
      <w:pPr>
        <w:ind w:left="2880" w:hanging="360"/>
      </w:pPr>
      <w:rPr>
        <w:rFonts w:ascii="Symbol" w:hAnsi="Symbol" w:hint="default"/>
      </w:rPr>
    </w:lvl>
    <w:lvl w:ilvl="4" w:tplc="A57C0B0C">
      <w:start w:val="1"/>
      <w:numFmt w:val="bullet"/>
      <w:lvlText w:val="o"/>
      <w:lvlJc w:val="left"/>
      <w:pPr>
        <w:ind w:left="3600" w:hanging="360"/>
      </w:pPr>
      <w:rPr>
        <w:rFonts w:ascii="Courier New" w:hAnsi="Courier New" w:hint="default"/>
      </w:rPr>
    </w:lvl>
    <w:lvl w:ilvl="5" w:tplc="2A649A0C">
      <w:start w:val="1"/>
      <w:numFmt w:val="bullet"/>
      <w:lvlText w:val=""/>
      <w:lvlJc w:val="left"/>
      <w:pPr>
        <w:ind w:left="4320" w:hanging="360"/>
      </w:pPr>
      <w:rPr>
        <w:rFonts w:ascii="Wingdings" w:hAnsi="Wingdings" w:hint="default"/>
      </w:rPr>
    </w:lvl>
    <w:lvl w:ilvl="6" w:tplc="43429B1A">
      <w:start w:val="1"/>
      <w:numFmt w:val="bullet"/>
      <w:lvlText w:val=""/>
      <w:lvlJc w:val="left"/>
      <w:pPr>
        <w:ind w:left="5040" w:hanging="360"/>
      </w:pPr>
      <w:rPr>
        <w:rFonts w:ascii="Symbol" w:hAnsi="Symbol" w:hint="default"/>
      </w:rPr>
    </w:lvl>
    <w:lvl w:ilvl="7" w:tplc="A648AF52">
      <w:start w:val="1"/>
      <w:numFmt w:val="bullet"/>
      <w:lvlText w:val="o"/>
      <w:lvlJc w:val="left"/>
      <w:pPr>
        <w:ind w:left="5760" w:hanging="360"/>
      </w:pPr>
      <w:rPr>
        <w:rFonts w:ascii="Courier New" w:hAnsi="Courier New" w:hint="default"/>
      </w:rPr>
    </w:lvl>
    <w:lvl w:ilvl="8" w:tplc="4A10A2CE">
      <w:start w:val="1"/>
      <w:numFmt w:val="bullet"/>
      <w:lvlText w:val=""/>
      <w:lvlJc w:val="left"/>
      <w:pPr>
        <w:ind w:left="6480" w:hanging="360"/>
      </w:pPr>
      <w:rPr>
        <w:rFonts w:ascii="Wingdings" w:hAnsi="Wingdings" w:hint="default"/>
      </w:rPr>
    </w:lvl>
  </w:abstractNum>
  <w:abstractNum w:abstractNumId="32" w15:restartNumberingAfterBreak="0">
    <w:nsid w:val="537B4FCC"/>
    <w:multiLevelType w:val="hybridMultilevel"/>
    <w:tmpl w:val="132C02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483DD7"/>
    <w:multiLevelType w:val="hybridMultilevel"/>
    <w:tmpl w:val="146CDE82"/>
    <w:lvl w:ilvl="0" w:tplc="E2B60C6A">
      <w:start w:val="1"/>
      <w:numFmt w:val="bullet"/>
      <w:lvlText w:val="·"/>
      <w:lvlJc w:val="left"/>
      <w:pPr>
        <w:ind w:left="720" w:hanging="360"/>
      </w:pPr>
      <w:rPr>
        <w:rFonts w:ascii="Symbol" w:hAnsi="Symbol" w:hint="default"/>
      </w:rPr>
    </w:lvl>
    <w:lvl w:ilvl="1" w:tplc="9D9CE190">
      <w:start w:val="1"/>
      <w:numFmt w:val="bullet"/>
      <w:lvlText w:val="o"/>
      <w:lvlJc w:val="left"/>
      <w:pPr>
        <w:ind w:left="1440" w:hanging="360"/>
      </w:pPr>
      <w:rPr>
        <w:rFonts w:ascii="Courier New" w:hAnsi="Courier New" w:hint="default"/>
      </w:rPr>
    </w:lvl>
    <w:lvl w:ilvl="2" w:tplc="EFB22B8E">
      <w:start w:val="1"/>
      <w:numFmt w:val="bullet"/>
      <w:lvlText w:val=""/>
      <w:lvlJc w:val="left"/>
      <w:pPr>
        <w:ind w:left="2160" w:hanging="360"/>
      </w:pPr>
      <w:rPr>
        <w:rFonts w:ascii="Wingdings" w:hAnsi="Wingdings" w:hint="default"/>
      </w:rPr>
    </w:lvl>
    <w:lvl w:ilvl="3" w:tplc="39AE2E9C">
      <w:start w:val="1"/>
      <w:numFmt w:val="bullet"/>
      <w:lvlText w:val=""/>
      <w:lvlJc w:val="left"/>
      <w:pPr>
        <w:ind w:left="2880" w:hanging="360"/>
      </w:pPr>
      <w:rPr>
        <w:rFonts w:ascii="Symbol" w:hAnsi="Symbol" w:hint="default"/>
      </w:rPr>
    </w:lvl>
    <w:lvl w:ilvl="4" w:tplc="68388A22">
      <w:start w:val="1"/>
      <w:numFmt w:val="bullet"/>
      <w:lvlText w:val="o"/>
      <w:lvlJc w:val="left"/>
      <w:pPr>
        <w:ind w:left="3600" w:hanging="360"/>
      </w:pPr>
      <w:rPr>
        <w:rFonts w:ascii="Courier New" w:hAnsi="Courier New" w:hint="default"/>
      </w:rPr>
    </w:lvl>
    <w:lvl w:ilvl="5" w:tplc="C0E22A4C">
      <w:start w:val="1"/>
      <w:numFmt w:val="bullet"/>
      <w:lvlText w:val=""/>
      <w:lvlJc w:val="left"/>
      <w:pPr>
        <w:ind w:left="4320" w:hanging="360"/>
      </w:pPr>
      <w:rPr>
        <w:rFonts w:ascii="Wingdings" w:hAnsi="Wingdings" w:hint="default"/>
      </w:rPr>
    </w:lvl>
    <w:lvl w:ilvl="6" w:tplc="2C981BD6">
      <w:start w:val="1"/>
      <w:numFmt w:val="bullet"/>
      <w:lvlText w:val=""/>
      <w:lvlJc w:val="left"/>
      <w:pPr>
        <w:ind w:left="5040" w:hanging="360"/>
      </w:pPr>
      <w:rPr>
        <w:rFonts w:ascii="Symbol" w:hAnsi="Symbol" w:hint="default"/>
      </w:rPr>
    </w:lvl>
    <w:lvl w:ilvl="7" w:tplc="589486F6">
      <w:start w:val="1"/>
      <w:numFmt w:val="bullet"/>
      <w:lvlText w:val="o"/>
      <w:lvlJc w:val="left"/>
      <w:pPr>
        <w:ind w:left="5760" w:hanging="360"/>
      </w:pPr>
      <w:rPr>
        <w:rFonts w:ascii="Courier New" w:hAnsi="Courier New" w:hint="default"/>
      </w:rPr>
    </w:lvl>
    <w:lvl w:ilvl="8" w:tplc="174C2BB6">
      <w:start w:val="1"/>
      <w:numFmt w:val="bullet"/>
      <w:lvlText w:val=""/>
      <w:lvlJc w:val="left"/>
      <w:pPr>
        <w:ind w:left="6480" w:hanging="360"/>
      </w:pPr>
      <w:rPr>
        <w:rFonts w:ascii="Wingdings" w:hAnsi="Wingdings" w:hint="default"/>
      </w:rPr>
    </w:lvl>
  </w:abstractNum>
  <w:abstractNum w:abstractNumId="34" w15:restartNumberingAfterBreak="0">
    <w:nsid w:val="59F95B94"/>
    <w:multiLevelType w:val="hybridMultilevel"/>
    <w:tmpl w:val="0BAAC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0056CE"/>
    <w:multiLevelType w:val="hybridMultilevel"/>
    <w:tmpl w:val="7428C3CA"/>
    <w:lvl w:ilvl="0" w:tplc="BFFE08C4">
      <w:start w:val="1"/>
      <w:numFmt w:val="bullet"/>
      <w:lvlText w:val="·"/>
      <w:lvlJc w:val="left"/>
      <w:pPr>
        <w:ind w:left="360" w:hanging="360"/>
      </w:pPr>
      <w:rPr>
        <w:rFonts w:ascii="&quot;Calibri Light&quot;,sans-serif" w:hAnsi="&quot;Calibri Light&quot;,sans-serif" w:hint="default"/>
        <w:color w:val="auto"/>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36" w15:restartNumberingAfterBreak="0">
    <w:nsid w:val="5F4AD64E"/>
    <w:multiLevelType w:val="hybridMultilevel"/>
    <w:tmpl w:val="ADD2F74E"/>
    <w:lvl w:ilvl="0" w:tplc="0FEAE9A4">
      <w:start w:val="1"/>
      <w:numFmt w:val="bullet"/>
      <w:lvlText w:val="·"/>
      <w:lvlJc w:val="left"/>
      <w:pPr>
        <w:ind w:left="720" w:hanging="360"/>
      </w:pPr>
      <w:rPr>
        <w:rFonts w:ascii="&quot;Calibri Light&quot;,sans-serif" w:hAnsi="&quot;Calibri Light&quot;,sans-serif" w:hint="default"/>
      </w:rPr>
    </w:lvl>
    <w:lvl w:ilvl="1" w:tplc="F4785418">
      <w:start w:val="1"/>
      <w:numFmt w:val="bullet"/>
      <w:lvlText w:val="o"/>
      <w:lvlJc w:val="left"/>
      <w:pPr>
        <w:ind w:left="1440" w:hanging="360"/>
      </w:pPr>
      <w:rPr>
        <w:rFonts w:ascii="Courier New" w:hAnsi="Courier New" w:hint="default"/>
      </w:rPr>
    </w:lvl>
    <w:lvl w:ilvl="2" w:tplc="8A7405B0">
      <w:start w:val="1"/>
      <w:numFmt w:val="bullet"/>
      <w:lvlText w:val=""/>
      <w:lvlJc w:val="left"/>
      <w:pPr>
        <w:ind w:left="2160" w:hanging="360"/>
      </w:pPr>
      <w:rPr>
        <w:rFonts w:ascii="Wingdings" w:hAnsi="Wingdings" w:hint="default"/>
      </w:rPr>
    </w:lvl>
    <w:lvl w:ilvl="3" w:tplc="6EF07976">
      <w:start w:val="1"/>
      <w:numFmt w:val="bullet"/>
      <w:lvlText w:val=""/>
      <w:lvlJc w:val="left"/>
      <w:pPr>
        <w:ind w:left="2880" w:hanging="360"/>
      </w:pPr>
      <w:rPr>
        <w:rFonts w:ascii="Symbol" w:hAnsi="Symbol" w:hint="default"/>
      </w:rPr>
    </w:lvl>
    <w:lvl w:ilvl="4" w:tplc="48AC667C">
      <w:start w:val="1"/>
      <w:numFmt w:val="bullet"/>
      <w:lvlText w:val="o"/>
      <w:lvlJc w:val="left"/>
      <w:pPr>
        <w:ind w:left="3600" w:hanging="360"/>
      </w:pPr>
      <w:rPr>
        <w:rFonts w:ascii="Courier New" w:hAnsi="Courier New" w:hint="default"/>
      </w:rPr>
    </w:lvl>
    <w:lvl w:ilvl="5" w:tplc="1E54DBBE">
      <w:start w:val="1"/>
      <w:numFmt w:val="bullet"/>
      <w:lvlText w:val=""/>
      <w:lvlJc w:val="left"/>
      <w:pPr>
        <w:ind w:left="4320" w:hanging="360"/>
      </w:pPr>
      <w:rPr>
        <w:rFonts w:ascii="Wingdings" w:hAnsi="Wingdings" w:hint="default"/>
      </w:rPr>
    </w:lvl>
    <w:lvl w:ilvl="6" w:tplc="812E6834">
      <w:start w:val="1"/>
      <w:numFmt w:val="bullet"/>
      <w:lvlText w:val=""/>
      <w:lvlJc w:val="left"/>
      <w:pPr>
        <w:ind w:left="5040" w:hanging="360"/>
      </w:pPr>
      <w:rPr>
        <w:rFonts w:ascii="Symbol" w:hAnsi="Symbol" w:hint="default"/>
      </w:rPr>
    </w:lvl>
    <w:lvl w:ilvl="7" w:tplc="EEC2128E">
      <w:start w:val="1"/>
      <w:numFmt w:val="bullet"/>
      <w:lvlText w:val="o"/>
      <w:lvlJc w:val="left"/>
      <w:pPr>
        <w:ind w:left="5760" w:hanging="360"/>
      </w:pPr>
      <w:rPr>
        <w:rFonts w:ascii="Courier New" w:hAnsi="Courier New" w:hint="default"/>
      </w:rPr>
    </w:lvl>
    <w:lvl w:ilvl="8" w:tplc="25686102">
      <w:start w:val="1"/>
      <w:numFmt w:val="bullet"/>
      <w:lvlText w:val=""/>
      <w:lvlJc w:val="left"/>
      <w:pPr>
        <w:ind w:left="6480" w:hanging="360"/>
      </w:pPr>
      <w:rPr>
        <w:rFonts w:ascii="Wingdings" w:hAnsi="Wingdings" w:hint="default"/>
      </w:rPr>
    </w:lvl>
  </w:abstractNum>
  <w:abstractNum w:abstractNumId="37" w15:restartNumberingAfterBreak="0">
    <w:nsid w:val="613744EB"/>
    <w:multiLevelType w:val="hybridMultilevel"/>
    <w:tmpl w:val="D2FA4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F53F0A"/>
    <w:multiLevelType w:val="hybridMultilevel"/>
    <w:tmpl w:val="3FC036CE"/>
    <w:lvl w:ilvl="0" w:tplc="8200B458">
      <w:start w:val="6"/>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0ED3C5"/>
    <w:multiLevelType w:val="hybridMultilevel"/>
    <w:tmpl w:val="F89AC8C6"/>
    <w:lvl w:ilvl="0" w:tplc="F978061E">
      <w:start w:val="1"/>
      <w:numFmt w:val="bullet"/>
      <w:lvlText w:val="·"/>
      <w:lvlJc w:val="left"/>
      <w:pPr>
        <w:ind w:left="720" w:hanging="360"/>
      </w:pPr>
      <w:rPr>
        <w:rFonts w:ascii="Symbol" w:hAnsi="Symbol" w:hint="default"/>
      </w:rPr>
    </w:lvl>
    <w:lvl w:ilvl="1" w:tplc="127ED0DE">
      <w:start w:val="1"/>
      <w:numFmt w:val="bullet"/>
      <w:lvlText w:val="o"/>
      <w:lvlJc w:val="left"/>
      <w:pPr>
        <w:ind w:left="1440" w:hanging="360"/>
      </w:pPr>
      <w:rPr>
        <w:rFonts w:ascii="Courier New" w:hAnsi="Courier New" w:hint="default"/>
      </w:rPr>
    </w:lvl>
    <w:lvl w:ilvl="2" w:tplc="8F7ABC9A">
      <w:start w:val="1"/>
      <w:numFmt w:val="bullet"/>
      <w:lvlText w:val=""/>
      <w:lvlJc w:val="left"/>
      <w:pPr>
        <w:ind w:left="2160" w:hanging="360"/>
      </w:pPr>
      <w:rPr>
        <w:rFonts w:ascii="Wingdings" w:hAnsi="Wingdings" w:hint="default"/>
      </w:rPr>
    </w:lvl>
    <w:lvl w:ilvl="3" w:tplc="09542612">
      <w:start w:val="1"/>
      <w:numFmt w:val="bullet"/>
      <w:lvlText w:val=""/>
      <w:lvlJc w:val="left"/>
      <w:pPr>
        <w:ind w:left="2880" w:hanging="360"/>
      </w:pPr>
      <w:rPr>
        <w:rFonts w:ascii="Symbol" w:hAnsi="Symbol" w:hint="default"/>
      </w:rPr>
    </w:lvl>
    <w:lvl w:ilvl="4" w:tplc="DC4AA152">
      <w:start w:val="1"/>
      <w:numFmt w:val="bullet"/>
      <w:lvlText w:val="o"/>
      <w:lvlJc w:val="left"/>
      <w:pPr>
        <w:ind w:left="3600" w:hanging="360"/>
      </w:pPr>
      <w:rPr>
        <w:rFonts w:ascii="Courier New" w:hAnsi="Courier New" w:hint="default"/>
      </w:rPr>
    </w:lvl>
    <w:lvl w:ilvl="5" w:tplc="75469378">
      <w:start w:val="1"/>
      <w:numFmt w:val="bullet"/>
      <w:lvlText w:val=""/>
      <w:lvlJc w:val="left"/>
      <w:pPr>
        <w:ind w:left="4320" w:hanging="360"/>
      </w:pPr>
      <w:rPr>
        <w:rFonts w:ascii="Wingdings" w:hAnsi="Wingdings" w:hint="default"/>
      </w:rPr>
    </w:lvl>
    <w:lvl w:ilvl="6" w:tplc="EE40B7D0">
      <w:start w:val="1"/>
      <w:numFmt w:val="bullet"/>
      <w:lvlText w:val=""/>
      <w:lvlJc w:val="left"/>
      <w:pPr>
        <w:ind w:left="5040" w:hanging="360"/>
      </w:pPr>
      <w:rPr>
        <w:rFonts w:ascii="Symbol" w:hAnsi="Symbol" w:hint="default"/>
      </w:rPr>
    </w:lvl>
    <w:lvl w:ilvl="7" w:tplc="1F4622D0">
      <w:start w:val="1"/>
      <w:numFmt w:val="bullet"/>
      <w:lvlText w:val="o"/>
      <w:lvlJc w:val="left"/>
      <w:pPr>
        <w:ind w:left="5760" w:hanging="360"/>
      </w:pPr>
      <w:rPr>
        <w:rFonts w:ascii="Courier New" w:hAnsi="Courier New" w:hint="default"/>
      </w:rPr>
    </w:lvl>
    <w:lvl w:ilvl="8" w:tplc="F78A34C8">
      <w:start w:val="1"/>
      <w:numFmt w:val="bullet"/>
      <w:lvlText w:val=""/>
      <w:lvlJc w:val="left"/>
      <w:pPr>
        <w:ind w:left="6480" w:hanging="360"/>
      </w:pPr>
      <w:rPr>
        <w:rFonts w:ascii="Wingdings" w:hAnsi="Wingdings" w:hint="default"/>
      </w:rPr>
    </w:lvl>
  </w:abstractNum>
  <w:abstractNum w:abstractNumId="40" w15:restartNumberingAfterBreak="0">
    <w:nsid w:val="69790891"/>
    <w:multiLevelType w:val="multilevel"/>
    <w:tmpl w:val="47A4C8F6"/>
    <w:lvl w:ilvl="0">
      <w:start w:val="1"/>
      <w:numFmt w:val="decimal"/>
      <w:pStyle w:val="Lists"/>
      <w:lvlText w:val="%1."/>
      <w:lvlJc w:val="left"/>
      <w:pPr>
        <w:ind w:left="340" w:hanging="340"/>
      </w:pPr>
      <w:rPr>
        <w:rFonts w:hint="default"/>
        <w:sz w:val="18"/>
        <w:szCs w:val="16"/>
      </w:rPr>
    </w:lvl>
    <w:lvl w:ilvl="1">
      <w:start w:val="1"/>
      <w:numFmt w:val="lowerLetter"/>
      <w:lvlText w:val="%2."/>
      <w:lvlJc w:val="left"/>
      <w:pPr>
        <w:tabs>
          <w:tab w:val="num" w:pos="680"/>
        </w:tabs>
        <w:ind w:left="680" w:hanging="340"/>
      </w:pPr>
      <w:rPr>
        <w:rFonts w:hint="default"/>
        <w:sz w:val="18"/>
        <w:szCs w:val="16"/>
      </w:rPr>
    </w:lvl>
    <w:lvl w:ilvl="2">
      <w:start w:val="1"/>
      <w:numFmt w:val="lowerRoman"/>
      <w:lvlText w:val="%3."/>
      <w:lvlJc w:val="left"/>
      <w:pPr>
        <w:tabs>
          <w:tab w:val="num" w:pos="680"/>
        </w:tabs>
        <w:ind w:left="680" w:hanging="340"/>
      </w:pPr>
      <w:rPr>
        <w:rFonts w:hint="default"/>
        <w:sz w:val="18"/>
        <w:szCs w:val="16"/>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41" w15:restartNumberingAfterBreak="0">
    <w:nsid w:val="6D982D1C"/>
    <w:multiLevelType w:val="hybridMultilevel"/>
    <w:tmpl w:val="6B2E2F5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2" w15:restartNumberingAfterBreak="0">
    <w:nsid w:val="6E2D0D15"/>
    <w:multiLevelType w:val="hybridMultilevel"/>
    <w:tmpl w:val="3DD0E8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339A34"/>
    <w:multiLevelType w:val="hybridMultilevel"/>
    <w:tmpl w:val="1EAC2DA8"/>
    <w:lvl w:ilvl="0" w:tplc="15D852C8">
      <w:start w:val="1"/>
      <w:numFmt w:val="decimal"/>
      <w:lvlText w:val="%1."/>
      <w:lvlJc w:val="left"/>
      <w:pPr>
        <w:ind w:left="360" w:hanging="360"/>
      </w:pPr>
    </w:lvl>
    <w:lvl w:ilvl="1" w:tplc="13BA0700">
      <w:start w:val="1"/>
      <w:numFmt w:val="lowerLetter"/>
      <w:lvlText w:val="%2."/>
      <w:lvlJc w:val="left"/>
      <w:pPr>
        <w:ind w:left="1080" w:hanging="360"/>
      </w:pPr>
    </w:lvl>
    <w:lvl w:ilvl="2" w:tplc="0D68ABA8">
      <w:start w:val="1"/>
      <w:numFmt w:val="lowerRoman"/>
      <w:lvlText w:val="%3."/>
      <w:lvlJc w:val="right"/>
      <w:pPr>
        <w:ind w:left="1800" w:hanging="180"/>
      </w:pPr>
    </w:lvl>
    <w:lvl w:ilvl="3" w:tplc="F0EE674C">
      <w:start w:val="1"/>
      <w:numFmt w:val="decimal"/>
      <w:lvlText w:val="%4."/>
      <w:lvlJc w:val="left"/>
      <w:pPr>
        <w:ind w:left="2520" w:hanging="360"/>
      </w:pPr>
    </w:lvl>
    <w:lvl w:ilvl="4" w:tplc="459E4358">
      <w:start w:val="1"/>
      <w:numFmt w:val="lowerLetter"/>
      <w:lvlText w:val="%5."/>
      <w:lvlJc w:val="left"/>
      <w:pPr>
        <w:ind w:left="3240" w:hanging="360"/>
      </w:pPr>
    </w:lvl>
    <w:lvl w:ilvl="5" w:tplc="D1CAB744">
      <w:start w:val="1"/>
      <w:numFmt w:val="lowerRoman"/>
      <w:lvlText w:val="%6."/>
      <w:lvlJc w:val="right"/>
      <w:pPr>
        <w:ind w:left="3960" w:hanging="180"/>
      </w:pPr>
    </w:lvl>
    <w:lvl w:ilvl="6" w:tplc="41C6C378">
      <w:start w:val="1"/>
      <w:numFmt w:val="decimal"/>
      <w:lvlText w:val="%7."/>
      <w:lvlJc w:val="left"/>
      <w:pPr>
        <w:ind w:left="4680" w:hanging="360"/>
      </w:pPr>
    </w:lvl>
    <w:lvl w:ilvl="7" w:tplc="77B0F914">
      <w:start w:val="1"/>
      <w:numFmt w:val="lowerLetter"/>
      <w:lvlText w:val="%8."/>
      <w:lvlJc w:val="left"/>
      <w:pPr>
        <w:ind w:left="5400" w:hanging="360"/>
      </w:pPr>
    </w:lvl>
    <w:lvl w:ilvl="8" w:tplc="305CA8E0">
      <w:start w:val="1"/>
      <w:numFmt w:val="lowerRoman"/>
      <w:lvlText w:val="%9."/>
      <w:lvlJc w:val="right"/>
      <w:pPr>
        <w:ind w:left="6120" w:hanging="180"/>
      </w:pPr>
    </w:lvl>
  </w:abstractNum>
  <w:abstractNum w:abstractNumId="44" w15:restartNumberingAfterBreak="0">
    <w:nsid w:val="778D3A3A"/>
    <w:multiLevelType w:val="hybridMultilevel"/>
    <w:tmpl w:val="B49C4A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D35232"/>
    <w:multiLevelType w:val="multilevel"/>
    <w:tmpl w:val="059EC80E"/>
    <w:lvl w:ilvl="0">
      <w:start w:val="8"/>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B2D223F"/>
    <w:multiLevelType w:val="hybridMultilevel"/>
    <w:tmpl w:val="1BB42740"/>
    <w:lvl w:ilvl="0" w:tplc="0AD2848A">
      <w:start w:val="1"/>
      <w:numFmt w:val="bullet"/>
      <w:lvlText w:val="·"/>
      <w:lvlJc w:val="left"/>
      <w:pPr>
        <w:ind w:left="720" w:hanging="360"/>
      </w:pPr>
      <w:rPr>
        <w:rFonts w:ascii="Symbol" w:hAnsi="Symbol" w:hint="default"/>
      </w:rPr>
    </w:lvl>
    <w:lvl w:ilvl="1" w:tplc="1682F7AE">
      <w:start w:val="1"/>
      <w:numFmt w:val="bullet"/>
      <w:lvlText w:val="o"/>
      <w:lvlJc w:val="left"/>
      <w:pPr>
        <w:ind w:left="1440" w:hanging="360"/>
      </w:pPr>
      <w:rPr>
        <w:rFonts w:ascii="Courier New" w:hAnsi="Courier New" w:hint="default"/>
      </w:rPr>
    </w:lvl>
    <w:lvl w:ilvl="2" w:tplc="73AAD040">
      <w:start w:val="1"/>
      <w:numFmt w:val="bullet"/>
      <w:lvlText w:val=""/>
      <w:lvlJc w:val="left"/>
      <w:pPr>
        <w:ind w:left="2160" w:hanging="360"/>
      </w:pPr>
      <w:rPr>
        <w:rFonts w:ascii="Wingdings" w:hAnsi="Wingdings" w:hint="default"/>
      </w:rPr>
    </w:lvl>
    <w:lvl w:ilvl="3" w:tplc="B2FCE4B4">
      <w:start w:val="1"/>
      <w:numFmt w:val="bullet"/>
      <w:lvlText w:val=""/>
      <w:lvlJc w:val="left"/>
      <w:pPr>
        <w:ind w:left="2880" w:hanging="360"/>
      </w:pPr>
      <w:rPr>
        <w:rFonts w:ascii="Symbol" w:hAnsi="Symbol" w:hint="default"/>
      </w:rPr>
    </w:lvl>
    <w:lvl w:ilvl="4" w:tplc="5AEC9516">
      <w:start w:val="1"/>
      <w:numFmt w:val="bullet"/>
      <w:lvlText w:val="o"/>
      <w:lvlJc w:val="left"/>
      <w:pPr>
        <w:ind w:left="3600" w:hanging="360"/>
      </w:pPr>
      <w:rPr>
        <w:rFonts w:ascii="Courier New" w:hAnsi="Courier New" w:hint="default"/>
      </w:rPr>
    </w:lvl>
    <w:lvl w:ilvl="5" w:tplc="D076EF62">
      <w:start w:val="1"/>
      <w:numFmt w:val="bullet"/>
      <w:lvlText w:val=""/>
      <w:lvlJc w:val="left"/>
      <w:pPr>
        <w:ind w:left="4320" w:hanging="360"/>
      </w:pPr>
      <w:rPr>
        <w:rFonts w:ascii="Wingdings" w:hAnsi="Wingdings" w:hint="default"/>
      </w:rPr>
    </w:lvl>
    <w:lvl w:ilvl="6" w:tplc="0F56A2D8">
      <w:start w:val="1"/>
      <w:numFmt w:val="bullet"/>
      <w:lvlText w:val=""/>
      <w:lvlJc w:val="left"/>
      <w:pPr>
        <w:ind w:left="5040" w:hanging="360"/>
      </w:pPr>
      <w:rPr>
        <w:rFonts w:ascii="Symbol" w:hAnsi="Symbol" w:hint="default"/>
      </w:rPr>
    </w:lvl>
    <w:lvl w:ilvl="7" w:tplc="DB78242A">
      <w:start w:val="1"/>
      <w:numFmt w:val="bullet"/>
      <w:lvlText w:val="o"/>
      <w:lvlJc w:val="left"/>
      <w:pPr>
        <w:ind w:left="5760" w:hanging="360"/>
      </w:pPr>
      <w:rPr>
        <w:rFonts w:ascii="Courier New" w:hAnsi="Courier New" w:hint="default"/>
      </w:rPr>
    </w:lvl>
    <w:lvl w:ilvl="8" w:tplc="B052DA14">
      <w:start w:val="1"/>
      <w:numFmt w:val="bullet"/>
      <w:lvlText w:val=""/>
      <w:lvlJc w:val="left"/>
      <w:pPr>
        <w:ind w:left="6480" w:hanging="360"/>
      </w:pPr>
      <w:rPr>
        <w:rFonts w:ascii="Wingdings" w:hAnsi="Wingdings" w:hint="default"/>
      </w:rPr>
    </w:lvl>
  </w:abstractNum>
  <w:abstractNum w:abstractNumId="47" w15:restartNumberingAfterBreak="0">
    <w:nsid w:val="7C187130"/>
    <w:multiLevelType w:val="hybridMultilevel"/>
    <w:tmpl w:val="0540E584"/>
    <w:lvl w:ilvl="0" w:tplc="C8A870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4AE89D"/>
    <w:multiLevelType w:val="hybridMultilevel"/>
    <w:tmpl w:val="6F36C350"/>
    <w:lvl w:ilvl="0" w:tplc="4DF4EB4E">
      <w:start w:val="1"/>
      <w:numFmt w:val="bullet"/>
      <w:lvlText w:val="·"/>
      <w:lvlJc w:val="left"/>
      <w:pPr>
        <w:ind w:left="720" w:hanging="360"/>
      </w:pPr>
      <w:rPr>
        <w:rFonts w:ascii="&quot;Calibri Light&quot;,sans-serif" w:hAnsi="&quot;Calibri Light&quot;,sans-serif" w:hint="default"/>
      </w:rPr>
    </w:lvl>
    <w:lvl w:ilvl="1" w:tplc="CF4055B8">
      <w:start w:val="1"/>
      <w:numFmt w:val="bullet"/>
      <w:lvlText w:val="o"/>
      <w:lvlJc w:val="left"/>
      <w:pPr>
        <w:ind w:left="1440" w:hanging="360"/>
      </w:pPr>
      <w:rPr>
        <w:rFonts w:ascii="Courier New" w:hAnsi="Courier New" w:hint="default"/>
      </w:rPr>
    </w:lvl>
    <w:lvl w:ilvl="2" w:tplc="D11237FA">
      <w:start w:val="1"/>
      <w:numFmt w:val="bullet"/>
      <w:lvlText w:val=""/>
      <w:lvlJc w:val="left"/>
      <w:pPr>
        <w:ind w:left="2160" w:hanging="360"/>
      </w:pPr>
      <w:rPr>
        <w:rFonts w:ascii="Wingdings" w:hAnsi="Wingdings" w:hint="default"/>
      </w:rPr>
    </w:lvl>
    <w:lvl w:ilvl="3" w:tplc="E0C6B3A2">
      <w:start w:val="1"/>
      <w:numFmt w:val="bullet"/>
      <w:lvlText w:val=""/>
      <w:lvlJc w:val="left"/>
      <w:pPr>
        <w:ind w:left="2880" w:hanging="360"/>
      </w:pPr>
      <w:rPr>
        <w:rFonts w:ascii="Symbol" w:hAnsi="Symbol" w:hint="default"/>
      </w:rPr>
    </w:lvl>
    <w:lvl w:ilvl="4" w:tplc="C642754A">
      <w:start w:val="1"/>
      <w:numFmt w:val="bullet"/>
      <w:lvlText w:val="o"/>
      <w:lvlJc w:val="left"/>
      <w:pPr>
        <w:ind w:left="3600" w:hanging="360"/>
      </w:pPr>
      <w:rPr>
        <w:rFonts w:ascii="Courier New" w:hAnsi="Courier New" w:hint="default"/>
      </w:rPr>
    </w:lvl>
    <w:lvl w:ilvl="5" w:tplc="24F67B4A">
      <w:start w:val="1"/>
      <w:numFmt w:val="bullet"/>
      <w:lvlText w:val=""/>
      <w:lvlJc w:val="left"/>
      <w:pPr>
        <w:ind w:left="4320" w:hanging="360"/>
      </w:pPr>
      <w:rPr>
        <w:rFonts w:ascii="Wingdings" w:hAnsi="Wingdings" w:hint="default"/>
      </w:rPr>
    </w:lvl>
    <w:lvl w:ilvl="6" w:tplc="6CDCA32A">
      <w:start w:val="1"/>
      <w:numFmt w:val="bullet"/>
      <w:lvlText w:val=""/>
      <w:lvlJc w:val="left"/>
      <w:pPr>
        <w:ind w:left="5040" w:hanging="360"/>
      </w:pPr>
      <w:rPr>
        <w:rFonts w:ascii="Symbol" w:hAnsi="Symbol" w:hint="default"/>
      </w:rPr>
    </w:lvl>
    <w:lvl w:ilvl="7" w:tplc="105CE8B8">
      <w:start w:val="1"/>
      <w:numFmt w:val="bullet"/>
      <w:lvlText w:val="o"/>
      <w:lvlJc w:val="left"/>
      <w:pPr>
        <w:ind w:left="5760" w:hanging="360"/>
      </w:pPr>
      <w:rPr>
        <w:rFonts w:ascii="Courier New" w:hAnsi="Courier New" w:hint="default"/>
      </w:rPr>
    </w:lvl>
    <w:lvl w:ilvl="8" w:tplc="6BD65582">
      <w:start w:val="1"/>
      <w:numFmt w:val="bullet"/>
      <w:lvlText w:val=""/>
      <w:lvlJc w:val="left"/>
      <w:pPr>
        <w:ind w:left="6480" w:hanging="360"/>
      </w:pPr>
      <w:rPr>
        <w:rFonts w:ascii="Wingdings" w:hAnsi="Wingdings" w:hint="default"/>
      </w:rPr>
    </w:lvl>
  </w:abstractNum>
  <w:num w:numId="1" w16cid:durableId="1589540334">
    <w:abstractNumId w:val="27"/>
  </w:num>
  <w:num w:numId="2" w16cid:durableId="1485665409">
    <w:abstractNumId w:val="46"/>
  </w:num>
  <w:num w:numId="3" w16cid:durableId="683283750">
    <w:abstractNumId w:val="13"/>
  </w:num>
  <w:num w:numId="4" w16cid:durableId="368145953">
    <w:abstractNumId w:val="3"/>
  </w:num>
  <w:num w:numId="5" w16cid:durableId="788160513">
    <w:abstractNumId w:val="33"/>
  </w:num>
  <w:num w:numId="6" w16cid:durableId="77605312">
    <w:abstractNumId w:val="7"/>
  </w:num>
  <w:num w:numId="7" w16cid:durableId="211043659">
    <w:abstractNumId w:val="5"/>
  </w:num>
  <w:num w:numId="8" w16cid:durableId="1723870428">
    <w:abstractNumId w:val="31"/>
  </w:num>
  <w:num w:numId="9" w16cid:durableId="1071273379">
    <w:abstractNumId w:val="23"/>
  </w:num>
  <w:num w:numId="10" w16cid:durableId="1579094687">
    <w:abstractNumId w:val="39"/>
  </w:num>
  <w:num w:numId="11" w16cid:durableId="1682119757">
    <w:abstractNumId w:val="43"/>
  </w:num>
  <w:num w:numId="12" w16cid:durableId="663096444">
    <w:abstractNumId w:val="21"/>
  </w:num>
  <w:num w:numId="13" w16cid:durableId="1976446898">
    <w:abstractNumId w:val="4"/>
  </w:num>
  <w:num w:numId="14" w16cid:durableId="1815950271">
    <w:abstractNumId w:val="36"/>
  </w:num>
  <w:num w:numId="15" w16cid:durableId="782766016">
    <w:abstractNumId w:val="48"/>
  </w:num>
  <w:num w:numId="16" w16cid:durableId="1638341198">
    <w:abstractNumId w:val="29"/>
  </w:num>
  <w:num w:numId="17" w16cid:durableId="1559897442">
    <w:abstractNumId w:val="6"/>
  </w:num>
  <w:num w:numId="18" w16cid:durableId="690110393">
    <w:abstractNumId w:val="41"/>
  </w:num>
  <w:num w:numId="19" w16cid:durableId="1846936958">
    <w:abstractNumId w:val="8"/>
  </w:num>
  <w:num w:numId="20" w16cid:durableId="1581911451">
    <w:abstractNumId w:val="19"/>
  </w:num>
  <w:num w:numId="21" w16cid:durableId="1698237865">
    <w:abstractNumId w:val="38"/>
  </w:num>
  <w:num w:numId="22" w16cid:durableId="804664884">
    <w:abstractNumId w:val="15"/>
  </w:num>
  <w:num w:numId="23" w16cid:durableId="962614466">
    <w:abstractNumId w:val="10"/>
  </w:num>
  <w:num w:numId="24" w16cid:durableId="322513417">
    <w:abstractNumId w:val="0"/>
  </w:num>
  <w:num w:numId="25" w16cid:durableId="1528790670">
    <w:abstractNumId w:val="34"/>
  </w:num>
  <w:num w:numId="26" w16cid:durableId="131555802">
    <w:abstractNumId w:val="22"/>
  </w:num>
  <w:num w:numId="27" w16cid:durableId="940531240">
    <w:abstractNumId w:val="28"/>
  </w:num>
  <w:num w:numId="28" w16cid:durableId="506402689">
    <w:abstractNumId w:val="24"/>
  </w:num>
  <w:num w:numId="29" w16cid:durableId="455568996">
    <w:abstractNumId w:val="45"/>
  </w:num>
  <w:num w:numId="30" w16cid:durableId="812990450">
    <w:abstractNumId w:val="37"/>
  </w:num>
  <w:num w:numId="31" w16cid:durableId="157426235">
    <w:abstractNumId w:val="40"/>
  </w:num>
  <w:num w:numId="32" w16cid:durableId="1640762987">
    <w:abstractNumId w:val="1"/>
  </w:num>
  <w:num w:numId="33" w16cid:durableId="565144511">
    <w:abstractNumId w:val="26"/>
  </w:num>
  <w:num w:numId="34" w16cid:durableId="1720520382">
    <w:abstractNumId w:val="35"/>
  </w:num>
  <w:num w:numId="35" w16cid:durableId="1322711">
    <w:abstractNumId w:val="25"/>
  </w:num>
  <w:num w:numId="36" w16cid:durableId="824055083">
    <w:abstractNumId w:val="30"/>
  </w:num>
  <w:num w:numId="37" w16cid:durableId="1797286100">
    <w:abstractNumId w:val="11"/>
  </w:num>
  <w:num w:numId="38" w16cid:durableId="1530528137">
    <w:abstractNumId w:val="9"/>
  </w:num>
  <w:num w:numId="39" w16cid:durableId="438986915">
    <w:abstractNumId w:val="2"/>
  </w:num>
  <w:num w:numId="40" w16cid:durableId="664473586">
    <w:abstractNumId w:val="44"/>
  </w:num>
  <w:num w:numId="41" w16cid:durableId="1446728770">
    <w:abstractNumId w:val="16"/>
  </w:num>
  <w:num w:numId="42" w16cid:durableId="433477481">
    <w:abstractNumId w:val="14"/>
  </w:num>
  <w:num w:numId="43" w16cid:durableId="1166476324">
    <w:abstractNumId w:val="17"/>
  </w:num>
  <w:num w:numId="44" w16cid:durableId="1332755069">
    <w:abstractNumId w:val="42"/>
  </w:num>
  <w:num w:numId="45" w16cid:durableId="1591430148">
    <w:abstractNumId w:val="20"/>
  </w:num>
  <w:num w:numId="46" w16cid:durableId="891578872">
    <w:abstractNumId w:val="12"/>
  </w:num>
  <w:num w:numId="47" w16cid:durableId="302544796">
    <w:abstractNumId w:val="47"/>
  </w:num>
  <w:num w:numId="48" w16cid:durableId="1463419654">
    <w:abstractNumId w:val="18"/>
  </w:num>
  <w:num w:numId="49" w16cid:durableId="399056232">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anor Vermunt">
    <w15:presenceInfo w15:providerId="AD" w15:userId="S::eleanorv@hrc.co.nz::0864683c-34f6-49d2-bf49-4b588c1a4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816"/>
    <w:rsid w:val="000001F1"/>
    <w:rsid w:val="00002B65"/>
    <w:rsid w:val="00003BB7"/>
    <w:rsid w:val="00003DD9"/>
    <w:rsid w:val="00004612"/>
    <w:rsid w:val="00005CB3"/>
    <w:rsid w:val="00013DE0"/>
    <w:rsid w:val="00014271"/>
    <w:rsid w:val="00014964"/>
    <w:rsid w:val="00015606"/>
    <w:rsid w:val="000201D7"/>
    <w:rsid w:val="000239E0"/>
    <w:rsid w:val="0002480D"/>
    <w:rsid w:val="0002521F"/>
    <w:rsid w:val="00027C57"/>
    <w:rsid w:val="00027DB8"/>
    <w:rsid w:val="00030D0D"/>
    <w:rsid w:val="00035FB3"/>
    <w:rsid w:val="000373C0"/>
    <w:rsid w:val="00037C78"/>
    <w:rsid w:val="0004568A"/>
    <w:rsid w:val="00046765"/>
    <w:rsid w:val="000468FF"/>
    <w:rsid w:val="000503A1"/>
    <w:rsid w:val="00050D76"/>
    <w:rsid w:val="000515FA"/>
    <w:rsid w:val="00051A65"/>
    <w:rsid w:val="00053C1E"/>
    <w:rsid w:val="000551A1"/>
    <w:rsid w:val="000579F5"/>
    <w:rsid w:val="00061F91"/>
    <w:rsid w:val="00064944"/>
    <w:rsid w:val="00071E3D"/>
    <w:rsid w:val="00072D2F"/>
    <w:rsid w:val="00072E6F"/>
    <w:rsid w:val="00073943"/>
    <w:rsid w:val="00075139"/>
    <w:rsid w:val="0008274E"/>
    <w:rsid w:val="00083D0A"/>
    <w:rsid w:val="00083E3B"/>
    <w:rsid w:val="00086690"/>
    <w:rsid w:val="00090FC9"/>
    <w:rsid w:val="00093235"/>
    <w:rsid w:val="00093316"/>
    <w:rsid w:val="0009675B"/>
    <w:rsid w:val="000A113B"/>
    <w:rsid w:val="000A1A5F"/>
    <w:rsid w:val="000A1C65"/>
    <w:rsid w:val="000A3362"/>
    <w:rsid w:val="000A42BD"/>
    <w:rsid w:val="000C2322"/>
    <w:rsid w:val="000C3BEF"/>
    <w:rsid w:val="000C3FD5"/>
    <w:rsid w:val="000C7320"/>
    <w:rsid w:val="000D0161"/>
    <w:rsid w:val="000D2027"/>
    <w:rsid w:val="000D26E2"/>
    <w:rsid w:val="000D3914"/>
    <w:rsid w:val="000D4E7D"/>
    <w:rsid w:val="000E10EE"/>
    <w:rsid w:val="000E3342"/>
    <w:rsid w:val="000F0594"/>
    <w:rsid w:val="000F1F69"/>
    <w:rsid w:val="000F2DED"/>
    <w:rsid w:val="000F53FF"/>
    <w:rsid w:val="000F7B9B"/>
    <w:rsid w:val="001047B7"/>
    <w:rsid w:val="00105382"/>
    <w:rsid w:val="00106A7E"/>
    <w:rsid w:val="00110048"/>
    <w:rsid w:val="001115D0"/>
    <w:rsid w:val="00113F77"/>
    <w:rsid w:val="001171EF"/>
    <w:rsid w:val="00117D53"/>
    <w:rsid w:val="00131089"/>
    <w:rsid w:val="001316B5"/>
    <w:rsid w:val="001321FF"/>
    <w:rsid w:val="00137578"/>
    <w:rsid w:val="0013799C"/>
    <w:rsid w:val="0014314A"/>
    <w:rsid w:val="0014442A"/>
    <w:rsid w:val="001528F3"/>
    <w:rsid w:val="00154013"/>
    <w:rsid w:val="0015591B"/>
    <w:rsid w:val="00161733"/>
    <w:rsid w:val="00166BA5"/>
    <w:rsid w:val="001706F0"/>
    <w:rsid w:val="0017560C"/>
    <w:rsid w:val="00175CBD"/>
    <w:rsid w:val="00182389"/>
    <w:rsid w:val="001833EB"/>
    <w:rsid w:val="001845E5"/>
    <w:rsid w:val="001A16C2"/>
    <w:rsid w:val="001B046B"/>
    <w:rsid w:val="001B5E0F"/>
    <w:rsid w:val="001B61F5"/>
    <w:rsid w:val="001C08A5"/>
    <w:rsid w:val="001C3E92"/>
    <w:rsid w:val="001D4376"/>
    <w:rsid w:val="001D5797"/>
    <w:rsid w:val="001D59E1"/>
    <w:rsid w:val="001D5C8E"/>
    <w:rsid w:val="001D7EF8"/>
    <w:rsid w:val="001E1E65"/>
    <w:rsid w:val="001E2C31"/>
    <w:rsid w:val="001E3AB5"/>
    <w:rsid w:val="001E7B3A"/>
    <w:rsid w:val="001F25E9"/>
    <w:rsid w:val="001F59AC"/>
    <w:rsid w:val="0020015C"/>
    <w:rsid w:val="0020090C"/>
    <w:rsid w:val="002018E4"/>
    <w:rsid w:val="00203C50"/>
    <w:rsid w:val="00211800"/>
    <w:rsid w:val="00213816"/>
    <w:rsid w:val="002220CF"/>
    <w:rsid w:val="002220E4"/>
    <w:rsid w:val="00223B34"/>
    <w:rsid w:val="002242ED"/>
    <w:rsid w:val="00224FD7"/>
    <w:rsid w:val="002333B5"/>
    <w:rsid w:val="00240808"/>
    <w:rsid w:val="00241B88"/>
    <w:rsid w:val="002442D0"/>
    <w:rsid w:val="00247060"/>
    <w:rsid w:val="00250179"/>
    <w:rsid w:val="00262256"/>
    <w:rsid w:val="002670DE"/>
    <w:rsid w:val="00267817"/>
    <w:rsid w:val="00270B84"/>
    <w:rsid w:val="00271526"/>
    <w:rsid w:val="002722FB"/>
    <w:rsid w:val="002741A9"/>
    <w:rsid w:val="00274C5E"/>
    <w:rsid w:val="0027790D"/>
    <w:rsid w:val="002835DA"/>
    <w:rsid w:val="00286216"/>
    <w:rsid w:val="0029019A"/>
    <w:rsid w:val="00290731"/>
    <w:rsid w:val="00290A42"/>
    <w:rsid w:val="002928FA"/>
    <w:rsid w:val="00295D04"/>
    <w:rsid w:val="00297BF2"/>
    <w:rsid w:val="002A530E"/>
    <w:rsid w:val="002A5577"/>
    <w:rsid w:val="002B03FF"/>
    <w:rsid w:val="002B20FA"/>
    <w:rsid w:val="002C10B1"/>
    <w:rsid w:val="002C6290"/>
    <w:rsid w:val="002C6617"/>
    <w:rsid w:val="002D4AD7"/>
    <w:rsid w:val="002D4D19"/>
    <w:rsid w:val="002E08ED"/>
    <w:rsid w:val="002E184B"/>
    <w:rsid w:val="002E26E3"/>
    <w:rsid w:val="002E3A2B"/>
    <w:rsid w:val="002E6D70"/>
    <w:rsid w:val="002F067F"/>
    <w:rsid w:val="002F221B"/>
    <w:rsid w:val="002F2ED7"/>
    <w:rsid w:val="00307BF5"/>
    <w:rsid w:val="00320124"/>
    <w:rsid w:val="003236A9"/>
    <w:rsid w:val="00330E11"/>
    <w:rsid w:val="00337B1D"/>
    <w:rsid w:val="003406BA"/>
    <w:rsid w:val="0034102C"/>
    <w:rsid w:val="0034197A"/>
    <w:rsid w:val="0034361B"/>
    <w:rsid w:val="00350079"/>
    <w:rsid w:val="00350A77"/>
    <w:rsid w:val="00353260"/>
    <w:rsid w:val="003552DA"/>
    <w:rsid w:val="00356D10"/>
    <w:rsid w:val="003613FB"/>
    <w:rsid w:val="00362BD8"/>
    <w:rsid w:val="00366D54"/>
    <w:rsid w:val="00370EB9"/>
    <w:rsid w:val="00374F36"/>
    <w:rsid w:val="0037774A"/>
    <w:rsid w:val="00381A27"/>
    <w:rsid w:val="0038406B"/>
    <w:rsid w:val="00384B60"/>
    <w:rsid w:val="00385CD6"/>
    <w:rsid w:val="003867AF"/>
    <w:rsid w:val="00387619"/>
    <w:rsid w:val="003957A5"/>
    <w:rsid w:val="0039628D"/>
    <w:rsid w:val="003970C1"/>
    <w:rsid w:val="00397D8C"/>
    <w:rsid w:val="003B0142"/>
    <w:rsid w:val="003B2104"/>
    <w:rsid w:val="003B35C7"/>
    <w:rsid w:val="003B3F06"/>
    <w:rsid w:val="003C08D4"/>
    <w:rsid w:val="003C2F0E"/>
    <w:rsid w:val="003C3998"/>
    <w:rsid w:val="003C4749"/>
    <w:rsid w:val="003D4C20"/>
    <w:rsid w:val="003D53E3"/>
    <w:rsid w:val="003E00CC"/>
    <w:rsid w:val="003E20AF"/>
    <w:rsid w:val="003E45BE"/>
    <w:rsid w:val="003E51FB"/>
    <w:rsid w:val="003F340E"/>
    <w:rsid w:val="003F6788"/>
    <w:rsid w:val="003F7FCE"/>
    <w:rsid w:val="0040041D"/>
    <w:rsid w:val="00401852"/>
    <w:rsid w:val="00402099"/>
    <w:rsid w:val="00407029"/>
    <w:rsid w:val="00407BD6"/>
    <w:rsid w:val="004175BC"/>
    <w:rsid w:val="0042033A"/>
    <w:rsid w:val="0042156B"/>
    <w:rsid w:val="0042494F"/>
    <w:rsid w:val="00424E0E"/>
    <w:rsid w:val="00426D3C"/>
    <w:rsid w:val="00427CDD"/>
    <w:rsid w:val="00431FBB"/>
    <w:rsid w:val="00433361"/>
    <w:rsid w:val="004355FE"/>
    <w:rsid w:val="00435B14"/>
    <w:rsid w:val="004366C0"/>
    <w:rsid w:val="00436920"/>
    <w:rsid w:val="00445B93"/>
    <w:rsid w:val="00450DDD"/>
    <w:rsid w:val="00450EC0"/>
    <w:rsid w:val="00452EDA"/>
    <w:rsid w:val="00457001"/>
    <w:rsid w:val="0046041D"/>
    <w:rsid w:val="0046741F"/>
    <w:rsid w:val="004674EA"/>
    <w:rsid w:val="00467F4D"/>
    <w:rsid w:val="004729AF"/>
    <w:rsid w:val="00475EE8"/>
    <w:rsid w:val="00477A33"/>
    <w:rsid w:val="00487FEB"/>
    <w:rsid w:val="00493AF9"/>
    <w:rsid w:val="00493CE4"/>
    <w:rsid w:val="00494730"/>
    <w:rsid w:val="00494FDE"/>
    <w:rsid w:val="004973F5"/>
    <w:rsid w:val="004975FF"/>
    <w:rsid w:val="004A0349"/>
    <w:rsid w:val="004A237D"/>
    <w:rsid w:val="004A33AC"/>
    <w:rsid w:val="004B3B92"/>
    <w:rsid w:val="004B7385"/>
    <w:rsid w:val="004C0677"/>
    <w:rsid w:val="004C37F7"/>
    <w:rsid w:val="004C3B33"/>
    <w:rsid w:val="004C71E2"/>
    <w:rsid w:val="004D6A79"/>
    <w:rsid w:val="004E69AA"/>
    <w:rsid w:val="004F1BF0"/>
    <w:rsid w:val="004F3C1A"/>
    <w:rsid w:val="00504A6B"/>
    <w:rsid w:val="0051018F"/>
    <w:rsid w:val="005133F3"/>
    <w:rsid w:val="0051546A"/>
    <w:rsid w:val="00516363"/>
    <w:rsid w:val="00521FD1"/>
    <w:rsid w:val="00525A43"/>
    <w:rsid w:val="00526626"/>
    <w:rsid w:val="00526FD8"/>
    <w:rsid w:val="00530F84"/>
    <w:rsid w:val="00531D9C"/>
    <w:rsid w:val="005400F2"/>
    <w:rsid w:val="00542642"/>
    <w:rsid w:val="00546530"/>
    <w:rsid w:val="00546662"/>
    <w:rsid w:val="005573F7"/>
    <w:rsid w:val="005742AC"/>
    <w:rsid w:val="00574CBD"/>
    <w:rsid w:val="00576D56"/>
    <w:rsid w:val="005867F1"/>
    <w:rsid w:val="005877C3"/>
    <w:rsid w:val="005916D7"/>
    <w:rsid w:val="00593C5F"/>
    <w:rsid w:val="00597C07"/>
    <w:rsid w:val="005A34E4"/>
    <w:rsid w:val="005A5E0D"/>
    <w:rsid w:val="005A6119"/>
    <w:rsid w:val="005B1C57"/>
    <w:rsid w:val="005B28B0"/>
    <w:rsid w:val="005B40F1"/>
    <w:rsid w:val="005C1878"/>
    <w:rsid w:val="005C4279"/>
    <w:rsid w:val="005C68BD"/>
    <w:rsid w:val="005C7B03"/>
    <w:rsid w:val="005C7B76"/>
    <w:rsid w:val="005D4ADB"/>
    <w:rsid w:val="005E2F43"/>
    <w:rsid w:val="005F35A3"/>
    <w:rsid w:val="0060277E"/>
    <w:rsid w:val="00604B3C"/>
    <w:rsid w:val="00604D04"/>
    <w:rsid w:val="00607126"/>
    <w:rsid w:val="006127EE"/>
    <w:rsid w:val="0061306D"/>
    <w:rsid w:val="00613457"/>
    <w:rsid w:val="00617421"/>
    <w:rsid w:val="0063543B"/>
    <w:rsid w:val="00635772"/>
    <w:rsid w:val="006416ED"/>
    <w:rsid w:val="006424B6"/>
    <w:rsid w:val="006465E5"/>
    <w:rsid w:val="00647B61"/>
    <w:rsid w:val="006532C7"/>
    <w:rsid w:val="00656612"/>
    <w:rsid w:val="00660F64"/>
    <w:rsid w:val="006632C5"/>
    <w:rsid w:val="00664378"/>
    <w:rsid w:val="0066625C"/>
    <w:rsid w:val="00667C46"/>
    <w:rsid w:val="00667F8B"/>
    <w:rsid w:val="00675FD0"/>
    <w:rsid w:val="00677988"/>
    <w:rsid w:val="00681AE0"/>
    <w:rsid w:val="00684192"/>
    <w:rsid w:val="006864BE"/>
    <w:rsid w:val="00692DD3"/>
    <w:rsid w:val="00694E9F"/>
    <w:rsid w:val="0069574C"/>
    <w:rsid w:val="00697040"/>
    <w:rsid w:val="006A0D3C"/>
    <w:rsid w:val="006A2279"/>
    <w:rsid w:val="006A3F89"/>
    <w:rsid w:val="006A453B"/>
    <w:rsid w:val="006A5663"/>
    <w:rsid w:val="006A7D29"/>
    <w:rsid w:val="006B2804"/>
    <w:rsid w:val="006C349E"/>
    <w:rsid w:val="006C592E"/>
    <w:rsid w:val="006C6A81"/>
    <w:rsid w:val="006C7E4C"/>
    <w:rsid w:val="006D1139"/>
    <w:rsid w:val="006D5678"/>
    <w:rsid w:val="006E0A27"/>
    <w:rsid w:val="006E1D29"/>
    <w:rsid w:val="006E2111"/>
    <w:rsid w:val="006E22AA"/>
    <w:rsid w:val="006E4C4B"/>
    <w:rsid w:val="006E72F9"/>
    <w:rsid w:val="006F203F"/>
    <w:rsid w:val="006F426B"/>
    <w:rsid w:val="007014F6"/>
    <w:rsid w:val="0070334B"/>
    <w:rsid w:val="00704EC8"/>
    <w:rsid w:val="00705032"/>
    <w:rsid w:val="007102C0"/>
    <w:rsid w:val="007107A6"/>
    <w:rsid w:val="00710C3A"/>
    <w:rsid w:val="00711A4C"/>
    <w:rsid w:val="0071558F"/>
    <w:rsid w:val="007172B6"/>
    <w:rsid w:val="00724958"/>
    <w:rsid w:val="00724F00"/>
    <w:rsid w:val="00725182"/>
    <w:rsid w:val="00725868"/>
    <w:rsid w:val="0072644D"/>
    <w:rsid w:val="00727488"/>
    <w:rsid w:val="00727806"/>
    <w:rsid w:val="00736A0F"/>
    <w:rsid w:val="00742C20"/>
    <w:rsid w:val="0074553F"/>
    <w:rsid w:val="00751450"/>
    <w:rsid w:val="007515AC"/>
    <w:rsid w:val="0075717C"/>
    <w:rsid w:val="007603F3"/>
    <w:rsid w:val="00762345"/>
    <w:rsid w:val="00762EE1"/>
    <w:rsid w:val="0077003B"/>
    <w:rsid w:val="00774010"/>
    <w:rsid w:val="00777A7E"/>
    <w:rsid w:val="00785791"/>
    <w:rsid w:val="007860D6"/>
    <w:rsid w:val="00795187"/>
    <w:rsid w:val="007A1072"/>
    <w:rsid w:val="007B014D"/>
    <w:rsid w:val="007B23C0"/>
    <w:rsid w:val="007B2CF2"/>
    <w:rsid w:val="007B6D25"/>
    <w:rsid w:val="007C0412"/>
    <w:rsid w:val="007C0441"/>
    <w:rsid w:val="007C1868"/>
    <w:rsid w:val="007C26B3"/>
    <w:rsid w:val="007C41CD"/>
    <w:rsid w:val="007D025B"/>
    <w:rsid w:val="007D2A74"/>
    <w:rsid w:val="007D2F02"/>
    <w:rsid w:val="007D65B6"/>
    <w:rsid w:val="007D7D02"/>
    <w:rsid w:val="007E6503"/>
    <w:rsid w:val="007F6A46"/>
    <w:rsid w:val="007F7E7B"/>
    <w:rsid w:val="00803D47"/>
    <w:rsid w:val="00803E3B"/>
    <w:rsid w:val="00806675"/>
    <w:rsid w:val="008103B4"/>
    <w:rsid w:val="00811CA5"/>
    <w:rsid w:val="00812EBF"/>
    <w:rsid w:val="00813046"/>
    <w:rsid w:val="008229B8"/>
    <w:rsid w:val="00825610"/>
    <w:rsid w:val="008356A2"/>
    <w:rsid w:val="00835E2C"/>
    <w:rsid w:val="00835E66"/>
    <w:rsid w:val="00837619"/>
    <w:rsid w:val="00840A88"/>
    <w:rsid w:val="0084471C"/>
    <w:rsid w:val="00846623"/>
    <w:rsid w:val="008516B9"/>
    <w:rsid w:val="00857550"/>
    <w:rsid w:val="008713C2"/>
    <w:rsid w:val="00872D79"/>
    <w:rsid w:val="008813BB"/>
    <w:rsid w:val="00885072"/>
    <w:rsid w:val="0088699B"/>
    <w:rsid w:val="00893092"/>
    <w:rsid w:val="00893916"/>
    <w:rsid w:val="00893CC3"/>
    <w:rsid w:val="00894A40"/>
    <w:rsid w:val="00895F8A"/>
    <w:rsid w:val="00897414"/>
    <w:rsid w:val="008A1491"/>
    <w:rsid w:val="008A3FCB"/>
    <w:rsid w:val="008A5DB2"/>
    <w:rsid w:val="008B10A9"/>
    <w:rsid w:val="008C0DC7"/>
    <w:rsid w:val="008C1967"/>
    <w:rsid w:val="008C53D4"/>
    <w:rsid w:val="008C737E"/>
    <w:rsid w:val="008D0740"/>
    <w:rsid w:val="008D43FC"/>
    <w:rsid w:val="008D5399"/>
    <w:rsid w:val="008F1B48"/>
    <w:rsid w:val="008F26C7"/>
    <w:rsid w:val="008F718D"/>
    <w:rsid w:val="00900C40"/>
    <w:rsid w:val="00906835"/>
    <w:rsid w:val="00915A28"/>
    <w:rsid w:val="0092552C"/>
    <w:rsid w:val="00930B02"/>
    <w:rsid w:val="00930D3F"/>
    <w:rsid w:val="00940E8C"/>
    <w:rsid w:val="009411EF"/>
    <w:rsid w:val="00941701"/>
    <w:rsid w:val="00942BBB"/>
    <w:rsid w:val="009494C5"/>
    <w:rsid w:val="00953C8D"/>
    <w:rsid w:val="00963600"/>
    <w:rsid w:val="0096450A"/>
    <w:rsid w:val="00970085"/>
    <w:rsid w:val="00970155"/>
    <w:rsid w:val="009704A5"/>
    <w:rsid w:val="00974D4B"/>
    <w:rsid w:val="00993BC2"/>
    <w:rsid w:val="00996DDF"/>
    <w:rsid w:val="009A0883"/>
    <w:rsid w:val="009A3CFA"/>
    <w:rsid w:val="009A4459"/>
    <w:rsid w:val="009A6638"/>
    <w:rsid w:val="009B14E7"/>
    <w:rsid w:val="009B15A0"/>
    <w:rsid w:val="009B1BB9"/>
    <w:rsid w:val="009C0C4D"/>
    <w:rsid w:val="009C5B85"/>
    <w:rsid w:val="009D29B0"/>
    <w:rsid w:val="009D47DA"/>
    <w:rsid w:val="009D6B0C"/>
    <w:rsid w:val="009D71AF"/>
    <w:rsid w:val="009D72DA"/>
    <w:rsid w:val="009D747D"/>
    <w:rsid w:val="009E300D"/>
    <w:rsid w:val="009E77A9"/>
    <w:rsid w:val="009F2123"/>
    <w:rsid w:val="009F438D"/>
    <w:rsid w:val="009F5EBB"/>
    <w:rsid w:val="009F68F0"/>
    <w:rsid w:val="00A01233"/>
    <w:rsid w:val="00A04B0F"/>
    <w:rsid w:val="00A1390F"/>
    <w:rsid w:val="00A2400D"/>
    <w:rsid w:val="00A24D14"/>
    <w:rsid w:val="00A355EC"/>
    <w:rsid w:val="00A361B6"/>
    <w:rsid w:val="00A46DA7"/>
    <w:rsid w:val="00A54D6D"/>
    <w:rsid w:val="00A56572"/>
    <w:rsid w:val="00A6140E"/>
    <w:rsid w:val="00A617C5"/>
    <w:rsid w:val="00A70BBE"/>
    <w:rsid w:val="00A716DD"/>
    <w:rsid w:val="00A73BA3"/>
    <w:rsid w:val="00A7773D"/>
    <w:rsid w:val="00A83E6D"/>
    <w:rsid w:val="00A84BE6"/>
    <w:rsid w:val="00A869A4"/>
    <w:rsid w:val="00A8711B"/>
    <w:rsid w:val="00A87900"/>
    <w:rsid w:val="00A92301"/>
    <w:rsid w:val="00A92983"/>
    <w:rsid w:val="00AA0D9E"/>
    <w:rsid w:val="00AA2395"/>
    <w:rsid w:val="00AB40D0"/>
    <w:rsid w:val="00AB6FFA"/>
    <w:rsid w:val="00AC1E84"/>
    <w:rsid w:val="00AC37E7"/>
    <w:rsid w:val="00AC4058"/>
    <w:rsid w:val="00AC4300"/>
    <w:rsid w:val="00AC5F4A"/>
    <w:rsid w:val="00AD1635"/>
    <w:rsid w:val="00AD4D9F"/>
    <w:rsid w:val="00AD63F7"/>
    <w:rsid w:val="00AE1EBC"/>
    <w:rsid w:val="00AE4B9B"/>
    <w:rsid w:val="00AE55B1"/>
    <w:rsid w:val="00AF26B4"/>
    <w:rsid w:val="00AF37A7"/>
    <w:rsid w:val="00AF6B30"/>
    <w:rsid w:val="00B00E2B"/>
    <w:rsid w:val="00B05A01"/>
    <w:rsid w:val="00B12152"/>
    <w:rsid w:val="00B138EC"/>
    <w:rsid w:val="00B153EA"/>
    <w:rsid w:val="00B15891"/>
    <w:rsid w:val="00B16CDA"/>
    <w:rsid w:val="00B20702"/>
    <w:rsid w:val="00B2113B"/>
    <w:rsid w:val="00B23B84"/>
    <w:rsid w:val="00B24AC3"/>
    <w:rsid w:val="00B33946"/>
    <w:rsid w:val="00B36B84"/>
    <w:rsid w:val="00B401D6"/>
    <w:rsid w:val="00B51267"/>
    <w:rsid w:val="00B5377D"/>
    <w:rsid w:val="00B55E60"/>
    <w:rsid w:val="00B57FDB"/>
    <w:rsid w:val="00B6016E"/>
    <w:rsid w:val="00B614A6"/>
    <w:rsid w:val="00B64D72"/>
    <w:rsid w:val="00B679BD"/>
    <w:rsid w:val="00B67E8A"/>
    <w:rsid w:val="00B70D3B"/>
    <w:rsid w:val="00B82214"/>
    <w:rsid w:val="00B84FAF"/>
    <w:rsid w:val="00B85F5D"/>
    <w:rsid w:val="00B86D78"/>
    <w:rsid w:val="00B915B8"/>
    <w:rsid w:val="00B92364"/>
    <w:rsid w:val="00B94C23"/>
    <w:rsid w:val="00B95A05"/>
    <w:rsid w:val="00BA0E30"/>
    <w:rsid w:val="00BA2438"/>
    <w:rsid w:val="00BB2062"/>
    <w:rsid w:val="00BB3E34"/>
    <w:rsid w:val="00BB7549"/>
    <w:rsid w:val="00BC059E"/>
    <w:rsid w:val="00BC6858"/>
    <w:rsid w:val="00BC68DE"/>
    <w:rsid w:val="00BC76BF"/>
    <w:rsid w:val="00BD1BF4"/>
    <w:rsid w:val="00BD4BA0"/>
    <w:rsid w:val="00BD547D"/>
    <w:rsid w:val="00BD5757"/>
    <w:rsid w:val="00BE2DD9"/>
    <w:rsid w:val="00BF034A"/>
    <w:rsid w:val="00BF0CAC"/>
    <w:rsid w:val="00BF50F6"/>
    <w:rsid w:val="00BF7BBC"/>
    <w:rsid w:val="00C008BC"/>
    <w:rsid w:val="00C00F02"/>
    <w:rsid w:val="00C011B6"/>
    <w:rsid w:val="00C0291C"/>
    <w:rsid w:val="00C067DD"/>
    <w:rsid w:val="00C10BD0"/>
    <w:rsid w:val="00C34E58"/>
    <w:rsid w:val="00C40186"/>
    <w:rsid w:val="00C40673"/>
    <w:rsid w:val="00C42567"/>
    <w:rsid w:val="00C451F4"/>
    <w:rsid w:val="00C4537B"/>
    <w:rsid w:val="00C51239"/>
    <w:rsid w:val="00C5592F"/>
    <w:rsid w:val="00C6025D"/>
    <w:rsid w:val="00C6388D"/>
    <w:rsid w:val="00C7360A"/>
    <w:rsid w:val="00C80EB4"/>
    <w:rsid w:val="00C81AE9"/>
    <w:rsid w:val="00C83FC5"/>
    <w:rsid w:val="00C84994"/>
    <w:rsid w:val="00C84F9C"/>
    <w:rsid w:val="00C87F43"/>
    <w:rsid w:val="00C95768"/>
    <w:rsid w:val="00C964F5"/>
    <w:rsid w:val="00CA0731"/>
    <w:rsid w:val="00CA157C"/>
    <w:rsid w:val="00CA1C0A"/>
    <w:rsid w:val="00CA2991"/>
    <w:rsid w:val="00CA4946"/>
    <w:rsid w:val="00CA63D0"/>
    <w:rsid w:val="00CB159D"/>
    <w:rsid w:val="00CB2D8C"/>
    <w:rsid w:val="00CB763E"/>
    <w:rsid w:val="00CC1206"/>
    <w:rsid w:val="00CC2F77"/>
    <w:rsid w:val="00CD58CA"/>
    <w:rsid w:val="00CF1F0F"/>
    <w:rsid w:val="00D00396"/>
    <w:rsid w:val="00D010E0"/>
    <w:rsid w:val="00D02F61"/>
    <w:rsid w:val="00D11FD3"/>
    <w:rsid w:val="00D12BE6"/>
    <w:rsid w:val="00D215C1"/>
    <w:rsid w:val="00D3092E"/>
    <w:rsid w:val="00D31102"/>
    <w:rsid w:val="00D32F3C"/>
    <w:rsid w:val="00D34077"/>
    <w:rsid w:val="00D34A48"/>
    <w:rsid w:val="00D37287"/>
    <w:rsid w:val="00D37F09"/>
    <w:rsid w:val="00D44597"/>
    <w:rsid w:val="00D45495"/>
    <w:rsid w:val="00D45599"/>
    <w:rsid w:val="00D468A3"/>
    <w:rsid w:val="00D46F6C"/>
    <w:rsid w:val="00D51C6D"/>
    <w:rsid w:val="00D60121"/>
    <w:rsid w:val="00D6338A"/>
    <w:rsid w:val="00D63537"/>
    <w:rsid w:val="00D65A62"/>
    <w:rsid w:val="00D66A8B"/>
    <w:rsid w:val="00D70840"/>
    <w:rsid w:val="00D7673F"/>
    <w:rsid w:val="00D77D8B"/>
    <w:rsid w:val="00D77F78"/>
    <w:rsid w:val="00D85BAC"/>
    <w:rsid w:val="00D86251"/>
    <w:rsid w:val="00D8648F"/>
    <w:rsid w:val="00D961B8"/>
    <w:rsid w:val="00DA0CC3"/>
    <w:rsid w:val="00DA273C"/>
    <w:rsid w:val="00DB1772"/>
    <w:rsid w:val="00DC2E84"/>
    <w:rsid w:val="00DC416A"/>
    <w:rsid w:val="00DC4F42"/>
    <w:rsid w:val="00DC6696"/>
    <w:rsid w:val="00DC7391"/>
    <w:rsid w:val="00DD3228"/>
    <w:rsid w:val="00DD542D"/>
    <w:rsid w:val="00DD7737"/>
    <w:rsid w:val="00DE7376"/>
    <w:rsid w:val="00DE7F82"/>
    <w:rsid w:val="00DF1D96"/>
    <w:rsid w:val="00DF52E5"/>
    <w:rsid w:val="00E016B7"/>
    <w:rsid w:val="00E01DF4"/>
    <w:rsid w:val="00E06E2C"/>
    <w:rsid w:val="00E07662"/>
    <w:rsid w:val="00E105CF"/>
    <w:rsid w:val="00E25B73"/>
    <w:rsid w:val="00E31ABD"/>
    <w:rsid w:val="00E33731"/>
    <w:rsid w:val="00E34197"/>
    <w:rsid w:val="00E344E9"/>
    <w:rsid w:val="00E3737F"/>
    <w:rsid w:val="00E41C32"/>
    <w:rsid w:val="00E476EB"/>
    <w:rsid w:val="00E50CBE"/>
    <w:rsid w:val="00E538CA"/>
    <w:rsid w:val="00E604F7"/>
    <w:rsid w:val="00E66141"/>
    <w:rsid w:val="00E679ED"/>
    <w:rsid w:val="00E70B62"/>
    <w:rsid w:val="00E76D80"/>
    <w:rsid w:val="00E8144A"/>
    <w:rsid w:val="00E83313"/>
    <w:rsid w:val="00E868C9"/>
    <w:rsid w:val="00E86D21"/>
    <w:rsid w:val="00E92C9F"/>
    <w:rsid w:val="00E95F8A"/>
    <w:rsid w:val="00EA0773"/>
    <w:rsid w:val="00EA32DD"/>
    <w:rsid w:val="00EA7A74"/>
    <w:rsid w:val="00EB3F3E"/>
    <w:rsid w:val="00EB4BE6"/>
    <w:rsid w:val="00EC3077"/>
    <w:rsid w:val="00ED025A"/>
    <w:rsid w:val="00ED3447"/>
    <w:rsid w:val="00ED39E8"/>
    <w:rsid w:val="00ED40F3"/>
    <w:rsid w:val="00ED5217"/>
    <w:rsid w:val="00EE263F"/>
    <w:rsid w:val="00EE26E2"/>
    <w:rsid w:val="00EE4481"/>
    <w:rsid w:val="00EE76CB"/>
    <w:rsid w:val="00EE7BCB"/>
    <w:rsid w:val="00EF1109"/>
    <w:rsid w:val="00EF41D6"/>
    <w:rsid w:val="00EF5C40"/>
    <w:rsid w:val="00EF7388"/>
    <w:rsid w:val="00EF7BEE"/>
    <w:rsid w:val="00EF7CE0"/>
    <w:rsid w:val="00F0028B"/>
    <w:rsid w:val="00F01D47"/>
    <w:rsid w:val="00F02AE7"/>
    <w:rsid w:val="00F04149"/>
    <w:rsid w:val="00F04AD2"/>
    <w:rsid w:val="00F06A73"/>
    <w:rsid w:val="00F14043"/>
    <w:rsid w:val="00F21179"/>
    <w:rsid w:val="00F21406"/>
    <w:rsid w:val="00F25821"/>
    <w:rsid w:val="00F36CD5"/>
    <w:rsid w:val="00F37680"/>
    <w:rsid w:val="00F4274D"/>
    <w:rsid w:val="00F45253"/>
    <w:rsid w:val="00F4766A"/>
    <w:rsid w:val="00F47D2C"/>
    <w:rsid w:val="00F516BF"/>
    <w:rsid w:val="00F51AA8"/>
    <w:rsid w:val="00F52C6E"/>
    <w:rsid w:val="00F53E94"/>
    <w:rsid w:val="00F54A53"/>
    <w:rsid w:val="00F5547E"/>
    <w:rsid w:val="00F556B1"/>
    <w:rsid w:val="00F55C02"/>
    <w:rsid w:val="00F56DC9"/>
    <w:rsid w:val="00F71471"/>
    <w:rsid w:val="00F77D49"/>
    <w:rsid w:val="00F83274"/>
    <w:rsid w:val="00F8527F"/>
    <w:rsid w:val="00F918F0"/>
    <w:rsid w:val="00F93242"/>
    <w:rsid w:val="00FA0B86"/>
    <w:rsid w:val="00FA275C"/>
    <w:rsid w:val="00FA2CB1"/>
    <w:rsid w:val="00FA47F2"/>
    <w:rsid w:val="00FA71CA"/>
    <w:rsid w:val="00FA7373"/>
    <w:rsid w:val="00FB0FC3"/>
    <w:rsid w:val="00FC2B8C"/>
    <w:rsid w:val="00FC327F"/>
    <w:rsid w:val="00FC549B"/>
    <w:rsid w:val="00FD0A24"/>
    <w:rsid w:val="00FE4F21"/>
    <w:rsid w:val="00FE548B"/>
    <w:rsid w:val="00FE5C8C"/>
    <w:rsid w:val="00FF2B22"/>
    <w:rsid w:val="00FF38B8"/>
    <w:rsid w:val="00FF3FF5"/>
    <w:rsid w:val="00FF4A05"/>
    <w:rsid w:val="00FF5867"/>
    <w:rsid w:val="0111905E"/>
    <w:rsid w:val="0199A82E"/>
    <w:rsid w:val="01BA38E2"/>
    <w:rsid w:val="03425397"/>
    <w:rsid w:val="03C3EB86"/>
    <w:rsid w:val="04A295D2"/>
    <w:rsid w:val="061800DC"/>
    <w:rsid w:val="06722BE1"/>
    <w:rsid w:val="08233328"/>
    <w:rsid w:val="0A2C73A1"/>
    <w:rsid w:val="0B0C2F4A"/>
    <w:rsid w:val="0B5C3AED"/>
    <w:rsid w:val="0BE7C36C"/>
    <w:rsid w:val="0D59EF70"/>
    <w:rsid w:val="0DBF61D3"/>
    <w:rsid w:val="0E93DBAF"/>
    <w:rsid w:val="0FB09AD3"/>
    <w:rsid w:val="0FD2B03B"/>
    <w:rsid w:val="108F9B61"/>
    <w:rsid w:val="10D4904F"/>
    <w:rsid w:val="17727B41"/>
    <w:rsid w:val="1AF2EAA8"/>
    <w:rsid w:val="1B4F9D57"/>
    <w:rsid w:val="1BCC5479"/>
    <w:rsid w:val="1C7F490C"/>
    <w:rsid w:val="20EE6334"/>
    <w:rsid w:val="226CECF5"/>
    <w:rsid w:val="23E74244"/>
    <w:rsid w:val="25D6B2E0"/>
    <w:rsid w:val="2A4E7431"/>
    <w:rsid w:val="2AFE1C64"/>
    <w:rsid w:val="2BE6FC26"/>
    <w:rsid w:val="2C8BB676"/>
    <w:rsid w:val="2D792F2D"/>
    <w:rsid w:val="2DED9D6F"/>
    <w:rsid w:val="2DF4C819"/>
    <w:rsid w:val="31967D8B"/>
    <w:rsid w:val="31991DDF"/>
    <w:rsid w:val="3252EA8C"/>
    <w:rsid w:val="33324DEC"/>
    <w:rsid w:val="33F7CDFC"/>
    <w:rsid w:val="35433496"/>
    <w:rsid w:val="36026B23"/>
    <w:rsid w:val="3628E936"/>
    <w:rsid w:val="39B3E4AE"/>
    <w:rsid w:val="3B0AA95C"/>
    <w:rsid w:val="3BE0A475"/>
    <w:rsid w:val="3D6235A5"/>
    <w:rsid w:val="3DA3C50B"/>
    <w:rsid w:val="3E36D801"/>
    <w:rsid w:val="40439808"/>
    <w:rsid w:val="40B41598"/>
    <w:rsid w:val="42274C9A"/>
    <w:rsid w:val="43505F3C"/>
    <w:rsid w:val="4361C4D2"/>
    <w:rsid w:val="436921F7"/>
    <w:rsid w:val="4448FB75"/>
    <w:rsid w:val="45FEB31E"/>
    <w:rsid w:val="480AA802"/>
    <w:rsid w:val="4938185F"/>
    <w:rsid w:val="4AE25973"/>
    <w:rsid w:val="4B5B7121"/>
    <w:rsid w:val="4CC1F1D3"/>
    <w:rsid w:val="4D13ED38"/>
    <w:rsid w:val="4DBA3A66"/>
    <w:rsid w:val="4EAAEEB6"/>
    <w:rsid w:val="4F365687"/>
    <w:rsid w:val="5014A7CB"/>
    <w:rsid w:val="503A9BD3"/>
    <w:rsid w:val="50A973BF"/>
    <w:rsid w:val="55F70C0D"/>
    <w:rsid w:val="5741686C"/>
    <w:rsid w:val="5831A703"/>
    <w:rsid w:val="5AB05F20"/>
    <w:rsid w:val="5B139C85"/>
    <w:rsid w:val="5B9BC1E1"/>
    <w:rsid w:val="5C00D599"/>
    <w:rsid w:val="5DE7FFE2"/>
    <w:rsid w:val="613ED2CD"/>
    <w:rsid w:val="6187697A"/>
    <w:rsid w:val="635824B8"/>
    <w:rsid w:val="64AFE54C"/>
    <w:rsid w:val="64EFCDEC"/>
    <w:rsid w:val="69C23546"/>
    <w:rsid w:val="6D4C31FE"/>
    <w:rsid w:val="6DE4FB4F"/>
    <w:rsid w:val="703E0310"/>
    <w:rsid w:val="70A0EC6B"/>
    <w:rsid w:val="71AB56D8"/>
    <w:rsid w:val="71D90912"/>
    <w:rsid w:val="7355A67D"/>
    <w:rsid w:val="74B5AE58"/>
    <w:rsid w:val="74CC1A15"/>
    <w:rsid w:val="756C2CB7"/>
    <w:rsid w:val="75D60B7F"/>
    <w:rsid w:val="76A49974"/>
    <w:rsid w:val="7A95CED6"/>
    <w:rsid w:val="7F6B6E4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2595"/>
  <w15:docId w15:val="{8AF6B210-04E6-8149-AE81-0A6C45969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13BB"/>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semiHidden/>
    <w:unhideWhenUsed/>
    <w:qFormat/>
    <w:rsid w:val="00203C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List Bullet indent,Rec para,Dot pt,F5 List Paragraph,List Paragraph1,No Spacing1,List Paragraph Char Char Char,Indicator Text,Numbered Para 1,Colorful List - Accent 11,Bullet 1,MAIN CONTENT,List Paragraph12,L"/>
    <w:basedOn w:val="Normal"/>
    <w:link w:val="ListParagraphChar"/>
    <w:uiPriority w:val="34"/>
    <w:qFormat/>
    <w:rsid w:val="00213816"/>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9E30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00D"/>
    <w:rPr>
      <w:sz w:val="20"/>
      <w:szCs w:val="20"/>
    </w:rPr>
  </w:style>
  <w:style w:type="character" w:styleId="EndnoteReference">
    <w:name w:val="endnote reference"/>
    <w:basedOn w:val="DefaultParagraphFont"/>
    <w:uiPriority w:val="99"/>
    <w:semiHidden/>
    <w:unhideWhenUsed/>
    <w:rsid w:val="009E300D"/>
    <w:rPr>
      <w:vertAlign w:val="superscript"/>
    </w:rPr>
  </w:style>
  <w:style w:type="paragraph" w:styleId="FootnoteText">
    <w:name w:val="footnote text"/>
    <w:aliases w:val="footnote text,5_G,Footnote Text Char Char Char Char Char,Footnote Text Char Char Char Char,Footnote reference,FA Fu,Footnote Text Char Char Char,Note de bas de page2,Текст сноски Знак Char,Footnote Text Char1 Char, Char,Char,Dolt,Félkövér"/>
    <w:basedOn w:val="Normal"/>
    <w:link w:val="FootnoteTextChar"/>
    <w:uiPriority w:val="99"/>
    <w:unhideWhenUsed/>
    <w:qFormat/>
    <w:rsid w:val="009E300D"/>
    <w:pPr>
      <w:spacing w:after="0" w:line="240" w:lineRule="auto"/>
    </w:pPr>
    <w:rPr>
      <w:sz w:val="20"/>
      <w:szCs w:val="20"/>
    </w:rPr>
  </w:style>
  <w:style w:type="character" w:customStyle="1" w:styleId="FootnoteTextChar">
    <w:name w:val="Footnote Text Char"/>
    <w:aliases w:val="footnote text Char,5_G Char,Footnote Text Char Char Char Char Char Char,Footnote Text Char Char Char Char Char1,Footnote reference Char,FA Fu Char,Footnote Text Char Char Char Char1,Note de bas de page2 Char, Char Char,Char Char"/>
    <w:basedOn w:val="DefaultParagraphFont"/>
    <w:link w:val="FootnoteText"/>
    <w:uiPriority w:val="99"/>
    <w:qFormat/>
    <w:rsid w:val="009E300D"/>
    <w:rPr>
      <w:sz w:val="20"/>
      <w:szCs w:val="20"/>
    </w:rPr>
  </w:style>
  <w:style w:type="character" w:styleId="FootnoteReference">
    <w:name w:val="footnote reference"/>
    <w:aliases w:val="4_G,Footnote Refernece,Footnote number,Footnotes refss,16 Point,Superscript 6 Point,ftref,referencia nota al pie,BVI fnr,4_Footnote text,Footnote text,Appel note de bas de p.,callout,nota pié di pagina,Fußnotenzeichen DISS,Footnote,Re"/>
    <w:basedOn w:val="DefaultParagraphFont"/>
    <w:link w:val="4GCharCharChar"/>
    <w:uiPriority w:val="99"/>
    <w:unhideWhenUsed/>
    <w:qFormat/>
    <w:rsid w:val="009E300D"/>
    <w:rPr>
      <w:vertAlign w:val="superscript"/>
    </w:rPr>
  </w:style>
  <w:style w:type="character" w:customStyle="1" w:styleId="Heading2Char">
    <w:name w:val="Heading 2 Char"/>
    <w:basedOn w:val="DefaultParagraphFont"/>
    <w:link w:val="Heading2"/>
    <w:uiPriority w:val="9"/>
    <w:rsid w:val="008813BB"/>
    <w:rPr>
      <w:rFonts w:asciiTheme="majorHAnsi" w:eastAsiaTheme="majorEastAsia" w:hAnsiTheme="majorHAnsi" w:cstheme="majorBidi"/>
      <w:color w:val="2F5496" w:themeColor="accent1" w:themeShade="BF"/>
      <w:sz w:val="26"/>
      <w:szCs w:val="26"/>
      <w:lang w:eastAsia="en-GB"/>
    </w:rPr>
  </w:style>
  <w:style w:type="paragraph" w:styleId="NormalWeb">
    <w:name w:val="Normal (Web)"/>
    <w:basedOn w:val="Normal"/>
    <w:uiPriority w:val="99"/>
    <w:unhideWhenUsed/>
    <w:rsid w:val="003E20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E20AF"/>
    <w:rPr>
      <w:b/>
      <w:bCs/>
    </w:rPr>
  </w:style>
  <w:style w:type="character" w:styleId="FollowedHyperlink">
    <w:name w:val="FollowedHyperlink"/>
    <w:basedOn w:val="DefaultParagraphFont"/>
    <w:uiPriority w:val="99"/>
    <w:semiHidden/>
    <w:unhideWhenUsed/>
    <w:rsid w:val="007D2A74"/>
    <w:rPr>
      <w:color w:val="954F72" w:themeColor="followedHyperlink"/>
      <w:u w:val="single"/>
    </w:rPr>
  </w:style>
  <w:style w:type="character" w:styleId="CommentReference">
    <w:name w:val="annotation reference"/>
    <w:basedOn w:val="DefaultParagraphFont"/>
    <w:uiPriority w:val="99"/>
    <w:semiHidden/>
    <w:unhideWhenUsed/>
    <w:rsid w:val="00B51267"/>
    <w:rPr>
      <w:sz w:val="16"/>
      <w:szCs w:val="16"/>
    </w:rPr>
  </w:style>
  <w:style w:type="paragraph" w:styleId="CommentText">
    <w:name w:val="annotation text"/>
    <w:basedOn w:val="Normal"/>
    <w:link w:val="CommentTextChar"/>
    <w:uiPriority w:val="99"/>
    <w:unhideWhenUsed/>
    <w:rsid w:val="00B51267"/>
    <w:pPr>
      <w:spacing w:line="240" w:lineRule="auto"/>
    </w:pPr>
    <w:rPr>
      <w:sz w:val="20"/>
      <w:szCs w:val="20"/>
    </w:rPr>
  </w:style>
  <w:style w:type="character" w:customStyle="1" w:styleId="CommentTextChar">
    <w:name w:val="Comment Text Char"/>
    <w:basedOn w:val="DefaultParagraphFont"/>
    <w:link w:val="CommentText"/>
    <w:uiPriority w:val="99"/>
    <w:rsid w:val="00B51267"/>
    <w:rPr>
      <w:sz w:val="20"/>
      <w:szCs w:val="20"/>
    </w:rPr>
  </w:style>
  <w:style w:type="paragraph" w:styleId="CommentSubject">
    <w:name w:val="annotation subject"/>
    <w:basedOn w:val="CommentText"/>
    <w:next w:val="CommentText"/>
    <w:link w:val="CommentSubjectChar"/>
    <w:uiPriority w:val="99"/>
    <w:semiHidden/>
    <w:unhideWhenUsed/>
    <w:rsid w:val="00B51267"/>
    <w:rPr>
      <w:b/>
      <w:bCs/>
    </w:rPr>
  </w:style>
  <w:style w:type="character" w:customStyle="1" w:styleId="CommentSubjectChar">
    <w:name w:val="Comment Subject Char"/>
    <w:basedOn w:val="CommentTextChar"/>
    <w:link w:val="CommentSubject"/>
    <w:uiPriority w:val="99"/>
    <w:semiHidden/>
    <w:rsid w:val="00B51267"/>
    <w:rPr>
      <w:b/>
      <w:bCs/>
      <w:sz w:val="20"/>
      <w:szCs w:val="20"/>
    </w:rPr>
  </w:style>
  <w:style w:type="paragraph" w:styleId="Header">
    <w:name w:val="header"/>
    <w:basedOn w:val="Normal"/>
    <w:link w:val="HeaderChar"/>
    <w:uiPriority w:val="99"/>
    <w:unhideWhenUsed/>
    <w:rsid w:val="00E31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ABD"/>
  </w:style>
  <w:style w:type="paragraph" w:styleId="Footer">
    <w:name w:val="footer"/>
    <w:basedOn w:val="Normal"/>
    <w:link w:val="FooterChar"/>
    <w:uiPriority w:val="99"/>
    <w:unhideWhenUsed/>
    <w:rsid w:val="00E31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ABD"/>
  </w:style>
  <w:style w:type="character" w:customStyle="1" w:styleId="Heading1Char">
    <w:name w:val="Heading 1 Char"/>
    <w:basedOn w:val="DefaultParagraphFont"/>
    <w:link w:val="Heading1"/>
    <w:uiPriority w:val="9"/>
    <w:rsid w:val="00203C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3C50"/>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uiPriority w:val="99"/>
    <w:semiHidden/>
    <w:unhideWhenUsed/>
    <w:rsid w:val="00203C50"/>
  </w:style>
  <w:style w:type="paragraph" w:customStyle="1" w:styleId="H3-HeadingBlue">
    <w:name w:val="H3-Heading Blue"/>
    <w:basedOn w:val="Heading1"/>
    <w:qFormat/>
    <w:rsid w:val="00203C50"/>
    <w:pPr>
      <w:keepNext w:val="0"/>
      <w:keepLines w:val="0"/>
      <w:suppressAutoHyphens/>
      <w:spacing w:before="60" w:after="160" w:line="240" w:lineRule="auto"/>
    </w:pPr>
    <w:rPr>
      <w:rFonts w:ascii="Untitled Sans" w:eastAsiaTheme="minorHAnsi" w:hAnsi="Untitled Sans" w:cstheme="minorBidi"/>
      <w:color w:val="043476"/>
      <w:sz w:val="48"/>
      <w:szCs w:val="48"/>
      <w:lang w:val="en-AU"/>
    </w:rPr>
  </w:style>
  <w:style w:type="paragraph" w:customStyle="1" w:styleId="H4-HeadingBoldblue">
    <w:name w:val="H4-Heading Bold blue"/>
    <w:basedOn w:val="Heading3"/>
    <w:next w:val="Normal"/>
    <w:qFormat/>
    <w:rsid w:val="00203C50"/>
    <w:pPr>
      <w:keepNext w:val="0"/>
      <w:keepLines w:val="0"/>
      <w:suppressAutoHyphens/>
      <w:spacing w:line="240" w:lineRule="auto"/>
    </w:pPr>
    <w:rPr>
      <w:rFonts w:ascii="Untitled Sans" w:hAnsi="Untitled Sans"/>
      <w:b/>
      <w:color w:val="043476"/>
      <w:lang w:val="en-AU"/>
    </w:rPr>
  </w:style>
  <w:style w:type="paragraph" w:customStyle="1" w:styleId="Footnote-Citations">
    <w:name w:val="Footnote - Citations"/>
    <w:basedOn w:val="FootnoteText"/>
    <w:next w:val="FootnoteText"/>
    <w:autoRedefine/>
    <w:qFormat/>
    <w:rsid w:val="00203C50"/>
    <w:pPr>
      <w:suppressAutoHyphens/>
    </w:pPr>
    <w:rPr>
      <w:rFonts w:ascii="Untitled Sans" w:hAnsi="Untitled Sans"/>
      <w:color w:val="121317"/>
      <w:sz w:val="15"/>
      <w:lang w:val="en-AU"/>
    </w:rPr>
  </w:style>
  <w:style w:type="paragraph" w:customStyle="1" w:styleId="Lists">
    <w:name w:val="Lists"/>
    <w:basedOn w:val="Normal"/>
    <w:qFormat/>
    <w:rsid w:val="00203C50"/>
    <w:pPr>
      <w:numPr>
        <w:numId w:val="31"/>
      </w:numPr>
      <w:suppressAutoHyphens/>
      <w:spacing w:before="100" w:after="180" w:line="216" w:lineRule="auto"/>
    </w:pPr>
    <w:rPr>
      <w:rFonts w:ascii="Untitled Sans" w:hAnsi="Untitled Sans"/>
      <w:noProof/>
      <w:color w:val="121317"/>
      <w:sz w:val="18"/>
      <w:szCs w:val="18"/>
      <w:lang w:val="en-GB"/>
    </w:rPr>
  </w:style>
  <w:style w:type="paragraph" w:customStyle="1" w:styleId="ListLevel3">
    <w:name w:val="List Level 3"/>
    <w:basedOn w:val="Lists"/>
    <w:qFormat/>
    <w:rsid w:val="00203C50"/>
    <w:pPr>
      <w:numPr>
        <w:ilvl w:val="2"/>
        <w:numId w:val="32"/>
      </w:numPr>
      <w:spacing w:before="0" w:after="160"/>
    </w:pPr>
    <w:rPr>
      <w:rFonts w:ascii="Untitled Sans Light" w:hAnsi="Untitled Sans Light"/>
    </w:rPr>
  </w:style>
  <w:style w:type="character" w:styleId="UnresolvedMention">
    <w:name w:val="Unresolved Mention"/>
    <w:basedOn w:val="DefaultParagraphFont"/>
    <w:uiPriority w:val="99"/>
    <w:semiHidden/>
    <w:unhideWhenUsed/>
    <w:rsid w:val="0063543B"/>
    <w:rPr>
      <w:color w:val="605E5C"/>
      <w:shd w:val="clear" w:color="auto" w:fill="E1DFDD"/>
    </w:rPr>
  </w:style>
  <w:style w:type="character" w:customStyle="1" w:styleId="normaltextrun">
    <w:name w:val="normaltextrun"/>
    <w:basedOn w:val="DefaultParagraphFont"/>
    <w:rsid w:val="00837619"/>
  </w:style>
  <w:style w:type="character" w:customStyle="1" w:styleId="advancedproofingissue">
    <w:name w:val="advancedproofingissue"/>
    <w:basedOn w:val="DefaultParagraphFont"/>
    <w:rsid w:val="00837619"/>
  </w:style>
  <w:style w:type="paragraph" w:customStyle="1" w:styleId="paragraph">
    <w:name w:val="paragraph"/>
    <w:basedOn w:val="Normal"/>
    <w:rsid w:val="00E25B7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E25B73"/>
  </w:style>
  <w:style w:type="character" w:customStyle="1" w:styleId="ListParagraphChar">
    <w:name w:val="List Paragraph Char"/>
    <w:aliases w:val="List Paragraph numbered Char,List Bullet indent Char,Rec para Char,Dot pt Char,F5 List Paragraph Char,List Paragraph1 Char,No Spacing1 Char,List Paragraph Char Char Char Char,Indicator Text Char,Numbered Para 1 Char,Bullet 1 Char"/>
    <w:basedOn w:val="DefaultParagraphFont"/>
    <w:link w:val="ListParagraph"/>
    <w:uiPriority w:val="34"/>
    <w:qFormat/>
    <w:locked/>
    <w:rsid w:val="00E25B73"/>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E25B73"/>
    <w:pPr>
      <w:spacing w:line="240" w:lineRule="exact"/>
      <w:jc w:val="both"/>
    </w:pPr>
    <w:rPr>
      <w:vertAlign w:val="superscript"/>
    </w:rPr>
  </w:style>
  <w:style w:type="paragraph" w:styleId="Revision">
    <w:name w:val="Revision"/>
    <w:hidden/>
    <w:uiPriority w:val="99"/>
    <w:semiHidden/>
    <w:rsid w:val="00494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48276">
      <w:bodyDiv w:val="1"/>
      <w:marLeft w:val="0"/>
      <w:marRight w:val="0"/>
      <w:marTop w:val="0"/>
      <w:marBottom w:val="0"/>
      <w:divBdr>
        <w:top w:val="none" w:sz="0" w:space="0" w:color="auto"/>
        <w:left w:val="none" w:sz="0" w:space="0" w:color="auto"/>
        <w:bottom w:val="none" w:sz="0" w:space="0" w:color="auto"/>
        <w:right w:val="none" w:sz="0" w:space="0" w:color="auto"/>
      </w:divBdr>
    </w:div>
    <w:div w:id="282661623">
      <w:bodyDiv w:val="1"/>
      <w:marLeft w:val="0"/>
      <w:marRight w:val="0"/>
      <w:marTop w:val="0"/>
      <w:marBottom w:val="0"/>
      <w:divBdr>
        <w:top w:val="none" w:sz="0" w:space="0" w:color="auto"/>
        <w:left w:val="none" w:sz="0" w:space="0" w:color="auto"/>
        <w:bottom w:val="none" w:sz="0" w:space="0" w:color="auto"/>
        <w:right w:val="none" w:sz="0" w:space="0" w:color="auto"/>
      </w:divBdr>
      <w:divsChild>
        <w:div w:id="2076388485">
          <w:marLeft w:val="0"/>
          <w:marRight w:val="0"/>
          <w:marTop w:val="0"/>
          <w:marBottom w:val="0"/>
          <w:divBdr>
            <w:top w:val="none" w:sz="0" w:space="0" w:color="auto"/>
            <w:left w:val="none" w:sz="0" w:space="0" w:color="auto"/>
            <w:bottom w:val="none" w:sz="0" w:space="0" w:color="auto"/>
            <w:right w:val="none" w:sz="0" w:space="0" w:color="auto"/>
          </w:divBdr>
          <w:divsChild>
            <w:div w:id="1121416807">
              <w:marLeft w:val="0"/>
              <w:marRight w:val="0"/>
              <w:marTop w:val="0"/>
              <w:marBottom w:val="0"/>
              <w:divBdr>
                <w:top w:val="none" w:sz="0" w:space="0" w:color="auto"/>
                <w:left w:val="none" w:sz="0" w:space="0" w:color="auto"/>
                <w:bottom w:val="none" w:sz="0" w:space="0" w:color="auto"/>
                <w:right w:val="none" w:sz="0" w:space="0" w:color="auto"/>
              </w:divBdr>
              <w:divsChild>
                <w:div w:id="196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3394">
      <w:bodyDiv w:val="1"/>
      <w:marLeft w:val="0"/>
      <w:marRight w:val="0"/>
      <w:marTop w:val="0"/>
      <w:marBottom w:val="0"/>
      <w:divBdr>
        <w:top w:val="none" w:sz="0" w:space="0" w:color="auto"/>
        <w:left w:val="none" w:sz="0" w:space="0" w:color="auto"/>
        <w:bottom w:val="none" w:sz="0" w:space="0" w:color="auto"/>
        <w:right w:val="none" w:sz="0" w:space="0" w:color="auto"/>
      </w:divBdr>
    </w:div>
    <w:div w:id="786117946">
      <w:bodyDiv w:val="1"/>
      <w:marLeft w:val="0"/>
      <w:marRight w:val="0"/>
      <w:marTop w:val="0"/>
      <w:marBottom w:val="0"/>
      <w:divBdr>
        <w:top w:val="none" w:sz="0" w:space="0" w:color="auto"/>
        <w:left w:val="none" w:sz="0" w:space="0" w:color="auto"/>
        <w:bottom w:val="none" w:sz="0" w:space="0" w:color="auto"/>
        <w:right w:val="none" w:sz="0" w:space="0" w:color="auto"/>
      </w:divBdr>
    </w:div>
    <w:div w:id="1284846145">
      <w:bodyDiv w:val="1"/>
      <w:marLeft w:val="0"/>
      <w:marRight w:val="0"/>
      <w:marTop w:val="0"/>
      <w:marBottom w:val="0"/>
      <w:divBdr>
        <w:top w:val="none" w:sz="0" w:space="0" w:color="auto"/>
        <w:left w:val="none" w:sz="0" w:space="0" w:color="auto"/>
        <w:bottom w:val="none" w:sz="0" w:space="0" w:color="auto"/>
        <w:right w:val="none" w:sz="0" w:space="0" w:color="auto"/>
      </w:divBdr>
      <w:divsChild>
        <w:div w:id="1149904270">
          <w:marLeft w:val="0"/>
          <w:marRight w:val="0"/>
          <w:marTop w:val="0"/>
          <w:marBottom w:val="0"/>
          <w:divBdr>
            <w:top w:val="none" w:sz="0" w:space="0" w:color="auto"/>
            <w:left w:val="none" w:sz="0" w:space="0" w:color="auto"/>
            <w:bottom w:val="none" w:sz="0" w:space="0" w:color="auto"/>
            <w:right w:val="none" w:sz="0" w:space="0" w:color="auto"/>
          </w:divBdr>
          <w:divsChild>
            <w:div w:id="634994921">
              <w:marLeft w:val="0"/>
              <w:marRight w:val="0"/>
              <w:marTop w:val="0"/>
              <w:marBottom w:val="0"/>
              <w:divBdr>
                <w:top w:val="none" w:sz="0" w:space="0" w:color="auto"/>
                <w:left w:val="none" w:sz="0" w:space="0" w:color="auto"/>
                <w:bottom w:val="none" w:sz="0" w:space="0" w:color="auto"/>
                <w:right w:val="none" w:sz="0" w:space="0" w:color="auto"/>
              </w:divBdr>
              <w:divsChild>
                <w:div w:id="841773689">
                  <w:marLeft w:val="0"/>
                  <w:marRight w:val="0"/>
                  <w:marTop w:val="0"/>
                  <w:marBottom w:val="0"/>
                  <w:divBdr>
                    <w:top w:val="none" w:sz="0" w:space="0" w:color="auto"/>
                    <w:left w:val="none" w:sz="0" w:space="0" w:color="auto"/>
                    <w:bottom w:val="none" w:sz="0" w:space="0" w:color="auto"/>
                    <w:right w:val="none" w:sz="0" w:space="0" w:color="auto"/>
                  </w:divBdr>
                  <w:divsChild>
                    <w:div w:id="281965304">
                      <w:marLeft w:val="0"/>
                      <w:marRight w:val="0"/>
                      <w:marTop w:val="0"/>
                      <w:marBottom w:val="0"/>
                      <w:divBdr>
                        <w:top w:val="none" w:sz="0" w:space="0" w:color="auto"/>
                        <w:left w:val="none" w:sz="0" w:space="0" w:color="auto"/>
                        <w:bottom w:val="none" w:sz="0" w:space="0" w:color="auto"/>
                        <w:right w:val="none" w:sz="0" w:space="0" w:color="auto"/>
                      </w:divBdr>
                    </w:div>
                  </w:divsChild>
                </w:div>
                <w:div w:id="930968478">
                  <w:marLeft w:val="0"/>
                  <w:marRight w:val="0"/>
                  <w:marTop w:val="0"/>
                  <w:marBottom w:val="0"/>
                  <w:divBdr>
                    <w:top w:val="none" w:sz="0" w:space="0" w:color="auto"/>
                    <w:left w:val="none" w:sz="0" w:space="0" w:color="auto"/>
                    <w:bottom w:val="none" w:sz="0" w:space="0" w:color="auto"/>
                    <w:right w:val="none" w:sz="0" w:space="0" w:color="auto"/>
                  </w:divBdr>
                  <w:divsChild>
                    <w:div w:id="1397508386">
                      <w:marLeft w:val="0"/>
                      <w:marRight w:val="0"/>
                      <w:marTop w:val="0"/>
                      <w:marBottom w:val="0"/>
                      <w:divBdr>
                        <w:top w:val="none" w:sz="0" w:space="0" w:color="auto"/>
                        <w:left w:val="none" w:sz="0" w:space="0" w:color="auto"/>
                        <w:bottom w:val="none" w:sz="0" w:space="0" w:color="auto"/>
                        <w:right w:val="none" w:sz="0" w:space="0" w:color="auto"/>
                      </w:divBdr>
                    </w:div>
                  </w:divsChild>
                </w:div>
                <w:div w:id="994333866">
                  <w:marLeft w:val="0"/>
                  <w:marRight w:val="0"/>
                  <w:marTop w:val="0"/>
                  <w:marBottom w:val="0"/>
                  <w:divBdr>
                    <w:top w:val="none" w:sz="0" w:space="0" w:color="auto"/>
                    <w:left w:val="none" w:sz="0" w:space="0" w:color="auto"/>
                    <w:bottom w:val="none" w:sz="0" w:space="0" w:color="auto"/>
                    <w:right w:val="none" w:sz="0" w:space="0" w:color="auto"/>
                  </w:divBdr>
                  <w:divsChild>
                    <w:div w:id="2013415324">
                      <w:marLeft w:val="0"/>
                      <w:marRight w:val="0"/>
                      <w:marTop w:val="0"/>
                      <w:marBottom w:val="0"/>
                      <w:divBdr>
                        <w:top w:val="none" w:sz="0" w:space="0" w:color="auto"/>
                        <w:left w:val="none" w:sz="0" w:space="0" w:color="auto"/>
                        <w:bottom w:val="none" w:sz="0" w:space="0" w:color="auto"/>
                        <w:right w:val="none" w:sz="0" w:space="0" w:color="auto"/>
                      </w:divBdr>
                    </w:div>
                  </w:divsChild>
                </w:div>
                <w:div w:id="1003320063">
                  <w:marLeft w:val="0"/>
                  <w:marRight w:val="0"/>
                  <w:marTop w:val="0"/>
                  <w:marBottom w:val="0"/>
                  <w:divBdr>
                    <w:top w:val="none" w:sz="0" w:space="0" w:color="auto"/>
                    <w:left w:val="none" w:sz="0" w:space="0" w:color="auto"/>
                    <w:bottom w:val="none" w:sz="0" w:space="0" w:color="auto"/>
                    <w:right w:val="none" w:sz="0" w:space="0" w:color="auto"/>
                  </w:divBdr>
                  <w:divsChild>
                    <w:div w:id="977681674">
                      <w:marLeft w:val="0"/>
                      <w:marRight w:val="0"/>
                      <w:marTop w:val="0"/>
                      <w:marBottom w:val="0"/>
                      <w:divBdr>
                        <w:top w:val="none" w:sz="0" w:space="0" w:color="auto"/>
                        <w:left w:val="none" w:sz="0" w:space="0" w:color="auto"/>
                        <w:bottom w:val="none" w:sz="0" w:space="0" w:color="auto"/>
                        <w:right w:val="none" w:sz="0" w:space="0" w:color="auto"/>
                      </w:divBdr>
                    </w:div>
                  </w:divsChild>
                </w:div>
                <w:div w:id="1035158085">
                  <w:marLeft w:val="0"/>
                  <w:marRight w:val="0"/>
                  <w:marTop w:val="0"/>
                  <w:marBottom w:val="0"/>
                  <w:divBdr>
                    <w:top w:val="none" w:sz="0" w:space="0" w:color="auto"/>
                    <w:left w:val="none" w:sz="0" w:space="0" w:color="auto"/>
                    <w:bottom w:val="none" w:sz="0" w:space="0" w:color="auto"/>
                    <w:right w:val="none" w:sz="0" w:space="0" w:color="auto"/>
                  </w:divBdr>
                  <w:divsChild>
                    <w:div w:id="12634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0459">
      <w:bodyDiv w:val="1"/>
      <w:marLeft w:val="0"/>
      <w:marRight w:val="0"/>
      <w:marTop w:val="0"/>
      <w:marBottom w:val="0"/>
      <w:divBdr>
        <w:top w:val="none" w:sz="0" w:space="0" w:color="auto"/>
        <w:left w:val="none" w:sz="0" w:space="0" w:color="auto"/>
        <w:bottom w:val="none" w:sz="0" w:space="0" w:color="auto"/>
        <w:right w:val="none" w:sz="0" w:space="0" w:color="auto"/>
      </w:divBdr>
      <w:divsChild>
        <w:div w:id="425350092">
          <w:marLeft w:val="0"/>
          <w:marRight w:val="0"/>
          <w:marTop w:val="0"/>
          <w:marBottom w:val="0"/>
          <w:divBdr>
            <w:top w:val="none" w:sz="0" w:space="0" w:color="auto"/>
            <w:left w:val="none" w:sz="0" w:space="0" w:color="auto"/>
            <w:bottom w:val="none" w:sz="0" w:space="0" w:color="auto"/>
            <w:right w:val="none" w:sz="0" w:space="0" w:color="auto"/>
          </w:divBdr>
          <w:divsChild>
            <w:div w:id="1889075337">
              <w:marLeft w:val="0"/>
              <w:marRight w:val="0"/>
              <w:marTop w:val="0"/>
              <w:marBottom w:val="0"/>
              <w:divBdr>
                <w:top w:val="none" w:sz="0" w:space="0" w:color="auto"/>
                <w:left w:val="none" w:sz="0" w:space="0" w:color="auto"/>
                <w:bottom w:val="none" w:sz="0" w:space="0" w:color="auto"/>
                <w:right w:val="none" w:sz="0" w:space="0" w:color="auto"/>
              </w:divBdr>
              <w:divsChild>
                <w:div w:id="349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8456">
      <w:bodyDiv w:val="1"/>
      <w:marLeft w:val="0"/>
      <w:marRight w:val="0"/>
      <w:marTop w:val="0"/>
      <w:marBottom w:val="0"/>
      <w:divBdr>
        <w:top w:val="none" w:sz="0" w:space="0" w:color="auto"/>
        <w:left w:val="none" w:sz="0" w:space="0" w:color="auto"/>
        <w:bottom w:val="none" w:sz="0" w:space="0" w:color="auto"/>
        <w:right w:val="none" w:sz="0" w:space="0" w:color="auto"/>
      </w:divBdr>
      <w:divsChild>
        <w:div w:id="522666848">
          <w:marLeft w:val="0"/>
          <w:marRight w:val="0"/>
          <w:marTop w:val="0"/>
          <w:marBottom w:val="0"/>
          <w:divBdr>
            <w:top w:val="none" w:sz="0" w:space="0" w:color="auto"/>
            <w:left w:val="none" w:sz="0" w:space="0" w:color="auto"/>
            <w:bottom w:val="none" w:sz="0" w:space="0" w:color="auto"/>
            <w:right w:val="none" w:sz="0" w:space="0" w:color="auto"/>
          </w:divBdr>
          <w:divsChild>
            <w:div w:id="93093043">
              <w:marLeft w:val="0"/>
              <w:marRight w:val="0"/>
              <w:marTop w:val="0"/>
              <w:marBottom w:val="0"/>
              <w:divBdr>
                <w:top w:val="none" w:sz="0" w:space="0" w:color="auto"/>
                <w:left w:val="none" w:sz="0" w:space="0" w:color="auto"/>
                <w:bottom w:val="none" w:sz="0" w:space="0" w:color="auto"/>
                <w:right w:val="none" w:sz="0" w:space="0" w:color="auto"/>
              </w:divBdr>
              <w:divsChild>
                <w:div w:id="14052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83627">
      <w:bodyDiv w:val="1"/>
      <w:marLeft w:val="0"/>
      <w:marRight w:val="0"/>
      <w:marTop w:val="0"/>
      <w:marBottom w:val="0"/>
      <w:divBdr>
        <w:top w:val="none" w:sz="0" w:space="0" w:color="auto"/>
        <w:left w:val="none" w:sz="0" w:space="0" w:color="auto"/>
        <w:bottom w:val="none" w:sz="0" w:space="0" w:color="auto"/>
        <w:right w:val="none" w:sz="0" w:space="0" w:color="auto"/>
      </w:divBdr>
      <w:divsChild>
        <w:div w:id="1032265309">
          <w:marLeft w:val="0"/>
          <w:marRight w:val="0"/>
          <w:marTop w:val="0"/>
          <w:marBottom w:val="0"/>
          <w:divBdr>
            <w:top w:val="none" w:sz="0" w:space="0" w:color="auto"/>
            <w:left w:val="none" w:sz="0" w:space="0" w:color="auto"/>
            <w:bottom w:val="none" w:sz="0" w:space="0" w:color="auto"/>
            <w:right w:val="none" w:sz="0" w:space="0" w:color="auto"/>
          </w:divBdr>
          <w:divsChild>
            <w:div w:id="878399195">
              <w:marLeft w:val="0"/>
              <w:marRight w:val="0"/>
              <w:marTop w:val="0"/>
              <w:marBottom w:val="0"/>
              <w:divBdr>
                <w:top w:val="none" w:sz="0" w:space="0" w:color="auto"/>
                <w:left w:val="none" w:sz="0" w:space="0" w:color="auto"/>
                <w:bottom w:val="none" w:sz="0" w:space="0" w:color="auto"/>
                <w:right w:val="none" w:sz="0" w:space="0" w:color="auto"/>
              </w:divBdr>
              <w:divsChild>
                <w:div w:id="986326604">
                  <w:marLeft w:val="0"/>
                  <w:marRight w:val="0"/>
                  <w:marTop w:val="0"/>
                  <w:marBottom w:val="0"/>
                  <w:divBdr>
                    <w:top w:val="none" w:sz="0" w:space="0" w:color="auto"/>
                    <w:left w:val="none" w:sz="0" w:space="0" w:color="auto"/>
                    <w:bottom w:val="none" w:sz="0" w:space="0" w:color="auto"/>
                    <w:right w:val="none" w:sz="0" w:space="0" w:color="auto"/>
                  </w:divBdr>
                  <w:divsChild>
                    <w:div w:id="9132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11355">
      <w:bodyDiv w:val="1"/>
      <w:marLeft w:val="0"/>
      <w:marRight w:val="0"/>
      <w:marTop w:val="0"/>
      <w:marBottom w:val="0"/>
      <w:divBdr>
        <w:top w:val="none" w:sz="0" w:space="0" w:color="auto"/>
        <w:left w:val="none" w:sz="0" w:space="0" w:color="auto"/>
        <w:bottom w:val="none" w:sz="0" w:space="0" w:color="auto"/>
        <w:right w:val="none" w:sz="0" w:space="0" w:color="auto"/>
      </w:divBdr>
      <w:divsChild>
        <w:div w:id="676536568">
          <w:marLeft w:val="0"/>
          <w:marRight w:val="0"/>
          <w:marTop w:val="0"/>
          <w:marBottom w:val="0"/>
          <w:divBdr>
            <w:top w:val="none" w:sz="0" w:space="0" w:color="auto"/>
            <w:left w:val="none" w:sz="0" w:space="0" w:color="auto"/>
            <w:bottom w:val="none" w:sz="0" w:space="0" w:color="auto"/>
            <w:right w:val="none" w:sz="0" w:space="0" w:color="auto"/>
          </w:divBdr>
          <w:divsChild>
            <w:div w:id="1101686418">
              <w:marLeft w:val="0"/>
              <w:marRight w:val="0"/>
              <w:marTop w:val="0"/>
              <w:marBottom w:val="0"/>
              <w:divBdr>
                <w:top w:val="none" w:sz="0" w:space="0" w:color="auto"/>
                <w:left w:val="none" w:sz="0" w:space="0" w:color="auto"/>
                <w:bottom w:val="none" w:sz="0" w:space="0" w:color="auto"/>
                <w:right w:val="none" w:sz="0" w:space="0" w:color="auto"/>
              </w:divBdr>
              <w:divsChild>
                <w:div w:id="14414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8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22" Type="http://schemas.microsoft.com/office/2011/relationships/people" Target="people.xml"/><Relationship Id="rId9" Type="http://schemas.openxmlformats.org/officeDocument/2006/relationships/webSettings" Target="webSettings.xml"/><Relationship Id="rId14" Type="http://schemas.openxmlformats.org/officeDocument/2006/relationships/comments" Target="comment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forms.justice.govt.nz/search/Documents/WT/wt_DOC_68356054/KoAotearoaTeneiTT1W.pdf" TargetMode="External"/><Relationship Id="rId3" Type="http://schemas.openxmlformats.org/officeDocument/2006/relationships/hyperlink" Target="https://www.dpmc.govt.nz/sites/default/files/2023-06/cabinet-manual-2023-v2.pdf" TargetMode="External"/><Relationship Id="rId7" Type="http://schemas.openxmlformats.org/officeDocument/2006/relationships/hyperlink" Target="https://waitangitribunal.govt.nz/inquiries/district-inquiries/porirua-ki-manawatu/" TargetMode="External"/><Relationship Id="rId12" Type="http://schemas.openxmlformats.org/officeDocument/2006/relationships/hyperlink" Target="https://www.newsroom.co.nz/co-governance-plan-kicked-down-the-road-to-2024" TargetMode="External"/><Relationship Id="rId2" Type="http://schemas.openxmlformats.org/officeDocument/2006/relationships/hyperlink" Target="https://www.beehive.govt.nz/release/supporting-un-declaration-restores-nzs-mana" TargetMode="External"/><Relationship Id="rId1" Type="http://schemas.openxmlformats.org/officeDocument/2006/relationships/hyperlink" Target="https://press.un.org/en/2007/ga10612.doc.htm" TargetMode="External"/><Relationship Id="rId6" Type="http://schemas.openxmlformats.org/officeDocument/2006/relationships/hyperlink" Target="https://forms.justice.govt.nz/search/Documents/WT/wt_DOC_85007148/Maori%20Council%20ReportW.pdf" TargetMode="External"/><Relationship Id="rId11" Type="http://schemas.openxmlformats.org/officeDocument/2006/relationships/hyperlink" Target="https://www.tpk.govt.nz/docs/tpk-undrip-keythemesm%C4%81oritargetedengagement-april2022v2.pdf" TargetMode="External"/><Relationship Id="rId5" Type="http://schemas.openxmlformats.org/officeDocument/2006/relationships/hyperlink" Target="https://www.waitangitribunal.govt.nz/about/" TargetMode="External"/><Relationship Id="rId10" Type="http://schemas.openxmlformats.org/officeDocument/2006/relationships/hyperlink" Target="https://www.ohchr.org/sites/default/files/Documents/Issues/IPeoples/EMRIP/Session12/EMRIPAdvisroyNoteNZ2019.docx" TargetMode="External"/><Relationship Id="rId4" Type="http://schemas.openxmlformats.org/officeDocument/2006/relationships/hyperlink" Target="https://www.dpmc.govt.nz/sites/default/files/2019-10/CO%2019%20%285%29%20Treaty%20of%20Waitangi%20Guidance%20for%20Agencies.pdf" TargetMode="External"/><Relationship Id="rId9" Type="http://schemas.openxmlformats.org/officeDocument/2006/relationships/hyperlink" Target="https://www.tpk.govt.nz/en/mo-te-puni-kokiri/corporate-documents/cabinet-papers/all-cabinet-papers/next-steps-for-declara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d42e65b2-cf21-49c1-b27d-d23f90380c0e">NHRIs</Category>
    <Filename xmlns="d42e65b2-cf21-49c1-b27d-d23f90380c0e" xsi:nil="true"/>
    <Doctype xmlns="d42e65b2-cf21-49c1-b27d-d23f90380c0e">input</Doctype>
    <Contributor xmlns="d42e65b2-cf21-49c1-b27d-d23f90380c0e">Te Kāhui Tika Tangata New Zealand Human Rights Commission1</Contribu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B92AF-3F7B-4334-A8DB-BF342077CCBE}"/>
</file>

<file path=customXml/itemProps2.xml><?xml version="1.0" encoding="utf-8"?>
<ds:datastoreItem xmlns:ds="http://schemas.openxmlformats.org/officeDocument/2006/customXml" ds:itemID="{FE8AEA88-2CC7-4427-AD63-9E3F7D7E7602}">
  <ds:schemaRefs>
    <ds:schemaRef ds:uri="http://schemas.microsoft.com/office/2006/metadata/properties"/>
    <ds:schemaRef ds:uri="http://schemas.microsoft.com/office/infopath/2007/PartnerControls"/>
    <ds:schemaRef ds:uri="14bf6e64-41b1-4008-8b31-81e768f35d2f"/>
    <ds:schemaRef ds:uri="7fa524cd-5488-4231-a774-088743c0689c"/>
  </ds:schemaRefs>
</ds:datastoreItem>
</file>

<file path=customXml/itemProps3.xml><?xml version="1.0" encoding="utf-8"?>
<ds:datastoreItem xmlns:ds="http://schemas.openxmlformats.org/officeDocument/2006/customXml" ds:itemID="{6587A85E-A69A-4EEA-A8FF-8B3C34D7C0C8}">
  <ds:schemaRefs>
    <ds:schemaRef ds:uri="http://schemas.microsoft.com/sharepoint/v3/contenttype/forms"/>
  </ds:schemaRefs>
</ds:datastoreItem>
</file>

<file path=customXml/itemProps4.xml><?xml version="1.0" encoding="utf-8"?>
<ds:datastoreItem xmlns:ds="http://schemas.openxmlformats.org/officeDocument/2006/customXml" ds:itemID="{01537B18-17DB-408B-9C9C-F5C85250B4EA}">
  <ds:schemaRefs>
    <ds:schemaRef ds:uri="http://schemas.microsoft.com/sharepoint/events"/>
  </ds:schemaRefs>
</ds:datastoreItem>
</file>

<file path=customXml/itemProps5.xml><?xml version="1.0" encoding="utf-8"?>
<ds:datastoreItem xmlns:ds="http://schemas.openxmlformats.org/officeDocument/2006/customXml" ds:itemID="{96548905-6E2E-4B97-983E-AFB9A27A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2764</Words>
  <Characters>15760</Characters>
  <Application>Microsoft Office Word</Application>
  <DocSecurity>4</DocSecurity>
  <Lines>131</Lines>
  <Paragraphs>36</Paragraphs>
  <ScaleCrop>false</ScaleCrop>
  <Company/>
  <LinksUpToDate>false</LinksUpToDate>
  <CharactersWithSpaces>18488</CharactersWithSpaces>
  <SharedDoc>false</SharedDoc>
  <HLinks>
    <vt:vector size="18" baseType="variant">
      <vt:variant>
        <vt:i4>3997796</vt:i4>
      </vt:variant>
      <vt:variant>
        <vt:i4>6</vt:i4>
      </vt:variant>
      <vt:variant>
        <vt:i4>0</vt:i4>
      </vt:variant>
      <vt:variant>
        <vt:i4>5</vt:i4>
      </vt:variant>
      <vt:variant>
        <vt:lpwstr>https://www.newsroom.co.nz/co-governance-plan-kicked-down-the-road-to-2024</vt:lpwstr>
      </vt:variant>
      <vt:variant>
        <vt:lpwstr/>
      </vt:variant>
      <vt:variant>
        <vt:i4>720922</vt:i4>
      </vt:variant>
      <vt:variant>
        <vt:i4>3</vt:i4>
      </vt:variant>
      <vt:variant>
        <vt:i4>0</vt:i4>
      </vt:variant>
      <vt:variant>
        <vt:i4>5</vt:i4>
      </vt:variant>
      <vt:variant>
        <vt:lpwstr>https://www.tpk.govt.nz/docs/tpk-undrip-keythemesm%C4%81oritargetedengagement-april2022v2.pdf</vt:lpwstr>
      </vt:variant>
      <vt:variant>
        <vt:lpwstr/>
      </vt:variant>
      <vt:variant>
        <vt:i4>1441874</vt:i4>
      </vt:variant>
      <vt:variant>
        <vt:i4>0</vt:i4>
      </vt:variant>
      <vt:variant>
        <vt:i4>0</vt:i4>
      </vt:variant>
      <vt:variant>
        <vt:i4>5</vt:i4>
      </vt:variant>
      <vt:variant>
        <vt:lpwstr>https://www.ohchr.org/sites/default/files/Documents/Issues/IPeoples/EMRIP/Session12/EMRIPAdvisroyNoteNZ2019.docx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on tikanga Māori and its place in Aotearoa New Zealand’s legal landscape</dc:title>
  <dc:subject/>
  <dc:creator>Claire Charters</dc:creator>
  <cp:keywords/>
  <dc:description/>
  <cp:lastModifiedBy>Atina Pamei Gaare</cp:lastModifiedBy>
  <cp:revision>2</cp:revision>
  <cp:lastPrinted>2023-06-16T19:28:00Z</cp:lastPrinted>
  <dcterms:created xsi:type="dcterms:W3CDTF">2024-02-09T01:33:00Z</dcterms:created>
  <dcterms:modified xsi:type="dcterms:W3CDTF">2024-02-09T01:33:00Z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_dlc_DocIdItemGuid">
    <vt:lpwstr>a73d2ecf-c77f-4c01-bed1-28bc22237084</vt:lpwstr>
  </property>
  <property fmtid="{D5CDD505-2E9C-101B-9397-08002B2CF9AE}" pid="4" name="RevIMBCS">
    <vt:lpwstr/>
  </property>
  <property fmtid="{D5CDD505-2E9C-101B-9397-08002B2CF9AE}" pid="5" name="MediaServiceImageTags">
    <vt:lpwstr/>
  </property>
</Properties>
</file>