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FDB0" w14:textId="77777777" w:rsidR="001D08A9" w:rsidRPr="0079742C" w:rsidRDefault="001D08A9" w:rsidP="00801095">
      <w:pPr>
        <w:jc w:val="center"/>
      </w:pPr>
      <w:r w:rsidRPr="0079742C">
        <w:rPr>
          <w:noProof/>
          <w:lang w:eastAsia="es-GT"/>
        </w:rPr>
        <w:drawing>
          <wp:inline distT="0" distB="0" distL="0" distR="0" wp14:anchorId="42791123" wp14:editId="7710EF66">
            <wp:extent cx="4304315" cy="4304315"/>
            <wp:effectExtent l="0" t="0" r="0" b="0"/>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759" cy="4358759"/>
                    </a:xfrm>
                    <a:prstGeom prst="rect">
                      <a:avLst/>
                    </a:prstGeom>
                  </pic:spPr>
                </pic:pic>
              </a:graphicData>
            </a:graphic>
          </wp:inline>
        </w:drawing>
      </w:r>
    </w:p>
    <w:p w14:paraId="1DAAFA8B" w14:textId="77777777" w:rsidR="001D08A9" w:rsidRPr="0079742C" w:rsidRDefault="001D08A9" w:rsidP="00C959E1">
      <w:pPr>
        <w:jc w:val="both"/>
      </w:pPr>
    </w:p>
    <w:p w14:paraId="30A1249A" w14:textId="16A8E127" w:rsidR="001D08A9" w:rsidRDefault="001D08A9" w:rsidP="002D37F7">
      <w:pPr>
        <w:spacing w:after="0" w:line="240" w:lineRule="auto"/>
        <w:jc w:val="center"/>
        <w:rPr>
          <w:rFonts w:eastAsia="Arial"/>
          <w:b/>
          <w:sz w:val="28"/>
          <w:szCs w:val="28"/>
        </w:rPr>
      </w:pPr>
      <w:r w:rsidRPr="0079742C">
        <w:rPr>
          <w:rFonts w:eastAsia="Arial"/>
          <w:b/>
          <w:sz w:val="28"/>
          <w:szCs w:val="28"/>
        </w:rPr>
        <w:t xml:space="preserve">Contribución del Procurador de los Derechos Humanos </w:t>
      </w:r>
      <w:r>
        <w:rPr>
          <w:rFonts w:eastAsia="Arial"/>
          <w:b/>
          <w:sz w:val="28"/>
          <w:szCs w:val="28"/>
        </w:rPr>
        <w:t xml:space="preserve">de Guatemala </w:t>
      </w:r>
      <w:r w:rsidRPr="001D08A9">
        <w:rPr>
          <w:rFonts w:eastAsia="Arial"/>
          <w:b/>
          <w:sz w:val="28"/>
          <w:szCs w:val="28"/>
        </w:rPr>
        <w:t xml:space="preserve">sobre </w:t>
      </w:r>
      <w:r>
        <w:rPr>
          <w:rFonts w:eastAsia="Arial"/>
          <w:b/>
          <w:sz w:val="28"/>
          <w:szCs w:val="28"/>
        </w:rPr>
        <w:t>“l</w:t>
      </w:r>
      <w:r w:rsidRPr="001D08A9">
        <w:rPr>
          <w:rFonts w:eastAsia="Arial"/>
          <w:b/>
          <w:sz w:val="28"/>
          <w:szCs w:val="28"/>
        </w:rPr>
        <w:t>eyes, legislación, políticas, constituciones, decisiones judiciales y otros mecanismos en los que los Estados hayan adoptado medidas para alcanzar los fines de la Declaración de las Naciones Unidas sobre los Derechos de los Pueblos Indígenas, de conformidad con el artículo 38 de la Declaración</w:t>
      </w:r>
      <w:r w:rsidR="00EA490E">
        <w:rPr>
          <w:rFonts w:eastAsia="Arial"/>
          <w:b/>
          <w:sz w:val="28"/>
          <w:szCs w:val="28"/>
        </w:rPr>
        <w:t>”</w:t>
      </w:r>
    </w:p>
    <w:p w14:paraId="00033A45" w14:textId="77777777" w:rsidR="00032192" w:rsidRPr="00032192" w:rsidRDefault="00032192" w:rsidP="00C959E1">
      <w:pPr>
        <w:spacing w:after="0" w:line="240" w:lineRule="auto"/>
        <w:jc w:val="both"/>
        <w:rPr>
          <w:rFonts w:eastAsia="Arial"/>
          <w:b/>
          <w:sz w:val="24"/>
          <w:szCs w:val="24"/>
        </w:rPr>
      </w:pPr>
    </w:p>
    <w:p w14:paraId="57BB9A98" w14:textId="77777777" w:rsidR="00032192" w:rsidRDefault="00032192" w:rsidP="00C959E1">
      <w:pPr>
        <w:spacing w:after="0" w:line="240" w:lineRule="auto"/>
        <w:jc w:val="both"/>
        <w:rPr>
          <w:b/>
          <w:sz w:val="28"/>
          <w:szCs w:val="28"/>
        </w:rPr>
      </w:pPr>
    </w:p>
    <w:p w14:paraId="3943F902" w14:textId="77777777" w:rsidR="00032192" w:rsidRDefault="00032192" w:rsidP="00C959E1">
      <w:pPr>
        <w:spacing w:after="0" w:line="240" w:lineRule="auto"/>
        <w:jc w:val="both"/>
        <w:rPr>
          <w:b/>
          <w:sz w:val="28"/>
          <w:szCs w:val="28"/>
        </w:rPr>
      </w:pPr>
    </w:p>
    <w:p w14:paraId="4FDD6E8B" w14:textId="77777777" w:rsidR="00032192" w:rsidRDefault="00032192" w:rsidP="00C959E1">
      <w:pPr>
        <w:spacing w:after="0" w:line="240" w:lineRule="auto"/>
        <w:jc w:val="both"/>
        <w:rPr>
          <w:b/>
          <w:sz w:val="28"/>
          <w:szCs w:val="28"/>
        </w:rPr>
      </w:pPr>
    </w:p>
    <w:p w14:paraId="39467161" w14:textId="77777777" w:rsidR="00032192" w:rsidRDefault="00032192" w:rsidP="00C959E1">
      <w:pPr>
        <w:spacing w:after="0" w:line="240" w:lineRule="auto"/>
        <w:jc w:val="both"/>
        <w:rPr>
          <w:b/>
          <w:sz w:val="28"/>
          <w:szCs w:val="28"/>
        </w:rPr>
      </w:pPr>
    </w:p>
    <w:p w14:paraId="7FB80518" w14:textId="67D2621E" w:rsidR="001D08A9" w:rsidRPr="002D37F7" w:rsidRDefault="00032192" w:rsidP="00C959E1">
      <w:pPr>
        <w:spacing w:after="0" w:line="240" w:lineRule="auto"/>
        <w:jc w:val="center"/>
        <w:rPr>
          <w:b/>
        </w:rPr>
      </w:pPr>
      <w:r w:rsidRPr="002D37F7">
        <w:rPr>
          <w:rFonts w:eastAsia="Arial"/>
          <w:b/>
        </w:rPr>
        <w:t xml:space="preserve">Guatemala, enero </w:t>
      </w:r>
      <w:r w:rsidR="001D08A9" w:rsidRPr="002D37F7">
        <w:rPr>
          <w:rFonts w:eastAsia="Arial"/>
          <w:b/>
        </w:rPr>
        <w:t>de 202</w:t>
      </w:r>
      <w:r w:rsidR="008C1652">
        <w:rPr>
          <w:rFonts w:eastAsia="Arial"/>
          <w:b/>
        </w:rPr>
        <w:t>4</w:t>
      </w:r>
    </w:p>
    <w:p w14:paraId="51A8595C" w14:textId="77777777" w:rsidR="001D08A9" w:rsidRPr="0079742C" w:rsidRDefault="001D08A9" w:rsidP="00C959E1">
      <w:pPr>
        <w:spacing w:after="0" w:line="240" w:lineRule="auto"/>
        <w:jc w:val="both"/>
        <w:rPr>
          <w:b/>
        </w:rPr>
      </w:pPr>
    </w:p>
    <w:p w14:paraId="19936968" w14:textId="77777777" w:rsidR="00032192" w:rsidRDefault="00032192" w:rsidP="00C959E1">
      <w:pPr>
        <w:jc w:val="both"/>
        <w:rPr>
          <w:rFonts w:ascii="Calibri" w:eastAsia="Times New Roman" w:hAnsi="Calibri" w:cs="Calibri"/>
          <w:color w:val="4472C4"/>
          <w:kern w:val="0"/>
          <w:lang w:eastAsia="es-GT"/>
          <w14:ligatures w14:val="none"/>
        </w:rPr>
      </w:pPr>
      <w:r>
        <w:rPr>
          <w:rFonts w:ascii="Calibri" w:eastAsia="Times New Roman" w:hAnsi="Calibri" w:cs="Calibri"/>
          <w:color w:val="4472C4"/>
          <w:kern w:val="0"/>
          <w:lang w:eastAsia="es-GT"/>
          <w14:ligatures w14:val="none"/>
        </w:rPr>
        <w:br w:type="page"/>
      </w:r>
    </w:p>
    <w:p w14:paraId="65FFC2A2" w14:textId="403AA86A" w:rsidR="00C959E1" w:rsidRDefault="00032192" w:rsidP="00C959E1">
      <w:pPr>
        <w:spacing w:after="0" w:line="276" w:lineRule="auto"/>
        <w:jc w:val="both"/>
        <w:rPr>
          <w:rFonts w:ascii="Cambria" w:hAnsi="Cambria"/>
          <w:spacing w:val="4"/>
          <w:sz w:val="24"/>
          <w:szCs w:val="24"/>
        </w:rPr>
      </w:pPr>
      <w:r w:rsidRPr="00C959E1">
        <w:rPr>
          <w:rFonts w:ascii="Cambria" w:hAnsi="Cambria"/>
          <w:bCs/>
          <w:sz w:val="24"/>
          <w:szCs w:val="24"/>
        </w:rPr>
        <w:lastRenderedPageBreak/>
        <w:t xml:space="preserve">En atención a la </w:t>
      </w:r>
      <w:r w:rsidR="00801095">
        <w:rPr>
          <w:rFonts w:ascii="Cambria" w:hAnsi="Cambria"/>
          <w:bCs/>
          <w:sz w:val="24"/>
          <w:szCs w:val="24"/>
        </w:rPr>
        <w:t>solicitud</w:t>
      </w:r>
      <w:r w:rsidR="00801095" w:rsidRPr="00C959E1">
        <w:rPr>
          <w:rFonts w:ascii="Cambria" w:hAnsi="Cambria"/>
          <w:bCs/>
          <w:sz w:val="24"/>
          <w:szCs w:val="24"/>
        </w:rPr>
        <w:t xml:space="preserve"> </w:t>
      </w:r>
      <w:r w:rsidRPr="00C959E1">
        <w:rPr>
          <w:rFonts w:ascii="Cambria" w:hAnsi="Cambria"/>
          <w:bCs/>
          <w:sz w:val="24"/>
          <w:szCs w:val="24"/>
        </w:rPr>
        <w:t xml:space="preserve">de contribuciones </w:t>
      </w:r>
      <w:r w:rsidR="00801095">
        <w:rPr>
          <w:rFonts w:ascii="Cambria" w:hAnsi="Cambria"/>
          <w:bCs/>
          <w:sz w:val="24"/>
          <w:szCs w:val="24"/>
        </w:rPr>
        <w:t>de</w:t>
      </w:r>
      <w:r w:rsidRPr="00C959E1">
        <w:rPr>
          <w:rFonts w:ascii="Cambria" w:hAnsi="Cambria"/>
          <w:bCs/>
          <w:sz w:val="24"/>
          <w:szCs w:val="24"/>
        </w:rPr>
        <w:t xml:space="preserve"> la Oficina del Alto Comisionado de las Naciones Unidas para los Derechos Humanos, en diciembre de 202</w:t>
      </w:r>
      <w:r w:rsidR="008C1652">
        <w:rPr>
          <w:rFonts w:ascii="Cambria" w:hAnsi="Cambria"/>
          <w:bCs/>
          <w:sz w:val="24"/>
          <w:szCs w:val="24"/>
        </w:rPr>
        <w:t>3</w:t>
      </w:r>
      <w:r w:rsidRPr="00C959E1">
        <w:rPr>
          <w:rFonts w:ascii="Cambria" w:hAnsi="Cambria"/>
          <w:bCs/>
          <w:sz w:val="24"/>
          <w:szCs w:val="24"/>
        </w:rPr>
        <w:t xml:space="preserve">, </w:t>
      </w:r>
      <w:r w:rsidRPr="00C959E1">
        <w:rPr>
          <w:rFonts w:ascii="Cambria" w:hAnsi="Cambria"/>
          <w:spacing w:val="4"/>
          <w:sz w:val="24"/>
          <w:szCs w:val="24"/>
        </w:rPr>
        <w:t xml:space="preserve">de conformidad con la resolución 33/25 del Consejo de Derechos Humanos, durante su 16º período de sesiones en 2023. </w:t>
      </w:r>
    </w:p>
    <w:p w14:paraId="2186FD4D" w14:textId="77777777" w:rsidR="00C959E1" w:rsidRDefault="00C959E1" w:rsidP="00C959E1">
      <w:pPr>
        <w:spacing w:after="0" w:line="276" w:lineRule="auto"/>
        <w:jc w:val="both"/>
        <w:rPr>
          <w:rFonts w:ascii="Cambria" w:hAnsi="Cambria"/>
          <w:spacing w:val="4"/>
          <w:sz w:val="24"/>
          <w:szCs w:val="24"/>
        </w:rPr>
      </w:pPr>
    </w:p>
    <w:p w14:paraId="70CB9B3A" w14:textId="1FDAA209" w:rsidR="00032192" w:rsidRPr="00C959E1" w:rsidRDefault="00032192" w:rsidP="00C959E1">
      <w:pPr>
        <w:spacing w:after="0" w:line="276" w:lineRule="auto"/>
        <w:jc w:val="both"/>
        <w:rPr>
          <w:rFonts w:ascii="Cambria" w:hAnsi="Cambria" w:cs="Times New Roman"/>
          <w:bCs/>
          <w:sz w:val="24"/>
          <w:szCs w:val="24"/>
        </w:rPr>
      </w:pPr>
      <w:r w:rsidRPr="00C959E1">
        <w:rPr>
          <w:rFonts w:ascii="Cambria" w:hAnsi="Cambria" w:cs="Times New Roman"/>
          <w:b/>
          <w:sz w:val="24"/>
          <w:szCs w:val="24"/>
        </w:rPr>
        <w:t>E</w:t>
      </w:r>
      <w:r w:rsidRPr="00C959E1">
        <w:rPr>
          <w:rFonts w:ascii="Cambria" w:hAnsi="Cambria" w:cs="Times New Roman"/>
          <w:b/>
          <w:bCs/>
          <w:sz w:val="24"/>
          <w:szCs w:val="24"/>
        </w:rPr>
        <w:t xml:space="preserve">l Procurador de los Derechos Humanos de Guatemala, Sr. </w:t>
      </w:r>
      <w:r w:rsidRPr="00C959E1">
        <w:rPr>
          <w:rFonts w:ascii="Cambria" w:hAnsi="Cambria" w:cs="Times New Roman"/>
          <w:b/>
          <w:sz w:val="24"/>
          <w:szCs w:val="24"/>
        </w:rPr>
        <w:t>José Alejandro Córdova Herrera</w:t>
      </w:r>
      <w:r w:rsidRPr="00C959E1">
        <w:rPr>
          <w:rFonts w:ascii="Cambria" w:hAnsi="Cambria" w:cs="Times New Roman"/>
          <w:bCs/>
          <w:sz w:val="24"/>
          <w:szCs w:val="24"/>
        </w:rPr>
        <w:t>, se complace en proporcionar la siguiente información.</w:t>
      </w:r>
    </w:p>
    <w:p w14:paraId="58120E8B" w14:textId="77777777" w:rsidR="00C959E1" w:rsidRPr="00C959E1" w:rsidRDefault="00C959E1" w:rsidP="00C959E1">
      <w:pPr>
        <w:spacing w:after="0" w:line="276" w:lineRule="auto"/>
        <w:jc w:val="both"/>
        <w:rPr>
          <w:rFonts w:ascii="Cambria" w:hAnsi="Cambria"/>
          <w:bCs/>
          <w:sz w:val="24"/>
          <w:szCs w:val="24"/>
        </w:rPr>
      </w:pPr>
    </w:p>
    <w:p w14:paraId="655D4249" w14:textId="5BF89529" w:rsidR="001D08A9" w:rsidRPr="00C959E1" w:rsidRDefault="001D08A9" w:rsidP="00C959E1">
      <w:pPr>
        <w:pStyle w:val="ListParagraph"/>
        <w:numPr>
          <w:ilvl w:val="0"/>
          <w:numId w:val="2"/>
        </w:numPr>
        <w:spacing w:after="0" w:line="276" w:lineRule="auto"/>
        <w:jc w:val="both"/>
        <w:rPr>
          <w:rFonts w:ascii="Cambria" w:hAnsi="Cambria"/>
          <w:b/>
          <w:bCs/>
          <w:sz w:val="24"/>
          <w:szCs w:val="24"/>
        </w:rPr>
      </w:pPr>
      <w:r w:rsidRPr="00C959E1">
        <w:rPr>
          <w:rFonts w:ascii="Cambria" w:hAnsi="Cambria"/>
          <w:b/>
          <w:bCs/>
          <w:sz w:val="24"/>
          <w:szCs w:val="24"/>
        </w:rPr>
        <w:t>Marco normativo vigente</w:t>
      </w:r>
    </w:p>
    <w:p w14:paraId="07E10BAA" w14:textId="77777777" w:rsidR="001D08A9" w:rsidRPr="00032192" w:rsidRDefault="001D08A9" w:rsidP="00C959E1">
      <w:pPr>
        <w:spacing w:after="0" w:line="276" w:lineRule="auto"/>
        <w:jc w:val="both"/>
        <w:rPr>
          <w:rFonts w:ascii="Cambria" w:hAnsi="Cambria"/>
          <w:sz w:val="24"/>
          <w:szCs w:val="24"/>
        </w:rPr>
      </w:pPr>
    </w:p>
    <w:p w14:paraId="30D45913" w14:textId="3201EB9A" w:rsidR="004979AC" w:rsidRPr="00032192" w:rsidRDefault="004979AC" w:rsidP="00C959E1">
      <w:pPr>
        <w:spacing w:after="0" w:line="276" w:lineRule="auto"/>
        <w:jc w:val="both"/>
        <w:rPr>
          <w:rFonts w:ascii="Cambria" w:hAnsi="Cambria"/>
          <w:sz w:val="24"/>
          <w:szCs w:val="24"/>
        </w:rPr>
      </w:pPr>
      <w:r w:rsidRPr="00032192">
        <w:rPr>
          <w:rFonts w:ascii="Cambria" w:hAnsi="Cambria"/>
          <w:sz w:val="24"/>
          <w:szCs w:val="24"/>
        </w:rPr>
        <w:t xml:space="preserve">La </w:t>
      </w:r>
      <w:r w:rsidRPr="00032192">
        <w:rPr>
          <w:rFonts w:ascii="Cambria" w:hAnsi="Cambria"/>
          <w:i/>
          <w:iCs/>
          <w:sz w:val="24"/>
          <w:szCs w:val="24"/>
        </w:rPr>
        <w:t>Constitución Política de la República de Guatemala</w:t>
      </w:r>
      <w:r w:rsidR="000F4AB6" w:rsidRPr="00032192">
        <w:rPr>
          <w:rFonts w:ascii="Cambria" w:hAnsi="Cambria"/>
          <w:sz w:val="24"/>
          <w:szCs w:val="24"/>
        </w:rPr>
        <w:t xml:space="preserve"> </w:t>
      </w:r>
      <w:r w:rsidR="00504225" w:rsidRPr="00032192">
        <w:rPr>
          <w:rFonts w:ascii="Cambria" w:hAnsi="Cambria"/>
          <w:sz w:val="24"/>
          <w:szCs w:val="24"/>
        </w:rPr>
        <w:t>(</w:t>
      </w:r>
      <w:r w:rsidR="000F4AB6" w:rsidRPr="00032192">
        <w:rPr>
          <w:rFonts w:ascii="Cambria" w:hAnsi="Cambria"/>
          <w:sz w:val="24"/>
          <w:szCs w:val="24"/>
        </w:rPr>
        <w:t>1985</w:t>
      </w:r>
      <w:r w:rsidR="00504225" w:rsidRPr="00032192">
        <w:rPr>
          <w:rFonts w:ascii="Cambria" w:hAnsi="Cambria"/>
          <w:sz w:val="24"/>
          <w:szCs w:val="24"/>
        </w:rPr>
        <w:t>)</w:t>
      </w:r>
      <w:r w:rsidRPr="00032192">
        <w:rPr>
          <w:rFonts w:ascii="Cambria" w:hAnsi="Cambria"/>
          <w:sz w:val="24"/>
          <w:szCs w:val="24"/>
        </w:rPr>
        <w:t xml:space="preserve"> establece que “Guatemala está formada por diversos grupos étnicos y reconoce, respeta y promueve sus formas de vida, costumbres, tradiciones, formas de organización social, el uso del traje indígena en hombres y mujeres, idioma y dialectos” (art. 66)</w:t>
      </w:r>
      <w:r w:rsidR="00801095">
        <w:rPr>
          <w:rFonts w:ascii="Cambria" w:hAnsi="Cambria"/>
          <w:sz w:val="24"/>
          <w:szCs w:val="24"/>
        </w:rPr>
        <w:t>. L</w:t>
      </w:r>
      <w:r w:rsidRPr="00032192">
        <w:rPr>
          <w:rFonts w:ascii="Cambria" w:hAnsi="Cambria"/>
          <w:sz w:val="24"/>
          <w:szCs w:val="24"/>
        </w:rPr>
        <w:t>os artículos constitucionales del 57 al 65</w:t>
      </w:r>
      <w:r w:rsidR="000F4AB6" w:rsidRPr="00032192">
        <w:rPr>
          <w:rFonts w:ascii="Cambria" w:hAnsi="Cambria"/>
          <w:sz w:val="24"/>
          <w:szCs w:val="24"/>
        </w:rPr>
        <w:t xml:space="preserve"> reconocen los derechos a </w:t>
      </w:r>
      <w:r w:rsidRPr="00032192">
        <w:rPr>
          <w:rFonts w:ascii="Cambria" w:hAnsi="Cambria"/>
          <w:sz w:val="24"/>
          <w:szCs w:val="24"/>
        </w:rPr>
        <w:t>la cultura</w:t>
      </w:r>
      <w:r w:rsidR="000F4AB6" w:rsidRPr="00032192">
        <w:rPr>
          <w:rFonts w:ascii="Cambria" w:hAnsi="Cambria"/>
          <w:sz w:val="24"/>
          <w:szCs w:val="24"/>
        </w:rPr>
        <w:t xml:space="preserve">, </w:t>
      </w:r>
      <w:r w:rsidRPr="00032192">
        <w:rPr>
          <w:rFonts w:ascii="Cambria" w:hAnsi="Cambria"/>
          <w:sz w:val="24"/>
          <w:szCs w:val="24"/>
        </w:rPr>
        <w:t xml:space="preserve">a la identidad cultural, a la protección del patrimonio cultural y del arte, </w:t>
      </w:r>
      <w:r w:rsidR="00801095">
        <w:rPr>
          <w:rFonts w:ascii="Cambria" w:hAnsi="Cambria"/>
          <w:sz w:val="24"/>
          <w:szCs w:val="24"/>
        </w:rPr>
        <w:t>folclor</w:t>
      </w:r>
      <w:r w:rsidR="00801095" w:rsidRPr="00032192">
        <w:rPr>
          <w:rFonts w:ascii="Cambria" w:hAnsi="Cambria"/>
          <w:sz w:val="24"/>
          <w:szCs w:val="24"/>
        </w:rPr>
        <w:t xml:space="preserve"> </w:t>
      </w:r>
      <w:r w:rsidRPr="00032192">
        <w:rPr>
          <w:rFonts w:ascii="Cambria" w:hAnsi="Cambria"/>
          <w:sz w:val="24"/>
          <w:szCs w:val="24"/>
        </w:rPr>
        <w:t>y artesanías tradicionales</w:t>
      </w:r>
      <w:r w:rsidR="000F4AB6" w:rsidRPr="00032192">
        <w:rPr>
          <w:rFonts w:ascii="Cambria" w:hAnsi="Cambria"/>
          <w:sz w:val="24"/>
          <w:szCs w:val="24"/>
        </w:rPr>
        <w:t>;</w:t>
      </w:r>
      <w:r w:rsidRPr="00032192">
        <w:rPr>
          <w:rFonts w:ascii="Cambria" w:hAnsi="Cambria"/>
          <w:sz w:val="24"/>
          <w:szCs w:val="24"/>
        </w:rPr>
        <w:t xml:space="preserve"> </w:t>
      </w:r>
      <w:r w:rsidR="000F4AB6" w:rsidRPr="00032192">
        <w:rPr>
          <w:rFonts w:ascii="Cambria" w:hAnsi="Cambria"/>
          <w:sz w:val="24"/>
          <w:szCs w:val="24"/>
        </w:rPr>
        <w:t xml:space="preserve">los artículos </w:t>
      </w:r>
      <w:r w:rsidR="000F4AB6" w:rsidRPr="005B133E">
        <w:rPr>
          <w:rFonts w:ascii="Cambria" w:hAnsi="Cambria"/>
          <w:sz w:val="24"/>
          <w:szCs w:val="24"/>
        </w:rPr>
        <w:t>67 y</w:t>
      </w:r>
      <w:r w:rsidR="00FD1C69" w:rsidRPr="005B133E">
        <w:rPr>
          <w:rFonts w:ascii="Cambria" w:hAnsi="Cambria"/>
          <w:sz w:val="24"/>
          <w:szCs w:val="24"/>
        </w:rPr>
        <w:t xml:space="preserve"> 68</w:t>
      </w:r>
      <w:r w:rsidR="000F4AB6" w:rsidRPr="005B133E">
        <w:rPr>
          <w:rFonts w:ascii="Cambria" w:hAnsi="Cambria"/>
          <w:sz w:val="24"/>
          <w:szCs w:val="24"/>
        </w:rPr>
        <w:t xml:space="preserve">, </w:t>
      </w:r>
      <w:r w:rsidR="00FD1C69" w:rsidRPr="00FD1C69">
        <w:rPr>
          <w:rFonts w:ascii="Cambria" w:hAnsi="Cambria"/>
          <w:strike/>
          <w:sz w:val="24"/>
          <w:szCs w:val="24"/>
        </w:rPr>
        <w:t>60</w:t>
      </w:r>
      <w:r w:rsidR="00EC507C">
        <w:rPr>
          <w:rFonts w:ascii="Cambria" w:hAnsi="Cambria"/>
          <w:strike/>
          <w:sz w:val="24"/>
          <w:szCs w:val="24"/>
        </w:rPr>
        <w:t xml:space="preserve"> </w:t>
      </w:r>
      <w:r w:rsidR="000F4AB6" w:rsidRPr="00032192">
        <w:rPr>
          <w:rFonts w:ascii="Cambria" w:hAnsi="Cambria"/>
          <w:sz w:val="24"/>
          <w:szCs w:val="24"/>
        </w:rPr>
        <w:t xml:space="preserve">establecen garantías para la protección de las tierras y las cooperativas agrícolas indígenas y el otorgamiento de tierras para comunidades indígenas, correspondientemente; </w:t>
      </w:r>
      <w:r w:rsidRPr="00032192">
        <w:rPr>
          <w:rFonts w:ascii="Cambria" w:hAnsi="Cambria"/>
          <w:sz w:val="24"/>
          <w:szCs w:val="24"/>
        </w:rPr>
        <w:t>y</w:t>
      </w:r>
      <w:r w:rsidR="000F4AB6" w:rsidRPr="00032192">
        <w:rPr>
          <w:rFonts w:ascii="Cambria" w:hAnsi="Cambria"/>
          <w:sz w:val="24"/>
          <w:szCs w:val="24"/>
        </w:rPr>
        <w:t xml:space="preserve">, el artículo 76, el derecho </w:t>
      </w:r>
      <w:r w:rsidRPr="00032192">
        <w:rPr>
          <w:rFonts w:ascii="Cambria" w:hAnsi="Cambria"/>
          <w:sz w:val="24"/>
          <w:szCs w:val="24"/>
        </w:rPr>
        <w:t>a la promoción de la educación bilingüe</w:t>
      </w:r>
      <w:r w:rsidR="000F4AB6" w:rsidRPr="00032192">
        <w:rPr>
          <w:rFonts w:ascii="Cambria" w:hAnsi="Cambria"/>
          <w:sz w:val="24"/>
          <w:szCs w:val="24"/>
        </w:rPr>
        <w:t xml:space="preserve">. </w:t>
      </w:r>
    </w:p>
    <w:p w14:paraId="4F1AFD68" w14:textId="77777777" w:rsidR="000F4AB6" w:rsidRPr="00032192" w:rsidRDefault="000F4AB6" w:rsidP="00C959E1">
      <w:pPr>
        <w:spacing w:after="0" w:line="276" w:lineRule="auto"/>
        <w:jc w:val="both"/>
        <w:rPr>
          <w:rFonts w:ascii="Cambria" w:hAnsi="Cambria"/>
          <w:sz w:val="24"/>
          <w:szCs w:val="24"/>
        </w:rPr>
      </w:pPr>
    </w:p>
    <w:p w14:paraId="21F496D4" w14:textId="54CEE948" w:rsidR="009C0823" w:rsidRPr="005B133E" w:rsidRDefault="000F4AB6" w:rsidP="00C959E1">
      <w:pPr>
        <w:spacing w:after="0" w:line="276" w:lineRule="auto"/>
        <w:jc w:val="both"/>
        <w:rPr>
          <w:rFonts w:ascii="Cambria" w:hAnsi="Cambria"/>
          <w:sz w:val="24"/>
          <w:szCs w:val="24"/>
        </w:rPr>
      </w:pPr>
      <w:r w:rsidRPr="00032192">
        <w:rPr>
          <w:rFonts w:ascii="Cambria" w:hAnsi="Cambria"/>
          <w:sz w:val="24"/>
          <w:szCs w:val="24"/>
        </w:rPr>
        <w:t xml:space="preserve">En 1995, </w:t>
      </w:r>
      <w:r w:rsidR="00AA01B9" w:rsidRPr="00032192">
        <w:rPr>
          <w:rFonts w:ascii="Cambria" w:hAnsi="Cambria"/>
          <w:sz w:val="24"/>
          <w:szCs w:val="24"/>
        </w:rPr>
        <w:t>e</w:t>
      </w:r>
      <w:r w:rsidRPr="00032192">
        <w:rPr>
          <w:rFonts w:ascii="Cambria" w:hAnsi="Cambria"/>
          <w:sz w:val="24"/>
          <w:szCs w:val="24"/>
        </w:rPr>
        <w:t xml:space="preserve">l Estado de Guatemala firmó el </w:t>
      </w:r>
      <w:r w:rsidRPr="00032192">
        <w:rPr>
          <w:rFonts w:ascii="Cambria" w:hAnsi="Cambria"/>
          <w:i/>
          <w:iCs/>
          <w:sz w:val="24"/>
          <w:szCs w:val="24"/>
        </w:rPr>
        <w:t>A</w:t>
      </w:r>
      <w:r w:rsidR="004979AC" w:rsidRPr="00032192">
        <w:rPr>
          <w:rFonts w:ascii="Cambria" w:hAnsi="Cambria"/>
          <w:i/>
          <w:iCs/>
          <w:sz w:val="24"/>
          <w:szCs w:val="24"/>
        </w:rPr>
        <w:t>cuerdo sobre Identidad y Derechos de los Pueblos Indígenas</w:t>
      </w:r>
      <w:r w:rsidR="009C0823" w:rsidRPr="00032192">
        <w:rPr>
          <w:rStyle w:val="FootnoteReference"/>
          <w:rFonts w:ascii="Cambria" w:hAnsi="Cambria"/>
          <w:sz w:val="24"/>
          <w:szCs w:val="24"/>
        </w:rPr>
        <w:footnoteReference w:id="1"/>
      </w:r>
      <w:r w:rsidR="004979AC" w:rsidRPr="00032192">
        <w:rPr>
          <w:rFonts w:ascii="Cambria" w:hAnsi="Cambria"/>
          <w:sz w:val="24"/>
          <w:szCs w:val="24"/>
        </w:rPr>
        <w:t xml:space="preserve">, </w:t>
      </w:r>
      <w:r w:rsidR="009C0823" w:rsidRPr="00032192">
        <w:rPr>
          <w:rFonts w:ascii="Cambria" w:hAnsi="Cambria"/>
          <w:sz w:val="24"/>
          <w:szCs w:val="24"/>
        </w:rPr>
        <w:t>el cual reconoce, entre otros aspectos, la i</w:t>
      </w:r>
      <w:r w:rsidR="00AA01B9" w:rsidRPr="00032192">
        <w:rPr>
          <w:rFonts w:ascii="Cambria" w:hAnsi="Cambria"/>
          <w:sz w:val="24"/>
          <w:szCs w:val="24"/>
        </w:rPr>
        <w:t>dentidad de los pueblos indígenas</w:t>
      </w:r>
      <w:r w:rsidR="00801095">
        <w:rPr>
          <w:rFonts w:ascii="Cambria" w:hAnsi="Cambria"/>
          <w:sz w:val="24"/>
          <w:szCs w:val="24"/>
        </w:rPr>
        <w:t>,</w:t>
      </w:r>
      <w:r w:rsidR="009C0823" w:rsidRPr="00032192">
        <w:rPr>
          <w:rFonts w:ascii="Cambria" w:hAnsi="Cambria"/>
          <w:sz w:val="24"/>
          <w:szCs w:val="24"/>
        </w:rPr>
        <w:t xml:space="preserve"> </w:t>
      </w:r>
      <w:r w:rsidR="00801095">
        <w:rPr>
          <w:rFonts w:ascii="Cambria" w:hAnsi="Cambria"/>
          <w:sz w:val="24"/>
          <w:szCs w:val="24"/>
        </w:rPr>
        <w:t xml:space="preserve">la </w:t>
      </w:r>
      <w:r w:rsidR="009C0823" w:rsidRPr="00032192">
        <w:rPr>
          <w:rFonts w:ascii="Cambria" w:hAnsi="Cambria"/>
          <w:sz w:val="24"/>
          <w:szCs w:val="24"/>
        </w:rPr>
        <w:t>l</w:t>
      </w:r>
      <w:r w:rsidR="00AA01B9" w:rsidRPr="00032192">
        <w:rPr>
          <w:rFonts w:ascii="Cambria" w:hAnsi="Cambria"/>
          <w:sz w:val="24"/>
          <w:szCs w:val="24"/>
        </w:rPr>
        <w:t xml:space="preserve">ucha </w:t>
      </w:r>
      <w:r w:rsidR="00801095">
        <w:rPr>
          <w:rFonts w:ascii="Cambria" w:hAnsi="Cambria"/>
          <w:sz w:val="24"/>
          <w:szCs w:val="24"/>
        </w:rPr>
        <w:t>contra</w:t>
      </w:r>
      <w:r w:rsidR="00801095" w:rsidRPr="00032192">
        <w:rPr>
          <w:rFonts w:ascii="Cambria" w:hAnsi="Cambria"/>
          <w:sz w:val="24"/>
          <w:szCs w:val="24"/>
        </w:rPr>
        <w:t xml:space="preserve"> </w:t>
      </w:r>
      <w:r w:rsidR="00AA01B9" w:rsidRPr="00032192">
        <w:rPr>
          <w:rFonts w:ascii="Cambria" w:hAnsi="Cambria"/>
          <w:sz w:val="24"/>
          <w:szCs w:val="24"/>
        </w:rPr>
        <w:t>la discriminación legal y de hecho</w:t>
      </w:r>
      <w:r w:rsidR="00801095">
        <w:rPr>
          <w:rFonts w:ascii="Cambria" w:hAnsi="Cambria"/>
          <w:sz w:val="24"/>
          <w:szCs w:val="24"/>
        </w:rPr>
        <w:t>,</w:t>
      </w:r>
      <w:r w:rsidR="009C0823" w:rsidRPr="00032192">
        <w:rPr>
          <w:rFonts w:ascii="Cambria" w:hAnsi="Cambria"/>
          <w:sz w:val="24"/>
          <w:szCs w:val="24"/>
        </w:rPr>
        <w:t xml:space="preserve"> </w:t>
      </w:r>
      <w:r w:rsidR="00801095">
        <w:rPr>
          <w:rFonts w:ascii="Cambria" w:hAnsi="Cambria"/>
          <w:sz w:val="24"/>
          <w:szCs w:val="24"/>
        </w:rPr>
        <w:t xml:space="preserve">los </w:t>
      </w:r>
      <w:r w:rsidR="009C0823" w:rsidRPr="00032192">
        <w:rPr>
          <w:rFonts w:ascii="Cambria" w:hAnsi="Cambria"/>
          <w:sz w:val="24"/>
          <w:szCs w:val="24"/>
        </w:rPr>
        <w:t>d</w:t>
      </w:r>
      <w:r w:rsidR="00AA01B9" w:rsidRPr="00032192">
        <w:rPr>
          <w:rFonts w:ascii="Cambria" w:hAnsi="Cambria"/>
          <w:sz w:val="24"/>
          <w:szCs w:val="24"/>
        </w:rPr>
        <w:t>erechos de las mujeres indígenas</w:t>
      </w:r>
      <w:r w:rsidR="00801095">
        <w:rPr>
          <w:rFonts w:ascii="Cambria" w:hAnsi="Cambria"/>
          <w:sz w:val="24"/>
          <w:szCs w:val="24"/>
        </w:rPr>
        <w:t xml:space="preserve">, los </w:t>
      </w:r>
      <w:r w:rsidR="009C0823" w:rsidRPr="00032192">
        <w:rPr>
          <w:rFonts w:ascii="Cambria" w:hAnsi="Cambria"/>
          <w:sz w:val="24"/>
          <w:szCs w:val="24"/>
        </w:rPr>
        <w:t>d</w:t>
      </w:r>
      <w:r w:rsidR="00AA01B9" w:rsidRPr="00032192">
        <w:rPr>
          <w:rFonts w:ascii="Cambria" w:hAnsi="Cambria"/>
          <w:sz w:val="24"/>
          <w:szCs w:val="24"/>
        </w:rPr>
        <w:t>erechos culturales</w:t>
      </w:r>
      <w:r w:rsidR="00801095">
        <w:rPr>
          <w:rFonts w:ascii="Cambria" w:hAnsi="Cambria"/>
          <w:sz w:val="24"/>
          <w:szCs w:val="24"/>
        </w:rPr>
        <w:t xml:space="preserve"> a</w:t>
      </w:r>
      <w:r w:rsidR="00AA01B9" w:rsidRPr="00032192">
        <w:rPr>
          <w:rFonts w:ascii="Cambria" w:hAnsi="Cambria"/>
          <w:sz w:val="24"/>
          <w:szCs w:val="24"/>
        </w:rPr>
        <w:t xml:space="preserve"> un idioma</w:t>
      </w:r>
      <w:r w:rsidR="00801095">
        <w:rPr>
          <w:rFonts w:ascii="Cambria" w:hAnsi="Cambria"/>
          <w:sz w:val="24"/>
          <w:szCs w:val="24"/>
        </w:rPr>
        <w:t>,</w:t>
      </w:r>
      <w:r w:rsidR="00AA01B9" w:rsidRPr="00032192">
        <w:rPr>
          <w:rFonts w:ascii="Cambria" w:hAnsi="Cambria"/>
          <w:sz w:val="24"/>
          <w:szCs w:val="24"/>
        </w:rPr>
        <w:t xml:space="preserve"> nombres, apellidos y toponimias indígenas; </w:t>
      </w:r>
      <w:r w:rsidR="00801095">
        <w:rPr>
          <w:rFonts w:ascii="Cambria" w:hAnsi="Cambria"/>
          <w:sz w:val="24"/>
          <w:szCs w:val="24"/>
        </w:rPr>
        <w:t xml:space="preserve">la </w:t>
      </w:r>
      <w:r w:rsidR="00AA01B9" w:rsidRPr="00032192">
        <w:rPr>
          <w:rFonts w:ascii="Cambria" w:hAnsi="Cambria"/>
          <w:sz w:val="24"/>
          <w:szCs w:val="24"/>
        </w:rPr>
        <w:t>espiritualidad propia</w:t>
      </w:r>
      <w:r w:rsidR="00801095">
        <w:rPr>
          <w:rFonts w:ascii="Cambria" w:hAnsi="Cambria"/>
          <w:sz w:val="24"/>
          <w:szCs w:val="24"/>
        </w:rPr>
        <w:t>,</w:t>
      </w:r>
      <w:r w:rsidR="00AA01B9" w:rsidRPr="00032192">
        <w:rPr>
          <w:rFonts w:ascii="Cambria" w:hAnsi="Cambria"/>
          <w:sz w:val="24"/>
          <w:szCs w:val="24"/>
        </w:rPr>
        <w:t xml:space="preserve"> </w:t>
      </w:r>
      <w:r w:rsidR="00801095">
        <w:rPr>
          <w:rFonts w:ascii="Cambria" w:hAnsi="Cambria"/>
          <w:sz w:val="24"/>
          <w:szCs w:val="24"/>
        </w:rPr>
        <w:t xml:space="preserve">la </w:t>
      </w:r>
      <w:r w:rsidR="00AA01B9" w:rsidRPr="00032192">
        <w:rPr>
          <w:rFonts w:ascii="Cambria" w:hAnsi="Cambria"/>
          <w:sz w:val="24"/>
          <w:szCs w:val="24"/>
        </w:rPr>
        <w:t>ciencia y tecnología</w:t>
      </w:r>
      <w:r w:rsidR="00801095">
        <w:rPr>
          <w:rFonts w:ascii="Cambria" w:hAnsi="Cambria"/>
          <w:sz w:val="24"/>
          <w:szCs w:val="24"/>
        </w:rPr>
        <w:t>,</w:t>
      </w:r>
      <w:r w:rsidR="00AA01B9" w:rsidRPr="00032192">
        <w:rPr>
          <w:rFonts w:ascii="Cambria" w:hAnsi="Cambria"/>
          <w:sz w:val="24"/>
          <w:szCs w:val="24"/>
        </w:rPr>
        <w:t xml:space="preserve"> educación bilingüe</w:t>
      </w:r>
      <w:r w:rsidR="00801095">
        <w:rPr>
          <w:rFonts w:ascii="Cambria" w:hAnsi="Cambria"/>
          <w:sz w:val="24"/>
          <w:szCs w:val="24"/>
        </w:rPr>
        <w:t>,</w:t>
      </w:r>
      <w:r w:rsidR="00AA01B9" w:rsidRPr="00032192">
        <w:rPr>
          <w:rFonts w:ascii="Cambria" w:hAnsi="Cambria"/>
          <w:sz w:val="24"/>
          <w:szCs w:val="24"/>
        </w:rPr>
        <w:t xml:space="preserve"> </w:t>
      </w:r>
      <w:r w:rsidR="009C0823" w:rsidRPr="00032192">
        <w:rPr>
          <w:rFonts w:ascii="Cambria" w:hAnsi="Cambria"/>
          <w:sz w:val="24"/>
          <w:szCs w:val="24"/>
        </w:rPr>
        <w:t xml:space="preserve">acceso a </w:t>
      </w:r>
      <w:r w:rsidR="00AA01B9" w:rsidRPr="00032192">
        <w:rPr>
          <w:rFonts w:ascii="Cambria" w:hAnsi="Cambria"/>
          <w:sz w:val="24"/>
          <w:szCs w:val="24"/>
        </w:rPr>
        <w:t>medios de comunicación</w:t>
      </w:r>
      <w:r w:rsidR="009C0823" w:rsidRPr="00032192">
        <w:rPr>
          <w:rFonts w:ascii="Cambria" w:hAnsi="Cambria"/>
          <w:sz w:val="24"/>
          <w:szCs w:val="24"/>
        </w:rPr>
        <w:t xml:space="preserve"> para la difusión de su cultura</w:t>
      </w:r>
      <w:r w:rsidR="00801095">
        <w:rPr>
          <w:rFonts w:ascii="Cambria" w:hAnsi="Cambria"/>
          <w:sz w:val="24"/>
          <w:szCs w:val="24"/>
        </w:rPr>
        <w:t>, los</w:t>
      </w:r>
      <w:r w:rsidR="009C0823" w:rsidRPr="00032192">
        <w:rPr>
          <w:rFonts w:ascii="Cambria" w:hAnsi="Cambria"/>
          <w:sz w:val="24"/>
          <w:szCs w:val="24"/>
        </w:rPr>
        <w:t xml:space="preserve"> derechos civiles, políticos, sociales y ambientales;</w:t>
      </w:r>
      <w:r w:rsidR="00801095">
        <w:rPr>
          <w:rFonts w:ascii="Cambria" w:hAnsi="Cambria"/>
          <w:sz w:val="24"/>
          <w:szCs w:val="24"/>
        </w:rPr>
        <w:t xml:space="preserve"> el</w:t>
      </w:r>
      <w:r w:rsidR="009C0823" w:rsidRPr="00032192">
        <w:rPr>
          <w:rFonts w:ascii="Cambria" w:hAnsi="Cambria"/>
          <w:sz w:val="24"/>
          <w:szCs w:val="24"/>
        </w:rPr>
        <w:t xml:space="preserve"> reconocimiento de comunidades y autoridades indígenas locales</w:t>
      </w:r>
      <w:r w:rsidR="00801095">
        <w:rPr>
          <w:rFonts w:ascii="Cambria" w:hAnsi="Cambria"/>
          <w:sz w:val="24"/>
          <w:szCs w:val="24"/>
        </w:rPr>
        <w:t>,</w:t>
      </w:r>
      <w:r w:rsidR="009C0823" w:rsidRPr="00032192">
        <w:rPr>
          <w:rFonts w:ascii="Cambria" w:hAnsi="Cambria"/>
          <w:sz w:val="24"/>
          <w:szCs w:val="24"/>
        </w:rPr>
        <w:t xml:space="preserve"> derecho consuetudinario</w:t>
      </w:r>
      <w:r w:rsidR="00801095">
        <w:rPr>
          <w:rFonts w:ascii="Cambria" w:hAnsi="Cambria"/>
          <w:sz w:val="24"/>
          <w:szCs w:val="24"/>
        </w:rPr>
        <w:t xml:space="preserve"> y los</w:t>
      </w:r>
      <w:r w:rsidR="009C0823" w:rsidRPr="00032192">
        <w:rPr>
          <w:rFonts w:ascii="Cambria" w:hAnsi="Cambria"/>
          <w:sz w:val="24"/>
          <w:szCs w:val="24"/>
        </w:rPr>
        <w:t xml:space="preserve"> derechos relativos a la tierra de los pueblos indígenas</w:t>
      </w:r>
      <w:r w:rsidR="009C0823" w:rsidRPr="005B133E">
        <w:rPr>
          <w:rFonts w:ascii="Cambria" w:hAnsi="Cambria"/>
          <w:sz w:val="24"/>
          <w:szCs w:val="24"/>
        </w:rPr>
        <w:t>.</w:t>
      </w:r>
      <w:r w:rsidR="00FD1C69" w:rsidRPr="005B133E">
        <w:rPr>
          <w:rFonts w:ascii="Cambria" w:hAnsi="Cambria"/>
          <w:sz w:val="24"/>
          <w:szCs w:val="24"/>
        </w:rPr>
        <w:t xml:space="preserve"> El acuerdo 52-2005</w:t>
      </w:r>
      <w:r w:rsidR="00801095">
        <w:rPr>
          <w:rFonts w:ascii="Cambria" w:hAnsi="Cambria"/>
          <w:sz w:val="24"/>
          <w:szCs w:val="24"/>
        </w:rPr>
        <w:t>,</w:t>
      </w:r>
      <w:r w:rsidR="00FD1C69" w:rsidRPr="005B133E">
        <w:rPr>
          <w:rFonts w:ascii="Cambria" w:hAnsi="Cambria"/>
          <w:sz w:val="24"/>
          <w:szCs w:val="24"/>
        </w:rPr>
        <w:t xml:space="preserve"> Ley Marco para el cumplimiento de los Acuerdos de Paz reconoció los Acuerdos de Paz como</w:t>
      </w:r>
      <w:r w:rsidR="008C1652">
        <w:rPr>
          <w:rFonts w:ascii="Cambria" w:hAnsi="Cambria"/>
          <w:sz w:val="24"/>
          <w:szCs w:val="24"/>
        </w:rPr>
        <w:t xml:space="preserve"> </w:t>
      </w:r>
      <w:r w:rsidR="00801095">
        <w:rPr>
          <w:rFonts w:ascii="Cambria" w:hAnsi="Cambria"/>
          <w:sz w:val="24"/>
          <w:szCs w:val="24"/>
        </w:rPr>
        <w:t>los</w:t>
      </w:r>
      <w:r w:rsidR="00FD1C69" w:rsidRPr="005B133E">
        <w:rPr>
          <w:rFonts w:ascii="Cambria" w:hAnsi="Cambria"/>
          <w:sz w:val="24"/>
          <w:szCs w:val="24"/>
        </w:rPr>
        <w:t xml:space="preserve"> “compromisos de</w:t>
      </w:r>
      <w:r w:rsidR="00801095">
        <w:rPr>
          <w:rFonts w:ascii="Cambria" w:hAnsi="Cambria"/>
          <w:sz w:val="24"/>
          <w:szCs w:val="24"/>
        </w:rPr>
        <w:t>l</w:t>
      </w:r>
      <w:r w:rsidR="00FD1C69" w:rsidRPr="005B133E">
        <w:rPr>
          <w:rFonts w:ascii="Cambria" w:hAnsi="Cambria"/>
          <w:sz w:val="24"/>
          <w:szCs w:val="24"/>
        </w:rPr>
        <w:t xml:space="preserve"> Estado, cuyo cumplimiento requiere de acciones a desarrollar por las instituciones públicas y por personas individuales y jurídicas de la sociedad.”</w:t>
      </w:r>
      <w:r w:rsidR="00FD1C69" w:rsidRPr="005B133E">
        <w:rPr>
          <w:rStyle w:val="FootnoteReference"/>
          <w:rFonts w:ascii="Cambria" w:hAnsi="Cambria"/>
          <w:sz w:val="24"/>
          <w:szCs w:val="24"/>
        </w:rPr>
        <w:footnoteReference w:id="2"/>
      </w:r>
      <w:r w:rsidR="002D37F7" w:rsidRPr="005B133E">
        <w:rPr>
          <w:rFonts w:ascii="Cambria" w:hAnsi="Cambria"/>
          <w:sz w:val="24"/>
          <w:szCs w:val="24"/>
        </w:rPr>
        <w:t xml:space="preserve"> Sin embargo, su implementación se ha rezagado en los tres gobiernos anteriores.</w:t>
      </w:r>
    </w:p>
    <w:p w14:paraId="63B1BAE8" w14:textId="77777777" w:rsidR="00AA01B9" w:rsidRPr="00032192" w:rsidRDefault="00AA01B9" w:rsidP="00C959E1">
      <w:pPr>
        <w:spacing w:after="0" w:line="276" w:lineRule="auto"/>
        <w:jc w:val="both"/>
        <w:rPr>
          <w:rFonts w:ascii="Cambria" w:hAnsi="Cambria"/>
          <w:sz w:val="24"/>
          <w:szCs w:val="24"/>
        </w:rPr>
      </w:pPr>
    </w:p>
    <w:p w14:paraId="1468B09E" w14:textId="7BF0C9FD" w:rsidR="000F4AB6" w:rsidRPr="00032192" w:rsidRDefault="00504225" w:rsidP="00C959E1">
      <w:pPr>
        <w:spacing w:after="0" w:line="276" w:lineRule="auto"/>
        <w:jc w:val="both"/>
        <w:rPr>
          <w:rFonts w:ascii="Cambria" w:hAnsi="Cambria"/>
          <w:sz w:val="24"/>
          <w:szCs w:val="24"/>
        </w:rPr>
      </w:pPr>
      <w:r w:rsidRPr="00032192">
        <w:rPr>
          <w:rFonts w:ascii="Cambria" w:hAnsi="Cambria"/>
          <w:sz w:val="24"/>
          <w:szCs w:val="24"/>
        </w:rPr>
        <w:t xml:space="preserve">De forma general, </w:t>
      </w:r>
      <w:r w:rsidR="00D84D7E" w:rsidRPr="00032192">
        <w:rPr>
          <w:rFonts w:ascii="Cambria" w:hAnsi="Cambria"/>
          <w:sz w:val="24"/>
          <w:szCs w:val="24"/>
        </w:rPr>
        <w:t>la Ley General de Descentralización (Decreto 14-2002</w:t>
      </w:r>
      <w:r w:rsidRPr="00032192">
        <w:rPr>
          <w:rFonts w:ascii="Cambria" w:hAnsi="Cambria"/>
          <w:sz w:val="24"/>
          <w:szCs w:val="24"/>
        </w:rPr>
        <w:t xml:space="preserve"> </w:t>
      </w:r>
      <w:r w:rsidR="000F4AB6" w:rsidRPr="00032192">
        <w:rPr>
          <w:rFonts w:ascii="Cambria" w:hAnsi="Cambria"/>
          <w:sz w:val="24"/>
          <w:szCs w:val="24"/>
        </w:rPr>
        <w:t xml:space="preserve">La </w:t>
      </w:r>
      <w:r w:rsidR="000F4AB6" w:rsidRPr="00032192">
        <w:rPr>
          <w:rFonts w:ascii="Cambria" w:hAnsi="Cambria"/>
          <w:i/>
          <w:iCs/>
          <w:sz w:val="24"/>
          <w:szCs w:val="24"/>
        </w:rPr>
        <w:t>Ley de Consejos de Desarrollo Urbano y Rural</w:t>
      </w:r>
      <w:r w:rsidR="000F4AB6" w:rsidRPr="00032192">
        <w:rPr>
          <w:rFonts w:ascii="Cambria" w:hAnsi="Cambria"/>
          <w:sz w:val="24"/>
          <w:szCs w:val="24"/>
        </w:rPr>
        <w:t xml:space="preserve"> </w:t>
      </w:r>
      <w:r w:rsidR="00D84D7E" w:rsidRPr="00032192">
        <w:rPr>
          <w:rFonts w:ascii="Cambria" w:hAnsi="Cambria"/>
          <w:sz w:val="24"/>
          <w:szCs w:val="24"/>
        </w:rPr>
        <w:t>(</w:t>
      </w:r>
      <w:r w:rsidR="000F4AB6" w:rsidRPr="00032192">
        <w:rPr>
          <w:rFonts w:ascii="Cambria" w:hAnsi="Cambria"/>
          <w:sz w:val="24"/>
          <w:szCs w:val="24"/>
        </w:rPr>
        <w:t>Decreto 11-2002</w:t>
      </w:r>
      <w:r w:rsidR="00D84D7E" w:rsidRPr="00032192">
        <w:rPr>
          <w:rFonts w:ascii="Cambria" w:hAnsi="Cambria"/>
          <w:sz w:val="24"/>
          <w:szCs w:val="24"/>
        </w:rPr>
        <w:t>) y el Código Municipal (12-</w:t>
      </w:r>
      <w:r w:rsidR="00D84D7E" w:rsidRPr="00032192">
        <w:rPr>
          <w:rFonts w:ascii="Cambria" w:hAnsi="Cambria"/>
          <w:sz w:val="24"/>
          <w:szCs w:val="24"/>
        </w:rPr>
        <w:lastRenderedPageBreak/>
        <w:t>2002) establecen mecanismos que permite</w:t>
      </w:r>
      <w:r w:rsidR="0099188E">
        <w:rPr>
          <w:rFonts w:ascii="Cambria" w:hAnsi="Cambria"/>
          <w:sz w:val="24"/>
          <w:szCs w:val="24"/>
        </w:rPr>
        <w:t>n</w:t>
      </w:r>
      <w:r w:rsidR="00D84D7E" w:rsidRPr="00032192">
        <w:rPr>
          <w:rFonts w:ascii="Cambria" w:hAnsi="Cambria"/>
          <w:sz w:val="24"/>
          <w:szCs w:val="24"/>
        </w:rPr>
        <w:t xml:space="preserve"> la participación política de los pueblos indígenas.</w:t>
      </w:r>
    </w:p>
    <w:p w14:paraId="624F5D6B" w14:textId="77777777" w:rsidR="000F4AB6" w:rsidRPr="00032192" w:rsidRDefault="000F4AB6" w:rsidP="00C959E1">
      <w:pPr>
        <w:spacing w:after="0" w:line="276" w:lineRule="auto"/>
        <w:jc w:val="both"/>
        <w:rPr>
          <w:rFonts w:ascii="Cambria" w:hAnsi="Cambria"/>
          <w:sz w:val="24"/>
          <w:szCs w:val="24"/>
        </w:rPr>
      </w:pPr>
    </w:p>
    <w:p w14:paraId="6E9A7831" w14:textId="5F81F5A1" w:rsidR="000F4AB6" w:rsidRPr="00032192" w:rsidRDefault="00504225" w:rsidP="00C959E1">
      <w:pPr>
        <w:spacing w:after="0" w:line="276" w:lineRule="auto"/>
        <w:jc w:val="both"/>
        <w:rPr>
          <w:rFonts w:ascii="Cambria" w:hAnsi="Cambria"/>
          <w:sz w:val="24"/>
          <w:szCs w:val="24"/>
        </w:rPr>
      </w:pPr>
      <w:r w:rsidRPr="00032192">
        <w:rPr>
          <w:rFonts w:ascii="Cambria" w:hAnsi="Cambria"/>
          <w:sz w:val="24"/>
          <w:szCs w:val="24"/>
        </w:rPr>
        <w:t xml:space="preserve">La </w:t>
      </w:r>
      <w:r w:rsidR="000F4AB6" w:rsidRPr="00032192">
        <w:rPr>
          <w:rFonts w:ascii="Cambria" w:hAnsi="Cambria"/>
          <w:i/>
          <w:iCs/>
          <w:sz w:val="24"/>
          <w:szCs w:val="24"/>
        </w:rPr>
        <w:t xml:space="preserve">Ley de Idiomas Nacionales </w:t>
      </w:r>
      <w:r w:rsidR="00D84D7E" w:rsidRPr="00032192">
        <w:rPr>
          <w:rFonts w:ascii="Cambria" w:hAnsi="Cambria"/>
          <w:sz w:val="24"/>
          <w:szCs w:val="24"/>
        </w:rPr>
        <w:t>(</w:t>
      </w:r>
      <w:r w:rsidR="000F4AB6" w:rsidRPr="00032192">
        <w:rPr>
          <w:rFonts w:ascii="Cambria" w:hAnsi="Cambria"/>
          <w:sz w:val="24"/>
          <w:szCs w:val="24"/>
        </w:rPr>
        <w:t>Decreto 19-2003</w:t>
      </w:r>
      <w:r w:rsidR="00D84D7E" w:rsidRPr="00032192">
        <w:rPr>
          <w:rFonts w:ascii="Cambria" w:hAnsi="Cambria"/>
          <w:sz w:val="24"/>
          <w:szCs w:val="24"/>
        </w:rPr>
        <w:t>)</w:t>
      </w:r>
      <w:r w:rsidR="0099188E">
        <w:rPr>
          <w:rFonts w:ascii="Cambria" w:hAnsi="Cambria"/>
          <w:sz w:val="24"/>
          <w:szCs w:val="24"/>
        </w:rPr>
        <w:t>,</w:t>
      </w:r>
      <w:r w:rsidR="000F4AB6" w:rsidRPr="00032192">
        <w:rPr>
          <w:rFonts w:ascii="Cambria" w:hAnsi="Cambria"/>
          <w:sz w:val="24"/>
          <w:szCs w:val="24"/>
        </w:rPr>
        <w:t xml:space="preserve"> con el objeto de regular el reconocimiento, respeto, promoción, desarrollo y utilización de los idiomas de los pueblos Mayas, Garífuna y </w:t>
      </w:r>
      <w:proofErr w:type="spellStart"/>
      <w:r w:rsidR="000F4AB6" w:rsidRPr="00032192">
        <w:rPr>
          <w:rFonts w:ascii="Cambria" w:hAnsi="Cambria"/>
          <w:sz w:val="24"/>
          <w:szCs w:val="24"/>
        </w:rPr>
        <w:t>Xinka</w:t>
      </w:r>
      <w:proofErr w:type="spellEnd"/>
      <w:r w:rsidR="000F4AB6" w:rsidRPr="00032192">
        <w:rPr>
          <w:rFonts w:ascii="Cambria" w:hAnsi="Cambria"/>
          <w:sz w:val="24"/>
          <w:szCs w:val="24"/>
        </w:rPr>
        <w:t xml:space="preserve"> en Guatemala.</w:t>
      </w:r>
    </w:p>
    <w:p w14:paraId="66473E2F" w14:textId="77777777" w:rsidR="000F4AB6" w:rsidRPr="00032192" w:rsidRDefault="000F4AB6" w:rsidP="00C959E1">
      <w:pPr>
        <w:spacing w:after="0" w:line="276" w:lineRule="auto"/>
        <w:jc w:val="both"/>
        <w:rPr>
          <w:rFonts w:ascii="Cambria" w:hAnsi="Cambria"/>
          <w:sz w:val="24"/>
          <w:szCs w:val="24"/>
        </w:rPr>
      </w:pPr>
    </w:p>
    <w:p w14:paraId="22205118" w14:textId="31F86FE0" w:rsidR="001D08A9" w:rsidRDefault="001D08A9" w:rsidP="00C959E1">
      <w:pPr>
        <w:spacing w:after="0" w:line="276" w:lineRule="auto"/>
        <w:jc w:val="both"/>
        <w:rPr>
          <w:rFonts w:ascii="Cambria" w:hAnsi="Cambria"/>
          <w:sz w:val="24"/>
          <w:szCs w:val="24"/>
        </w:rPr>
      </w:pPr>
      <w:r w:rsidRPr="00C959E1">
        <w:rPr>
          <w:rFonts w:ascii="Cambria" w:hAnsi="Cambria" w:cs="Arial"/>
          <w:i/>
          <w:iCs/>
          <w:color w:val="1A1A1A"/>
          <w:sz w:val="24"/>
          <w:szCs w:val="24"/>
        </w:rPr>
        <w:t>Sentencia Corte de Constitucionalidad sobre el derecho a la educación bilingüe intercultural de los pueblos indígenas</w:t>
      </w:r>
      <w:r w:rsidRPr="00032192">
        <w:rPr>
          <w:rFonts w:ascii="Cambria" w:hAnsi="Cambria" w:cs="Arial"/>
          <w:color w:val="1A1A1A"/>
          <w:sz w:val="24"/>
          <w:szCs w:val="24"/>
        </w:rPr>
        <w:t xml:space="preserve"> (expedientes acumulados No. 4783-2013, 4812-2013 Y 4813-2013, del 5 de julio de 2016), para garantizar el acceso a educación bilingüe en </w:t>
      </w:r>
      <w:r w:rsidRPr="00032192">
        <w:rPr>
          <w:rFonts w:ascii="Cambria" w:hAnsi="Cambria"/>
          <w:sz w:val="24"/>
          <w:szCs w:val="24"/>
        </w:rPr>
        <w:t xml:space="preserve">13 escuelas del municipio de Santa Catarina </w:t>
      </w:r>
      <w:proofErr w:type="spellStart"/>
      <w:r w:rsidRPr="00032192">
        <w:rPr>
          <w:rFonts w:ascii="Cambria" w:hAnsi="Cambria"/>
          <w:sz w:val="24"/>
          <w:szCs w:val="24"/>
        </w:rPr>
        <w:t>Ixtahuacán</w:t>
      </w:r>
      <w:proofErr w:type="spellEnd"/>
      <w:r w:rsidRPr="00032192">
        <w:rPr>
          <w:rFonts w:ascii="Cambria" w:hAnsi="Cambria"/>
          <w:sz w:val="24"/>
          <w:szCs w:val="24"/>
        </w:rPr>
        <w:t xml:space="preserve">, Sololá. </w:t>
      </w:r>
      <w:r w:rsidR="0099188E">
        <w:rPr>
          <w:rFonts w:ascii="Cambria" w:hAnsi="Cambria"/>
          <w:sz w:val="24"/>
          <w:szCs w:val="24"/>
        </w:rPr>
        <w:t>No obstante</w:t>
      </w:r>
      <w:r w:rsidRPr="00032192">
        <w:rPr>
          <w:rFonts w:ascii="Cambria" w:hAnsi="Cambria"/>
          <w:sz w:val="24"/>
          <w:szCs w:val="24"/>
        </w:rPr>
        <w:t>, los esfuerzos del Estado para cumplir con dicha sentencia no han sido los suficientes para garantizar la educación bilingüe en las escuelas contempladas en la sentencia.</w:t>
      </w:r>
    </w:p>
    <w:p w14:paraId="533AA9DB" w14:textId="77777777" w:rsidR="009E09A3" w:rsidRDefault="009E09A3" w:rsidP="00C959E1">
      <w:pPr>
        <w:spacing w:after="0" w:line="276" w:lineRule="auto"/>
        <w:jc w:val="both"/>
        <w:rPr>
          <w:rFonts w:ascii="Cambria" w:hAnsi="Cambria"/>
          <w:sz w:val="24"/>
          <w:szCs w:val="24"/>
        </w:rPr>
      </w:pPr>
    </w:p>
    <w:p w14:paraId="5C561DE2" w14:textId="451A736D" w:rsidR="00EC507C" w:rsidRDefault="00EC507C" w:rsidP="00C959E1">
      <w:pPr>
        <w:spacing w:after="0" w:line="276" w:lineRule="auto"/>
        <w:jc w:val="both"/>
        <w:rPr>
          <w:rFonts w:ascii="Cambria" w:hAnsi="Cambria"/>
          <w:sz w:val="24"/>
          <w:szCs w:val="24"/>
        </w:rPr>
      </w:pPr>
      <w:r>
        <w:rPr>
          <w:rFonts w:ascii="Cambria" w:hAnsi="Cambria"/>
          <w:sz w:val="24"/>
          <w:szCs w:val="24"/>
        </w:rPr>
        <w:t>Acuerdo Gubernativo 525-99, se creó la Defensoría de la Mujer Indígena (DEMI), su fin es</w:t>
      </w:r>
      <w:r w:rsidR="00E633BF">
        <w:rPr>
          <w:rFonts w:ascii="Cambria" w:hAnsi="Cambria"/>
          <w:sz w:val="24"/>
          <w:szCs w:val="24"/>
        </w:rPr>
        <w:t xml:space="preserve"> promover y desarrollar políticas públicas, planes y programas para la prevención y defensa de todas las formas de violencia y discriminación contra las mujeres indígenas. Canalizar las denuncias de mujeres indígenas a donde correspondan y darles seguimiento.  </w:t>
      </w:r>
      <w:r>
        <w:rPr>
          <w:rFonts w:ascii="Cambria" w:hAnsi="Cambria"/>
          <w:sz w:val="24"/>
          <w:szCs w:val="24"/>
        </w:rPr>
        <w:t xml:space="preserve"> </w:t>
      </w:r>
    </w:p>
    <w:p w14:paraId="202E282B" w14:textId="77777777" w:rsidR="00EC507C" w:rsidRDefault="00EC507C" w:rsidP="00C959E1">
      <w:pPr>
        <w:spacing w:after="0" w:line="276" w:lineRule="auto"/>
        <w:jc w:val="both"/>
        <w:rPr>
          <w:rFonts w:ascii="Cambria" w:hAnsi="Cambria"/>
          <w:sz w:val="24"/>
          <w:szCs w:val="24"/>
        </w:rPr>
      </w:pPr>
    </w:p>
    <w:p w14:paraId="006A706C" w14:textId="51FF01E2" w:rsidR="009E09A3" w:rsidRDefault="009E09A3" w:rsidP="00C959E1">
      <w:pPr>
        <w:spacing w:after="0" w:line="276" w:lineRule="auto"/>
        <w:jc w:val="both"/>
        <w:rPr>
          <w:rFonts w:ascii="Cambria" w:hAnsi="Cambria"/>
          <w:sz w:val="24"/>
          <w:szCs w:val="24"/>
        </w:rPr>
      </w:pPr>
      <w:r>
        <w:rPr>
          <w:rFonts w:ascii="Cambria" w:hAnsi="Cambria"/>
          <w:sz w:val="24"/>
          <w:szCs w:val="24"/>
        </w:rPr>
        <w:t xml:space="preserve">Acuerdo Gubernativo 390-2002, el cual creó la </w:t>
      </w:r>
      <w:r w:rsidR="002471A7">
        <w:rPr>
          <w:rFonts w:ascii="Cambria" w:hAnsi="Cambria"/>
          <w:sz w:val="24"/>
          <w:szCs w:val="24"/>
        </w:rPr>
        <w:t>C</w:t>
      </w:r>
      <w:r>
        <w:rPr>
          <w:rFonts w:ascii="Cambria" w:hAnsi="Cambria"/>
          <w:sz w:val="24"/>
          <w:szCs w:val="24"/>
        </w:rPr>
        <w:t xml:space="preserve">omisión Presidencial contra la </w:t>
      </w:r>
      <w:r w:rsidR="002471A7">
        <w:rPr>
          <w:rFonts w:ascii="Cambria" w:hAnsi="Cambria"/>
          <w:sz w:val="24"/>
          <w:szCs w:val="24"/>
        </w:rPr>
        <w:t>D</w:t>
      </w:r>
      <w:r>
        <w:rPr>
          <w:rFonts w:ascii="Cambria" w:hAnsi="Cambria"/>
          <w:sz w:val="24"/>
          <w:szCs w:val="24"/>
        </w:rPr>
        <w:t>iscriminación y el Racismo hacia los Pueblos Indígenas</w:t>
      </w:r>
      <w:r w:rsidR="002471A7">
        <w:rPr>
          <w:rFonts w:ascii="Cambria" w:hAnsi="Cambria"/>
          <w:sz w:val="24"/>
          <w:szCs w:val="24"/>
        </w:rPr>
        <w:t xml:space="preserve"> (</w:t>
      </w:r>
      <w:proofErr w:type="spellStart"/>
      <w:r w:rsidR="0099188E">
        <w:rPr>
          <w:rFonts w:ascii="Cambria" w:hAnsi="Cambria"/>
          <w:sz w:val="24"/>
          <w:szCs w:val="24"/>
        </w:rPr>
        <w:t>Codisra</w:t>
      </w:r>
      <w:proofErr w:type="spellEnd"/>
      <w:r w:rsidR="002471A7">
        <w:rPr>
          <w:rFonts w:ascii="Cambria" w:hAnsi="Cambria"/>
          <w:sz w:val="24"/>
          <w:szCs w:val="24"/>
        </w:rPr>
        <w:t>)</w:t>
      </w:r>
      <w:r>
        <w:rPr>
          <w:rFonts w:ascii="Cambria" w:hAnsi="Cambria"/>
          <w:sz w:val="24"/>
          <w:szCs w:val="24"/>
        </w:rPr>
        <w:t>, como una instancia par</w:t>
      </w:r>
      <w:r w:rsidR="002471A7">
        <w:rPr>
          <w:rFonts w:ascii="Cambria" w:hAnsi="Cambria"/>
          <w:sz w:val="24"/>
          <w:szCs w:val="24"/>
        </w:rPr>
        <w:t>a</w:t>
      </w:r>
      <w:r>
        <w:rPr>
          <w:rFonts w:ascii="Cambria" w:hAnsi="Cambria"/>
          <w:sz w:val="24"/>
          <w:szCs w:val="24"/>
        </w:rPr>
        <w:t xml:space="preserve"> l</w:t>
      </w:r>
      <w:r w:rsidR="002471A7">
        <w:rPr>
          <w:rFonts w:ascii="Cambria" w:hAnsi="Cambria"/>
          <w:sz w:val="24"/>
          <w:szCs w:val="24"/>
        </w:rPr>
        <w:t>a</w:t>
      </w:r>
      <w:r>
        <w:rPr>
          <w:rFonts w:ascii="Cambria" w:hAnsi="Cambria"/>
          <w:sz w:val="24"/>
          <w:szCs w:val="24"/>
        </w:rPr>
        <w:t xml:space="preserve"> formulación y seguimiento de políticas públicas y acciones estatales orientadas a cumplir con el respeto y promoción de los derechos de los pueblos indígenas. </w:t>
      </w:r>
      <w:r w:rsidR="002471A7">
        <w:rPr>
          <w:rFonts w:ascii="Cambria" w:hAnsi="Cambria"/>
          <w:sz w:val="24"/>
          <w:szCs w:val="24"/>
        </w:rPr>
        <w:t xml:space="preserve">Además, </w:t>
      </w:r>
      <w:r>
        <w:rPr>
          <w:rFonts w:ascii="Cambria" w:hAnsi="Cambria"/>
          <w:sz w:val="24"/>
          <w:szCs w:val="24"/>
        </w:rPr>
        <w:t xml:space="preserve">en 2006, el Estado aprobó la “Política pública para la convivencia y la </w:t>
      </w:r>
      <w:r w:rsidR="0099188E">
        <w:rPr>
          <w:rFonts w:ascii="Cambria" w:hAnsi="Cambria"/>
          <w:sz w:val="24"/>
          <w:szCs w:val="24"/>
        </w:rPr>
        <w:t>e</w:t>
      </w:r>
      <w:r>
        <w:rPr>
          <w:rFonts w:ascii="Cambria" w:hAnsi="Cambria"/>
          <w:sz w:val="24"/>
          <w:szCs w:val="24"/>
        </w:rPr>
        <w:t>liminación del racismo y la discriminación racial”</w:t>
      </w:r>
      <w:r w:rsidR="002471A7">
        <w:rPr>
          <w:rFonts w:ascii="Cambria" w:hAnsi="Cambria"/>
          <w:sz w:val="24"/>
          <w:szCs w:val="24"/>
        </w:rPr>
        <w:t xml:space="preserve">. Sin embargo, al 2024 no </w:t>
      </w:r>
      <w:r w:rsidR="00A807B0">
        <w:rPr>
          <w:rFonts w:ascii="Cambria" w:hAnsi="Cambria"/>
          <w:sz w:val="24"/>
          <w:szCs w:val="24"/>
        </w:rPr>
        <w:t>hay resultados</w:t>
      </w:r>
      <w:r w:rsidR="002471A7">
        <w:rPr>
          <w:rFonts w:ascii="Cambria" w:hAnsi="Cambria"/>
          <w:sz w:val="24"/>
          <w:szCs w:val="24"/>
        </w:rPr>
        <w:t xml:space="preserve"> </w:t>
      </w:r>
      <w:r w:rsidR="00A807B0">
        <w:rPr>
          <w:rFonts w:ascii="Cambria" w:hAnsi="Cambria"/>
          <w:sz w:val="24"/>
          <w:szCs w:val="24"/>
        </w:rPr>
        <w:t xml:space="preserve">sustanciales </w:t>
      </w:r>
      <w:r w:rsidR="002471A7">
        <w:rPr>
          <w:rFonts w:ascii="Cambria" w:hAnsi="Cambria"/>
          <w:sz w:val="24"/>
          <w:szCs w:val="24"/>
        </w:rPr>
        <w:t xml:space="preserve">de dicha política pública y de la </w:t>
      </w:r>
      <w:proofErr w:type="spellStart"/>
      <w:r w:rsidR="002471A7">
        <w:rPr>
          <w:rFonts w:ascii="Cambria" w:hAnsi="Cambria"/>
          <w:sz w:val="24"/>
          <w:szCs w:val="24"/>
        </w:rPr>
        <w:t>Codisra</w:t>
      </w:r>
      <w:proofErr w:type="spellEnd"/>
      <w:r w:rsidR="002471A7">
        <w:rPr>
          <w:rStyle w:val="FootnoteReference"/>
          <w:rFonts w:ascii="Cambria" w:hAnsi="Cambria"/>
          <w:sz w:val="24"/>
          <w:szCs w:val="24"/>
        </w:rPr>
        <w:footnoteReference w:id="3"/>
      </w:r>
      <w:r w:rsidR="002471A7">
        <w:rPr>
          <w:rFonts w:ascii="Cambria" w:hAnsi="Cambria"/>
          <w:sz w:val="24"/>
          <w:szCs w:val="24"/>
        </w:rPr>
        <w:t xml:space="preserve">. </w:t>
      </w:r>
    </w:p>
    <w:p w14:paraId="6A352FF3" w14:textId="77777777" w:rsidR="00EC507C" w:rsidRDefault="00EC507C" w:rsidP="009E09A3">
      <w:pPr>
        <w:spacing w:after="0" w:line="276" w:lineRule="auto"/>
        <w:jc w:val="both"/>
        <w:rPr>
          <w:rFonts w:ascii="Cambria" w:hAnsi="Cambria"/>
          <w:sz w:val="24"/>
          <w:szCs w:val="24"/>
        </w:rPr>
      </w:pPr>
    </w:p>
    <w:p w14:paraId="61A19E3C" w14:textId="00ECCE29" w:rsidR="00E633BF" w:rsidRPr="005B133E" w:rsidRDefault="0099188E" w:rsidP="009E09A3">
      <w:pPr>
        <w:spacing w:after="0" w:line="276" w:lineRule="auto"/>
        <w:jc w:val="both"/>
        <w:rPr>
          <w:rFonts w:ascii="Cambria" w:hAnsi="Cambria"/>
          <w:sz w:val="24"/>
          <w:szCs w:val="24"/>
        </w:rPr>
      </w:pPr>
      <w:r>
        <w:rPr>
          <w:rFonts w:ascii="Cambria" w:hAnsi="Cambria"/>
          <w:sz w:val="24"/>
          <w:szCs w:val="24"/>
        </w:rPr>
        <w:t>L</w:t>
      </w:r>
      <w:r w:rsidR="00E633BF" w:rsidRPr="005B133E">
        <w:rPr>
          <w:rFonts w:ascii="Cambria" w:hAnsi="Cambria"/>
          <w:sz w:val="24"/>
          <w:szCs w:val="24"/>
        </w:rPr>
        <w:t>a Defensoría de la Mujer Indígena</w:t>
      </w:r>
      <w:r w:rsidR="006475BF" w:rsidRPr="005B133E">
        <w:rPr>
          <w:rFonts w:ascii="Cambria" w:hAnsi="Cambria"/>
          <w:sz w:val="24"/>
          <w:szCs w:val="24"/>
        </w:rPr>
        <w:t xml:space="preserve"> tiene el mandato de </w:t>
      </w:r>
      <w:r w:rsidR="006411FB" w:rsidRPr="005B133E">
        <w:rPr>
          <w:rFonts w:ascii="Cambria" w:hAnsi="Cambria"/>
          <w:sz w:val="24"/>
          <w:szCs w:val="24"/>
        </w:rPr>
        <w:t>“promover y desarrollar acciones tendientes a la propuesta de políticas públicas, planes y programas para la prevención, defensa y erradicación de todas las formas de violencia y discriminación contra la mujer indígena</w:t>
      </w:r>
      <w:r w:rsidR="002D37F7" w:rsidRPr="005B133E">
        <w:rPr>
          <w:rFonts w:ascii="Cambria" w:hAnsi="Cambria"/>
          <w:sz w:val="24"/>
          <w:szCs w:val="24"/>
        </w:rPr>
        <w:t>”</w:t>
      </w:r>
      <w:r>
        <w:rPr>
          <w:rFonts w:ascii="Cambria" w:hAnsi="Cambria"/>
          <w:sz w:val="24"/>
          <w:szCs w:val="24"/>
        </w:rPr>
        <w:t>, así como la</w:t>
      </w:r>
      <w:r w:rsidR="00E633BF" w:rsidRPr="005B133E">
        <w:rPr>
          <w:rFonts w:ascii="Cambria" w:hAnsi="Cambria"/>
          <w:sz w:val="24"/>
          <w:szCs w:val="24"/>
        </w:rPr>
        <w:t xml:space="preserve"> Comisión Presidencial contra la Discriminación y el Racismo hacia los Pueblos Indígenas</w:t>
      </w:r>
      <w:r>
        <w:rPr>
          <w:rFonts w:ascii="Cambria" w:hAnsi="Cambria"/>
          <w:sz w:val="24"/>
          <w:szCs w:val="24"/>
        </w:rPr>
        <w:t>, que</w:t>
      </w:r>
      <w:r w:rsidR="00E633BF" w:rsidRPr="005B133E">
        <w:rPr>
          <w:rFonts w:ascii="Cambria" w:hAnsi="Cambria"/>
          <w:sz w:val="24"/>
          <w:szCs w:val="24"/>
        </w:rPr>
        <w:t xml:space="preserve"> tiene el mandato de</w:t>
      </w:r>
      <w:r w:rsidR="006475BF" w:rsidRPr="005B133E">
        <w:rPr>
          <w:rFonts w:ascii="Cambria" w:hAnsi="Cambria"/>
          <w:sz w:val="24"/>
          <w:szCs w:val="24"/>
        </w:rPr>
        <w:t xml:space="preserve"> “formular políticas públicas que tiendan a erradicar la discriminación racial”</w:t>
      </w:r>
      <w:r w:rsidR="006411FB" w:rsidRPr="005B133E">
        <w:rPr>
          <w:rFonts w:ascii="Cambria" w:hAnsi="Cambria"/>
          <w:sz w:val="24"/>
          <w:szCs w:val="24"/>
        </w:rPr>
        <w:t xml:space="preserve">. </w:t>
      </w:r>
      <w:r>
        <w:rPr>
          <w:rFonts w:ascii="Cambria" w:hAnsi="Cambria"/>
          <w:sz w:val="24"/>
          <w:szCs w:val="24"/>
        </w:rPr>
        <w:t>A</w:t>
      </w:r>
      <w:r w:rsidR="006411FB" w:rsidRPr="005B133E">
        <w:rPr>
          <w:rFonts w:ascii="Cambria" w:hAnsi="Cambria"/>
          <w:sz w:val="24"/>
          <w:szCs w:val="24"/>
        </w:rPr>
        <w:t>l 2024 ambas instituciones no han incidido ni presentado propuestas de políticas públicas para la defensa y protección de los derechos de los pueblos indígenas</w:t>
      </w:r>
      <w:r w:rsidR="005B133E">
        <w:rPr>
          <w:rFonts w:ascii="Cambria" w:hAnsi="Cambria"/>
          <w:sz w:val="24"/>
          <w:szCs w:val="24"/>
        </w:rPr>
        <w:t xml:space="preserve">. </w:t>
      </w:r>
      <w:r w:rsidR="00E633BF" w:rsidRPr="005B133E">
        <w:rPr>
          <w:rFonts w:ascii="Cambria" w:hAnsi="Cambria"/>
          <w:sz w:val="24"/>
          <w:szCs w:val="24"/>
        </w:rPr>
        <w:t xml:space="preserve"> </w:t>
      </w:r>
    </w:p>
    <w:p w14:paraId="4CB41416" w14:textId="77777777" w:rsidR="00E633BF" w:rsidRDefault="00E633BF" w:rsidP="009E09A3">
      <w:pPr>
        <w:spacing w:after="0" w:line="276" w:lineRule="auto"/>
        <w:jc w:val="both"/>
        <w:rPr>
          <w:rFonts w:ascii="Cambria" w:hAnsi="Cambria"/>
          <w:sz w:val="24"/>
          <w:szCs w:val="24"/>
        </w:rPr>
      </w:pPr>
    </w:p>
    <w:p w14:paraId="64F1AC67" w14:textId="01AED403" w:rsidR="009E09A3" w:rsidRPr="00032192" w:rsidRDefault="009E09A3" w:rsidP="009E09A3">
      <w:pPr>
        <w:spacing w:after="0" w:line="276" w:lineRule="auto"/>
        <w:jc w:val="both"/>
        <w:rPr>
          <w:rFonts w:ascii="Cambria" w:hAnsi="Cambria"/>
          <w:sz w:val="24"/>
          <w:szCs w:val="24"/>
        </w:rPr>
      </w:pPr>
      <w:r>
        <w:rPr>
          <w:rFonts w:ascii="Cambria" w:hAnsi="Cambria"/>
          <w:sz w:val="24"/>
          <w:szCs w:val="24"/>
        </w:rPr>
        <w:lastRenderedPageBreak/>
        <w:t xml:space="preserve">Por otro lado, </w:t>
      </w:r>
      <w:r w:rsidR="0099188E">
        <w:rPr>
          <w:rFonts w:ascii="Cambria" w:hAnsi="Cambria"/>
          <w:sz w:val="24"/>
          <w:szCs w:val="24"/>
        </w:rPr>
        <w:t xml:space="preserve">el </w:t>
      </w:r>
      <w:r w:rsidR="00EA19D6">
        <w:rPr>
          <w:rFonts w:ascii="Cambria" w:hAnsi="Cambria"/>
          <w:sz w:val="24"/>
          <w:szCs w:val="24"/>
        </w:rPr>
        <w:t>a</w:t>
      </w:r>
      <w:r w:rsidR="00EA19D6" w:rsidRPr="009E09A3">
        <w:rPr>
          <w:rFonts w:ascii="Cambria" w:hAnsi="Cambria"/>
          <w:sz w:val="24"/>
          <w:szCs w:val="24"/>
        </w:rPr>
        <w:t>rtículo 202 bis</w:t>
      </w:r>
      <w:r w:rsidR="00EA19D6">
        <w:rPr>
          <w:rStyle w:val="FootnoteReference"/>
          <w:rFonts w:ascii="Cambria" w:hAnsi="Cambria"/>
          <w:sz w:val="24"/>
          <w:szCs w:val="24"/>
        </w:rPr>
        <w:footnoteReference w:id="4"/>
      </w:r>
      <w:r w:rsidR="00EA19D6">
        <w:rPr>
          <w:rFonts w:ascii="Cambria" w:hAnsi="Cambria"/>
          <w:sz w:val="24"/>
          <w:szCs w:val="24"/>
        </w:rPr>
        <w:t xml:space="preserve"> del </w:t>
      </w:r>
      <w:r w:rsidRPr="009E09A3">
        <w:rPr>
          <w:rFonts w:ascii="Cambria" w:hAnsi="Cambria"/>
          <w:sz w:val="24"/>
          <w:szCs w:val="24"/>
        </w:rPr>
        <w:t>Código Penal</w:t>
      </w:r>
      <w:r w:rsidR="00EA19D6">
        <w:rPr>
          <w:rFonts w:ascii="Cambria" w:hAnsi="Cambria"/>
          <w:sz w:val="24"/>
          <w:szCs w:val="24"/>
        </w:rPr>
        <w:t xml:space="preserve"> guatemalteco (Decreto 17-73), tipifica como </w:t>
      </w:r>
      <w:r w:rsidR="00EA19D6" w:rsidRPr="00EA19D6">
        <w:rPr>
          <w:rFonts w:ascii="Cambria" w:hAnsi="Cambria"/>
          <w:i/>
          <w:iCs/>
          <w:sz w:val="24"/>
          <w:szCs w:val="24"/>
        </w:rPr>
        <w:t>delito de discriminación</w:t>
      </w:r>
      <w:r w:rsidR="00EA19D6">
        <w:rPr>
          <w:rFonts w:ascii="Cambria" w:hAnsi="Cambria"/>
          <w:sz w:val="24"/>
          <w:szCs w:val="24"/>
        </w:rPr>
        <w:t>, “</w:t>
      </w:r>
      <w:r w:rsidRPr="009E09A3">
        <w:rPr>
          <w:rFonts w:ascii="Cambria" w:hAnsi="Cambria"/>
          <w:sz w:val="24"/>
          <w:szCs w:val="24"/>
        </w:rPr>
        <w:t>toda distinción, exclusión, restricción o preferencia basada en motivos de género, raza, etnia, idioma, edad, religión, situación económica, enfermedad, discapacidad, estado civil o en cualesquiera otro motivo, razón o circunstancia, que impidiere o dificultare a una persona, grupo de personas o asociaciones, el ejercicio de un derecho legalmente establecido incluyendo el derecho consuetudinario o costumbre, de conformidad con la Constitución Política de la República y los Tratados Internacionales en materia de derechos humanos</w:t>
      </w:r>
      <w:r w:rsidR="00EA19D6">
        <w:rPr>
          <w:rFonts w:ascii="Cambria" w:hAnsi="Cambria"/>
          <w:sz w:val="24"/>
          <w:szCs w:val="24"/>
        </w:rPr>
        <w:t>”</w:t>
      </w:r>
      <w:r w:rsidRPr="009E09A3">
        <w:rPr>
          <w:rFonts w:ascii="Cambria" w:hAnsi="Cambria"/>
          <w:sz w:val="24"/>
          <w:szCs w:val="24"/>
        </w:rPr>
        <w:t xml:space="preserve">. </w:t>
      </w:r>
    </w:p>
    <w:p w14:paraId="7517DAEE" w14:textId="77777777" w:rsidR="001D08A9" w:rsidRPr="00032192" w:rsidRDefault="001D08A9" w:rsidP="00C959E1">
      <w:pPr>
        <w:spacing w:after="0" w:line="276" w:lineRule="auto"/>
        <w:jc w:val="both"/>
        <w:rPr>
          <w:rFonts w:ascii="Cambria" w:hAnsi="Cambria"/>
          <w:sz w:val="24"/>
          <w:szCs w:val="24"/>
        </w:rPr>
      </w:pPr>
    </w:p>
    <w:p w14:paraId="0FF9ED89" w14:textId="68B01F1D" w:rsidR="000F4AB6" w:rsidRPr="00C959E1" w:rsidRDefault="0067788F" w:rsidP="00C959E1">
      <w:pPr>
        <w:pStyle w:val="ListParagraph"/>
        <w:numPr>
          <w:ilvl w:val="0"/>
          <w:numId w:val="2"/>
        </w:numPr>
        <w:spacing w:after="0" w:line="276" w:lineRule="auto"/>
        <w:jc w:val="both"/>
        <w:rPr>
          <w:rFonts w:ascii="Cambria" w:hAnsi="Cambria"/>
          <w:b/>
          <w:bCs/>
          <w:sz w:val="24"/>
          <w:szCs w:val="24"/>
        </w:rPr>
      </w:pPr>
      <w:r>
        <w:rPr>
          <w:rFonts w:ascii="Cambria" w:hAnsi="Cambria"/>
          <w:b/>
          <w:bCs/>
          <w:sz w:val="24"/>
          <w:szCs w:val="24"/>
        </w:rPr>
        <w:t>Legislación</w:t>
      </w:r>
      <w:r w:rsidR="00AA01B9" w:rsidRPr="00C959E1">
        <w:rPr>
          <w:rFonts w:ascii="Cambria" w:hAnsi="Cambria"/>
          <w:b/>
          <w:bCs/>
          <w:sz w:val="24"/>
          <w:szCs w:val="24"/>
        </w:rPr>
        <w:t xml:space="preserve"> </w:t>
      </w:r>
      <w:r w:rsidR="00647453" w:rsidRPr="00C959E1">
        <w:rPr>
          <w:rFonts w:ascii="Cambria" w:hAnsi="Cambria"/>
          <w:b/>
          <w:bCs/>
          <w:sz w:val="24"/>
          <w:szCs w:val="24"/>
        </w:rPr>
        <w:t xml:space="preserve">y política pública </w:t>
      </w:r>
      <w:r w:rsidR="00AA01B9" w:rsidRPr="00C959E1">
        <w:rPr>
          <w:rFonts w:ascii="Cambria" w:hAnsi="Cambria"/>
          <w:b/>
          <w:bCs/>
          <w:sz w:val="24"/>
          <w:szCs w:val="24"/>
        </w:rPr>
        <w:t>pendiente</w:t>
      </w:r>
      <w:r>
        <w:rPr>
          <w:rFonts w:ascii="Cambria" w:hAnsi="Cambria"/>
          <w:b/>
          <w:bCs/>
          <w:sz w:val="24"/>
          <w:szCs w:val="24"/>
        </w:rPr>
        <w:t>s de aprobación</w:t>
      </w:r>
    </w:p>
    <w:p w14:paraId="3E025EA9" w14:textId="77777777" w:rsidR="004C5F29" w:rsidRPr="00032192" w:rsidRDefault="004C5F29" w:rsidP="00C959E1">
      <w:pPr>
        <w:spacing w:after="0" w:line="276" w:lineRule="auto"/>
        <w:jc w:val="both"/>
        <w:rPr>
          <w:rFonts w:ascii="Cambria" w:hAnsi="Cambria"/>
          <w:sz w:val="24"/>
          <w:szCs w:val="24"/>
        </w:rPr>
      </w:pPr>
    </w:p>
    <w:p w14:paraId="06C6F31B" w14:textId="6196DF4B" w:rsidR="004C5F29" w:rsidRPr="00032192" w:rsidRDefault="004C5F29" w:rsidP="00C959E1">
      <w:pPr>
        <w:spacing w:after="0" w:line="276" w:lineRule="auto"/>
        <w:jc w:val="both"/>
        <w:rPr>
          <w:rFonts w:ascii="Cambria" w:hAnsi="Cambria"/>
          <w:sz w:val="24"/>
          <w:szCs w:val="24"/>
        </w:rPr>
      </w:pPr>
      <w:r w:rsidRPr="00032192">
        <w:rPr>
          <w:rFonts w:ascii="Cambria" w:hAnsi="Cambria"/>
          <w:sz w:val="24"/>
          <w:szCs w:val="24"/>
        </w:rPr>
        <w:t xml:space="preserve">En 2021, la Mesa Temática de Pueblos Indígenas del Gabinete Específico de Desarrollo Social del Estado lanzó </w:t>
      </w:r>
      <w:r w:rsidR="001F3CC4">
        <w:rPr>
          <w:rFonts w:ascii="Cambria" w:hAnsi="Cambria"/>
          <w:sz w:val="24"/>
          <w:szCs w:val="24"/>
        </w:rPr>
        <w:t>l</w:t>
      </w:r>
      <w:r w:rsidR="001F3CC4" w:rsidRPr="00032192">
        <w:rPr>
          <w:rFonts w:ascii="Cambria" w:hAnsi="Cambria"/>
          <w:sz w:val="24"/>
          <w:szCs w:val="24"/>
        </w:rPr>
        <w:t xml:space="preserve">a </w:t>
      </w:r>
      <w:r w:rsidRPr="00032192">
        <w:rPr>
          <w:rFonts w:ascii="Cambria" w:hAnsi="Cambria"/>
          <w:sz w:val="24"/>
          <w:szCs w:val="24"/>
        </w:rPr>
        <w:t xml:space="preserve">propuesta de la </w:t>
      </w:r>
      <w:r w:rsidRPr="00032192">
        <w:rPr>
          <w:rFonts w:ascii="Cambria" w:hAnsi="Cambria"/>
          <w:i/>
          <w:iCs/>
          <w:sz w:val="24"/>
          <w:szCs w:val="24"/>
        </w:rPr>
        <w:t>Política de Pueblos Indígenas e Interculturalidad</w:t>
      </w:r>
      <w:r w:rsidR="001F3CC4">
        <w:rPr>
          <w:rFonts w:ascii="Cambria" w:hAnsi="Cambria"/>
          <w:sz w:val="24"/>
          <w:szCs w:val="24"/>
        </w:rPr>
        <w:t>, la cual</w:t>
      </w:r>
      <w:r w:rsidRPr="00032192">
        <w:rPr>
          <w:rFonts w:ascii="Cambria" w:hAnsi="Cambria"/>
          <w:sz w:val="24"/>
          <w:szCs w:val="24"/>
        </w:rPr>
        <w:t xml:space="preserve"> aún no ha sido aprobada. </w:t>
      </w:r>
    </w:p>
    <w:p w14:paraId="176131FA" w14:textId="77777777" w:rsidR="004C5F29" w:rsidRPr="00032192" w:rsidRDefault="004C5F29" w:rsidP="00C959E1">
      <w:pPr>
        <w:spacing w:after="0" w:line="276" w:lineRule="auto"/>
        <w:jc w:val="both"/>
        <w:rPr>
          <w:rFonts w:ascii="Cambria" w:hAnsi="Cambria"/>
          <w:sz w:val="24"/>
          <w:szCs w:val="24"/>
        </w:rPr>
      </w:pPr>
    </w:p>
    <w:p w14:paraId="4648D168" w14:textId="105E9405" w:rsidR="009369EF" w:rsidRPr="00032192" w:rsidRDefault="009369EF" w:rsidP="00C959E1">
      <w:pPr>
        <w:spacing w:after="0" w:line="276" w:lineRule="auto"/>
        <w:jc w:val="both"/>
        <w:rPr>
          <w:rFonts w:ascii="Cambria" w:hAnsi="Cambria"/>
          <w:b/>
          <w:sz w:val="24"/>
          <w:szCs w:val="24"/>
        </w:rPr>
      </w:pPr>
      <w:r w:rsidRPr="00032192">
        <w:rPr>
          <w:rFonts w:ascii="Cambria" w:hAnsi="Cambria"/>
          <w:sz w:val="24"/>
          <w:szCs w:val="24"/>
        </w:rPr>
        <w:t>A la fecha, no existen iniciativas de ley para impulsar la aprobación y ratificación de la</w:t>
      </w:r>
      <w:r w:rsidR="00AA01B9" w:rsidRPr="00032192">
        <w:rPr>
          <w:rFonts w:ascii="Cambria" w:hAnsi="Cambria"/>
          <w:sz w:val="24"/>
          <w:szCs w:val="24"/>
        </w:rPr>
        <w:t xml:space="preserve"> </w:t>
      </w:r>
      <w:r w:rsidRPr="00032192">
        <w:rPr>
          <w:rFonts w:ascii="Cambria" w:hAnsi="Cambria"/>
          <w:bCs/>
          <w:i/>
          <w:iCs/>
          <w:sz w:val="24"/>
          <w:szCs w:val="24"/>
        </w:rPr>
        <w:t>Convención Interamericana contra Toda Forma de Discriminación e Intolerancia</w:t>
      </w:r>
      <w:r w:rsidR="00AA01B9" w:rsidRPr="00032192">
        <w:rPr>
          <w:rFonts w:ascii="Cambria" w:hAnsi="Cambria"/>
          <w:bCs/>
          <w:sz w:val="24"/>
          <w:szCs w:val="24"/>
        </w:rPr>
        <w:t xml:space="preserve">, así como para la </w:t>
      </w:r>
      <w:r w:rsidRPr="00032192">
        <w:rPr>
          <w:rFonts w:ascii="Cambria" w:hAnsi="Cambria"/>
          <w:bCs/>
          <w:i/>
          <w:iCs/>
          <w:sz w:val="24"/>
          <w:szCs w:val="24"/>
        </w:rPr>
        <w:t>Convención Interamericana contra el Racismo, la Discriminación Racial y Formas Conexas de Intolerancia</w:t>
      </w:r>
      <w:r w:rsidRPr="00032192">
        <w:rPr>
          <w:rFonts w:ascii="Cambria" w:hAnsi="Cambria"/>
          <w:bCs/>
          <w:sz w:val="24"/>
          <w:szCs w:val="24"/>
        </w:rPr>
        <w:t>.</w:t>
      </w:r>
    </w:p>
    <w:p w14:paraId="66F6FDDB" w14:textId="77777777" w:rsidR="00647453" w:rsidRPr="00032192" w:rsidRDefault="00647453" w:rsidP="00C959E1">
      <w:pPr>
        <w:spacing w:after="0" w:line="276" w:lineRule="auto"/>
        <w:jc w:val="both"/>
        <w:rPr>
          <w:rFonts w:ascii="Cambria" w:hAnsi="Cambria"/>
          <w:sz w:val="24"/>
          <w:szCs w:val="24"/>
        </w:rPr>
      </w:pPr>
    </w:p>
    <w:p w14:paraId="5C746F49" w14:textId="09385563" w:rsidR="00647453" w:rsidRPr="00032192" w:rsidRDefault="00647453" w:rsidP="00C959E1">
      <w:pPr>
        <w:spacing w:after="0" w:line="276" w:lineRule="auto"/>
        <w:jc w:val="both"/>
        <w:rPr>
          <w:rFonts w:ascii="Cambria" w:hAnsi="Cambria"/>
          <w:sz w:val="24"/>
          <w:szCs w:val="24"/>
        </w:rPr>
      </w:pPr>
      <w:r w:rsidRPr="00032192">
        <w:rPr>
          <w:rFonts w:ascii="Cambria" w:hAnsi="Cambria"/>
          <w:i/>
          <w:iCs/>
          <w:sz w:val="24"/>
          <w:szCs w:val="24"/>
        </w:rPr>
        <w:t xml:space="preserve">Ley de Pueblos Indígenas (conforme al </w:t>
      </w:r>
      <w:r w:rsidR="004C5F29" w:rsidRPr="00032192">
        <w:rPr>
          <w:rFonts w:ascii="Cambria" w:hAnsi="Cambria"/>
          <w:i/>
          <w:iCs/>
          <w:sz w:val="24"/>
          <w:szCs w:val="24"/>
        </w:rPr>
        <w:t>artículo</w:t>
      </w:r>
      <w:r w:rsidRPr="00032192">
        <w:rPr>
          <w:rFonts w:ascii="Cambria" w:hAnsi="Cambria"/>
          <w:i/>
          <w:iCs/>
          <w:sz w:val="24"/>
          <w:szCs w:val="24"/>
        </w:rPr>
        <w:t xml:space="preserve"> 70 de la Constitución Política de la República), </w:t>
      </w:r>
      <w:r w:rsidRPr="00032192">
        <w:rPr>
          <w:rFonts w:ascii="Cambria" w:hAnsi="Cambria"/>
          <w:sz w:val="24"/>
          <w:szCs w:val="24"/>
        </w:rPr>
        <w:t xml:space="preserve">el Procurador de los Derechos Humanos ha recomendado al Estado </w:t>
      </w:r>
      <w:r w:rsidRPr="00EC507C">
        <w:rPr>
          <w:rFonts w:ascii="Cambria" w:hAnsi="Cambria"/>
          <w:sz w:val="24"/>
          <w:szCs w:val="24"/>
        </w:rPr>
        <w:t>que se</w:t>
      </w:r>
      <w:r w:rsidRPr="00032192">
        <w:rPr>
          <w:rFonts w:ascii="Cambria" w:hAnsi="Cambria"/>
          <w:i/>
          <w:iCs/>
          <w:sz w:val="24"/>
          <w:szCs w:val="24"/>
        </w:rPr>
        <w:t xml:space="preserve"> </w:t>
      </w:r>
      <w:r w:rsidRPr="00032192">
        <w:rPr>
          <w:rFonts w:ascii="Cambria" w:hAnsi="Cambria"/>
          <w:sz w:val="24"/>
          <w:szCs w:val="24"/>
        </w:rPr>
        <w:t>reconozca los derechos de los pueblos indígenas sobre tierras y territorios, mediante la adopción de un marco jurídico adecuado en consulta con los pueblos indígenas. Establecer un marco jurídico para el reconocimiento de los derechos de los pueblos indígenas a acceder y gestionar sus territorios de origen y sus recursos naturales y a participar en la toma de decisiones sobre los asuntos que les conciernen. Aprobar legislación sobre los pueblos indígenas conforme a las normas internacionales. (Recomendaciones del EPU)</w:t>
      </w:r>
      <w:r w:rsidR="006224B0" w:rsidRPr="00032192">
        <w:rPr>
          <w:rStyle w:val="FootnoteReference"/>
          <w:rFonts w:ascii="Cambria" w:hAnsi="Cambria"/>
          <w:sz w:val="24"/>
          <w:szCs w:val="24"/>
        </w:rPr>
        <w:footnoteReference w:id="5"/>
      </w:r>
      <w:r w:rsidRPr="00032192">
        <w:rPr>
          <w:rFonts w:ascii="Cambria" w:hAnsi="Cambria"/>
          <w:sz w:val="24"/>
          <w:szCs w:val="24"/>
        </w:rPr>
        <w:t>.</w:t>
      </w:r>
    </w:p>
    <w:p w14:paraId="419141D6" w14:textId="77777777" w:rsidR="006224B0" w:rsidRPr="00032192" w:rsidRDefault="006224B0" w:rsidP="00C959E1">
      <w:pPr>
        <w:spacing w:after="0" w:line="276" w:lineRule="auto"/>
        <w:jc w:val="both"/>
        <w:rPr>
          <w:rFonts w:ascii="Cambria" w:hAnsi="Cambria"/>
          <w:sz w:val="24"/>
          <w:szCs w:val="24"/>
        </w:rPr>
      </w:pPr>
    </w:p>
    <w:p w14:paraId="5DACFECC" w14:textId="61830FC7" w:rsidR="006224B0" w:rsidRPr="00032192" w:rsidRDefault="00A409EA" w:rsidP="00C959E1">
      <w:pPr>
        <w:spacing w:after="0" w:line="276" w:lineRule="auto"/>
        <w:jc w:val="both"/>
        <w:rPr>
          <w:rFonts w:ascii="Cambria" w:hAnsi="Cambria"/>
          <w:sz w:val="24"/>
          <w:szCs w:val="24"/>
        </w:rPr>
      </w:pPr>
      <w:r w:rsidRPr="00032192">
        <w:rPr>
          <w:rFonts w:ascii="Cambria" w:hAnsi="Cambria"/>
          <w:i/>
          <w:iCs/>
          <w:sz w:val="24"/>
          <w:szCs w:val="24"/>
        </w:rPr>
        <w:t xml:space="preserve">Ley sobre </w:t>
      </w:r>
      <w:r w:rsidR="006224B0" w:rsidRPr="00032192">
        <w:rPr>
          <w:rFonts w:ascii="Cambria" w:hAnsi="Cambria"/>
          <w:i/>
          <w:iCs/>
          <w:sz w:val="24"/>
          <w:szCs w:val="24"/>
        </w:rPr>
        <w:t xml:space="preserve">Consulta Previa, Libre e Informada a </w:t>
      </w:r>
      <w:r w:rsidRPr="00032192">
        <w:rPr>
          <w:rFonts w:ascii="Cambria" w:hAnsi="Cambria"/>
          <w:i/>
          <w:iCs/>
          <w:sz w:val="24"/>
          <w:szCs w:val="24"/>
        </w:rPr>
        <w:t xml:space="preserve">los </w:t>
      </w:r>
      <w:r w:rsidR="006224B0" w:rsidRPr="00032192">
        <w:rPr>
          <w:rFonts w:ascii="Cambria" w:hAnsi="Cambria"/>
          <w:i/>
          <w:iCs/>
          <w:sz w:val="24"/>
          <w:szCs w:val="24"/>
        </w:rPr>
        <w:t>Pueblos Indígenas.</w:t>
      </w:r>
      <w:r w:rsidRPr="00032192">
        <w:rPr>
          <w:rFonts w:ascii="Cambria" w:hAnsi="Cambria"/>
          <w:i/>
          <w:iCs/>
          <w:sz w:val="24"/>
          <w:szCs w:val="24"/>
        </w:rPr>
        <w:t xml:space="preserve"> </w:t>
      </w:r>
      <w:r w:rsidRPr="00032192">
        <w:rPr>
          <w:rFonts w:ascii="Cambria" w:hAnsi="Cambria"/>
          <w:sz w:val="24"/>
          <w:szCs w:val="24"/>
        </w:rPr>
        <w:t>Es importante que el Estado cuente con un marco normativo en la materia, estableciendo los procedimientos y mecanismos eficaces para cumplir con el derecho de consulta previa, libre e informada a los pueblos indígenas, y con los procedimientos y estándares internacionales de consulta previa o regulaciones de protección del medio ambiente.</w:t>
      </w:r>
    </w:p>
    <w:p w14:paraId="6DF9C515" w14:textId="77777777" w:rsidR="00A409EA" w:rsidRPr="00032192" w:rsidRDefault="00A409EA" w:rsidP="00C959E1">
      <w:pPr>
        <w:spacing w:after="0" w:line="276" w:lineRule="auto"/>
        <w:jc w:val="both"/>
        <w:rPr>
          <w:rFonts w:ascii="Cambria" w:hAnsi="Cambria"/>
          <w:i/>
          <w:iCs/>
          <w:sz w:val="24"/>
          <w:szCs w:val="24"/>
        </w:rPr>
      </w:pPr>
    </w:p>
    <w:p w14:paraId="3B1EBC22" w14:textId="74013402" w:rsidR="006224B0" w:rsidRPr="00032192" w:rsidRDefault="006224B0" w:rsidP="00C959E1">
      <w:pPr>
        <w:spacing w:after="0" w:line="276" w:lineRule="auto"/>
        <w:jc w:val="both"/>
        <w:rPr>
          <w:rFonts w:ascii="Cambria" w:hAnsi="Cambria"/>
          <w:sz w:val="24"/>
          <w:szCs w:val="24"/>
        </w:rPr>
      </w:pPr>
      <w:r w:rsidRPr="00032192">
        <w:rPr>
          <w:rFonts w:ascii="Cambria" w:hAnsi="Cambria"/>
          <w:i/>
          <w:iCs/>
          <w:sz w:val="24"/>
          <w:szCs w:val="24"/>
        </w:rPr>
        <w:t>Ley del Programa Nacional de Resarcimiento</w:t>
      </w:r>
      <w:r w:rsidRPr="00032192">
        <w:rPr>
          <w:rFonts w:ascii="Cambria" w:hAnsi="Cambria"/>
          <w:sz w:val="24"/>
          <w:szCs w:val="24"/>
        </w:rPr>
        <w:t xml:space="preserve">. Esta ley cobra importancia debido a que actualmente persiste la incertidumbre sobre la operatividad presente y futura del Programa Nacional de Resarcimiento. Está orientada a cumplir con los compromisos del Estado para las víctimas del conflicto armado. </w:t>
      </w:r>
    </w:p>
    <w:p w14:paraId="28E5258F" w14:textId="77777777" w:rsidR="006224B0" w:rsidRPr="00032192" w:rsidRDefault="006224B0" w:rsidP="00C959E1">
      <w:pPr>
        <w:spacing w:after="0" w:line="276" w:lineRule="auto"/>
        <w:jc w:val="both"/>
        <w:rPr>
          <w:rFonts w:ascii="Cambria" w:hAnsi="Cambria"/>
          <w:sz w:val="24"/>
          <w:szCs w:val="24"/>
        </w:rPr>
      </w:pPr>
    </w:p>
    <w:p w14:paraId="142E33CB" w14:textId="73DA5442" w:rsidR="009C5832" w:rsidRPr="00032192" w:rsidRDefault="006224B0" w:rsidP="00C959E1">
      <w:pPr>
        <w:spacing w:after="0" w:line="276" w:lineRule="auto"/>
        <w:jc w:val="both"/>
        <w:rPr>
          <w:rFonts w:ascii="Cambria" w:hAnsi="Cambria"/>
          <w:sz w:val="24"/>
          <w:szCs w:val="24"/>
        </w:rPr>
      </w:pPr>
      <w:r w:rsidRPr="00032192">
        <w:rPr>
          <w:rFonts w:ascii="Cambria" w:hAnsi="Cambria"/>
          <w:i/>
          <w:iCs/>
          <w:sz w:val="24"/>
          <w:szCs w:val="24"/>
        </w:rPr>
        <w:t xml:space="preserve">Ley de </w:t>
      </w:r>
      <w:r w:rsidR="009C5832" w:rsidRPr="00032192">
        <w:rPr>
          <w:rFonts w:ascii="Cambria" w:hAnsi="Cambria"/>
          <w:i/>
          <w:iCs/>
          <w:sz w:val="24"/>
          <w:szCs w:val="24"/>
        </w:rPr>
        <w:t>A</w:t>
      </w:r>
      <w:r w:rsidRPr="00032192">
        <w:rPr>
          <w:rFonts w:ascii="Cambria" w:hAnsi="Cambria"/>
          <w:i/>
          <w:iCs/>
          <w:sz w:val="24"/>
          <w:szCs w:val="24"/>
        </w:rPr>
        <w:t>guas</w:t>
      </w:r>
      <w:r w:rsidRPr="00032192">
        <w:rPr>
          <w:rFonts w:ascii="Cambria" w:hAnsi="Cambria"/>
          <w:sz w:val="24"/>
          <w:szCs w:val="24"/>
        </w:rPr>
        <w:t>. La Constitución Política de la República de Guatemala</w:t>
      </w:r>
      <w:r w:rsidR="009C5832" w:rsidRPr="00032192">
        <w:rPr>
          <w:rFonts w:ascii="Cambria" w:hAnsi="Cambria"/>
          <w:sz w:val="24"/>
          <w:szCs w:val="24"/>
        </w:rPr>
        <w:t xml:space="preserve"> de </w:t>
      </w:r>
      <w:r w:rsidRPr="00032192">
        <w:rPr>
          <w:rFonts w:ascii="Cambria" w:hAnsi="Cambria"/>
          <w:sz w:val="24"/>
          <w:szCs w:val="24"/>
        </w:rPr>
        <w:t xml:space="preserve">1985 </w:t>
      </w:r>
      <w:r w:rsidR="009C5832" w:rsidRPr="00032192">
        <w:rPr>
          <w:rFonts w:ascii="Cambria" w:hAnsi="Cambria"/>
          <w:sz w:val="24"/>
          <w:szCs w:val="24"/>
        </w:rPr>
        <w:t xml:space="preserve">incorporó </w:t>
      </w:r>
      <w:r w:rsidRPr="00032192">
        <w:rPr>
          <w:rFonts w:ascii="Cambria" w:hAnsi="Cambria"/>
          <w:sz w:val="24"/>
          <w:szCs w:val="24"/>
        </w:rPr>
        <w:t xml:space="preserve">un </w:t>
      </w:r>
      <w:r w:rsidR="009C5832" w:rsidRPr="00032192">
        <w:rPr>
          <w:rFonts w:ascii="Cambria" w:hAnsi="Cambria"/>
          <w:sz w:val="24"/>
          <w:szCs w:val="24"/>
        </w:rPr>
        <w:t>“r</w:t>
      </w:r>
      <w:r w:rsidRPr="00032192">
        <w:rPr>
          <w:rFonts w:ascii="Cambria" w:hAnsi="Cambria"/>
          <w:sz w:val="24"/>
          <w:szCs w:val="24"/>
        </w:rPr>
        <w:t xml:space="preserve">égimen de </w:t>
      </w:r>
      <w:r w:rsidR="009C5832" w:rsidRPr="00032192">
        <w:rPr>
          <w:rFonts w:ascii="Cambria" w:hAnsi="Cambria"/>
          <w:sz w:val="24"/>
          <w:szCs w:val="24"/>
        </w:rPr>
        <w:t>aguas” … estableciendo que “u</w:t>
      </w:r>
      <w:r w:rsidRPr="00032192">
        <w:rPr>
          <w:rFonts w:ascii="Cambria" w:hAnsi="Cambria"/>
          <w:sz w:val="24"/>
          <w:szCs w:val="24"/>
        </w:rPr>
        <w:t>na ley específica regulará esta</w:t>
      </w:r>
      <w:r w:rsidR="009C5832" w:rsidRPr="00032192">
        <w:rPr>
          <w:rFonts w:ascii="Cambria" w:hAnsi="Cambria"/>
          <w:sz w:val="24"/>
          <w:szCs w:val="24"/>
        </w:rPr>
        <w:t xml:space="preserve"> </w:t>
      </w:r>
      <w:r w:rsidRPr="00032192">
        <w:rPr>
          <w:rFonts w:ascii="Cambria" w:hAnsi="Cambria"/>
          <w:sz w:val="24"/>
          <w:szCs w:val="24"/>
        </w:rPr>
        <w:t>materia</w:t>
      </w:r>
      <w:r w:rsidR="009C5832" w:rsidRPr="00032192">
        <w:rPr>
          <w:rFonts w:ascii="Cambria" w:hAnsi="Cambria"/>
          <w:sz w:val="24"/>
          <w:szCs w:val="24"/>
        </w:rPr>
        <w:t>”</w:t>
      </w:r>
      <w:r w:rsidRPr="00032192">
        <w:rPr>
          <w:rFonts w:ascii="Cambria" w:hAnsi="Cambria"/>
          <w:sz w:val="24"/>
          <w:szCs w:val="24"/>
        </w:rPr>
        <w:t>.</w:t>
      </w:r>
      <w:r w:rsidR="009C5832" w:rsidRPr="00032192">
        <w:rPr>
          <w:rFonts w:ascii="Cambria" w:hAnsi="Cambria"/>
          <w:sz w:val="24"/>
          <w:szCs w:val="24"/>
        </w:rPr>
        <w:t xml:space="preserve"> No obstante, el Estado aún no cuenta con dicha ley. Esta normativa debiera contemplar regulaciones </w:t>
      </w:r>
      <w:r w:rsidR="001F3CC4">
        <w:rPr>
          <w:rFonts w:ascii="Cambria" w:hAnsi="Cambria"/>
          <w:sz w:val="24"/>
          <w:szCs w:val="24"/>
        </w:rPr>
        <w:t>en cuanto</w:t>
      </w:r>
      <w:r w:rsidR="009C5832" w:rsidRPr="00032192">
        <w:rPr>
          <w:rFonts w:ascii="Cambria" w:hAnsi="Cambria"/>
          <w:sz w:val="24"/>
          <w:szCs w:val="24"/>
        </w:rPr>
        <w:t xml:space="preserve"> a proyectos mineros</w:t>
      </w:r>
      <w:r w:rsidR="00EC507C">
        <w:rPr>
          <w:rFonts w:ascii="Cambria" w:hAnsi="Cambria"/>
          <w:sz w:val="24"/>
          <w:szCs w:val="24"/>
        </w:rPr>
        <w:t xml:space="preserve">, </w:t>
      </w:r>
      <w:r w:rsidR="009C5832" w:rsidRPr="00032192">
        <w:rPr>
          <w:rFonts w:ascii="Cambria" w:hAnsi="Cambria"/>
          <w:sz w:val="24"/>
          <w:szCs w:val="24"/>
        </w:rPr>
        <w:t>hidroeléctricas</w:t>
      </w:r>
      <w:r w:rsidR="00EC507C">
        <w:rPr>
          <w:rFonts w:ascii="Cambria" w:hAnsi="Cambria"/>
          <w:sz w:val="24"/>
          <w:szCs w:val="24"/>
        </w:rPr>
        <w:t xml:space="preserve"> y monocultivos </w:t>
      </w:r>
      <w:r w:rsidR="002D37F7">
        <w:rPr>
          <w:rFonts w:ascii="Cambria" w:hAnsi="Cambria"/>
          <w:sz w:val="24"/>
          <w:szCs w:val="24"/>
        </w:rPr>
        <w:t xml:space="preserve">industriales </w:t>
      </w:r>
      <w:r w:rsidR="002D37F7" w:rsidRPr="00032192">
        <w:rPr>
          <w:rFonts w:ascii="Cambria" w:hAnsi="Cambria"/>
          <w:sz w:val="24"/>
          <w:szCs w:val="24"/>
        </w:rPr>
        <w:t>que</w:t>
      </w:r>
      <w:r w:rsidR="009C5832" w:rsidRPr="00032192">
        <w:rPr>
          <w:rFonts w:ascii="Cambria" w:hAnsi="Cambria"/>
          <w:sz w:val="24"/>
          <w:szCs w:val="24"/>
        </w:rPr>
        <w:t xml:space="preserve"> afectan directamente los territorios de los pueblos indígenas y garantizar el acceso al agua sin discriminación.</w:t>
      </w:r>
    </w:p>
    <w:p w14:paraId="13948C49" w14:textId="77777777" w:rsidR="004C5F29" w:rsidRPr="00032192" w:rsidRDefault="004C5F29" w:rsidP="00C959E1">
      <w:pPr>
        <w:spacing w:after="0" w:line="276" w:lineRule="auto"/>
        <w:jc w:val="both"/>
        <w:rPr>
          <w:rFonts w:ascii="Cambria" w:hAnsi="Cambria"/>
          <w:sz w:val="24"/>
          <w:szCs w:val="24"/>
        </w:rPr>
      </w:pPr>
    </w:p>
    <w:p w14:paraId="61E8ED49" w14:textId="0EFFECCE" w:rsidR="004C5F29" w:rsidRPr="00C959E1" w:rsidRDefault="00032192" w:rsidP="00C959E1">
      <w:pPr>
        <w:spacing w:after="0" w:line="276" w:lineRule="auto"/>
        <w:jc w:val="both"/>
        <w:rPr>
          <w:rFonts w:ascii="Cambria" w:hAnsi="Cambria"/>
          <w:sz w:val="24"/>
          <w:szCs w:val="24"/>
        </w:rPr>
      </w:pPr>
      <w:r w:rsidRPr="00C959E1">
        <w:rPr>
          <w:rFonts w:ascii="Cambria" w:hAnsi="Cambria"/>
          <w:i/>
          <w:iCs/>
          <w:sz w:val="24"/>
          <w:szCs w:val="24"/>
        </w:rPr>
        <w:t>Marco normativo a favor de tejedoras indígenas</w:t>
      </w:r>
      <w:r w:rsidRPr="00C959E1">
        <w:rPr>
          <w:rFonts w:ascii="Cambria" w:hAnsi="Cambria"/>
          <w:sz w:val="24"/>
          <w:szCs w:val="24"/>
        </w:rPr>
        <w:t>. E</w:t>
      </w:r>
      <w:r w:rsidR="004C5F29" w:rsidRPr="00C959E1">
        <w:rPr>
          <w:rFonts w:ascii="Cambria" w:hAnsi="Cambria"/>
          <w:sz w:val="24"/>
          <w:szCs w:val="24"/>
        </w:rPr>
        <w:t xml:space="preserve">l Consejo Nacional de Tejedoras </w:t>
      </w:r>
      <w:r w:rsidR="001F3CC4">
        <w:rPr>
          <w:rFonts w:ascii="Cambria" w:hAnsi="Cambria"/>
          <w:sz w:val="24"/>
          <w:szCs w:val="24"/>
        </w:rPr>
        <w:t>gestionó</w:t>
      </w:r>
      <w:r w:rsidR="00C959E1" w:rsidRPr="00C959E1">
        <w:rPr>
          <w:rFonts w:ascii="Cambria" w:hAnsi="Cambria"/>
          <w:sz w:val="24"/>
          <w:szCs w:val="24"/>
        </w:rPr>
        <w:t xml:space="preserve"> ante </w:t>
      </w:r>
      <w:r w:rsidR="004C5F29" w:rsidRPr="00C959E1">
        <w:rPr>
          <w:rFonts w:ascii="Cambria" w:hAnsi="Cambria"/>
          <w:sz w:val="24"/>
          <w:szCs w:val="24"/>
        </w:rPr>
        <w:t xml:space="preserve">la Comisión de Pueblos Indígenas del Congreso de la República </w:t>
      </w:r>
      <w:r w:rsidR="00C959E1" w:rsidRPr="00C959E1">
        <w:rPr>
          <w:rFonts w:ascii="Cambria" w:hAnsi="Cambria"/>
          <w:sz w:val="24"/>
          <w:szCs w:val="24"/>
        </w:rPr>
        <w:t>ampliar la Ley de Propiedad Intelectual para reconocer la propiedad intelectual colectiva de los pueblos indígenas</w:t>
      </w:r>
      <w:r w:rsidR="004C5F29" w:rsidRPr="00C959E1">
        <w:rPr>
          <w:rFonts w:ascii="Cambria" w:hAnsi="Cambria"/>
          <w:sz w:val="24"/>
          <w:szCs w:val="24"/>
        </w:rPr>
        <w:t xml:space="preserve">. Las </w:t>
      </w:r>
      <w:r w:rsidR="00C959E1" w:rsidRPr="00C959E1">
        <w:rPr>
          <w:rFonts w:ascii="Cambria" w:hAnsi="Cambria"/>
          <w:sz w:val="24"/>
          <w:szCs w:val="24"/>
        </w:rPr>
        <w:t>t</w:t>
      </w:r>
      <w:r w:rsidR="004C5F29" w:rsidRPr="00C959E1">
        <w:rPr>
          <w:rFonts w:ascii="Cambria" w:hAnsi="Cambria"/>
          <w:sz w:val="24"/>
          <w:szCs w:val="24"/>
        </w:rPr>
        <w:t xml:space="preserve">ejedoras </w:t>
      </w:r>
      <w:r w:rsidR="00C959E1" w:rsidRPr="00C959E1">
        <w:rPr>
          <w:rFonts w:ascii="Cambria" w:hAnsi="Cambria"/>
          <w:sz w:val="24"/>
          <w:szCs w:val="24"/>
        </w:rPr>
        <w:t xml:space="preserve">buscan la aprobación de </w:t>
      </w:r>
      <w:r w:rsidR="004C5F29" w:rsidRPr="00C959E1">
        <w:rPr>
          <w:rFonts w:ascii="Cambria" w:hAnsi="Cambria"/>
          <w:sz w:val="24"/>
          <w:szCs w:val="24"/>
        </w:rPr>
        <w:t xml:space="preserve">normas que protejan </w:t>
      </w:r>
      <w:r w:rsidR="001F3CC4">
        <w:rPr>
          <w:rFonts w:ascii="Cambria" w:hAnsi="Cambria"/>
          <w:sz w:val="24"/>
          <w:szCs w:val="24"/>
        </w:rPr>
        <w:t>las</w:t>
      </w:r>
      <w:r w:rsidR="001F3CC4" w:rsidRPr="00C959E1">
        <w:rPr>
          <w:rFonts w:ascii="Cambria" w:hAnsi="Cambria"/>
          <w:sz w:val="24"/>
          <w:szCs w:val="24"/>
        </w:rPr>
        <w:t xml:space="preserve"> </w:t>
      </w:r>
      <w:r w:rsidR="004C5F29" w:rsidRPr="00C959E1">
        <w:rPr>
          <w:rFonts w:ascii="Cambria" w:hAnsi="Cambria"/>
          <w:sz w:val="24"/>
          <w:szCs w:val="24"/>
        </w:rPr>
        <w:t xml:space="preserve">creaciones textiles, fruto de su labor y </w:t>
      </w:r>
      <w:r w:rsidR="00C959E1" w:rsidRPr="00C959E1">
        <w:rPr>
          <w:rFonts w:ascii="Cambria" w:hAnsi="Cambria"/>
          <w:sz w:val="24"/>
          <w:szCs w:val="24"/>
        </w:rPr>
        <w:t xml:space="preserve">que estampan </w:t>
      </w:r>
      <w:r w:rsidR="004C5F29" w:rsidRPr="00C959E1">
        <w:rPr>
          <w:rFonts w:ascii="Cambria" w:hAnsi="Cambria"/>
          <w:sz w:val="24"/>
          <w:szCs w:val="24"/>
        </w:rPr>
        <w:t xml:space="preserve">siglos de filosofía maya. En mayo de 2016, las Tejedoras presentaron una acción de inconstitucionalidad contra el Estado de Guatemala ante la Corte de Constitucionalidad: por omisión de normas que protejan sus creaciones textiles; </w:t>
      </w:r>
      <w:r w:rsidR="00C959E1" w:rsidRPr="00C959E1">
        <w:rPr>
          <w:rFonts w:ascii="Cambria" w:hAnsi="Cambria"/>
          <w:sz w:val="24"/>
          <w:szCs w:val="24"/>
        </w:rPr>
        <w:t xml:space="preserve">en consecuencia, </w:t>
      </w:r>
      <w:r w:rsidR="004C5F29" w:rsidRPr="00C959E1">
        <w:rPr>
          <w:rFonts w:ascii="Cambria" w:hAnsi="Cambria"/>
          <w:sz w:val="24"/>
          <w:szCs w:val="24"/>
        </w:rPr>
        <w:t>la Corte exhort</w:t>
      </w:r>
      <w:r w:rsidR="00C959E1" w:rsidRPr="00C959E1">
        <w:rPr>
          <w:rFonts w:ascii="Cambria" w:hAnsi="Cambria"/>
          <w:sz w:val="24"/>
          <w:szCs w:val="24"/>
        </w:rPr>
        <w:t>ó</w:t>
      </w:r>
      <w:r w:rsidR="004C5F29" w:rsidRPr="00C959E1">
        <w:rPr>
          <w:rFonts w:ascii="Cambria" w:hAnsi="Cambria"/>
          <w:sz w:val="24"/>
          <w:szCs w:val="24"/>
        </w:rPr>
        <w:t xml:space="preserve"> al </w:t>
      </w:r>
      <w:r w:rsidR="001F3CC4">
        <w:rPr>
          <w:rFonts w:ascii="Cambria" w:hAnsi="Cambria"/>
          <w:sz w:val="24"/>
          <w:szCs w:val="24"/>
        </w:rPr>
        <w:t xml:space="preserve">Legislativo </w:t>
      </w:r>
      <w:r w:rsidR="00C959E1" w:rsidRPr="00C959E1">
        <w:rPr>
          <w:rFonts w:ascii="Cambria" w:hAnsi="Cambria"/>
          <w:sz w:val="24"/>
          <w:szCs w:val="24"/>
        </w:rPr>
        <w:t>el</w:t>
      </w:r>
      <w:r w:rsidR="004C5F29" w:rsidRPr="00C959E1">
        <w:rPr>
          <w:rFonts w:ascii="Cambria" w:hAnsi="Cambria"/>
          <w:sz w:val="24"/>
          <w:szCs w:val="24"/>
        </w:rPr>
        <w:t xml:space="preserve"> impulso </w:t>
      </w:r>
      <w:r w:rsidR="00C959E1" w:rsidRPr="00C959E1">
        <w:rPr>
          <w:rFonts w:ascii="Cambria" w:hAnsi="Cambria"/>
          <w:sz w:val="24"/>
          <w:szCs w:val="24"/>
        </w:rPr>
        <w:t xml:space="preserve">de una </w:t>
      </w:r>
      <w:r w:rsidR="004C5F29" w:rsidRPr="00C959E1">
        <w:rPr>
          <w:rFonts w:ascii="Cambria" w:hAnsi="Cambria"/>
          <w:sz w:val="24"/>
          <w:szCs w:val="24"/>
        </w:rPr>
        <w:t>iniciativa de ley</w:t>
      </w:r>
      <w:r w:rsidR="00C959E1" w:rsidRPr="00C959E1">
        <w:rPr>
          <w:rFonts w:ascii="Cambria" w:hAnsi="Cambria"/>
          <w:sz w:val="24"/>
          <w:szCs w:val="24"/>
        </w:rPr>
        <w:t xml:space="preserve"> en la materia.</w:t>
      </w:r>
    </w:p>
    <w:p w14:paraId="3FE3E382" w14:textId="77777777" w:rsidR="004C5F29" w:rsidRPr="00032192" w:rsidRDefault="004C5F29" w:rsidP="00C959E1">
      <w:pPr>
        <w:spacing w:after="0" w:line="276" w:lineRule="auto"/>
        <w:jc w:val="both"/>
        <w:rPr>
          <w:rFonts w:ascii="Cambria" w:hAnsi="Cambria"/>
          <w:sz w:val="24"/>
          <w:szCs w:val="24"/>
          <w:highlight w:val="yellow"/>
        </w:rPr>
      </w:pPr>
    </w:p>
    <w:sectPr w:rsidR="004C5F29" w:rsidRPr="0003219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BDB2" w14:textId="77777777" w:rsidR="00D86A43" w:rsidRDefault="00D86A43" w:rsidP="009C0823">
      <w:pPr>
        <w:spacing w:after="0" w:line="240" w:lineRule="auto"/>
      </w:pPr>
      <w:r>
        <w:separator/>
      </w:r>
    </w:p>
  </w:endnote>
  <w:endnote w:type="continuationSeparator" w:id="0">
    <w:p w14:paraId="56E56C3B" w14:textId="77777777" w:rsidR="00D86A43" w:rsidRDefault="00D86A43" w:rsidP="009C0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JMEKAL+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8905" w14:textId="77777777" w:rsidR="00D86A43" w:rsidRDefault="00D86A43" w:rsidP="009C0823">
      <w:pPr>
        <w:spacing w:after="0" w:line="240" w:lineRule="auto"/>
      </w:pPr>
      <w:r>
        <w:separator/>
      </w:r>
    </w:p>
  </w:footnote>
  <w:footnote w:type="continuationSeparator" w:id="0">
    <w:p w14:paraId="56ADB4CC" w14:textId="77777777" w:rsidR="00D86A43" w:rsidRDefault="00D86A43" w:rsidP="009C0823">
      <w:pPr>
        <w:spacing w:after="0" w:line="240" w:lineRule="auto"/>
      </w:pPr>
      <w:r>
        <w:continuationSeparator/>
      </w:r>
    </w:p>
  </w:footnote>
  <w:footnote w:id="1">
    <w:p w14:paraId="5D0FD3F5" w14:textId="571114CF" w:rsidR="009C0823" w:rsidRDefault="009C0823">
      <w:pPr>
        <w:pStyle w:val="FootnoteText"/>
      </w:pPr>
      <w:r>
        <w:rPr>
          <w:rStyle w:val="FootnoteReference"/>
        </w:rPr>
        <w:footnoteRef/>
      </w:r>
      <w:r>
        <w:t xml:space="preserve"> S</w:t>
      </w:r>
      <w:r w:rsidRPr="009C0823">
        <w:t>uscrito en la Ciudad de México</w:t>
      </w:r>
      <w:r>
        <w:t>,</w:t>
      </w:r>
      <w:r w:rsidRPr="009C0823">
        <w:t xml:space="preserve"> el 31 de marzo de 1995.</w:t>
      </w:r>
    </w:p>
  </w:footnote>
  <w:footnote w:id="2">
    <w:p w14:paraId="2124D761" w14:textId="226A839D" w:rsidR="00FD1C69" w:rsidRDefault="00FD1C69">
      <w:pPr>
        <w:pStyle w:val="FootnoteText"/>
      </w:pPr>
      <w:r>
        <w:rPr>
          <w:rStyle w:val="FootnoteReference"/>
        </w:rPr>
        <w:footnoteRef/>
      </w:r>
      <w:r>
        <w:t xml:space="preserve"> Congreso de la República de Guatemala. Decreto Ley 52-2005 Ley Marco para el cumplimiento de los Acuerdos de Paz, artículo 3 </w:t>
      </w:r>
    </w:p>
  </w:footnote>
  <w:footnote w:id="3">
    <w:p w14:paraId="2E6711BF" w14:textId="75D3E538" w:rsidR="002471A7" w:rsidRDefault="002471A7">
      <w:pPr>
        <w:pStyle w:val="FootnoteText"/>
      </w:pPr>
      <w:r>
        <w:rPr>
          <w:rStyle w:val="FootnoteReference"/>
        </w:rPr>
        <w:footnoteRef/>
      </w:r>
      <w:r>
        <w:t xml:space="preserve"> </w:t>
      </w:r>
      <w:r w:rsidR="00A807B0">
        <w:t xml:space="preserve">Codisra. </w:t>
      </w:r>
      <w:r w:rsidR="00EC507C">
        <w:t xml:space="preserve">En: </w:t>
      </w:r>
      <w:r w:rsidR="00EC507C" w:rsidRPr="00EC507C">
        <w:t>chrome-extension://efaidnbmnnnibpcajpcglclefindmkaj/https://cpcc.gob.gt/wp-content/uploads/2023/10/SEGUNDO-INFORME-CUATRIMESTRAL-RC-2023-1.pdf</w:t>
      </w:r>
    </w:p>
  </w:footnote>
  <w:footnote w:id="4">
    <w:p w14:paraId="66045807" w14:textId="7DBC4911" w:rsidR="00EA19D6" w:rsidRDefault="00EA19D6" w:rsidP="00EA19D6">
      <w:pPr>
        <w:pStyle w:val="FootnoteText"/>
        <w:jc w:val="both"/>
      </w:pPr>
      <w:r>
        <w:rPr>
          <w:rStyle w:val="FootnoteReference"/>
        </w:rPr>
        <w:footnoteRef/>
      </w:r>
      <w:r>
        <w:t xml:space="preserve"> </w:t>
      </w:r>
      <w:r w:rsidRPr="00EA19D6">
        <w:t xml:space="preserve">Adicionado por el </w:t>
      </w:r>
      <w:r>
        <w:t>a</w:t>
      </w:r>
      <w:r w:rsidRPr="00EA19D6">
        <w:t>rtículo 1, del Decreto Número 57-2002 Del Congreso de la República de Guatemala.</w:t>
      </w:r>
    </w:p>
  </w:footnote>
  <w:footnote w:id="5">
    <w:p w14:paraId="520BE57C" w14:textId="4F631070" w:rsidR="006224B0" w:rsidRDefault="006224B0">
      <w:pPr>
        <w:pStyle w:val="FootnoteText"/>
      </w:pPr>
      <w:r>
        <w:rPr>
          <w:rStyle w:val="FootnoteReference"/>
        </w:rPr>
        <w:footnoteRef/>
      </w:r>
      <w:r>
        <w:t xml:space="preserve"> PDH. Informe Anual Circunstanciado de Actividades y de la Situación de los Derechos Humanos 2019. Guatemala, enero de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6932"/>
    <w:multiLevelType w:val="hybridMultilevel"/>
    <w:tmpl w:val="3FD2C74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397867E6"/>
    <w:multiLevelType w:val="hybridMultilevel"/>
    <w:tmpl w:val="09427E88"/>
    <w:lvl w:ilvl="0" w:tplc="78D066DE">
      <w:start w:val="1"/>
      <w:numFmt w:val="decimal"/>
      <w:lvlText w:val="%1."/>
      <w:lvlJc w:val="left"/>
      <w:pPr>
        <w:ind w:left="810" w:hanging="360"/>
      </w:pPr>
      <w:rPr>
        <w:rFonts w:hint="default"/>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1">
      <w:start w:val="1"/>
      <w:numFmt w:val="bullet"/>
      <w:lvlText w:val=""/>
      <w:lvlJc w:val="left"/>
      <w:pPr>
        <w:ind w:left="2880" w:hanging="360"/>
      </w:pPr>
      <w:rPr>
        <w:rFonts w:ascii="Symbol" w:hAnsi="Symbo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3240946">
    <w:abstractNumId w:val="1"/>
  </w:num>
  <w:num w:numId="2" w16cid:durableId="69416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12"/>
    <w:rsid w:val="000230AE"/>
    <w:rsid w:val="00032192"/>
    <w:rsid w:val="0009677B"/>
    <w:rsid w:val="000A7C9D"/>
    <w:rsid w:val="000F4AB6"/>
    <w:rsid w:val="001D08A9"/>
    <w:rsid w:val="001F3CC4"/>
    <w:rsid w:val="002471A7"/>
    <w:rsid w:val="002915C8"/>
    <w:rsid w:val="002D37F7"/>
    <w:rsid w:val="004979AC"/>
    <w:rsid w:val="004A6200"/>
    <w:rsid w:val="004C5F29"/>
    <w:rsid w:val="00504225"/>
    <w:rsid w:val="005B133E"/>
    <w:rsid w:val="005B5B19"/>
    <w:rsid w:val="006224B0"/>
    <w:rsid w:val="006411FB"/>
    <w:rsid w:val="00647453"/>
    <w:rsid w:val="006475BF"/>
    <w:rsid w:val="0067788F"/>
    <w:rsid w:val="0068221B"/>
    <w:rsid w:val="00687772"/>
    <w:rsid w:val="00742E12"/>
    <w:rsid w:val="00801095"/>
    <w:rsid w:val="00861E9B"/>
    <w:rsid w:val="00884A7E"/>
    <w:rsid w:val="008C1652"/>
    <w:rsid w:val="009369EF"/>
    <w:rsid w:val="0099188E"/>
    <w:rsid w:val="009C0823"/>
    <w:rsid w:val="009C5832"/>
    <w:rsid w:val="009E09A3"/>
    <w:rsid w:val="00A01531"/>
    <w:rsid w:val="00A409EA"/>
    <w:rsid w:val="00A807B0"/>
    <w:rsid w:val="00AA01B9"/>
    <w:rsid w:val="00B96478"/>
    <w:rsid w:val="00C959E1"/>
    <w:rsid w:val="00CA3EFE"/>
    <w:rsid w:val="00D47BEF"/>
    <w:rsid w:val="00D84D7E"/>
    <w:rsid w:val="00D84DF1"/>
    <w:rsid w:val="00D86A43"/>
    <w:rsid w:val="00DC0739"/>
    <w:rsid w:val="00E633BF"/>
    <w:rsid w:val="00EA19D6"/>
    <w:rsid w:val="00EA490E"/>
    <w:rsid w:val="00EC507C"/>
    <w:rsid w:val="00EE7871"/>
    <w:rsid w:val="00F5500A"/>
    <w:rsid w:val="00FD1C6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A1F3"/>
  <w15:chartTrackingRefBased/>
  <w15:docId w15:val="{F1E48223-BF45-47D3-9B18-DA35E8E5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E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E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E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E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E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E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E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E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E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E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E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E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E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E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E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E12"/>
    <w:rPr>
      <w:rFonts w:eastAsiaTheme="majorEastAsia" w:cstheme="majorBidi"/>
      <w:color w:val="272727" w:themeColor="text1" w:themeTint="D8"/>
    </w:rPr>
  </w:style>
  <w:style w:type="paragraph" w:styleId="Title">
    <w:name w:val="Title"/>
    <w:basedOn w:val="Normal"/>
    <w:next w:val="Normal"/>
    <w:link w:val="TitleChar"/>
    <w:uiPriority w:val="10"/>
    <w:qFormat/>
    <w:rsid w:val="00742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E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E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E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E12"/>
    <w:pPr>
      <w:spacing w:before="160"/>
      <w:jc w:val="center"/>
    </w:pPr>
    <w:rPr>
      <w:i/>
      <w:iCs/>
      <w:color w:val="404040" w:themeColor="text1" w:themeTint="BF"/>
    </w:rPr>
  </w:style>
  <w:style w:type="character" w:customStyle="1" w:styleId="QuoteChar">
    <w:name w:val="Quote Char"/>
    <w:basedOn w:val="DefaultParagraphFont"/>
    <w:link w:val="Quote"/>
    <w:uiPriority w:val="29"/>
    <w:rsid w:val="00742E12"/>
    <w:rPr>
      <w:i/>
      <w:iCs/>
      <w:color w:val="404040" w:themeColor="text1" w:themeTint="BF"/>
    </w:rPr>
  </w:style>
  <w:style w:type="paragraph" w:styleId="ListParagraph">
    <w:name w:val="List Paragraph"/>
    <w:basedOn w:val="Normal"/>
    <w:uiPriority w:val="34"/>
    <w:qFormat/>
    <w:rsid w:val="00742E12"/>
    <w:pPr>
      <w:ind w:left="720"/>
      <w:contextualSpacing/>
    </w:pPr>
  </w:style>
  <w:style w:type="character" w:styleId="IntenseEmphasis">
    <w:name w:val="Intense Emphasis"/>
    <w:basedOn w:val="DefaultParagraphFont"/>
    <w:uiPriority w:val="21"/>
    <w:qFormat/>
    <w:rsid w:val="00742E12"/>
    <w:rPr>
      <w:i/>
      <w:iCs/>
      <w:color w:val="0F4761" w:themeColor="accent1" w:themeShade="BF"/>
    </w:rPr>
  </w:style>
  <w:style w:type="paragraph" w:styleId="IntenseQuote">
    <w:name w:val="Intense Quote"/>
    <w:basedOn w:val="Normal"/>
    <w:next w:val="Normal"/>
    <w:link w:val="IntenseQuoteChar"/>
    <w:uiPriority w:val="30"/>
    <w:qFormat/>
    <w:rsid w:val="00742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E12"/>
    <w:rPr>
      <w:i/>
      <w:iCs/>
      <w:color w:val="0F4761" w:themeColor="accent1" w:themeShade="BF"/>
    </w:rPr>
  </w:style>
  <w:style w:type="character" w:styleId="IntenseReference">
    <w:name w:val="Intense Reference"/>
    <w:basedOn w:val="DefaultParagraphFont"/>
    <w:uiPriority w:val="32"/>
    <w:qFormat/>
    <w:rsid w:val="00742E12"/>
    <w:rPr>
      <w:b/>
      <w:bCs/>
      <w:smallCaps/>
      <w:color w:val="0F4761" w:themeColor="accent1" w:themeShade="BF"/>
      <w:spacing w:val="5"/>
    </w:rPr>
  </w:style>
  <w:style w:type="character" w:customStyle="1" w:styleId="object">
    <w:name w:val="object"/>
    <w:basedOn w:val="DefaultParagraphFont"/>
    <w:rsid w:val="00CA3EFE"/>
  </w:style>
  <w:style w:type="character" w:styleId="Hyperlink">
    <w:name w:val="Hyperlink"/>
    <w:basedOn w:val="DefaultParagraphFont"/>
    <w:uiPriority w:val="99"/>
    <w:semiHidden/>
    <w:unhideWhenUsed/>
    <w:rsid w:val="00CA3EFE"/>
    <w:rPr>
      <w:color w:val="0000FF"/>
      <w:u w:val="single"/>
    </w:rPr>
  </w:style>
  <w:style w:type="paragraph" w:styleId="FootnoteText">
    <w:name w:val="footnote text"/>
    <w:basedOn w:val="Normal"/>
    <w:link w:val="FootnoteTextChar"/>
    <w:uiPriority w:val="99"/>
    <w:semiHidden/>
    <w:unhideWhenUsed/>
    <w:rsid w:val="009C0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823"/>
    <w:rPr>
      <w:sz w:val="20"/>
      <w:szCs w:val="20"/>
    </w:rPr>
  </w:style>
  <w:style w:type="character" w:styleId="FootnoteReference">
    <w:name w:val="footnote reference"/>
    <w:basedOn w:val="DefaultParagraphFont"/>
    <w:uiPriority w:val="99"/>
    <w:semiHidden/>
    <w:unhideWhenUsed/>
    <w:rsid w:val="009C0823"/>
    <w:rPr>
      <w:vertAlign w:val="superscript"/>
    </w:rPr>
  </w:style>
  <w:style w:type="paragraph" w:customStyle="1" w:styleId="Default">
    <w:name w:val="Default"/>
    <w:rsid w:val="00032192"/>
    <w:pPr>
      <w:autoSpaceDE w:val="0"/>
      <w:autoSpaceDN w:val="0"/>
      <w:adjustRightInd w:val="0"/>
      <w:spacing w:after="0" w:line="240" w:lineRule="auto"/>
    </w:pPr>
    <w:rPr>
      <w:rFonts w:ascii="JMEKAL+TimesNewRoman,Bold" w:eastAsia="Times New Roman" w:hAnsi="JMEKAL+TimesNewRoman,Bold" w:cs="JMEKAL+TimesNewRoman,Bold"/>
      <w:color w:val="000000"/>
      <w:kern w:val="0"/>
      <w:sz w:val="24"/>
      <w:szCs w:val="24"/>
      <w:lang w:val="es-ES" w:eastAsia="es-ES"/>
      <w14:ligatures w14:val="none"/>
    </w:rPr>
  </w:style>
  <w:style w:type="character" w:styleId="CommentReference">
    <w:name w:val="annotation reference"/>
    <w:basedOn w:val="DefaultParagraphFont"/>
    <w:uiPriority w:val="99"/>
    <w:semiHidden/>
    <w:unhideWhenUsed/>
    <w:rsid w:val="00801095"/>
    <w:rPr>
      <w:sz w:val="16"/>
      <w:szCs w:val="16"/>
    </w:rPr>
  </w:style>
  <w:style w:type="paragraph" w:styleId="CommentText">
    <w:name w:val="annotation text"/>
    <w:basedOn w:val="Normal"/>
    <w:link w:val="CommentTextChar"/>
    <w:uiPriority w:val="99"/>
    <w:semiHidden/>
    <w:unhideWhenUsed/>
    <w:rsid w:val="00801095"/>
    <w:pPr>
      <w:spacing w:line="240" w:lineRule="auto"/>
    </w:pPr>
    <w:rPr>
      <w:sz w:val="20"/>
      <w:szCs w:val="20"/>
    </w:rPr>
  </w:style>
  <w:style w:type="character" w:customStyle="1" w:styleId="CommentTextChar">
    <w:name w:val="Comment Text Char"/>
    <w:basedOn w:val="DefaultParagraphFont"/>
    <w:link w:val="CommentText"/>
    <w:uiPriority w:val="99"/>
    <w:semiHidden/>
    <w:rsid w:val="00801095"/>
    <w:rPr>
      <w:sz w:val="20"/>
      <w:szCs w:val="20"/>
    </w:rPr>
  </w:style>
  <w:style w:type="paragraph" w:styleId="CommentSubject">
    <w:name w:val="annotation subject"/>
    <w:basedOn w:val="CommentText"/>
    <w:next w:val="CommentText"/>
    <w:link w:val="CommentSubjectChar"/>
    <w:uiPriority w:val="99"/>
    <w:semiHidden/>
    <w:unhideWhenUsed/>
    <w:rsid w:val="00801095"/>
    <w:rPr>
      <w:b/>
      <w:bCs/>
    </w:rPr>
  </w:style>
  <w:style w:type="character" w:customStyle="1" w:styleId="CommentSubjectChar">
    <w:name w:val="Comment Subject Char"/>
    <w:basedOn w:val="CommentTextChar"/>
    <w:link w:val="CommentSubject"/>
    <w:uiPriority w:val="99"/>
    <w:semiHidden/>
    <w:rsid w:val="00801095"/>
    <w:rPr>
      <w:b/>
      <w:bCs/>
      <w:sz w:val="20"/>
      <w:szCs w:val="20"/>
    </w:rPr>
  </w:style>
  <w:style w:type="paragraph" w:styleId="Revision">
    <w:name w:val="Revision"/>
    <w:hidden/>
    <w:uiPriority w:val="99"/>
    <w:semiHidden/>
    <w:rsid w:val="004A62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Filename xmlns="d42e65b2-cf21-49c1-b27d-d23f90380c0e" xsi:nil="true"/>
    <Doctype xmlns="d42e65b2-cf21-49c1-b27d-d23f90380c0e">input</Doctype>
    <Contributor xmlns="d42e65b2-cf21-49c1-b27d-d23f90380c0e">Procuador de los Derechos Humanos de Guatemala</Contributor>
  </documentManagement>
</p:properties>
</file>

<file path=customXml/itemProps1.xml><?xml version="1.0" encoding="utf-8"?>
<ds:datastoreItem xmlns:ds="http://schemas.openxmlformats.org/officeDocument/2006/customXml" ds:itemID="{6E57AD2A-C63F-4222-954F-D32BAA02F7B7}">
  <ds:schemaRefs>
    <ds:schemaRef ds:uri="http://schemas.openxmlformats.org/officeDocument/2006/bibliography"/>
  </ds:schemaRefs>
</ds:datastoreItem>
</file>

<file path=customXml/itemProps2.xml><?xml version="1.0" encoding="utf-8"?>
<ds:datastoreItem xmlns:ds="http://schemas.openxmlformats.org/officeDocument/2006/customXml" ds:itemID="{94582831-89C3-473F-A251-1ED6D2506014}"/>
</file>

<file path=customXml/itemProps3.xml><?xml version="1.0" encoding="utf-8"?>
<ds:datastoreItem xmlns:ds="http://schemas.openxmlformats.org/officeDocument/2006/customXml" ds:itemID="{994C2E66-7FF7-4E22-A95B-40ED76BC5901}"/>
</file>

<file path=customXml/itemProps4.xml><?xml version="1.0" encoding="utf-8"?>
<ds:datastoreItem xmlns:ds="http://schemas.openxmlformats.org/officeDocument/2006/customXml" ds:itemID="{5EF7895B-E967-4EAA-906A-F3EE74B55E99}"/>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7675</Characters>
  <Application>Microsoft Office Word</Application>
  <DocSecurity>4</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Orlando Velasquez Santizo</dc:creator>
  <cp:keywords/>
  <dc:description/>
  <cp:lastModifiedBy>Belen Rodriguez de Alba Freiria</cp:lastModifiedBy>
  <cp:revision>2</cp:revision>
  <dcterms:created xsi:type="dcterms:W3CDTF">2024-02-01T09:11:00Z</dcterms:created>
  <dcterms:modified xsi:type="dcterms:W3CDTF">2024-02-01T09:11:00Z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