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83BF" w14:textId="13687175" w:rsidR="002018B9" w:rsidRPr="00FF5D87" w:rsidRDefault="002018B9" w:rsidP="005E1669">
      <w:pPr>
        <w:spacing w:after="0" w:line="240" w:lineRule="auto"/>
        <w:jc w:val="both"/>
        <w:rPr>
          <w:rFonts w:ascii="Arial Narrow" w:hAnsi="Arial Narrow" w:cs="Arial"/>
          <w:b/>
          <w:sz w:val="24"/>
          <w:szCs w:val="24"/>
        </w:rPr>
      </w:pPr>
      <w:r w:rsidRPr="00FF5D87">
        <w:rPr>
          <w:rFonts w:ascii="Arial Narrow" w:hAnsi="Arial Narrow" w:cs="Arial"/>
          <w:b/>
          <w:sz w:val="24"/>
          <w:szCs w:val="24"/>
        </w:rPr>
        <w:t xml:space="preserve">Convocatoria de </w:t>
      </w:r>
      <w:r w:rsidR="00BF2D91" w:rsidRPr="00FF5D87">
        <w:rPr>
          <w:rFonts w:ascii="Arial Narrow" w:hAnsi="Arial Narrow" w:cs="Arial"/>
          <w:b/>
          <w:sz w:val="24"/>
          <w:szCs w:val="24"/>
        </w:rPr>
        <w:t>contribuciones</w:t>
      </w:r>
      <w:r w:rsidRPr="00FF5D87">
        <w:rPr>
          <w:rFonts w:ascii="Arial Narrow" w:hAnsi="Arial Narrow" w:cs="Arial"/>
          <w:b/>
          <w:sz w:val="24"/>
          <w:szCs w:val="24"/>
        </w:rPr>
        <w:t>: Estudio sobre “Leyes, legislación, políticas, constituciones, decisiones judiciales y otros mecanismos en los que los Estados han tomado medidas para lograr los fines de la Declaración de las Naciones Unidas sobre los Derechos de los Pueblos Indígenas, de conformidad con el artículo 38 de la Declaración "</w:t>
      </w:r>
    </w:p>
    <w:p w14:paraId="62995D0B" w14:textId="60F2E493" w:rsidR="00E134C9" w:rsidRPr="00FF5D87" w:rsidRDefault="00E134C9" w:rsidP="00E134C9">
      <w:pPr>
        <w:spacing w:after="0" w:line="240" w:lineRule="auto"/>
        <w:jc w:val="both"/>
        <w:rPr>
          <w:rFonts w:ascii="Arial Narrow" w:hAnsi="Arial Narrow" w:cs="Arial"/>
          <w:b/>
          <w:sz w:val="24"/>
          <w:szCs w:val="24"/>
        </w:rPr>
      </w:pPr>
    </w:p>
    <w:p w14:paraId="6137C127" w14:textId="388AEA7B" w:rsidR="00252F90" w:rsidRPr="00FF5D87" w:rsidRDefault="00252F90" w:rsidP="00BF6C70">
      <w:pPr>
        <w:pStyle w:val="ListParagraph"/>
        <w:numPr>
          <w:ilvl w:val="0"/>
          <w:numId w:val="14"/>
        </w:numPr>
        <w:spacing w:after="0" w:line="240" w:lineRule="auto"/>
        <w:jc w:val="both"/>
        <w:rPr>
          <w:rFonts w:ascii="Arial Narrow" w:hAnsi="Arial Narrow" w:cs="Arial"/>
          <w:b/>
          <w:bCs/>
          <w:sz w:val="24"/>
          <w:szCs w:val="24"/>
        </w:rPr>
      </w:pPr>
      <w:r w:rsidRPr="00FF5D87">
        <w:rPr>
          <w:rFonts w:ascii="Arial Narrow" w:hAnsi="Arial Narrow" w:cs="Arial"/>
          <w:b/>
          <w:bCs/>
          <w:sz w:val="24"/>
          <w:szCs w:val="24"/>
        </w:rPr>
        <w:t xml:space="preserve">Legislación </w:t>
      </w:r>
      <w:r w:rsidR="00896325" w:rsidRPr="00FF5D87">
        <w:rPr>
          <w:rFonts w:ascii="Arial Narrow" w:hAnsi="Arial Narrow" w:cs="Arial"/>
          <w:b/>
          <w:bCs/>
          <w:sz w:val="24"/>
          <w:szCs w:val="24"/>
        </w:rPr>
        <w:t>para lograr los fines de la Declaración de las NU sobre los Derechos de los Pueblos Indígenas</w:t>
      </w:r>
    </w:p>
    <w:p w14:paraId="3AE2DFE5" w14:textId="77777777" w:rsidR="00896325" w:rsidRPr="00FF5D87" w:rsidRDefault="00896325" w:rsidP="00896325">
      <w:pPr>
        <w:pStyle w:val="ListParagraph"/>
        <w:spacing w:after="0" w:line="240" w:lineRule="auto"/>
        <w:jc w:val="both"/>
        <w:rPr>
          <w:rFonts w:ascii="Arial Narrow" w:hAnsi="Arial Narrow" w:cs="Arial"/>
          <w:b/>
          <w:bCs/>
          <w:sz w:val="24"/>
          <w:szCs w:val="24"/>
        </w:rPr>
      </w:pPr>
    </w:p>
    <w:p w14:paraId="39FE53C6" w14:textId="44ED780C" w:rsidR="00504495" w:rsidRPr="00FF5D87" w:rsidRDefault="009E61CB" w:rsidP="00E134C9">
      <w:pPr>
        <w:spacing w:after="0" w:line="240" w:lineRule="auto"/>
        <w:jc w:val="both"/>
        <w:rPr>
          <w:rFonts w:ascii="Arial Narrow" w:hAnsi="Arial Narrow" w:cs="Arial"/>
          <w:sz w:val="24"/>
          <w:szCs w:val="24"/>
        </w:rPr>
      </w:pPr>
      <w:r w:rsidRPr="00FF5D87">
        <w:rPr>
          <w:rFonts w:ascii="Arial Narrow" w:hAnsi="Arial Narrow" w:cs="Arial"/>
          <w:sz w:val="24"/>
          <w:szCs w:val="24"/>
        </w:rPr>
        <w:t>En México</w:t>
      </w:r>
      <w:r w:rsidR="00896325" w:rsidRPr="00FF5D87">
        <w:rPr>
          <w:rFonts w:ascii="Arial Narrow" w:hAnsi="Arial Narrow" w:cs="Arial"/>
          <w:sz w:val="24"/>
          <w:szCs w:val="24"/>
        </w:rPr>
        <w:t>, el reconocimiento de los pueblos indígenas se contempla</w:t>
      </w:r>
      <w:r w:rsidR="00AC1F83" w:rsidRPr="00FF5D87">
        <w:rPr>
          <w:rFonts w:ascii="Arial Narrow" w:hAnsi="Arial Narrow" w:cs="Arial"/>
          <w:sz w:val="24"/>
          <w:szCs w:val="24"/>
        </w:rPr>
        <w:t xml:space="preserve"> </w:t>
      </w:r>
      <w:r w:rsidR="00061325" w:rsidRPr="00FF5D87">
        <w:rPr>
          <w:rFonts w:ascii="Arial Narrow" w:hAnsi="Arial Narrow" w:cs="Arial"/>
          <w:sz w:val="24"/>
          <w:szCs w:val="24"/>
        </w:rPr>
        <w:t xml:space="preserve">en la </w:t>
      </w:r>
      <w:r w:rsidR="00504495" w:rsidRPr="00FF5D87">
        <w:rPr>
          <w:rFonts w:ascii="Arial Narrow" w:hAnsi="Arial Narrow" w:cs="Arial"/>
          <w:sz w:val="24"/>
          <w:szCs w:val="24"/>
        </w:rPr>
        <w:t>Constitución Política de los Estados Unidos Mexicanos</w:t>
      </w:r>
      <w:r w:rsidR="00F7736B" w:rsidRPr="00FF5D87">
        <w:rPr>
          <w:rFonts w:ascii="Arial Narrow" w:hAnsi="Arial Narrow" w:cs="Arial"/>
          <w:sz w:val="24"/>
          <w:szCs w:val="24"/>
        </w:rPr>
        <w:t xml:space="preserve"> (CPEUM)</w:t>
      </w:r>
      <w:r w:rsidR="00966DE2" w:rsidRPr="00FF5D87">
        <w:rPr>
          <w:rFonts w:ascii="Arial Narrow" w:hAnsi="Arial Narrow" w:cs="Arial"/>
          <w:sz w:val="24"/>
          <w:szCs w:val="24"/>
        </w:rPr>
        <w:t xml:space="preserve"> a partir del siguiente contenido: </w:t>
      </w:r>
    </w:p>
    <w:p w14:paraId="217A1C15" w14:textId="77777777" w:rsidR="00E134C9" w:rsidRPr="00FF5D87" w:rsidRDefault="00E134C9" w:rsidP="00E134C9">
      <w:pPr>
        <w:spacing w:after="0" w:line="240" w:lineRule="auto"/>
        <w:jc w:val="both"/>
        <w:rPr>
          <w:rFonts w:ascii="Arial Narrow" w:hAnsi="Arial Narrow" w:cs="Arial"/>
          <w:sz w:val="24"/>
          <w:szCs w:val="24"/>
        </w:rPr>
      </w:pPr>
    </w:p>
    <w:tbl>
      <w:tblPr>
        <w:tblStyle w:val="TableGridLight"/>
        <w:tblW w:w="0" w:type="auto"/>
        <w:tblLook w:val="04A0" w:firstRow="1" w:lastRow="0" w:firstColumn="1" w:lastColumn="0" w:noHBand="0" w:noVBand="1"/>
      </w:tblPr>
      <w:tblGrid>
        <w:gridCol w:w="1672"/>
        <w:gridCol w:w="6958"/>
        <w:gridCol w:w="1332"/>
      </w:tblGrid>
      <w:tr w:rsidR="00746012" w:rsidRPr="00FF5D87" w14:paraId="3D0C94EA" w14:textId="2B273B09" w:rsidTr="00CC5F57">
        <w:trPr>
          <w:trHeight w:val="752"/>
        </w:trPr>
        <w:tc>
          <w:tcPr>
            <w:tcW w:w="1687" w:type="dxa"/>
            <w:shd w:val="clear" w:color="auto" w:fill="DED7FB"/>
            <w:vAlign w:val="center"/>
          </w:tcPr>
          <w:p w14:paraId="26B00447" w14:textId="625839C5" w:rsidR="00746012" w:rsidRPr="00FF5D87" w:rsidRDefault="00746012" w:rsidP="00F7736B">
            <w:pPr>
              <w:spacing w:line="240" w:lineRule="auto"/>
              <w:jc w:val="center"/>
              <w:rPr>
                <w:rFonts w:ascii="Arial Narrow" w:hAnsi="Arial Narrow" w:cs="Arial"/>
                <w:b/>
                <w:sz w:val="24"/>
                <w:szCs w:val="24"/>
              </w:rPr>
            </w:pPr>
            <w:r w:rsidRPr="00FF5D87">
              <w:rPr>
                <w:rFonts w:ascii="Arial Narrow" w:hAnsi="Arial Narrow" w:cs="Arial"/>
                <w:b/>
                <w:sz w:val="24"/>
                <w:szCs w:val="24"/>
              </w:rPr>
              <w:t>Artículo CPEUM</w:t>
            </w:r>
          </w:p>
        </w:tc>
        <w:tc>
          <w:tcPr>
            <w:tcW w:w="7239" w:type="dxa"/>
            <w:shd w:val="clear" w:color="auto" w:fill="DED7FB"/>
            <w:vAlign w:val="center"/>
          </w:tcPr>
          <w:p w14:paraId="49A0E8B7" w14:textId="57B27CDF" w:rsidR="00746012" w:rsidRPr="00FF5D87" w:rsidRDefault="00746012" w:rsidP="00F7736B">
            <w:pPr>
              <w:spacing w:line="240" w:lineRule="auto"/>
              <w:jc w:val="center"/>
              <w:rPr>
                <w:rFonts w:ascii="Arial Narrow" w:hAnsi="Arial Narrow" w:cs="Arial"/>
                <w:b/>
                <w:sz w:val="24"/>
                <w:szCs w:val="24"/>
              </w:rPr>
            </w:pPr>
            <w:r w:rsidRPr="00FF5D87">
              <w:rPr>
                <w:rFonts w:ascii="Arial Narrow" w:hAnsi="Arial Narrow" w:cs="Arial"/>
                <w:b/>
                <w:sz w:val="24"/>
                <w:szCs w:val="24"/>
              </w:rPr>
              <w:t>Contenido</w:t>
            </w:r>
          </w:p>
        </w:tc>
        <w:tc>
          <w:tcPr>
            <w:tcW w:w="1036" w:type="dxa"/>
            <w:shd w:val="clear" w:color="auto" w:fill="DED7FB"/>
            <w:vAlign w:val="center"/>
          </w:tcPr>
          <w:p w14:paraId="1B108A6F" w14:textId="1593F2D4" w:rsidR="00746012" w:rsidRPr="00FF5D87" w:rsidRDefault="00746012" w:rsidP="00F7736B">
            <w:pPr>
              <w:spacing w:line="240" w:lineRule="auto"/>
              <w:jc w:val="center"/>
              <w:rPr>
                <w:rFonts w:ascii="Arial Narrow" w:hAnsi="Arial Narrow" w:cs="Arial"/>
                <w:b/>
                <w:sz w:val="24"/>
                <w:szCs w:val="24"/>
              </w:rPr>
            </w:pPr>
            <w:r w:rsidRPr="00FF5D87">
              <w:rPr>
                <w:rFonts w:ascii="Arial Narrow" w:hAnsi="Arial Narrow" w:cs="Arial"/>
                <w:b/>
                <w:sz w:val="24"/>
                <w:szCs w:val="24"/>
              </w:rPr>
              <w:t>Artículo Declaración relacionado</w:t>
            </w:r>
          </w:p>
        </w:tc>
      </w:tr>
      <w:tr w:rsidR="00CD46C8" w:rsidRPr="00FF5D87" w14:paraId="1E6DA50C" w14:textId="649B86B5" w:rsidTr="00CC5F57">
        <w:trPr>
          <w:trHeight w:val="838"/>
        </w:trPr>
        <w:tc>
          <w:tcPr>
            <w:tcW w:w="1687" w:type="dxa"/>
            <w:vAlign w:val="center"/>
          </w:tcPr>
          <w:p w14:paraId="26B9A615" w14:textId="7333760B" w:rsidR="00CD46C8" w:rsidRPr="00FF5D87" w:rsidRDefault="0037320B" w:rsidP="00477721">
            <w:pPr>
              <w:pStyle w:val="ListParagraph"/>
              <w:spacing w:line="240" w:lineRule="auto"/>
              <w:ind w:left="0"/>
              <w:contextualSpacing w:val="0"/>
              <w:jc w:val="center"/>
              <w:rPr>
                <w:rFonts w:ascii="Arial Narrow" w:hAnsi="Arial Narrow" w:cs="Arial"/>
                <w:sz w:val="24"/>
                <w:szCs w:val="24"/>
              </w:rPr>
            </w:pPr>
            <w:r w:rsidRPr="00FF5D87">
              <w:rPr>
                <w:rFonts w:ascii="Arial Narrow" w:hAnsi="Arial Narrow" w:cs="Arial"/>
                <w:sz w:val="24"/>
                <w:szCs w:val="24"/>
              </w:rPr>
              <w:t>Art. 2,</w:t>
            </w:r>
            <w:r w:rsidR="00CD46C8" w:rsidRPr="00FF5D87">
              <w:rPr>
                <w:rFonts w:ascii="Arial Narrow" w:hAnsi="Arial Narrow" w:cs="Arial"/>
                <w:sz w:val="24"/>
                <w:szCs w:val="24"/>
              </w:rPr>
              <w:t xml:space="preserve"> apartado A</w:t>
            </w:r>
            <w:r w:rsidRPr="00FF5D87">
              <w:rPr>
                <w:rFonts w:ascii="Arial Narrow" w:hAnsi="Arial Narrow" w:cs="Arial"/>
                <w:sz w:val="24"/>
                <w:szCs w:val="24"/>
              </w:rPr>
              <w:t>, fracción I</w:t>
            </w:r>
          </w:p>
        </w:tc>
        <w:tc>
          <w:tcPr>
            <w:tcW w:w="7239" w:type="dxa"/>
            <w:vAlign w:val="center"/>
          </w:tcPr>
          <w:p w14:paraId="3B253BA3" w14:textId="7DD73824" w:rsidR="00CD46C8" w:rsidRPr="00FF5D87" w:rsidRDefault="00CD46C8" w:rsidP="0037320B">
            <w:pPr>
              <w:spacing w:line="240" w:lineRule="auto"/>
              <w:jc w:val="both"/>
              <w:rPr>
                <w:rFonts w:ascii="Arial Narrow" w:hAnsi="Arial Narrow" w:cs="Arial"/>
                <w:sz w:val="24"/>
                <w:szCs w:val="24"/>
              </w:rPr>
            </w:pPr>
            <w:r w:rsidRPr="00FF5D87">
              <w:rPr>
                <w:rFonts w:ascii="Arial Narrow" w:hAnsi="Arial Narrow" w:cs="Arial"/>
                <w:sz w:val="24"/>
                <w:szCs w:val="24"/>
              </w:rPr>
              <w:t>Decidir sus formas internas de convivencia y organización social, económica, política y cultural, considerando los criterios etnolingüísticos y de asentamiento físico.</w:t>
            </w:r>
          </w:p>
        </w:tc>
        <w:tc>
          <w:tcPr>
            <w:tcW w:w="1036" w:type="dxa"/>
            <w:vMerge w:val="restart"/>
            <w:vAlign w:val="center"/>
          </w:tcPr>
          <w:p w14:paraId="3D8BCB69" w14:textId="04049C0D" w:rsidR="00CD46C8" w:rsidRPr="00FF5D87" w:rsidRDefault="00CC5F57" w:rsidP="00F7736B">
            <w:pPr>
              <w:spacing w:line="240" w:lineRule="auto"/>
              <w:jc w:val="center"/>
              <w:rPr>
                <w:rFonts w:ascii="Arial Narrow" w:hAnsi="Arial Narrow" w:cs="Arial"/>
                <w:sz w:val="24"/>
                <w:szCs w:val="24"/>
              </w:rPr>
            </w:pPr>
            <w:r w:rsidRPr="00FF5D87">
              <w:rPr>
                <w:rFonts w:ascii="Arial Narrow" w:hAnsi="Arial Narrow" w:cs="Arial"/>
                <w:sz w:val="24"/>
                <w:szCs w:val="24"/>
              </w:rPr>
              <w:t>Art.</w:t>
            </w:r>
            <w:r w:rsidR="00CD46C8" w:rsidRPr="00FF5D87">
              <w:rPr>
                <w:rFonts w:ascii="Arial Narrow" w:hAnsi="Arial Narrow" w:cs="Arial"/>
                <w:sz w:val="24"/>
                <w:szCs w:val="24"/>
              </w:rPr>
              <w:t xml:space="preserve"> 3</w:t>
            </w:r>
          </w:p>
        </w:tc>
      </w:tr>
      <w:tr w:rsidR="00CD46C8" w:rsidRPr="00FF5D87" w14:paraId="6D6B9BFE" w14:textId="37074613" w:rsidTr="00CC5F57">
        <w:trPr>
          <w:trHeight w:val="592"/>
        </w:trPr>
        <w:tc>
          <w:tcPr>
            <w:tcW w:w="1687" w:type="dxa"/>
            <w:vAlign w:val="center"/>
          </w:tcPr>
          <w:p w14:paraId="6F61861D" w14:textId="304DFF80" w:rsidR="00CD46C8" w:rsidRPr="00FF5D87" w:rsidRDefault="00477721" w:rsidP="00F7736B">
            <w:pPr>
              <w:spacing w:line="240" w:lineRule="auto"/>
              <w:jc w:val="center"/>
              <w:rPr>
                <w:rFonts w:ascii="Arial Narrow" w:hAnsi="Arial Narrow" w:cs="Arial"/>
                <w:sz w:val="24"/>
                <w:szCs w:val="24"/>
              </w:rPr>
            </w:pPr>
            <w:r w:rsidRPr="00FF5D87">
              <w:rPr>
                <w:rFonts w:ascii="Arial Narrow" w:hAnsi="Arial Narrow" w:cs="Arial"/>
                <w:sz w:val="24"/>
                <w:szCs w:val="24"/>
              </w:rPr>
              <w:t>Art. 2, apartado A, fracción II</w:t>
            </w:r>
          </w:p>
        </w:tc>
        <w:tc>
          <w:tcPr>
            <w:tcW w:w="7239" w:type="dxa"/>
            <w:vAlign w:val="center"/>
          </w:tcPr>
          <w:p w14:paraId="0B62EEB0" w14:textId="5E86DAAE" w:rsidR="00CD46C8" w:rsidRPr="00FF5D87" w:rsidRDefault="00CD46C8" w:rsidP="0037320B">
            <w:pPr>
              <w:spacing w:line="240" w:lineRule="auto"/>
              <w:jc w:val="both"/>
              <w:rPr>
                <w:rFonts w:ascii="Arial Narrow" w:hAnsi="Arial Narrow" w:cs="Arial"/>
                <w:sz w:val="24"/>
                <w:szCs w:val="24"/>
              </w:rPr>
            </w:pPr>
            <w:r w:rsidRPr="00FF5D87">
              <w:rPr>
                <w:rFonts w:ascii="Arial Narrow" w:hAnsi="Arial Narrow" w:cs="Arial"/>
                <w:sz w:val="24"/>
                <w:szCs w:val="24"/>
              </w:rPr>
              <w:t>Aplicar sus sistemas normativos en la regulación y solución de sus conflictos internos, sujetándose a los principios generales de la Constitución.</w:t>
            </w:r>
          </w:p>
        </w:tc>
        <w:tc>
          <w:tcPr>
            <w:tcW w:w="1036" w:type="dxa"/>
            <w:vMerge/>
            <w:vAlign w:val="center"/>
          </w:tcPr>
          <w:p w14:paraId="2D1812F5" w14:textId="77777777" w:rsidR="00CD46C8" w:rsidRPr="00FF5D87" w:rsidRDefault="00CD46C8" w:rsidP="00F7736B">
            <w:pPr>
              <w:spacing w:line="240" w:lineRule="auto"/>
              <w:jc w:val="center"/>
              <w:rPr>
                <w:rFonts w:ascii="Arial Narrow" w:hAnsi="Arial Narrow" w:cs="Arial"/>
                <w:sz w:val="24"/>
                <w:szCs w:val="24"/>
              </w:rPr>
            </w:pPr>
          </w:p>
        </w:tc>
      </w:tr>
      <w:tr w:rsidR="00CD46C8" w:rsidRPr="00FF5D87" w14:paraId="68F32CB2" w14:textId="0F9C027F" w:rsidTr="00CC5F57">
        <w:trPr>
          <w:trHeight w:val="616"/>
        </w:trPr>
        <w:tc>
          <w:tcPr>
            <w:tcW w:w="1687" w:type="dxa"/>
            <w:vAlign w:val="center"/>
          </w:tcPr>
          <w:p w14:paraId="544C591B" w14:textId="79A98311" w:rsidR="00CD46C8" w:rsidRPr="00FF5D87" w:rsidRDefault="00477721" w:rsidP="00F7736B">
            <w:pPr>
              <w:spacing w:line="240" w:lineRule="auto"/>
              <w:jc w:val="center"/>
              <w:rPr>
                <w:rFonts w:ascii="Arial Narrow" w:hAnsi="Arial Narrow" w:cs="Arial"/>
                <w:sz w:val="24"/>
                <w:szCs w:val="24"/>
              </w:rPr>
            </w:pPr>
            <w:r w:rsidRPr="00FF5D87">
              <w:rPr>
                <w:rFonts w:ascii="Arial Narrow" w:hAnsi="Arial Narrow" w:cs="Arial"/>
                <w:sz w:val="24"/>
                <w:szCs w:val="24"/>
              </w:rPr>
              <w:t>Art. 2, apartado A, fracción III</w:t>
            </w:r>
          </w:p>
        </w:tc>
        <w:tc>
          <w:tcPr>
            <w:tcW w:w="7239" w:type="dxa"/>
            <w:vAlign w:val="center"/>
          </w:tcPr>
          <w:p w14:paraId="10034823" w14:textId="04E2C26C" w:rsidR="00CD46C8" w:rsidRPr="00FF5D87" w:rsidRDefault="00FF57AD" w:rsidP="0037320B">
            <w:pPr>
              <w:spacing w:line="240" w:lineRule="auto"/>
              <w:jc w:val="both"/>
              <w:rPr>
                <w:rFonts w:ascii="Arial Narrow" w:hAnsi="Arial Narrow" w:cs="Arial"/>
                <w:sz w:val="24"/>
                <w:szCs w:val="24"/>
              </w:rPr>
            </w:pPr>
            <w:r w:rsidRPr="00FF5D87">
              <w:rPr>
                <w:rFonts w:ascii="Arial Narrow" w:hAnsi="Arial Narrow" w:cs="Arial"/>
                <w:sz w:val="24"/>
                <w:szCs w:val="24"/>
              </w:rPr>
              <w:t>E</w:t>
            </w:r>
            <w:r w:rsidR="00CD46C8" w:rsidRPr="00FF5D87">
              <w:rPr>
                <w:rFonts w:ascii="Arial Narrow" w:hAnsi="Arial Narrow" w:cs="Arial"/>
                <w:sz w:val="24"/>
                <w:szCs w:val="24"/>
              </w:rPr>
              <w:t>legir de acuerdo con sus normas, procedimientos y prácticas tradicionales, a las autoridades o representantes para el ejercicio de sus formas propias de gobierno interno</w:t>
            </w:r>
            <w:r w:rsidR="00ED5C32" w:rsidRPr="00FF5D87">
              <w:rPr>
                <w:rFonts w:ascii="Arial Narrow" w:hAnsi="Arial Narrow" w:cs="Arial"/>
                <w:sz w:val="24"/>
                <w:szCs w:val="24"/>
              </w:rPr>
              <w:t>, garantizando la igualdad, así como acceder</w:t>
            </w:r>
            <w:r w:rsidR="00CD46C8" w:rsidRPr="00FF5D87">
              <w:rPr>
                <w:rFonts w:ascii="Arial Narrow" w:hAnsi="Arial Narrow" w:cs="Arial"/>
                <w:sz w:val="24"/>
                <w:szCs w:val="24"/>
              </w:rPr>
              <w:t xml:space="preserve"> a la participación política, sin que pueda ser limitado en ningún caso por las practicas comunitarias</w:t>
            </w:r>
            <w:r w:rsidR="00D41765" w:rsidRPr="00FF5D87">
              <w:rPr>
                <w:rFonts w:ascii="Arial Narrow" w:hAnsi="Arial Narrow" w:cs="Arial"/>
                <w:sz w:val="24"/>
                <w:szCs w:val="24"/>
              </w:rPr>
              <w:t xml:space="preserve">. </w:t>
            </w:r>
          </w:p>
        </w:tc>
        <w:tc>
          <w:tcPr>
            <w:tcW w:w="1036" w:type="dxa"/>
            <w:vMerge/>
            <w:vAlign w:val="center"/>
          </w:tcPr>
          <w:p w14:paraId="6F186C2B" w14:textId="77777777" w:rsidR="00CD46C8" w:rsidRPr="00FF5D87" w:rsidRDefault="00CD46C8" w:rsidP="00F7736B">
            <w:pPr>
              <w:spacing w:line="240" w:lineRule="auto"/>
              <w:jc w:val="center"/>
              <w:rPr>
                <w:rFonts w:ascii="Arial Narrow" w:hAnsi="Arial Narrow" w:cs="Arial"/>
                <w:sz w:val="24"/>
                <w:szCs w:val="24"/>
              </w:rPr>
            </w:pPr>
          </w:p>
        </w:tc>
      </w:tr>
      <w:tr w:rsidR="00CD46C8" w:rsidRPr="00FF5D87" w14:paraId="2FF3DC6C" w14:textId="77777777" w:rsidTr="00CC5F57">
        <w:trPr>
          <w:trHeight w:val="612"/>
        </w:trPr>
        <w:tc>
          <w:tcPr>
            <w:tcW w:w="1687" w:type="dxa"/>
            <w:vAlign w:val="center"/>
          </w:tcPr>
          <w:p w14:paraId="14B15A18" w14:textId="15F8DC95" w:rsidR="00CD46C8" w:rsidRPr="00FF5D87" w:rsidRDefault="00477721" w:rsidP="00F7736B">
            <w:pPr>
              <w:spacing w:line="240" w:lineRule="auto"/>
              <w:jc w:val="center"/>
              <w:rPr>
                <w:rFonts w:ascii="Arial Narrow" w:hAnsi="Arial Narrow" w:cs="Arial"/>
                <w:sz w:val="24"/>
                <w:szCs w:val="24"/>
              </w:rPr>
            </w:pPr>
            <w:r w:rsidRPr="00FF5D87">
              <w:rPr>
                <w:rFonts w:ascii="Arial Narrow" w:hAnsi="Arial Narrow" w:cs="Arial"/>
                <w:sz w:val="24"/>
                <w:szCs w:val="24"/>
              </w:rPr>
              <w:t>Art. 2, apartado A, fracción IV</w:t>
            </w:r>
          </w:p>
        </w:tc>
        <w:tc>
          <w:tcPr>
            <w:tcW w:w="7239" w:type="dxa"/>
            <w:vAlign w:val="center"/>
          </w:tcPr>
          <w:p w14:paraId="72DA1558" w14:textId="0A495F69" w:rsidR="00CD46C8" w:rsidRPr="00FF5D87" w:rsidRDefault="00CD46C8" w:rsidP="0037320B">
            <w:pPr>
              <w:spacing w:line="240" w:lineRule="auto"/>
              <w:jc w:val="both"/>
              <w:rPr>
                <w:rFonts w:ascii="Arial Narrow" w:hAnsi="Arial Narrow" w:cs="Arial"/>
                <w:sz w:val="24"/>
                <w:szCs w:val="24"/>
              </w:rPr>
            </w:pPr>
            <w:r w:rsidRPr="00FF5D87">
              <w:rPr>
                <w:rFonts w:ascii="Arial Narrow" w:hAnsi="Arial Narrow" w:cs="Arial"/>
                <w:sz w:val="24"/>
                <w:szCs w:val="24"/>
              </w:rPr>
              <w:t>Preservar y enriquecer sus lenguas, conocimientos y todos los elementos que constituyan su cultura e identidad.</w:t>
            </w:r>
          </w:p>
        </w:tc>
        <w:tc>
          <w:tcPr>
            <w:tcW w:w="1036" w:type="dxa"/>
            <w:vAlign w:val="center"/>
          </w:tcPr>
          <w:p w14:paraId="3371CDE0" w14:textId="534A5713" w:rsidR="00CD46C8" w:rsidRPr="00FF5D87" w:rsidRDefault="00CC5F57" w:rsidP="00F7736B">
            <w:pPr>
              <w:spacing w:line="240" w:lineRule="auto"/>
              <w:jc w:val="center"/>
              <w:rPr>
                <w:rFonts w:ascii="Arial Narrow" w:hAnsi="Arial Narrow" w:cs="Arial"/>
                <w:sz w:val="24"/>
                <w:szCs w:val="24"/>
              </w:rPr>
            </w:pPr>
            <w:r w:rsidRPr="00FF5D87">
              <w:rPr>
                <w:rFonts w:ascii="Arial Narrow" w:hAnsi="Arial Narrow" w:cs="Arial"/>
                <w:sz w:val="24"/>
                <w:szCs w:val="24"/>
              </w:rPr>
              <w:t xml:space="preserve">Art. </w:t>
            </w:r>
            <w:r w:rsidR="00CD46C8" w:rsidRPr="00FF5D87">
              <w:rPr>
                <w:rFonts w:ascii="Arial Narrow" w:hAnsi="Arial Narrow" w:cs="Arial"/>
                <w:sz w:val="24"/>
                <w:szCs w:val="24"/>
              </w:rPr>
              <w:t>5</w:t>
            </w:r>
          </w:p>
        </w:tc>
      </w:tr>
      <w:tr w:rsidR="00263528" w:rsidRPr="00FF5D87" w14:paraId="36676A31" w14:textId="77777777" w:rsidTr="00CC5F57">
        <w:trPr>
          <w:trHeight w:val="564"/>
        </w:trPr>
        <w:tc>
          <w:tcPr>
            <w:tcW w:w="1687" w:type="dxa"/>
            <w:vAlign w:val="center"/>
          </w:tcPr>
          <w:p w14:paraId="095056E6" w14:textId="4A142355" w:rsidR="00263528" w:rsidRPr="00FF5D87" w:rsidRDefault="00477721" w:rsidP="00F7736B">
            <w:pPr>
              <w:spacing w:line="240" w:lineRule="auto"/>
              <w:jc w:val="center"/>
              <w:rPr>
                <w:rFonts w:ascii="Arial Narrow" w:hAnsi="Arial Narrow" w:cs="Arial"/>
                <w:sz w:val="24"/>
                <w:szCs w:val="24"/>
              </w:rPr>
            </w:pPr>
            <w:r w:rsidRPr="00FF5D87">
              <w:rPr>
                <w:rFonts w:ascii="Arial Narrow" w:hAnsi="Arial Narrow" w:cs="Arial"/>
                <w:sz w:val="24"/>
                <w:szCs w:val="24"/>
              </w:rPr>
              <w:t>Art. 2, apartado A, fracción V</w:t>
            </w:r>
          </w:p>
        </w:tc>
        <w:tc>
          <w:tcPr>
            <w:tcW w:w="7239" w:type="dxa"/>
            <w:vAlign w:val="center"/>
          </w:tcPr>
          <w:p w14:paraId="6A2267D5" w14:textId="4AF3D0C6" w:rsidR="00263528" w:rsidRPr="00FF5D87" w:rsidRDefault="00263528" w:rsidP="0037320B">
            <w:pPr>
              <w:spacing w:line="240" w:lineRule="auto"/>
              <w:jc w:val="both"/>
              <w:rPr>
                <w:rFonts w:ascii="Arial Narrow" w:hAnsi="Arial Narrow" w:cs="Arial"/>
                <w:sz w:val="24"/>
                <w:szCs w:val="24"/>
              </w:rPr>
            </w:pPr>
            <w:r w:rsidRPr="00FF5D87">
              <w:rPr>
                <w:rFonts w:ascii="Arial Narrow" w:hAnsi="Arial Narrow" w:cs="Arial"/>
                <w:sz w:val="24"/>
                <w:szCs w:val="24"/>
              </w:rPr>
              <w:t>Conservación, protección integral y mejorar el hábitat y preservar la integridad de sus tierras</w:t>
            </w:r>
            <w:r w:rsidR="00582865" w:rsidRPr="00FF5D87">
              <w:rPr>
                <w:rFonts w:ascii="Arial Narrow" w:hAnsi="Arial Narrow" w:cs="Arial"/>
                <w:sz w:val="24"/>
                <w:szCs w:val="24"/>
              </w:rPr>
              <w:t>.</w:t>
            </w:r>
          </w:p>
        </w:tc>
        <w:tc>
          <w:tcPr>
            <w:tcW w:w="1036" w:type="dxa"/>
            <w:vMerge w:val="restart"/>
            <w:vAlign w:val="center"/>
          </w:tcPr>
          <w:p w14:paraId="44F642A4" w14:textId="76803112" w:rsidR="00263528" w:rsidRPr="00FF5D87" w:rsidRDefault="00CC5F57" w:rsidP="00F7736B">
            <w:pPr>
              <w:spacing w:line="240" w:lineRule="auto"/>
              <w:jc w:val="center"/>
              <w:rPr>
                <w:rFonts w:ascii="Arial Narrow" w:hAnsi="Arial Narrow" w:cs="Arial"/>
                <w:sz w:val="24"/>
                <w:szCs w:val="24"/>
              </w:rPr>
            </w:pPr>
            <w:r w:rsidRPr="00FF5D87">
              <w:rPr>
                <w:rFonts w:ascii="Arial Narrow" w:hAnsi="Arial Narrow" w:cs="Arial"/>
                <w:sz w:val="24"/>
                <w:szCs w:val="24"/>
              </w:rPr>
              <w:t xml:space="preserve">Art. </w:t>
            </w:r>
            <w:r w:rsidR="00263528" w:rsidRPr="00FF5D87">
              <w:rPr>
                <w:rFonts w:ascii="Arial Narrow" w:hAnsi="Arial Narrow" w:cs="Arial"/>
                <w:sz w:val="24"/>
                <w:szCs w:val="24"/>
              </w:rPr>
              <w:t>26</w:t>
            </w:r>
          </w:p>
        </w:tc>
      </w:tr>
      <w:tr w:rsidR="00263528" w:rsidRPr="00FF5D87" w14:paraId="34FE4E30" w14:textId="77777777" w:rsidTr="00CC5F57">
        <w:trPr>
          <w:trHeight w:val="740"/>
        </w:trPr>
        <w:tc>
          <w:tcPr>
            <w:tcW w:w="1687" w:type="dxa"/>
            <w:vAlign w:val="center"/>
          </w:tcPr>
          <w:p w14:paraId="24DC93DB" w14:textId="019C4D59" w:rsidR="00263528" w:rsidRPr="00FF5D87" w:rsidRDefault="00477721" w:rsidP="00F7736B">
            <w:pPr>
              <w:spacing w:line="240" w:lineRule="auto"/>
              <w:jc w:val="center"/>
              <w:rPr>
                <w:rFonts w:ascii="Arial Narrow" w:hAnsi="Arial Narrow" w:cs="Arial"/>
                <w:sz w:val="24"/>
                <w:szCs w:val="24"/>
              </w:rPr>
            </w:pPr>
            <w:r w:rsidRPr="00FF5D87">
              <w:rPr>
                <w:rFonts w:ascii="Arial Narrow" w:hAnsi="Arial Narrow" w:cs="Arial"/>
                <w:sz w:val="24"/>
                <w:szCs w:val="24"/>
              </w:rPr>
              <w:t>Art. 2, apartado A, fracción VI</w:t>
            </w:r>
          </w:p>
        </w:tc>
        <w:tc>
          <w:tcPr>
            <w:tcW w:w="7239" w:type="dxa"/>
            <w:vAlign w:val="center"/>
          </w:tcPr>
          <w:p w14:paraId="3D20FFBE" w14:textId="069D0B82" w:rsidR="00263528" w:rsidRPr="00FF5D87" w:rsidRDefault="00263528" w:rsidP="0037320B">
            <w:pPr>
              <w:spacing w:line="240" w:lineRule="auto"/>
              <w:jc w:val="both"/>
              <w:rPr>
                <w:rFonts w:ascii="Arial Narrow" w:hAnsi="Arial Narrow" w:cs="Arial"/>
                <w:sz w:val="24"/>
                <w:szCs w:val="24"/>
              </w:rPr>
            </w:pPr>
            <w:r w:rsidRPr="00FF5D87">
              <w:rPr>
                <w:rFonts w:ascii="Arial Narrow" w:hAnsi="Arial Narrow" w:cs="Arial"/>
                <w:sz w:val="24"/>
                <w:szCs w:val="24"/>
              </w:rPr>
              <w:t>Acceder a las formas y modalidades de propiedad y tenencia de la tierra, así como a los derechos adquiridos por terceros o por integrantes de la comunidad, al uso y disfrute preferente de los recursos naturales de los lugares que habitan y ocupan las comunidades.</w:t>
            </w:r>
          </w:p>
        </w:tc>
        <w:tc>
          <w:tcPr>
            <w:tcW w:w="1036" w:type="dxa"/>
            <w:vMerge/>
            <w:vAlign w:val="center"/>
          </w:tcPr>
          <w:p w14:paraId="35FFE4EE" w14:textId="77777777" w:rsidR="00263528" w:rsidRPr="00FF5D87" w:rsidRDefault="00263528" w:rsidP="00F7736B">
            <w:pPr>
              <w:spacing w:line="240" w:lineRule="auto"/>
              <w:jc w:val="center"/>
              <w:rPr>
                <w:rFonts w:ascii="Arial Narrow" w:hAnsi="Arial Narrow" w:cs="Arial"/>
                <w:sz w:val="24"/>
                <w:szCs w:val="24"/>
              </w:rPr>
            </w:pPr>
          </w:p>
        </w:tc>
      </w:tr>
      <w:tr w:rsidR="00CD46C8" w:rsidRPr="00FF5D87" w14:paraId="19954E4F" w14:textId="77777777" w:rsidTr="00CC5F57">
        <w:trPr>
          <w:trHeight w:val="252"/>
        </w:trPr>
        <w:tc>
          <w:tcPr>
            <w:tcW w:w="1687" w:type="dxa"/>
            <w:vAlign w:val="center"/>
          </w:tcPr>
          <w:p w14:paraId="22CFCDD3" w14:textId="07C8614A" w:rsidR="00CD46C8" w:rsidRPr="00FF5D87" w:rsidRDefault="00477721" w:rsidP="00F7736B">
            <w:pPr>
              <w:spacing w:line="240" w:lineRule="auto"/>
              <w:jc w:val="center"/>
              <w:rPr>
                <w:rFonts w:ascii="Arial Narrow" w:hAnsi="Arial Narrow" w:cs="Arial"/>
                <w:sz w:val="24"/>
                <w:szCs w:val="24"/>
              </w:rPr>
            </w:pPr>
            <w:r w:rsidRPr="00FF5D87">
              <w:rPr>
                <w:rFonts w:ascii="Arial Narrow" w:hAnsi="Arial Narrow" w:cs="Arial"/>
                <w:sz w:val="24"/>
                <w:szCs w:val="24"/>
              </w:rPr>
              <w:t>Art. 2, apartado A, fracción VII</w:t>
            </w:r>
          </w:p>
        </w:tc>
        <w:tc>
          <w:tcPr>
            <w:tcW w:w="7239" w:type="dxa"/>
            <w:vAlign w:val="center"/>
          </w:tcPr>
          <w:p w14:paraId="1917D7CB" w14:textId="74DC0455" w:rsidR="00E134C9" w:rsidRPr="00FF5D87" w:rsidRDefault="00CD46C8" w:rsidP="0037320B">
            <w:pPr>
              <w:spacing w:line="240" w:lineRule="auto"/>
              <w:jc w:val="both"/>
              <w:rPr>
                <w:rFonts w:ascii="Arial Narrow" w:hAnsi="Arial Narrow" w:cs="Arial"/>
                <w:sz w:val="24"/>
                <w:szCs w:val="24"/>
              </w:rPr>
            </w:pPr>
            <w:r w:rsidRPr="00FF5D87">
              <w:rPr>
                <w:rFonts w:ascii="Arial Narrow" w:hAnsi="Arial Narrow" w:cs="Arial"/>
                <w:sz w:val="24"/>
                <w:szCs w:val="24"/>
              </w:rPr>
              <w:t>Elección de representantes a nivel municipal</w:t>
            </w:r>
          </w:p>
        </w:tc>
        <w:tc>
          <w:tcPr>
            <w:tcW w:w="1036" w:type="dxa"/>
            <w:vAlign w:val="center"/>
          </w:tcPr>
          <w:p w14:paraId="42BE4CCE" w14:textId="7F594D95" w:rsidR="00CD46C8" w:rsidRPr="00FF5D87" w:rsidRDefault="00CC5F57" w:rsidP="00F7736B">
            <w:pPr>
              <w:spacing w:line="240" w:lineRule="auto"/>
              <w:jc w:val="center"/>
              <w:rPr>
                <w:rFonts w:ascii="Arial Narrow" w:hAnsi="Arial Narrow" w:cs="Arial"/>
                <w:sz w:val="24"/>
                <w:szCs w:val="24"/>
              </w:rPr>
            </w:pPr>
            <w:r w:rsidRPr="00FF5D87">
              <w:rPr>
                <w:rFonts w:ascii="Arial Narrow" w:hAnsi="Arial Narrow" w:cs="Arial"/>
                <w:sz w:val="24"/>
                <w:szCs w:val="24"/>
              </w:rPr>
              <w:t xml:space="preserve">Art. </w:t>
            </w:r>
            <w:r w:rsidR="00BF37A2" w:rsidRPr="00FF5D87">
              <w:rPr>
                <w:rFonts w:ascii="Arial Narrow" w:hAnsi="Arial Narrow" w:cs="Arial"/>
                <w:sz w:val="24"/>
                <w:szCs w:val="24"/>
              </w:rPr>
              <w:t>4</w:t>
            </w:r>
          </w:p>
        </w:tc>
      </w:tr>
      <w:tr w:rsidR="00CD46C8" w:rsidRPr="00FF5D87" w14:paraId="4A3B6FF4" w14:textId="77777777" w:rsidTr="00CC5F57">
        <w:trPr>
          <w:trHeight w:val="740"/>
        </w:trPr>
        <w:tc>
          <w:tcPr>
            <w:tcW w:w="1687" w:type="dxa"/>
            <w:vAlign w:val="center"/>
          </w:tcPr>
          <w:p w14:paraId="380663AA" w14:textId="0A90AC58" w:rsidR="00CD46C8" w:rsidRPr="00FF5D87" w:rsidRDefault="00477721" w:rsidP="00F7736B">
            <w:pPr>
              <w:spacing w:line="240" w:lineRule="auto"/>
              <w:jc w:val="center"/>
              <w:rPr>
                <w:rFonts w:ascii="Arial Narrow" w:hAnsi="Arial Narrow" w:cs="Arial"/>
                <w:sz w:val="24"/>
                <w:szCs w:val="24"/>
              </w:rPr>
            </w:pPr>
            <w:r w:rsidRPr="00FF5D87">
              <w:rPr>
                <w:rFonts w:ascii="Arial Narrow" w:hAnsi="Arial Narrow" w:cs="Arial"/>
                <w:sz w:val="24"/>
                <w:szCs w:val="24"/>
              </w:rPr>
              <w:t>Art. 2, apartado A, fracción VIII</w:t>
            </w:r>
          </w:p>
        </w:tc>
        <w:tc>
          <w:tcPr>
            <w:tcW w:w="7239" w:type="dxa"/>
            <w:vAlign w:val="center"/>
          </w:tcPr>
          <w:p w14:paraId="682A43C7" w14:textId="0685FE8F" w:rsidR="00CD46C8" w:rsidRPr="00FF5D87" w:rsidRDefault="00CD46C8" w:rsidP="0037320B">
            <w:pPr>
              <w:spacing w:line="240" w:lineRule="auto"/>
              <w:jc w:val="both"/>
              <w:rPr>
                <w:rFonts w:ascii="Arial Narrow" w:hAnsi="Arial Narrow" w:cs="Arial"/>
                <w:sz w:val="24"/>
                <w:szCs w:val="24"/>
              </w:rPr>
            </w:pPr>
            <w:r w:rsidRPr="00FF5D87">
              <w:rPr>
                <w:rFonts w:ascii="Arial Narrow" w:hAnsi="Arial Narrow" w:cs="Arial"/>
                <w:sz w:val="24"/>
                <w:szCs w:val="24"/>
              </w:rPr>
              <w:t>Acceder a la jurisdicción del Estado y contar en todo momento en cualquier juicio y procedimiento con intérpretes y defensores que tengan conocimiento de su lengua y cultura</w:t>
            </w:r>
          </w:p>
        </w:tc>
        <w:tc>
          <w:tcPr>
            <w:tcW w:w="1036" w:type="dxa"/>
            <w:vAlign w:val="center"/>
          </w:tcPr>
          <w:p w14:paraId="38770D06" w14:textId="110A8253" w:rsidR="00CD46C8" w:rsidRPr="00FF5D87" w:rsidRDefault="00CC5F57" w:rsidP="00F7736B">
            <w:pPr>
              <w:spacing w:line="240" w:lineRule="auto"/>
              <w:jc w:val="center"/>
              <w:rPr>
                <w:rFonts w:ascii="Arial Narrow" w:hAnsi="Arial Narrow" w:cs="Arial"/>
                <w:sz w:val="24"/>
                <w:szCs w:val="24"/>
              </w:rPr>
            </w:pPr>
            <w:r w:rsidRPr="00FF5D87">
              <w:rPr>
                <w:rFonts w:ascii="Arial Narrow" w:hAnsi="Arial Narrow" w:cs="Arial"/>
                <w:sz w:val="24"/>
                <w:szCs w:val="24"/>
              </w:rPr>
              <w:t xml:space="preserve">Art. </w:t>
            </w:r>
            <w:r w:rsidR="00263528" w:rsidRPr="00FF5D87">
              <w:rPr>
                <w:rFonts w:ascii="Arial Narrow" w:hAnsi="Arial Narrow" w:cs="Arial"/>
                <w:sz w:val="24"/>
                <w:szCs w:val="24"/>
              </w:rPr>
              <w:t>13</w:t>
            </w:r>
          </w:p>
        </w:tc>
      </w:tr>
      <w:tr w:rsidR="007B4366" w:rsidRPr="00FF5D87" w14:paraId="60957F45" w14:textId="77777777" w:rsidTr="00CC5F57">
        <w:trPr>
          <w:trHeight w:val="752"/>
        </w:trPr>
        <w:tc>
          <w:tcPr>
            <w:tcW w:w="1687" w:type="dxa"/>
            <w:vAlign w:val="center"/>
          </w:tcPr>
          <w:p w14:paraId="6723892F" w14:textId="3573F0B5" w:rsidR="007B4366" w:rsidRPr="00FF5D87" w:rsidRDefault="007B4366" w:rsidP="00F7736B">
            <w:pPr>
              <w:spacing w:line="240" w:lineRule="auto"/>
              <w:jc w:val="center"/>
              <w:rPr>
                <w:rFonts w:ascii="Arial Narrow" w:hAnsi="Arial Narrow" w:cs="Arial"/>
                <w:sz w:val="24"/>
                <w:szCs w:val="24"/>
              </w:rPr>
            </w:pPr>
            <w:r w:rsidRPr="00FF5D87">
              <w:rPr>
                <w:rFonts w:ascii="Arial Narrow" w:hAnsi="Arial Narrow" w:cs="Arial"/>
                <w:sz w:val="24"/>
                <w:szCs w:val="24"/>
              </w:rPr>
              <w:t>Art.3.</w:t>
            </w:r>
            <w:r w:rsidR="00D81D8A" w:rsidRPr="00FF5D87">
              <w:rPr>
                <w:rFonts w:ascii="Arial Narrow" w:hAnsi="Arial Narrow" w:cs="Arial"/>
                <w:sz w:val="24"/>
                <w:szCs w:val="24"/>
              </w:rPr>
              <w:t xml:space="preserve">fracción </w:t>
            </w:r>
            <w:r w:rsidRPr="00FF5D87">
              <w:rPr>
                <w:rFonts w:ascii="Arial Narrow" w:hAnsi="Arial Narrow" w:cs="Arial"/>
                <w:sz w:val="24"/>
                <w:szCs w:val="24"/>
              </w:rPr>
              <w:t>II</w:t>
            </w:r>
            <w:r w:rsidR="00D81D8A" w:rsidRPr="00FF5D87">
              <w:rPr>
                <w:rFonts w:ascii="Arial Narrow" w:hAnsi="Arial Narrow" w:cs="Arial"/>
                <w:sz w:val="24"/>
                <w:szCs w:val="24"/>
              </w:rPr>
              <w:t xml:space="preserve">, inciso </w:t>
            </w:r>
            <w:r w:rsidRPr="00FF5D87">
              <w:rPr>
                <w:rFonts w:ascii="Arial Narrow" w:hAnsi="Arial Narrow" w:cs="Arial"/>
                <w:sz w:val="24"/>
                <w:szCs w:val="24"/>
              </w:rPr>
              <w:t>e</w:t>
            </w:r>
            <w:r w:rsidR="00D81D8A" w:rsidRPr="00FF5D87">
              <w:rPr>
                <w:rFonts w:ascii="Arial Narrow" w:hAnsi="Arial Narrow" w:cs="Arial"/>
                <w:sz w:val="24"/>
                <w:szCs w:val="24"/>
              </w:rPr>
              <w:t>, cuarto párrafo.</w:t>
            </w:r>
          </w:p>
        </w:tc>
        <w:tc>
          <w:tcPr>
            <w:tcW w:w="7239" w:type="dxa"/>
            <w:vAlign w:val="center"/>
          </w:tcPr>
          <w:p w14:paraId="56F65D85" w14:textId="2FAA8A37" w:rsidR="007B4366" w:rsidRPr="00FF5D87" w:rsidRDefault="00E725C4" w:rsidP="00E725C4">
            <w:pPr>
              <w:spacing w:line="240" w:lineRule="auto"/>
              <w:jc w:val="both"/>
              <w:rPr>
                <w:rFonts w:ascii="Arial Narrow" w:hAnsi="Arial Narrow" w:cs="Arial"/>
                <w:sz w:val="24"/>
                <w:szCs w:val="24"/>
              </w:rPr>
            </w:pPr>
            <w:r w:rsidRPr="00FF5D87">
              <w:rPr>
                <w:rFonts w:ascii="Arial Narrow" w:hAnsi="Arial Narrow" w:cs="Arial"/>
                <w:sz w:val="24"/>
                <w:szCs w:val="24"/>
              </w:rPr>
              <w:t>Derecho a la educación</w:t>
            </w:r>
            <w:r w:rsidR="007B4366" w:rsidRPr="00FF5D87">
              <w:rPr>
                <w:rFonts w:ascii="Arial Narrow" w:hAnsi="Arial Narrow" w:cs="Arial"/>
                <w:sz w:val="24"/>
                <w:szCs w:val="24"/>
              </w:rPr>
              <w:t xml:space="preserve"> plurilingüe e intercultural basada en el respeto, promoción y preservación del patrimonio histórico y cultural</w:t>
            </w:r>
            <w:r w:rsidR="00D81D8A" w:rsidRPr="00FF5D87">
              <w:rPr>
                <w:rFonts w:ascii="Arial Narrow" w:hAnsi="Arial Narrow" w:cs="Arial"/>
                <w:sz w:val="24"/>
                <w:szCs w:val="24"/>
              </w:rPr>
              <w:t>.</w:t>
            </w:r>
          </w:p>
        </w:tc>
        <w:tc>
          <w:tcPr>
            <w:tcW w:w="1036" w:type="dxa"/>
            <w:vAlign w:val="center"/>
          </w:tcPr>
          <w:p w14:paraId="446E8FF5" w14:textId="50FD4C49" w:rsidR="007B4366" w:rsidRPr="00FF5D87" w:rsidRDefault="00CC5F57" w:rsidP="00F7736B">
            <w:pPr>
              <w:spacing w:line="240" w:lineRule="auto"/>
              <w:jc w:val="center"/>
              <w:rPr>
                <w:rFonts w:ascii="Arial Narrow" w:hAnsi="Arial Narrow" w:cs="Arial"/>
                <w:sz w:val="24"/>
                <w:szCs w:val="24"/>
              </w:rPr>
            </w:pPr>
            <w:r w:rsidRPr="00FF5D87">
              <w:rPr>
                <w:rFonts w:ascii="Arial Narrow" w:hAnsi="Arial Narrow" w:cs="Arial"/>
                <w:sz w:val="24"/>
                <w:szCs w:val="24"/>
              </w:rPr>
              <w:t xml:space="preserve">Art. </w:t>
            </w:r>
            <w:r w:rsidR="007B4366" w:rsidRPr="00FF5D87">
              <w:rPr>
                <w:rFonts w:ascii="Arial Narrow" w:hAnsi="Arial Narrow" w:cs="Arial"/>
                <w:sz w:val="24"/>
                <w:szCs w:val="24"/>
              </w:rPr>
              <w:t>14</w:t>
            </w:r>
          </w:p>
        </w:tc>
      </w:tr>
    </w:tbl>
    <w:p w14:paraId="58DB32E1" w14:textId="77777777" w:rsidR="00E134C9" w:rsidRPr="00FF5D87" w:rsidRDefault="00E134C9" w:rsidP="00E134C9">
      <w:pPr>
        <w:spacing w:after="0" w:line="240" w:lineRule="auto"/>
        <w:jc w:val="both"/>
        <w:rPr>
          <w:rFonts w:ascii="Arial Narrow" w:hAnsi="Arial Narrow" w:cs="Arial"/>
          <w:sz w:val="24"/>
          <w:szCs w:val="24"/>
        </w:rPr>
      </w:pPr>
    </w:p>
    <w:p w14:paraId="5116CC9F" w14:textId="0C14C397" w:rsidR="00746012" w:rsidRPr="00FF5D87" w:rsidRDefault="00746012" w:rsidP="00E134C9">
      <w:pPr>
        <w:spacing w:after="0" w:line="240" w:lineRule="auto"/>
        <w:jc w:val="both"/>
        <w:rPr>
          <w:rFonts w:ascii="Arial Narrow" w:hAnsi="Arial Narrow" w:cs="Arial"/>
          <w:sz w:val="24"/>
          <w:szCs w:val="24"/>
        </w:rPr>
      </w:pPr>
      <w:r w:rsidRPr="00FF5D87">
        <w:rPr>
          <w:rFonts w:ascii="Arial Narrow" w:hAnsi="Arial Narrow" w:cs="Arial"/>
          <w:sz w:val="24"/>
          <w:szCs w:val="24"/>
        </w:rPr>
        <w:t xml:space="preserve">El mismo texto constitucional establece las siguientes </w:t>
      </w:r>
      <w:r w:rsidR="00E725C4" w:rsidRPr="00FF5D87">
        <w:rPr>
          <w:rFonts w:ascii="Arial Narrow" w:hAnsi="Arial Narrow" w:cs="Arial"/>
          <w:sz w:val="24"/>
          <w:szCs w:val="24"/>
        </w:rPr>
        <w:t xml:space="preserve">obligaciones para </w:t>
      </w:r>
      <w:r w:rsidRPr="00FF5D87">
        <w:rPr>
          <w:rFonts w:ascii="Arial Narrow" w:hAnsi="Arial Narrow" w:cs="Arial"/>
          <w:sz w:val="24"/>
          <w:szCs w:val="24"/>
        </w:rPr>
        <w:t>el Estado</w:t>
      </w:r>
      <w:r w:rsidR="008561DD" w:rsidRPr="00FF5D87">
        <w:rPr>
          <w:rFonts w:ascii="Arial Narrow" w:hAnsi="Arial Narrow" w:cs="Arial"/>
          <w:sz w:val="24"/>
          <w:szCs w:val="24"/>
        </w:rPr>
        <w:t xml:space="preserve"> Mexicano</w:t>
      </w:r>
      <w:r w:rsidR="00E725C4" w:rsidRPr="00FF5D87">
        <w:rPr>
          <w:rFonts w:ascii="Arial Narrow" w:hAnsi="Arial Narrow" w:cs="Arial"/>
          <w:sz w:val="24"/>
          <w:szCs w:val="24"/>
        </w:rPr>
        <w:t xml:space="preserve">: </w:t>
      </w:r>
    </w:p>
    <w:p w14:paraId="217181FF" w14:textId="77777777" w:rsidR="00E134C9" w:rsidRPr="00FF5D87" w:rsidRDefault="00E134C9" w:rsidP="00E134C9">
      <w:pPr>
        <w:spacing w:after="0" w:line="240" w:lineRule="auto"/>
        <w:jc w:val="both"/>
        <w:rPr>
          <w:rFonts w:ascii="Arial Narrow" w:hAnsi="Arial Narrow" w:cs="Arial"/>
          <w:sz w:val="24"/>
          <w:szCs w:val="24"/>
        </w:rPr>
      </w:pPr>
    </w:p>
    <w:tbl>
      <w:tblPr>
        <w:tblStyle w:val="TableGrid"/>
        <w:tblW w:w="10143" w:type="dxa"/>
        <w:tblLook w:val="04A0" w:firstRow="1" w:lastRow="0" w:firstColumn="1" w:lastColumn="0" w:noHBand="0" w:noVBand="1"/>
      </w:tblPr>
      <w:tblGrid>
        <w:gridCol w:w="1696"/>
        <w:gridCol w:w="6804"/>
        <w:gridCol w:w="1643"/>
      </w:tblGrid>
      <w:tr w:rsidR="00746012" w:rsidRPr="00FF5D87" w14:paraId="49626698" w14:textId="77777777" w:rsidTr="00517E06">
        <w:trPr>
          <w:trHeight w:val="880"/>
        </w:trPr>
        <w:tc>
          <w:tcPr>
            <w:tcW w:w="1696" w:type="dxa"/>
            <w:shd w:val="clear" w:color="auto" w:fill="DED7FB"/>
            <w:vAlign w:val="center"/>
          </w:tcPr>
          <w:p w14:paraId="7FF4AC2B" w14:textId="53173D7A" w:rsidR="00746012" w:rsidRPr="00FF5D87" w:rsidRDefault="00746012" w:rsidP="00E725C4">
            <w:pPr>
              <w:spacing w:line="240" w:lineRule="auto"/>
              <w:jc w:val="center"/>
              <w:rPr>
                <w:rFonts w:ascii="Arial Narrow" w:hAnsi="Arial Narrow" w:cs="Arial"/>
                <w:b/>
                <w:sz w:val="24"/>
                <w:szCs w:val="24"/>
              </w:rPr>
            </w:pPr>
            <w:r w:rsidRPr="00FF5D87">
              <w:rPr>
                <w:rFonts w:ascii="Arial Narrow" w:hAnsi="Arial Narrow" w:cs="Arial"/>
                <w:b/>
                <w:sz w:val="24"/>
                <w:szCs w:val="24"/>
              </w:rPr>
              <w:t>Artículo de la CPEUM</w:t>
            </w:r>
          </w:p>
        </w:tc>
        <w:tc>
          <w:tcPr>
            <w:tcW w:w="6804" w:type="dxa"/>
            <w:shd w:val="clear" w:color="auto" w:fill="DED7FB"/>
            <w:vAlign w:val="center"/>
          </w:tcPr>
          <w:p w14:paraId="3EC6AFAE" w14:textId="14FE2AF8" w:rsidR="00746012" w:rsidRPr="00FF5D87" w:rsidRDefault="00746012" w:rsidP="00E725C4">
            <w:pPr>
              <w:spacing w:line="240" w:lineRule="auto"/>
              <w:jc w:val="center"/>
              <w:rPr>
                <w:rFonts w:ascii="Arial Narrow" w:hAnsi="Arial Narrow" w:cs="Arial"/>
                <w:b/>
                <w:sz w:val="24"/>
                <w:szCs w:val="24"/>
              </w:rPr>
            </w:pPr>
            <w:r w:rsidRPr="00FF5D87">
              <w:rPr>
                <w:rFonts w:ascii="Arial Narrow" w:hAnsi="Arial Narrow" w:cs="Arial"/>
                <w:b/>
                <w:sz w:val="24"/>
                <w:szCs w:val="24"/>
              </w:rPr>
              <w:t>Contenido</w:t>
            </w:r>
          </w:p>
        </w:tc>
        <w:tc>
          <w:tcPr>
            <w:tcW w:w="1643" w:type="dxa"/>
            <w:shd w:val="clear" w:color="auto" w:fill="DED7FB"/>
            <w:vAlign w:val="center"/>
          </w:tcPr>
          <w:p w14:paraId="674E7EC6" w14:textId="4B586333" w:rsidR="00746012" w:rsidRPr="00FF5D87" w:rsidRDefault="00746012" w:rsidP="00E725C4">
            <w:pPr>
              <w:spacing w:line="240" w:lineRule="auto"/>
              <w:jc w:val="center"/>
              <w:rPr>
                <w:rFonts w:ascii="Arial Narrow" w:hAnsi="Arial Narrow" w:cs="Arial"/>
                <w:b/>
                <w:sz w:val="24"/>
                <w:szCs w:val="24"/>
              </w:rPr>
            </w:pPr>
            <w:r w:rsidRPr="00FF5D87">
              <w:rPr>
                <w:rFonts w:ascii="Arial Narrow" w:hAnsi="Arial Narrow" w:cs="Arial"/>
                <w:b/>
                <w:sz w:val="24"/>
                <w:szCs w:val="24"/>
              </w:rPr>
              <w:t>Artículo Declaración relacionado</w:t>
            </w:r>
          </w:p>
        </w:tc>
      </w:tr>
      <w:tr w:rsidR="00421060" w:rsidRPr="00FF5D87" w14:paraId="3CE0A261" w14:textId="77777777" w:rsidTr="00CC5F57">
        <w:trPr>
          <w:trHeight w:val="693"/>
        </w:trPr>
        <w:tc>
          <w:tcPr>
            <w:tcW w:w="1696" w:type="dxa"/>
            <w:vAlign w:val="center"/>
          </w:tcPr>
          <w:p w14:paraId="1060B3B8" w14:textId="2B540423" w:rsidR="00421060" w:rsidRPr="00FF5D87" w:rsidRDefault="00CC5F57" w:rsidP="00E725C4">
            <w:pPr>
              <w:spacing w:line="240" w:lineRule="auto"/>
              <w:jc w:val="center"/>
              <w:rPr>
                <w:rFonts w:ascii="Arial Narrow" w:hAnsi="Arial Narrow" w:cs="Arial"/>
                <w:sz w:val="24"/>
                <w:szCs w:val="24"/>
              </w:rPr>
            </w:pPr>
            <w:r w:rsidRPr="00FF5D87">
              <w:rPr>
                <w:rFonts w:ascii="Arial Narrow" w:hAnsi="Arial Narrow" w:cs="Arial"/>
                <w:sz w:val="24"/>
                <w:szCs w:val="24"/>
              </w:rPr>
              <w:lastRenderedPageBreak/>
              <w:t>Art. 2, apartado B, fracción II</w:t>
            </w:r>
          </w:p>
        </w:tc>
        <w:tc>
          <w:tcPr>
            <w:tcW w:w="6804" w:type="dxa"/>
            <w:vAlign w:val="center"/>
          </w:tcPr>
          <w:p w14:paraId="68DB491F" w14:textId="7F084880" w:rsidR="00421060" w:rsidRPr="00FF5D87" w:rsidRDefault="00421060" w:rsidP="00CC5F57">
            <w:pPr>
              <w:spacing w:line="240" w:lineRule="auto"/>
              <w:jc w:val="both"/>
              <w:rPr>
                <w:rFonts w:ascii="Arial Narrow" w:hAnsi="Arial Narrow" w:cs="Arial"/>
                <w:sz w:val="24"/>
                <w:szCs w:val="24"/>
              </w:rPr>
            </w:pPr>
            <w:r w:rsidRPr="00FF5D87">
              <w:rPr>
                <w:rFonts w:ascii="Arial Narrow" w:hAnsi="Arial Narrow" w:cs="Arial"/>
                <w:sz w:val="24"/>
                <w:szCs w:val="24"/>
              </w:rPr>
              <w:t>Garantizar e incrementar niveles de escolaridad, favoreciendo educación bilingüe e intercultural, alfabetización, conclusión de la educación básica, capacitación productiva y educación media superior y superior. Definir y desarrollar programas educativos de contenido regional que reconozcan la herencia cultural de sus pueblos</w:t>
            </w:r>
          </w:p>
        </w:tc>
        <w:tc>
          <w:tcPr>
            <w:tcW w:w="1643" w:type="dxa"/>
            <w:vAlign w:val="center"/>
          </w:tcPr>
          <w:p w14:paraId="3F911BB4" w14:textId="466311D8" w:rsidR="00421060" w:rsidRPr="00FF5D87" w:rsidRDefault="00E22FFB" w:rsidP="00E725C4">
            <w:pPr>
              <w:spacing w:line="240" w:lineRule="auto"/>
              <w:jc w:val="center"/>
              <w:rPr>
                <w:rFonts w:ascii="Arial Narrow" w:hAnsi="Arial Narrow" w:cs="Arial"/>
                <w:sz w:val="24"/>
                <w:szCs w:val="24"/>
              </w:rPr>
            </w:pPr>
            <w:r w:rsidRPr="00FF5D87">
              <w:rPr>
                <w:rFonts w:ascii="Arial Narrow" w:hAnsi="Arial Narrow" w:cs="Arial"/>
                <w:sz w:val="24"/>
                <w:szCs w:val="24"/>
              </w:rPr>
              <w:t>Art.</w:t>
            </w:r>
            <w:r w:rsidR="00421060" w:rsidRPr="00FF5D87">
              <w:rPr>
                <w:rFonts w:ascii="Arial Narrow" w:hAnsi="Arial Narrow" w:cs="Arial"/>
                <w:sz w:val="24"/>
                <w:szCs w:val="24"/>
              </w:rPr>
              <w:t xml:space="preserve"> 14</w:t>
            </w:r>
          </w:p>
        </w:tc>
      </w:tr>
      <w:tr w:rsidR="00421060" w:rsidRPr="00FF5D87" w14:paraId="1B89A1C9" w14:textId="77777777" w:rsidTr="00D80259">
        <w:trPr>
          <w:trHeight w:val="525"/>
        </w:trPr>
        <w:tc>
          <w:tcPr>
            <w:tcW w:w="1696" w:type="dxa"/>
            <w:vAlign w:val="center"/>
          </w:tcPr>
          <w:p w14:paraId="2E4DFBC9" w14:textId="7404A8BB" w:rsidR="00421060" w:rsidRPr="00FF5D87" w:rsidRDefault="00CC5F57" w:rsidP="00E725C4">
            <w:pPr>
              <w:spacing w:line="240" w:lineRule="auto"/>
              <w:jc w:val="center"/>
              <w:rPr>
                <w:rFonts w:ascii="Arial Narrow" w:hAnsi="Arial Narrow" w:cs="Arial"/>
                <w:sz w:val="24"/>
                <w:szCs w:val="24"/>
              </w:rPr>
            </w:pPr>
            <w:r w:rsidRPr="00FF5D87">
              <w:rPr>
                <w:rFonts w:ascii="Arial Narrow" w:hAnsi="Arial Narrow" w:cs="Arial"/>
                <w:sz w:val="24"/>
                <w:szCs w:val="24"/>
              </w:rPr>
              <w:t>Art. 2, apartado B, fracción III</w:t>
            </w:r>
          </w:p>
        </w:tc>
        <w:tc>
          <w:tcPr>
            <w:tcW w:w="6804" w:type="dxa"/>
            <w:vAlign w:val="center"/>
          </w:tcPr>
          <w:p w14:paraId="00C10E63" w14:textId="7143F44C" w:rsidR="00421060" w:rsidRPr="00FF5D87" w:rsidRDefault="00421060" w:rsidP="00CC5F57">
            <w:pPr>
              <w:spacing w:line="240" w:lineRule="auto"/>
              <w:jc w:val="both"/>
              <w:rPr>
                <w:rFonts w:ascii="Arial Narrow" w:hAnsi="Arial Narrow" w:cs="Arial"/>
                <w:sz w:val="24"/>
                <w:szCs w:val="24"/>
              </w:rPr>
            </w:pPr>
            <w:r w:rsidRPr="00FF5D87">
              <w:rPr>
                <w:rFonts w:ascii="Arial Narrow" w:hAnsi="Arial Narrow" w:cs="Arial"/>
                <w:sz w:val="24"/>
                <w:szCs w:val="24"/>
              </w:rPr>
              <w:t xml:space="preserve">Asegurar el acceso efectivo a los servicios de salud mediante la ampliación de la cobertura del sistema nacional, aprovechando debidamente la medicina tradicional, así como apoyar la nutrición de </w:t>
            </w:r>
            <w:r w:rsidR="00D80259" w:rsidRPr="00FF5D87">
              <w:rPr>
                <w:rFonts w:ascii="Arial Narrow" w:hAnsi="Arial Narrow" w:cs="Arial"/>
                <w:sz w:val="24"/>
                <w:szCs w:val="24"/>
              </w:rPr>
              <w:t>los pueblos indígenas</w:t>
            </w:r>
          </w:p>
        </w:tc>
        <w:tc>
          <w:tcPr>
            <w:tcW w:w="1643" w:type="dxa"/>
            <w:vAlign w:val="center"/>
          </w:tcPr>
          <w:p w14:paraId="0951A091" w14:textId="4061BD72" w:rsidR="00421060" w:rsidRPr="00FF5D87" w:rsidRDefault="00E22FFB" w:rsidP="00E725C4">
            <w:pPr>
              <w:spacing w:line="240" w:lineRule="auto"/>
              <w:jc w:val="center"/>
              <w:rPr>
                <w:rFonts w:ascii="Arial Narrow" w:hAnsi="Arial Narrow" w:cs="Arial"/>
                <w:sz w:val="24"/>
                <w:szCs w:val="24"/>
              </w:rPr>
            </w:pPr>
            <w:r w:rsidRPr="00FF5D87">
              <w:rPr>
                <w:rFonts w:ascii="Arial Narrow" w:hAnsi="Arial Narrow" w:cs="Arial"/>
                <w:sz w:val="24"/>
                <w:szCs w:val="24"/>
              </w:rPr>
              <w:t>Art.</w:t>
            </w:r>
            <w:r w:rsidR="00421060" w:rsidRPr="00FF5D87">
              <w:rPr>
                <w:rFonts w:ascii="Arial Narrow" w:hAnsi="Arial Narrow" w:cs="Arial"/>
                <w:sz w:val="24"/>
                <w:szCs w:val="24"/>
              </w:rPr>
              <w:t xml:space="preserve"> 24</w:t>
            </w:r>
          </w:p>
        </w:tc>
      </w:tr>
      <w:tr w:rsidR="00421060" w:rsidRPr="00FF5D87" w14:paraId="0DFB635D" w14:textId="77777777" w:rsidTr="00D80259">
        <w:trPr>
          <w:trHeight w:val="534"/>
        </w:trPr>
        <w:tc>
          <w:tcPr>
            <w:tcW w:w="1696" w:type="dxa"/>
            <w:vAlign w:val="center"/>
          </w:tcPr>
          <w:p w14:paraId="1D95B18F" w14:textId="1563D4C1" w:rsidR="00421060" w:rsidRPr="00FF5D87" w:rsidRDefault="00CC5F57" w:rsidP="00E725C4">
            <w:pPr>
              <w:spacing w:line="240" w:lineRule="auto"/>
              <w:jc w:val="center"/>
              <w:rPr>
                <w:rFonts w:ascii="Arial Narrow" w:hAnsi="Arial Narrow" w:cs="Arial"/>
                <w:sz w:val="24"/>
                <w:szCs w:val="24"/>
              </w:rPr>
            </w:pPr>
            <w:r w:rsidRPr="00FF5D87">
              <w:rPr>
                <w:rFonts w:ascii="Arial Narrow" w:hAnsi="Arial Narrow" w:cs="Arial"/>
                <w:sz w:val="24"/>
                <w:szCs w:val="24"/>
              </w:rPr>
              <w:t>Art. 2, apartado B, fracción VI</w:t>
            </w:r>
          </w:p>
        </w:tc>
        <w:tc>
          <w:tcPr>
            <w:tcW w:w="6804" w:type="dxa"/>
            <w:vAlign w:val="center"/>
          </w:tcPr>
          <w:p w14:paraId="12C96A62" w14:textId="36B44E42" w:rsidR="00421060" w:rsidRPr="00FF5D87" w:rsidRDefault="00421060" w:rsidP="00CC5F57">
            <w:pPr>
              <w:spacing w:line="240" w:lineRule="auto"/>
              <w:jc w:val="both"/>
              <w:rPr>
                <w:rFonts w:ascii="Arial Narrow" w:hAnsi="Arial Narrow" w:cs="Arial"/>
                <w:sz w:val="24"/>
                <w:szCs w:val="24"/>
              </w:rPr>
            </w:pPr>
            <w:r w:rsidRPr="00FF5D87">
              <w:rPr>
                <w:rFonts w:ascii="Arial Narrow" w:hAnsi="Arial Narrow" w:cs="Arial"/>
                <w:sz w:val="24"/>
                <w:szCs w:val="24"/>
              </w:rPr>
              <w:t>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w:t>
            </w:r>
          </w:p>
        </w:tc>
        <w:tc>
          <w:tcPr>
            <w:tcW w:w="1643" w:type="dxa"/>
            <w:vAlign w:val="center"/>
          </w:tcPr>
          <w:p w14:paraId="5402E441" w14:textId="097FC665" w:rsidR="00421060" w:rsidRPr="00FF5D87" w:rsidRDefault="00E22FFB" w:rsidP="00E725C4">
            <w:pPr>
              <w:spacing w:line="240" w:lineRule="auto"/>
              <w:jc w:val="center"/>
              <w:rPr>
                <w:rFonts w:ascii="Arial Narrow" w:hAnsi="Arial Narrow" w:cs="Arial"/>
                <w:sz w:val="24"/>
                <w:szCs w:val="24"/>
              </w:rPr>
            </w:pPr>
            <w:r w:rsidRPr="00FF5D87">
              <w:rPr>
                <w:rFonts w:ascii="Arial Narrow" w:hAnsi="Arial Narrow" w:cs="Arial"/>
                <w:sz w:val="24"/>
                <w:szCs w:val="24"/>
              </w:rPr>
              <w:t>Art.</w:t>
            </w:r>
            <w:r w:rsidR="00421060" w:rsidRPr="00FF5D87">
              <w:rPr>
                <w:rFonts w:ascii="Arial Narrow" w:hAnsi="Arial Narrow" w:cs="Arial"/>
                <w:sz w:val="24"/>
                <w:szCs w:val="24"/>
              </w:rPr>
              <w:t xml:space="preserve"> 16</w:t>
            </w:r>
          </w:p>
        </w:tc>
      </w:tr>
      <w:tr w:rsidR="00421060" w:rsidRPr="00FF5D87" w14:paraId="7FB038B5" w14:textId="77777777" w:rsidTr="00D80259">
        <w:trPr>
          <w:trHeight w:val="225"/>
        </w:trPr>
        <w:tc>
          <w:tcPr>
            <w:tcW w:w="1696" w:type="dxa"/>
            <w:vAlign w:val="center"/>
          </w:tcPr>
          <w:p w14:paraId="43B5647A" w14:textId="519F2B14" w:rsidR="00421060" w:rsidRPr="00FF5D87" w:rsidRDefault="00CC5F57" w:rsidP="00E725C4">
            <w:pPr>
              <w:spacing w:line="240" w:lineRule="auto"/>
              <w:jc w:val="center"/>
              <w:rPr>
                <w:rFonts w:ascii="Arial Narrow" w:hAnsi="Arial Narrow" w:cs="Arial"/>
                <w:sz w:val="24"/>
                <w:szCs w:val="24"/>
              </w:rPr>
            </w:pPr>
            <w:r w:rsidRPr="00FF5D87">
              <w:rPr>
                <w:rFonts w:ascii="Arial Narrow" w:hAnsi="Arial Narrow" w:cs="Arial"/>
                <w:sz w:val="24"/>
                <w:szCs w:val="24"/>
              </w:rPr>
              <w:t>Art. 2, apartado B, fracción VII</w:t>
            </w:r>
          </w:p>
        </w:tc>
        <w:tc>
          <w:tcPr>
            <w:tcW w:w="6804" w:type="dxa"/>
            <w:vAlign w:val="center"/>
          </w:tcPr>
          <w:p w14:paraId="20DC6288" w14:textId="6FC34981" w:rsidR="00421060" w:rsidRPr="00FF5D87" w:rsidRDefault="00421060" w:rsidP="00CC5F57">
            <w:pPr>
              <w:spacing w:line="240" w:lineRule="auto"/>
              <w:jc w:val="both"/>
              <w:rPr>
                <w:rFonts w:ascii="Arial Narrow" w:hAnsi="Arial Narrow" w:cs="Arial"/>
                <w:sz w:val="24"/>
                <w:szCs w:val="24"/>
              </w:rPr>
            </w:pPr>
            <w:r w:rsidRPr="00FF5D87">
              <w:rPr>
                <w:rFonts w:ascii="Arial Narrow" w:hAnsi="Arial Narrow" w:cs="Arial"/>
                <w:sz w:val="24"/>
                <w:szCs w:val="24"/>
              </w:rPr>
              <w:t>Apoyo de las actividades productivas y el desarrollo sustentable de las comunidades indígenas</w:t>
            </w:r>
          </w:p>
        </w:tc>
        <w:tc>
          <w:tcPr>
            <w:tcW w:w="1643" w:type="dxa"/>
            <w:vAlign w:val="center"/>
          </w:tcPr>
          <w:p w14:paraId="41BCB673" w14:textId="41F25979" w:rsidR="00421060" w:rsidRPr="00FF5D87" w:rsidRDefault="00E22FFB" w:rsidP="00E725C4">
            <w:pPr>
              <w:spacing w:line="240" w:lineRule="auto"/>
              <w:jc w:val="center"/>
              <w:rPr>
                <w:rFonts w:ascii="Arial Narrow" w:hAnsi="Arial Narrow" w:cs="Arial"/>
                <w:sz w:val="24"/>
                <w:szCs w:val="24"/>
              </w:rPr>
            </w:pPr>
            <w:r w:rsidRPr="00FF5D87">
              <w:rPr>
                <w:rFonts w:ascii="Arial Narrow" w:hAnsi="Arial Narrow" w:cs="Arial"/>
                <w:sz w:val="24"/>
                <w:szCs w:val="24"/>
              </w:rPr>
              <w:t>Art.</w:t>
            </w:r>
            <w:r w:rsidR="00421060" w:rsidRPr="00FF5D87">
              <w:rPr>
                <w:rFonts w:ascii="Arial Narrow" w:hAnsi="Arial Narrow" w:cs="Arial"/>
                <w:sz w:val="24"/>
                <w:szCs w:val="24"/>
              </w:rPr>
              <w:t xml:space="preserve"> 21</w:t>
            </w:r>
          </w:p>
        </w:tc>
      </w:tr>
      <w:tr w:rsidR="00421060" w:rsidRPr="00FF5D87" w14:paraId="40E856E4" w14:textId="77777777" w:rsidTr="00C10CF7">
        <w:trPr>
          <w:trHeight w:val="70"/>
        </w:trPr>
        <w:tc>
          <w:tcPr>
            <w:tcW w:w="1696" w:type="dxa"/>
            <w:vAlign w:val="center"/>
          </w:tcPr>
          <w:p w14:paraId="5F06A7F0" w14:textId="5876858C" w:rsidR="00421060" w:rsidRPr="00FF5D87" w:rsidRDefault="00CC5F57" w:rsidP="00E725C4">
            <w:pPr>
              <w:spacing w:line="240" w:lineRule="auto"/>
              <w:jc w:val="center"/>
              <w:rPr>
                <w:rFonts w:ascii="Arial Narrow" w:hAnsi="Arial Narrow" w:cs="Arial"/>
                <w:sz w:val="24"/>
                <w:szCs w:val="24"/>
              </w:rPr>
            </w:pPr>
            <w:r w:rsidRPr="00FF5D87">
              <w:rPr>
                <w:rFonts w:ascii="Arial Narrow" w:hAnsi="Arial Narrow" w:cs="Arial"/>
                <w:sz w:val="24"/>
                <w:szCs w:val="24"/>
              </w:rPr>
              <w:t>Art. 2, apartado B, fracción VIII</w:t>
            </w:r>
          </w:p>
        </w:tc>
        <w:tc>
          <w:tcPr>
            <w:tcW w:w="6804" w:type="dxa"/>
            <w:vAlign w:val="center"/>
          </w:tcPr>
          <w:p w14:paraId="5C61C709" w14:textId="67BFC81B" w:rsidR="00421060" w:rsidRPr="00FF5D87" w:rsidRDefault="00421060" w:rsidP="00CC5F57">
            <w:pPr>
              <w:spacing w:line="240" w:lineRule="auto"/>
              <w:jc w:val="both"/>
              <w:rPr>
                <w:rFonts w:ascii="Arial Narrow" w:hAnsi="Arial Narrow" w:cs="Arial"/>
                <w:sz w:val="24"/>
                <w:szCs w:val="24"/>
              </w:rPr>
            </w:pPr>
            <w:r w:rsidRPr="00FF5D87">
              <w:rPr>
                <w:rFonts w:ascii="Arial Narrow" w:hAnsi="Arial Narrow" w:cs="Arial"/>
                <w:sz w:val="24"/>
                <w:szCs w:val="24"/>
              </w:rPr>
              <w:t>Establecimiento de políticas sociales para proteger a migrantes de pueblos indígenas, tanto en el territorio nacional como en el extranjero, mediante acciones para garantizar los derechos laborale</w:t>
            </w:r>
            <w:r w:rsidR="00C10CF7" w:rsidRPr="00FF5D87">
              <w:rPr>
                <w:rFonts w:ascii="Arial Narrow" w:hAnsi="Arial Narrow" w:cs="Arial"/>
                <w:sz w:val="24"/>
                <w:szCs w:val="24"/>
              </w:rPr>
              <w:t>s</w:t>
            </w:r>
            <w:r w:rsidRPr="00FF5D87">
              <w:rPr>
                <w:rFonts w:ascii="Arial Narrow" w:hAnsi="Arial Narrow" w:cs="Arial"/>
                <w:sz w:val="24"/>
                <w:szCs w:val="24"/>
              </w:rPr>
              <w:t>; mejorar las condiciones de salud; apoyar con programas especiales de educación y nutrición; velar por el respeto de sus derechos humanos y promover la difusión de sus culturas.</w:t>
            </w:r>
          </w:p>
        </w:tc>
        <w:tc>
          <w:tcPr>
            <w:tcW w:w="1643" w:type="dxa"/>
            <w:vAlign w:val="center"/>
          </w:tcPr>
          <w:p w14:paraId="2E1D9BA2" w14:textId="5ABB2FB0" w:rsidR="00421060" w:rsidRPr="00FF5D87" w:rsidRDefault="00D80259" w:rsidP="00E725C4">
            <w:pPr>
              <w:spacing w:line="240" w:lineRule="auto"/>
              <w:jc w:val="center"/>
              <w:rPr>
                <w:rFonts w:ascii="Arial Narrow" w:hAnsi="Arial Narrow" w:cs="Arial"/>
                <w:sz w:val="24"/>
                <w:szCs w:val="24"/>
              </w:rPr>
            </w:pPr>
            <w:r w:rsidRPr="00FF5D87">
              <w:rPr>
                <w:rFonts w:ascii="Arial Narrow" w:hAnsi="Arial Narrow" w:cs="Arial"/>
                <w:sz w:val="24"/>
                <w:szCs w:val="24"/>
              </w:rPr>
              <w:t>Art.</w:t>
            </w:r>
            <w:r w:rsidR="00421060" w:rsidRPr="00FF5D87">
              <w:rPr>
                <w:rFonts w:ascii="Arial Narrow" w:hAnsi="Arial Narrow" w:cs="Arial"/>
                <w:sz w:val="24"/>
                <w:szCs w:val="24"/>
              </w:rPr>
              <w:t xml:space="preserve"> 17</w:t>
            </w:r>
          </w:p>
        </w:tc>
      </w:tr>
      <w:tr w:rsidR="00421060" w:rsidRPr="00FF5D87" w14:paraId="145D010E" w14:textId="77777777" w:rsidTr="00517E06">
        <w:trPr>
          <w:trHeight w:val="70"/>
        </w:trPr>
        <w:tc>
          <w:tcPr>
            <w:tcW w:w="1696" w:type="dxa"/>
            <w:vAlign w:val="center"/>
          </w:tcPr>
          <w:p w14:paraId="07C8AFF9" w14:textId="334C809B" w:rsidR="00421060" w:rsidRPr="00FF5D87" w:rsidRDefault="00CC5F57" w:rsidP="00E725C4">
            <w:pPr>
              <w:spacing w:line="240" w:lineRule="auto"/>
              <w:jc w:val="center"/>
              <w:rPr>
                <w:rFonts w:ascii="Arial Narrow" w:hAnsi="Arial Narrow" w:cs="Arial"/>
                <w:sz w:val="24"/>
                <w:szCs w:val="24"/>
              </w:rPr>
            </w:pPr>
            <w:r w:rsidRPr="00FF5D87">
              <w:rPr>
                <w:rFonts w:ascii="Arial Narrow" w:hAnsi="Arial Narrow" w:cs="Arial"/>
                <w:sz w:val="24"/>
                <w:szCs w:val="24"/>
              </w:rPr>
              <w:t>Art. 2, apartado B, fracción IX</w:t>
            </w:r>
          </w:p>
        </w:tc>
        <w:tc>
          <w:tcPr>
            <w:tcW w:w="6804" w:type="dxa"/>
            <w:vAlign w:val="center"/>
          </w:tcPr>
          <w:p w14:paraId="41F0A535" w14:textId="3349B887" w:rsidR="00421060" w:rsidRPr="00FF5D87" w:rsidRDefault="00421060" w:rsidP="00CC5F57">
            <w:pPr>
              <w:spacing w:line="240" w:lineRule="auto"/>
              <w:jc w:val="both"/>
              <w:rPr>
                <w:rFonts w:ascii="Arial Narrow" w:hAnsi="Arial Narrow" w:cs="Arial"/>
                <w:sz w:val="24"/>
                <w:szCs w:val="24"/>
              </w:rPr>
            </w:pPr>
            <w:r w:rsidRPr="00FF5D87">
              <w:rPr>
                <w:rFonts w:ascii="Arial Narrow" w:hAnsi="Arial Narrow" w:cs="Arial"/>
                <w:sz w:val="24"/>
                <w:szCs w:val="24"/>
              </w:rPr>
              <w:t>Consultar a los pueblos indígenas en la elaboración del Plan Nacional de Desarrollo y de los planes de las entidades federativas</w:t>
            </w:r>
            <w:r w:rsidR="00517E06" w:rsidRPr="00FF5D87">
              <w:rPr>
                <w:rFonts w:ascii="Arial Narrow" w:hAnsi="Arial Narrow" w:cs="Arial"/>
                <w:sz w:val="24"/>
                <w:szCs w:val="24"/>
              </w:rPr>
              <w:t xml:space="preserve"> y</w:t>
            </w:r>
            <w:r w:rsidRPr="00FF5D87">
              <w:rPr>
                <w:rFonts w:ascii="Arial Narrow" w:hAnsi="Arial Narrow" w:cs="Arial"/>
                <w:sz w:val="24"/>
                <w:szCs w:val="24"/>
              </w:rPr>
              <w:t xml:space="preserve"> de los Municipios </w:t>
            </w:r>
          </w:p>
        </w:tc>
        <w:tc>
          <w:tcPr>
            <w:tcW w:w="1643" w:type="dxa"/>
            <w:vAlign w:val="center"/>
          </w:tcPr>
          <w:p w14:paraId="47FEC875" w14:textId="7057BB5B" w:rsidR="00421060" w:rsidRPr="00FF5D87" w:rsidRDefault="00D80259" w:rsidP="00E725C4">
            <w:pPr>
              <w:spacing w:line="240" w:lineRule="auto"/>
              <w:jc w:val="center"/>
              <w:rPr>
                <w:rFonts w:ascii="Arial Narrow" w:hAnsi="Arial Narrow" w:cs="Arial"/>
                <w:sz w:val="24"/>
                <w:szCs w:val="24"/>
              </w:rPr>
            </w:pPr>
            <w:r w:rsidRPr="00FF5D87">
              <w:rPr>
                <w:rFonts w:ascii="Arial Narrow" w:hAnsi="Arial Narrow" w:cs="Arial"/>
                <w:sz w:val="24"/>
                <w:szCs w:val="24"/>
              </w:rPr>
              <w:t>Art.</w:t>
            </w:r>
            <w:r w:rsidR="00421060" w:rsidRPr="00FF5D87">
              <w:rPr>
                <w:rFonts w:ascii="Arial Narrow" w:hAnsi="Arial Narrow" w:cs="Arial"/>
                <w:sz w:val="24"/>
                <w:szCs w:val="24"/>
              </w:rPr>
              <w:t xml:space="preserve"> 19</w:t>
            </w:r>
          </w:p>
        </w:tc>
      </w:tr>
      <w:tr w:rsidR="00AB1801" w:rsidRPr="00FF5D87" w14:paraId="4861E099" w14:textId="77777777" w:rsidTr="00442A5B">
        <w:trPr>
          <w:trHeight w:val="482"/>
        </w:trPr>
        <w:tc>
          <w:tcPr>
            <w:tcW w:w="1696" w:type="dxa"/>
            <w:vAlign w:val="center"/>
          </w:tcPr>
          <w:p w14:paraId="5189A1A6" w14:textId="43974354" w:rsidR="00AB1801" w:rsidRPr="00FF5D87" w:rsidRDefault="00517E06" w:rsidP="00E725C4">
            <w:pPr>
              <w:spacing w:line="240" w:lineRule="auto"/>
              <w:jc w:val="center"/>
              <w:rPr>
                <w:rFonts w:ascii="Arial Narrow" w:hAnsi="Arial Narrow" w:cs="Arial"/>
                <w:sz w:val="24"/>
                <w:szCs w:val="24"/>
              </w:rPr>
            </w:pPr>
            <w:r w:rsidRPr="00FF5D87">
              <w:rPr>
                <w:rFonts w:ascii="Arial Narrow" w:hAnsi="Arial Narrow" w:cs="Arial"/>
                <w:sz w:val="24"/>
                <w:szCs w:val="24"/>
              </w:rPr>
              <w:t>Art.</w:t>
            </w:r>
            <w:r w:rsidR="00AB1801" w:rsidRPr="00FF5D87">
              <w:rPr>
                <w:rFonts w:ascii="Arial Narrow" w:hAnsi="Arial Narrow" w:cs="Arial"/>
                <w:sz w:val="24"/>
                <w:szCs w:val="24"/>
              </w:rPr>
              <w:t xml:space="preserve"> 27, fracción VII, segundo párrafo</w:t>
            </w:r>
          </w:p>
        </w:tc>
        <w:tc>
          <w:tcPr>
            <w:tcW w:w="6804" w:type="dxa"/>
            <w:vAlign w:val="center"/>
          </w:tcPr>
          <w:p w14:paraId="280B3C2A" w14:textId="01C58000" w:rsidR="00AB1801" w:rsidRPr="00FF5D87" w:rsidRDefault="00345B08" w:rsidP="00CC5F57">
            <w:pPr>
              <w:spacing w:line="240" w:lineRule="auto"/>
              <w:jc w:val="both"/>
              <w:rPr>
                <w:rFonts w:ascii="Arial Narrow" w:hAnsi="Arial Narrow" w:cs="Arial"/>
                <w:sz w:val="24"/>
                <w:szCs w:val="24"/>
              </w:rPr>
            </w:pPr>
            <w:r w:rsidRPr="00FF5D87">
              <w:rPr>
                <w:rFonts w:ascii="Arial Narrow" w:hAnsi="Arial Narrow" w:cs="Arial"/>
                <w:sz w:val="24"/>
                <w:szCs w:val="24"/>
              </w:rPr>
              <w:t>P</w:t>
            </w:r>
            <w:r w:rsidR="00AB1801" w:rsidRPr="00FF5D87">
              <w:rPr>
                <w:rFonts w:ascii="Arial Narrow" w:hAnsi="Arial Narrow" w:cs="Arial"/>
                <w:sz w:val="24"/>
                <w:szCs w:val="24"/>
              </w:rPr>
              <w:t>roteger la integridad de las tierras de los grupos indígenas</w:t>
            </w:r>
            <w:r w:rsidR="00517E06" w:rsidRPr="00FF5D87">
              <w:rPr>
                <w:rFonts w:ascii="Arial Narrow" w:hAnsi="Arial Narrow" w:cs="Arial"/>
                <w:sz w:val="24"/>
                <w:szCs w:val="24"/>
              </w:rPr>
              <w:t>.</w:t>
            </w:r>
          </w:p>
        </w:tc>
        <w:tc>
          <w:tcPr>
            <w:tcW w:w="1643" w:type="dxa"/>
            <w:vAlign w:val="center"/>
          </w:tcPr>
          <w:p w14:paraId="520FEF73" w14:textId="4778D2D6" w:rsidR="00AB1801" w:rsidRPr="00FF5D87" w:rsidRDefault="00D80259" w:rsidP="00E725C4">
            <w:pPr>
              <w:spacing w:line="240" w:lineRule="auto"/>
              <w:jc w:val="center"/>
              <w:rPr>
                <w:rFonts w:ascii="Arial Narrow" w:hAnsi="Arial Narrow" w:cs="Arial"/>
                <w:sz w:val="24"/>
                <w:szCs w:val="24"/>
              </w:rPr>
            </w:pPr>
            <w:r w:rsidRPr="00FF5D87">
              <w:rPr>
                <w:rFonts w:ascii="Arial Narrow" w:hAnsi="Arial Narrow" w:cs="Arial"/>
                <w:sz w:val="24"/>
                <w:szCs w:val="24"/>
              </w:rPr>
              <w:t>Art.</w:t>
            </w:r>
            <w:r w:rsidR="00421060" w:rsidRPr="00FF5D87">
              <w:rPr>
                <w:rFonts w:ascii="Arial Narrow" w:hAnsi="Arial Narrow" w:cs="Arial"/>
                <w:sz w:val="24"/>
                <w:szCs w:val="24"/>
              </w:rPr>
              <w:t xml:space="preserve"> 26</w:t>
            </w:r>
          </w:p>
        </w:tc>
      </w:tr>
    </w:tbl>
    <w:p w14:paraId="2C577F88" w14:textId="57529F7B" w:rsidR="00746012" w:rsidRPr="00FF5D87" w:rsidRDefault="00746012" w:rsidP="00E134C9">
      <w:pPr>
        <w:spacing w:after="0" w:line="240" w:lineRule="auto"/>
        <w:jc w:val="both"/>
        <w:rPr>
          <w:rFonts w:ascii="Arial Narrow" w:hAnsi="Arial Narrow" w:cs="Arial"/>
          <w:sz w:val="24"/>
          <w:szCs w:val="24"/>
        </w:rPr>
      </w:pPr>
    </w:p>
    <w:p w14:paraId="1C5F9748" w14:textId="30B39112" w:rsidR="003A06B9" w:rsidRPr="00FF5D87" w:rsidRDefault="00517E06" w:rsidP="00CB56ED">
      <w:pPr>
        <w:spacing w:after="0" w:line="240" w:lineRule="auto"/>
        <w:jc w:val="both"/>
        <w:rPr>
          <w:rFonts w:ascii="Arial Narrow" w:hAnsi="Arial Narrow" w:cs="Arial"/>
          <w:sz w:val="24"/>
          <w:szCs w:val="24"/>
        </w:rPr>
      </w:pPr>
      <w:r w:rsidRPr="00FF5D87">
        <w:rPr>
          <w:rFonts w:ascii="Arial Narrow" w:hAnsi="Arial Narrow" w:cs="Arial"/>
          <w:sz w:val="24"/>
          <w:szCs w:val="24"/>
        </w:rPr>
        <w:t xml:space="preserve">A nivel local, únicamente </w:t>
      </w:r>
      <w:r w:rsidR="00CB56ED" w:rsidRPr="00FF5D87">
        <w:rPr>
          <w:rFonts w:ascii="Arial Narrow" w:hAnsi="Arial Narrow" w:cs="Arial"/>
          <w:sz w:val="24"/>
          <w:szCs w:val="24"/>
        </w:rPr>
        <w:t xml:space="preserve">cuatro entidades federativas (Ciudad de México, Oaxaca, Chiapas y Guerrero) reconocen el derecho </w:t>
      </w:r>
      <w:r w:rsidR="002F4FDD" w:rsidRPr="00FF5D87">
        <w:rPr>
          <w:rFonts w:ascii="Arial Narrow" w:hAnsi="Arial Narrow" w:cs="Arial"/>
          <w:sz w:val="24"/>
          <w:szCs w:val="24"/>
        </w:rPr>
        <w:t>de</w:t>
      </w:r>
      <w:r w:rsidR="00CB56ED" w:rsidRPr="00FF5D87">
        <w:rPr>
          <w:rFonts w:ascii="Arial Narrow" w:hAnsi="Arial Narrow" w:cs="Arial"/>
          <w:sz w:val="24"/>
          <w:szCs w:val="24"/>
        </w:rPr>
        <w:t xml:space="preserve"> los pueblos indígenas a su libre determinación y auto adscripción en los términos que señala la Constitución Federal.</w:t>
      </w:r>
      <w:r w:rsidR="00B533F1" w:rsidRPr="00FF5D87">
        <w:rPr>
          <w:rFonts w:ascii="Arial Narrow" w:hAnsi="Arial Narrow" w:cs="Arial"/>
          <w:sz w:val="24"/>
          <w:szCs w:val="24"/>
        </w:rPr>
        <w:t xml:space="preserve"> </w:t>
      </w:r>
      <w:r w:rsidR="002F4FDD" w:rsidRPr="00FF5D87">
        <w:rPr>
          <w:rFonts w:ascii="Arial Narrow" w:hAnsi="Arial Narrow" w:cs="Arial"/>
          <w:sz w:val="24"/>
          <w:szCs w:val="24"/>
        </w:rPr>
        <w:t>En el caso de la Ciudad de México, el</w:t>
      </w:r>
      <w:r w:rsidR="003C0DBB" w:rsidRPr="00FF5D87">
        <w:rPr>
          <w:rFonts w:ascii="Arial Narrow" w:hAnsi="Arial Narrow" w:cs="Arial"/>
          <w:sz w:val="24"/>
          <w:szCs w:val="24"/>
        </w:rPr>
        <w:t xml:space="preserve"> artículo 2 del texto constitucional reconoce a la entidad federativa como un territorio intercultural, con composición plurilingüe, pluriétnica y pluricultural que se sustenta en </w:t>
      </w:r>
      <w:r w:rsidR="002B02AA" w:rsidRPr="00FF5D87">
        <w:rPr>
          <w:rFonts w:ascii="Arial Narrow" w:hAnsi="Arial Narrow" w:cs="Arial"/>
          <w:sz w:val="24"/>
          <w:szCs w:val="24"/>
        </w:rPr>
        <w:t xml:space="preserve">sus </w:t>
      </w:r>
      <w:r w:rsidR="003C0DBB" w:rsidRPr="00FF5D87">
        <w:rPr>
          <w:rFonts w:ascii="Arial Narrow" w:hAnsi="Arial Narrow" w:cs="Arial"/>
          <w:sz w:val="24"/>
          <w:szCs w:val="24"/>
        </w:rPr>
        <w:t>pueblos y barrios originarios</w:t>
      </w:r>
      <w:r w:rsidR="002B02AA" w:rsidRPr="00FF5D87">
        <w:rPr>
          <w:rFonts w:ascii="Arial Narrow" w:hAnsi="Arial Narrow" w:cs="Arial"/>
          <w:sz w:val="24"/>
          <w:szCs w:val="24"/>
        </w:rPr>
        <w:t>, así como</w:t>
      </w:r>
      <w:r w:rsidR="003C0DBB" w:rsidRPr="00FF5D87">
        <w:rPr>
          <w:rFonts w:ascii="Arial Narrow" w:hAnsi="Arial Narrow" w:cs="Arial"/>
          <w:sz w:val="24"/>
          <w:szCs w:val="24"/>
        </w:rPr>
        <w:t xml:space="preserve"> en sus comunidades indígenas residentes. </w:t>
      </w:r>
    </w:p>
    <w:p w14:paraId="75C0829C" w14:textId="77777777" w:rsidR="003A06B9" w:rsidRPr="00FF5D87" w:rsidRDefault="003A06B9" w:rsidP="00CB56ED">
      <w:pPr>
        <w:spacing w:after="0" w:line="240" w:lineRule="auto"/>
        <w:jc w:val="both"/>
        <w:rPr>
          <w:rFonts w:ascii="Arial Narrow" w:hAnsi="Arial Narrow" w:cs="Arial"/>
          <w:sz w:val="24"/>
          <w:szCs w:val="24"/>
        </w:rPr>
      </w:pPr>
    </w:p>
    <w:p w14:paraId="16F9D460" w14:textId="4BC7B006" w:rsidR="00991FC3" w:rsidRPr="00FF5D87" w:rsidRDefault="00B156E6" w:rsidP="00CB56ED">
      <w:pPr>
        <w:spacing w:after="0" w:line="240" w:lineRule="auto"/>
        <w:jc w:val="both"/>
        <w:rPr>
          <w:rFonts w:ascii="Arial Narrow" w:hAnsi="Arial Narrow" w:cs="Arial"/>
          <w:sz w:val="24"/>
          <w:szCs w:val="24"/>
        </w:rPr>
      </w:pPr>
      <w:r>
        <w:rPr>
          <w:rFonts w:ascii="Arial Narrow" w:hAnsi="Arial Narrow" w:cs="Arial"/>
          <w:sz w:val="24"/>
          <w:szCs w:val="24"/>
        </w:rPr>
        <w:t xml:space="preserve">La Ciudad de México tiene una categorización particular que da cuenta de forma más precisa de la identidad indígena en el contexto de la capital mexicana. </w:t>
      </w:r>
      <w:r w:rsidR="003A06B9" w:rsidRPr="00FF5D87">
        <w:rPr>
          <w:rFonts w:ascii="Arial Narrow" w:hAnsi="Arial Narrow" w:cs="Arial"/>
          <w:sz w:val="24"/>
          <w:szCs w:val="24"/>
        </w:rPr>
        <w:t>De</w:t>
      </w:r>
      <w:r w:rsidR="00EE2D71" w:rsidRPr="00FF5D87">
        <w:rPr>
          <w:rFonts w:ascii="Arial Narrow" w:hAnsi="Arial Narrow" w:cs="Arial"/>
          <w:sz w:val="24"/>
          <w:szCs w:val="24"/>
        </w:rPr>
        <w:t xml:space="preserve"> acuerdo con los artículos 58 y 59 de la Constitución Política de la Ciudad de México</w:t>
      </w:r>
      <w:r w:rsidR="00E31552" w:rsidRPr="00FF5D87">
        <w:rPr>
          <w:rFonts w:ascii="Arial Narrow" w:hAnsi="Arial Narrow" w:cs="Arial"/>
          <w:sz w:val="24"/>
          <w:szCs w:val="24"/>
        </w:rPr>
        <w:t>, la</w:t>
      </w:r>
      <w:r w:rsidR="002646CA" w:rsidRPr="00FF5D87">
        <w:rPr>
          <w:rFonts w:ascii="Arial Narrow" w:hAnsi="Arial Narrow" w:cs="Arial"/>
          <w:sz w:val="24"/>
          <w:szCs w:val="24"/>
        </w:rPr>
        <w:t xml:space="preserve"> incorporación de </w:t>
      </w:r>
      <w:r w:rsidR="002B02AA" w:rsidRPr="00FF5D87">
        <w:rPr>
          <w:rFonts w:ascii="Arial Narrow" w:hAnsi="Arial Narrow" w:cs="Arial"/>
          <w:sz w:val="24"/>
          <w:szCs w:val="24"/>
        </w:rPr>
        <w:t>dichas</w:t>
      </w:r>
      <w:r w:rsidR="002646CA" w:rsidRPr="00FF5D87">
        <w:rPr>
          <w:rFonts w:ascii="Arial Narrow" w:hAnsi="Arial Narrow" w:cs="Arial"/>
          <w:sz w:val="24"/>
          <w:szCs w:val="24"/>
        </w:rPr>
        <w:t xml:space="preserve"> categoría</w:t>
      </w:r>
      <w:r w:rsidR="002B02AA" w:rsidRPr="00FF5D87">
        <w:rPr>
          <w:rFonts w:ascii="Arial Narrow" w:hAnsi="Arial Narrow" w:cs="Arial"/>
          <w:sz w:val="24"/>
          <w:szCs w:val="24"/>
        </w:rPr>
        <w:t>s</w:t>
      </w:r>
      <w:r w:rsidR="002646CA" w:rsidRPr="00FF5D87">
        <w:rPr>
          <w:rFonts w:ascii="Arial Narrow" w:hAnsi="Arial Narrow" w:cs="Arial"/>
          <w:sz w:val="24"/>
          <w:szCs w:val="24"/>
        </w:rPr>
        <w:t xml:space="preserve"> en el texto constitucional permitió </w:t>
      </w:r>
      <w:r w:rsidR="00991FC3" w:rsidRPr="00FF5D87">
        <w:rPr>
          <w:rFonts w:ascii="Arial Narrow" w:hAnsi="Arial Narrow" w:cs="Arial"/>
          <w:sz w:val="24"/>
          <w:szCs w:val="24"/>
        </w:rPr>
        <w:t xml:space="preserve">reconocer la titularidad de derechos, </w:t>
      </w:r>
      <w:r w:rsidR="002B02AA" w:rsidRPr="00FF5D87">
        <w:rPr>
          <w:rFonts w:ascii="Arial Narrow" w:hAnsi="Arial Narrow" w:cs="Arial"/>
          <w:sz w:val="24"/>
          <w:szCs w:val="24"/>
        </w:rPr>
        <w:t xml:space="preserve">la </w:t>
      </w:r>
      <w:r w:rsidR="00991FC3" w:rsidRPr="00FF5D87">
        <w:rPr>
          <w:rFonts w:ascii="Arial Narrow" w:hAnsi="Arial Narrow" w:cs="Arial"/>
          <w:sz w:val="24"/>
          <w:szCs w:val="24"/>
        </w:rPr>
        <w:t xml:space="preserve">obligación reforzada de protección y personalidad jurídica </w:t>
      </w:r>
      <w:r w:rsidR="002B02AA" w:rsidRPr="00FF5D87">
        <w:rPr>
          <w:rFonts w:ascii="Arial Narrow" w:hAnsi="Arial Narrow" w:cs="Arial"/>
          <w:sz w:val="24"/>
          <w:szCs w:val="24"/>
        </w:rPr>
        <w:t xml:space="preserve">en beneficio de: </w:t>
      </w:r>
    </w:p>
    <w:p w14:paraId="2017896C" w14:textId="77777777" w:rsidR="00991FC3" w:rsidRPr="00FF5D87" w:rsidRDefault="00991FC3" w:rsidP="00CB56ED">
      <w:pPr>
        <w:spacing w:after="0" w:line="240" w:lineRule="auto"/>
        <w:jc w:val="both"/>
        <w:rPr>
          <w:rFonts w:ascii="Arial Narrow" w:hAnsi="Arial Narrow" w:cs="Arial"/>
          <w:sz w:val="24"/>
          <w:szCs w:val="24"/>
        </w:rPr>
      </w:pPr>
    </w:p>
    <w:p w14:paraId="01292172" w14:textId="0E6EC0FD" w:rsidR="00991FC3" w:rsidRPr="00FF5D87" w:rsidRDefault="00991FC3" w:rsidP="00991FC3">
      <w:pPr>
        <w:pStyle w:val="ListParagraph"/>
        <w:numPr>
          <w:ilvl w:val="0"/>
          <w:numId w:val="8"/>
        </w:numPr>
        <w:spacing w:after="0" w:line="240" w:lineRule="auto"/>
        <w:jc w:val="both"/>
        <w:rPr>
          <w:rFonts w:ascii="Arial Narrow" w:hAnsi="Arial Narrow" w:cs="Arial"/>
          <w:sz w:val="24"/>
          <w:szCs w:val="24"/>
        </w:rPr>
      </w:pPr>
      <w:r w:rsidRPr="00FF5D87">
        <w:rPr>
          <w:rFonts w:ascii="Arial Narrow" w:hAnsi="Arial Narrow" w:cs="Arial"/>
          <w:b/>
          <w:sz w:val="24"/>
          <w:szCs w:val="24"/>
        </w:rPr>
        <w:t>Pueblos y barrios</w:t>
      </w:r>
      <w:r w:rsidR="002646CA" w:rsidRPr="00FF5D87">
        <w:rPr>
          <w:rFonts w:ascii="Arial Narrow" w:hAnsi="Arial Narrow" w:cs="Arial"/>
          <w:sz w:val="24"/>
          <w:szCs w:val="24"/>
        </w:rPr>
        <w:t xml:space="preserve"> que descienden de poblaciones asentadas en el territorio actual de la Ciudad de México desde antes de la colonización y del establecimiento de las fronteras actuales y que conservan sus propias instituciones sociales, económicas, culturales y políticas, sistemas normativos propios, tradición histórica, territorialidad y cosmovisión, o parte de ellas; y </w:t>
      </w:r>
    </w:p>
    <w:p w14:paraId="276F8603" w14:textId="77777777" w:rsidR="00991FC3" w:rsidRPr="00FF5D87" w:rsidRDefault="00991FC3" w:rsidP="00CB56ED">
      <w:pPr>
        <w:spacing w:after="0" w:line="240" w:lineRule="auto"/>
        <w:jc w:val="both"/>
        <w:rPr>
          <w:rFonts w:ascii="Arial Narrow" w:hAnsi="Arial Narrow" w:cs="Arial"/>
          <w:sz w:val="24"/>
          <w:szCs w:val="24"/>
        </w:rPr>
      </w:pPr>
    </w:p>
    <w:p w14:paraId="5C16804E" w14:textId="186DBD55" w:rsidR="002646CA" w:rsidRPr="00FF5D87" w:rsidRDefault="00991FC3" w:rsidP="00991FC3">
      <w:pPr>
        <w:pStyle w:val="ListParagraph"/>
        <w:numPr>
          <w:ilvl w:val="0"/>
          <w:numId w:val="8"/>
        </w:numPr>
        <w:spacing w:after="0" w:line="240" w:lineRule="auto"/>
        <w:jc w:val="both"/>
        <w:rPr>
          <w:rFonts w:ascii="Arial Narrow" w:hAnsi="Arial Narrow" w:cs="Arial"/>
          <w:sz w:val="24"/>
          <w:szCs w:val="24"/>
        </w:rPr>
      </w:pPr>
      <w:r w:rsidRPr="00FF5D87">
        <w:rPr>
          <w:rFonts w:ascii="Arial Narrow" w:hAnsi="Arial Narrow" w:cs="Arial"/>
          <w:b/>
          <w:sz w:val="24"/>
          <w:szCs w:val="24"/>
        </w:rPr>
        <w:t>C</w:t>
      </w:r>
      <w:r w:rsidR="002646CA" w:rsidRPr="00FF5D87">
        <w:rPr>
          <w:rFonts w:ascii="Arial Narrow" w:hAnsi="Arial Narrow" w:cs="Arial"/>
          <w:b/>
          <w:sz w:val="24"/>
          <w:szCs w:val="24"/>
        </w:rPr>
        <w:t>omunidades indígenas residentes</w:t>
      </w:r>
      <w:r w:rsidR="002646CA" w:rsidRPr="00FF5D87">
        <w:rPr>
          <w:rFonts w:ascii="Arial Narrow" w:hAnsi="Arial Narrow" w:cs="Arial"/>
          <w:sz w:val="24"/>
          <w:szCs w:val="24"/>
        </w:rPr>
        <w:t xml:space="preserve"> </w:t>
      </w:r>
      <w:r w:rsidRPr="00FF5D87">
        <w:rPr>
          <w:rFonts w:ascii="Arial Narrow" w:hAnsi="Arial Narrow" w:cs="Arial"/>
          <w:sz w:val="24"/>
          <w:szCs w:val="24"/>
        </w:rPr>
        <w:t xml:space="preserve">las cuales </w:t>
      </w:r>
      <w:r w:rsidR="002646CA" w:rsidRPr="00FF5D87">
        <w:rPr>
          <w:rFonts w:ascii="Arial Narrow" w:hAnsi="Arial Narrow" w:cs="Arial"/>
          <w:sz w:val="24"/>
          <w:szCs w:val="24"/>
        </w:rPr>
        <w:t>son una unidad social, económica y cultural de personas que forman parte de pueblos indígenas de otras regiones del país, que se han asentado en la Ciudad de México y que en forma comunitaria reproducen total o parcialmente sus instituciones y tradiciones</w:t>
      </w:r>
      <w:r w:rsidRPr="00FF5D87">
        <w:rPr>
          <w:rFonts w:ascii="Arial Narrow" w:hAnsi="Arial Narrow" w:cs="Arial"/>
          <w:sz w:val="24"/>
          <w:szCs w:val="24"/>
        </w:rPr>
        <w:t>.</w:t>
      </w:r>
    </w:p>
    <w:p w14:paraId="4F9932E8" w14:textId="087A5D2F" w:rsidR="002646CA" w:rsidRPr="00FF5D87" w:rsidRDefault="002646CA" w:rsidP="00CB56ED">
      <w:pPr>
        <w:spacing w:after="0" w:line="240" w:lineRule="auto"/>
        <w:jc w:val="both"/>
        <w:rPr>
          <w:rFonts w:ascii="Arial Narrow" w:hAnsi="Arial Narrow" w:cs="Arial"/>
          <w:sz w:val="24"/>
          <w:szCs w:val="24"/>
        </w:rPr>
      </w:pPr>
    </w:p>
    <w:p w14:paraId="59558959" w14:textId="77777777" w:rsidR="00EE2D71" w:rsidRPr="00FF5D87" w:rsidRDefault="00EE2D71" w:rsidP="00CB56ED">
      <w:pPr>
        <w:spacing w:after="0" w:line="240" w:lineRule="auto"/>
        <w:jc w:val="both"/>
        <w:rPr>
          <w:rFonts w:ascii="Arial Narrow" w:hAnsi="Arial Narrow" w:cs="Arial"/>
          <w:sz w:val="24"/>
          <w:szCs w:val="24"/>
        </w:rPr>
      </w:pPr>
    </w:p>
    <w:p w14:paraId="1A2FD4DD" w14:textId="77777777" w:rsidR="002B4486" w:rsidRPr="00FF5D87" w:rsidRDefault="00991FC3" w:rsidP="00991FC3">
      <w:pPr>
        <w:spacing w:after="0" w:line="240" w:lineRule="auto"/>
        <w:jc w:val="both"/>
        <w:rPr>
          <w:rFonts w:ascii="Arial Narrow" w:hAnsi="Arial Narrow" w:cs="Arial"/>
          <w:sz w:val="24"/>
          <w:szCs w:val="24"/>
        </w:rPr>
      </w:pPr>
      <w:r w:rsidRPr="00FF5D87">
        <w:rPr>
          <w:rFonts w:ascii="Arial Narrow" w:hAnsi="Arial Narrow" w:cs="Arial"/>
          <w:sz w:val="24"/>
          <w:szCs w:val="24"/>
        </w:rPr>
        <w:t>Por</w:t>
      </w:r>
      <w:r w:rsidR="003A06B9" w:rsidRPr="00FF5D87">
        <w:rPr>
          <w:rFonts w:ascii="Arial Narrow" w:hAnsi="Arial Narrow" w:cs="Arial"/>
          <w:sz w:val="24"/>
          <w:szCs w:val="24"/>
        </w:rPr>
        <w:t xml:space="preserve"> su parte, el artículo 11 de la Constitución Política de la Ciudad de México reconoce a </w:t>
      </w:r>
      <w:r w:rsidR="00467C18" w:rsidRPr="00FF5D87">
        <w:rPr>
          <w:rFonts w:ascii="Arial Narrow" w:hAnsi="Arial Narrow" w:cs="Arial"/>
          <w:sz w:val="24"/>
          <w:szCs w:val="24"/>
        </w:rPr>
        <w:t xml:space="preserve">las personas de identidad indígena como grupos de atención prioritaria que debido a </w:t>
      </w:r>
      <w:r w:rsidR="00FB60DA" w:rsidRPr="00FF5D87">
        <w:rPr>
          <w:rFonts w:ascii="Arial Narrow" w:hAnsi="Arial Narrow" w:cs="Arial"/>
          <w:sz w:val="24"/>
          <w:szCs w:val="24"/>
        </w:rPr>
        <w:t>la desigualdad estructural enfrentan discriminación, exclusión, maltrato, abuso, violencia y mayores obstáculos para el pleno ejercicio de sus derechos y libertades fundamentales.</w:t>
      </w:r>
    </w:p>
    <w:p w14:paraId="576FB743" w14:textId="77777777" w:rsidR="002B4486" w:rsidRPr="00FF5D87" w:rsidRDefault="002B4486" w:rsidP="00991FC3">
      <w:pPr>
        <w:spacing w:after="0" w:line="240" w:lineRule="auto"/>
        <w:jc w:val="both"/>
        <w:rPr>
          <w:rFonts w:ascii="Arial Narrow" w:hAnsi="Arial Narrow" w:cs="Arial"/>
          <w:sz w:val="24"/>
          <w:szCs w:val="24"/>
        </w:rPr>
      </w:pPr>
    </w:p>
    <w:p w14:paraId="273001DD" w14:textId="2E2C3628" w:rsidR="00991FC3" w:rsidRPr="00FF5D87" w:rsidRDefault="002B4486" w:rsidP="00991FC3">
      <w:pPr>
        <w:spacing w:after="0" w:line="240" w:lineRule="auto"/>
        <w:jc w:val="both"/>
        <w:rPr>
          <w:rFonts w:ascii="Arial Narrow" w:hAnsi="Arial Narrow" w:cs="Arial"/>
          <w:sz w:val="24"/>
          <w:szCs w:val="24"/>
        </w:rPr>
      </w:pPr>
      <w:r w:rsidRPr="00FF5D87">
        <w:rPr>
          <w:rFonts w:ascii="Arial Narrow" w:hAnsi="Arial Narrow" w:cs="Arial"/>
          <w:sz w:val="24"/>
          <w:szCs w:val="24"/>
        </w:rPr>
        <w:t>Todo lo anterior, contribuye a que,</w:t>
      </w:r>
      <w:r w:rsidR="00991FC3" w:rsidRPr="00FF5D87">
        <w:rPr>
          <w:rFonts w:ascii="Arial Narrow" w:hAnsi="Arial Narrow" w:cs="Arial"/>
          <w:sz w:val="24"/>
          <w:szCs w:val="24"/>
        </w:rPr>
        <w:t xml:space="preserve"> de forma sistemática y complementaria</w:t>
      </w:r>
      <w:r w:rsidRPr="00FF5D87">
        <w:rPr>
          <w:rFonts w:ascii="Arial Narrow" w:hAnsi="Arial Narrow" w:cs="Arial"/>
          <w:sz w:val="24"/>
          <w:szCs w:val="24"/>
        </w:rPr>
        <w:t xml:space="preserve"> a</w:t>
      </w:r>
      <w:r w:rsidR="00991FC3" w:rsidRPr="00FF5D87">
        <w:rPr>
          <w:rFonts w:ascii="Arial Narrow" w:hAnsi="Arial Narrow" w:cs="Arial"/>
          <w:sz w:val="24"/>
          <w:szCs w:val="24"/>
        </w:rPr>
        <w:t xml:space="preserve"> la Constitución local</w:t>
      </w:r>
      <w:r w:rsidR="00713DAE" w:rsidRPr="00FF5D87">
        <w:rPr>
          <w:rFonts w:ascii="Arial Narrow" w:hAnsi="Arial Narrow" w:cs="Arial"/>
          <w:sz w:val="24"/>
          <w:szCs w:val="24"/>
        </w:rPr>
        <w:t xml:space="preserve">, </w:t>
      </w:r>
      <w:r w:rsidR="00C37EEE" w:rsidRPr="00FF5D87">
        <w:rPr>
          <w:rFonts w:ascii="Arial Narrow" w:hAnsi="Arial Narrow" w:cs="Arial"/>
          <w:sz w:val="24"/>
          <w:szCs w:val="24"/>
        </w:rPr>
        <w:t>exist</w:t>
      </w:r>
      <w:r w:rsidRPr="00FF5D87">
        <w:rPr>
          <w:rFonts w:ascii="Arial Narrow" w:hAnsi="Arial Narrow" w:cs="Arial"/>
          <w:sz w:val="24"/>
          <w:szCs w:val="24"/>
        </w:rPr>
        <w:t>a</w:t>
      </w:r>
      <w:r w:rsidR="00C37EEE" w:rsidRPr="00FF5D87">
        <w:rPr>
          <w:rFonts w:ascii="Arial Narrow" w:hAnsi="Arial Narrow" w:cs="Arial"/>
          <w:sz w:val="24"/>
          <w:szCs w:val="24"/>
        </w:rPr>
        <w:t>n diversas legislaciones que contemplan derechos y obligaciones con relación a dicho grupo etario</w:t>
      </w:r>
      <w:r w:rsidRPr="00FF5D87">
        <w:rPr>
          <w:rFonts w:ascii="Arial Narrow" w:hAnsi="Arial Narrow" w:cs="Arial"/>
          <w:sz w:val="24"/>
          <w:szCs w:val="24"/>
        </w:rPr>
        <w:t xml:space="preserve">. Al respecto; </w:t>
      </w:r>
    </w:p>
    <w:p w14:paraId="7DD27991" w14:textId="77777777" w:rsidR="00237C2C" w:rsidRPr="00FF5D87" w:rsidRDefault="00237C2C" w:rsidP="00991FC3">
      <w:pPr>
        <w:spacing w:after="0" w:line="240" w:lineRule="auto"/>
        <w:jc w:val="both"/>
        <w:rPr>
          <w:rFonts w:ascii="Arial Narrow" w:hAnsi="Arial Narrow" w:cs="Arial"/>
          <w:sz w:val="24"/>
          <w:szCs w:val="24"/>
        </w:rPr>
      </w:pPr>
    </w:p>
    <w:tbl>
      <w:tblPr>
        <w:tblStyle w:val="TableGrid"/>
        <w:tblW w:w="10060" w:type="dxa"/>
        <w:tblLook w:val="04A0" w:firstRow="1" w:lastRow="0" w:firstColumn="1" w:lastColumn="0" w:noHBand="0" w:noVBand="1"/>
      </w:tblPr>
      <w:tblGrid>
        <w:gridCol w:w="5098"/>
        <w:gridCol w:w="4962"/>
      </w:tblGrid>
      <w:tr w:rsidR="00E10552" w:rsidRPr="00FF5D87" w14:paraId="37EFD96F" w14:textId="77777777" w:rsidTr="00C86038">
        <w:tc>
          <w:tcPr>
            <w:tcW w:w="5098" w:type="dxa"/>
            <w:shd w:val="clear" w:color="auto" w:fill="DED7FB"/>
            <w:vAlign w:val="center"/>
          </w:tcPr>
          <w:p w14:paraId="1A716258" w14:textId="68921410" w:rsidR="00E10552" w:rsidRPr="00FF5D87" w:rsidRDefault="00E10552" w:rsidP="0082307D">
            <w:pPr>
              <w:spacing w:line="240" w:lineRule="auto"/>
              <w:jc w:val="center"/>
              <w:rPr>
                <w:rFonts w:ascii="Arial Narrow" w:hAnsi="Arial Narrow" w:cs="Arial"/>
                <w:b/>
                <w:color w:val="000000" w:themeColor="text1"/>
                <w:sz w:val="24"/>
                <w:szCs w:val="24"/>
              </w:rPr>
            </w:pPr>
            <w:r w:rsidRPr="00FF5D87">
              <w:rPr>
                <w:rFonts w:ascii="Arial Narrow" w:hAnsi="Arial Narrow" w:cs="Arial"/>
                <w:b/>
                <w:color w:val="000000" w:themeColor="text1"/>
                <w:sz w:val="24"/>
                <w:szCs w:val="24"/>
              </w:rPr>
              <w:t>Fuente normativa</w:t>
            </w:r>
          </w:p>
        </w:tc>
        <w:tc>
          <w:tcPr>
            <w:tcW w:w="4962" w:type="dxa"/>
            <w:shd w:val="clear" w:color="auto" w:fill="DED7FB"/>
            <w:vAlign w:val="center"/>
          </w:tcPr>
          <w:p w14:paraId="629CE451" w14:textId="13DA9D6A" w:rsidR="00E10552" w:rsidRPr="00FF5D87" w:rsidRDefault="00E10552" w:rsidP="0082307D">
            <w:pPr>
              <w:spacing w:line="240" w:lineRule="auto"/>
              <w:jc w:val="center"/>
              <w:rPr>
                <w:rFonts w:ascii="Arial Narrow" w:hAnsi="Arial Narrow" w:cs="Arial"/>
                <w:b/>
                <w:color w:val="000000" w:themeColor="text1"/>
                <w:sz w:val="24"/>
                <w:szCs w:val="24"/>
              </w:rPr>
            </w:pPr>
            <w:r w:rsidRPr="00FF5D87">
              <w:rPr>
                <w:rFonts w:ascii="Arial Narrow" w:hAnsi="Arial Narrow" w:cs="Arial"/>
                <w:b/>
                <w:color w:val="000000" w:themeColor="text1"/>
                <w:sz w:val="24"/>
                <w:szCs w:val="24"/>
              </w:rPr>
              <w:t>Derecho</w:t>
            </w:r>
          </w:p>
        </w:tc>
      </w:tr>
      <w:tr w:rsidR="00360A5F" w:rsidRPr="00FF5D87" w14:paraId="0FBE7129" w14:textId="77777777" w:rsidTr="00C86038">
        <w:tc>
          <w:tcPr>
            <w:tcW w:w="5098" w:type="dxa"/>
            <w:vMerge w:val="restart"/>
            <w:shd w:val="clear" w:color="auto" w:fill="FFFFFF" w:themeFill="background1"/>
            <w:vAlign w:val="center"/>
          </w:tcPr>
          <w:p w14:paraId="004F6F18" w14:textId="1C758D50" w:rsidR="00360A5F" w:rsidRPr="00FF5D87" w:rsidRDefault="00360A5F" w:rsidP="00590EB9">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Ley de Derechos de los Pueblos y Barrios Originarios y Comunidades Indígenas Residentes en la Ciudad de México</w:t>
            </w:r>
          </w:p>
        </w:tc>
        <w:tc>
          <w:tcPr>
            <w:tcW w:w="4962" w:type="dxa"/>
            <w:shd w:val="clear" w:color="auto" w:fill="FFFFFF" w:themeFill="background1"/>
            <w:vAlign w:val="center"/>
          </w:tcPr>
          <w:p w14:paraId="0265A02C" w14:textId="14ED9BC9" w:rsidR="00360A5F" w:rsidRPr="00FF5D87" w:rsidRDefault="00360A5F" w:rsidP="00360A5F">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De la autonomía, participación y representación</w:t>
            </w:r>
            <w:r w:rsidR="00590EB9" w:rsidRPr="00FF5D87">
              <w:rPr>
                <w:rFonts w:ascii="Arial Narrow" w:hAnsi="Arial Narrow" w:cs="Arial"/>
                <w:color w:val="000000" w:themeColor="text1"/>
                <w:sz w:val="24"/>
                <w:szCs w:val="24"/>
              </w:rPr>
              <w:t>.</w:t>
            </w:r>
          </w:p>
        </w:tc>
      </w:tr>
      <w:tr w:rsidR="00360A5F" w:rsidRPr="00FF5D87" w14:paraId="66E93CD4" w14:textId="77777777" w:rsidTr="00C86038">
        <w:tc>
          <w:tcPr>
            <w:tcW w:w="5098" w:type="dxa"/>
            <w:vMerge/>
            <w:shd w:val="clear" w:color="auto" w:fill="FFFFFF" w:themeFill="background1"/>
            <w:vAlign w:val="center"/>
          </w:tcPr>
          <w:p w14:paraId="09B427AC" w14:textId="77777777" w:rsidR="00360A5F" w:rsidRPr="00FF5D87" w:rsidRDefault="00360A5F" w:rsidP="0082307D">
            <w:pPr>
              <w:spacing w:line="240" w:lineRule="auto"/>
              <w:jc w:val="center"/>
              <w:rPr>
                <w:rFonts w:ascii="Arial Narrow" w:hAnsi="Arial Narrow" w:cs="Arial"/>
                <w:color w:val="000000" w:themeColor="text1"/>
                <w:sz w:val="24"/>
                <w:szCs w:val="24"/>
              </w:rPr>
            </w:pPr>
          </w:p>
        </w:tc>
        <w:tc>
          <w:tcPr>
            <w:tcW w:w="4962" w:type="dxa"/>
            <w:shd w:val="clear" w:color="auto" w:fill="FFFFFF" w:themeFill="background1"/>
            <w:vAlign w:val="center"/>
          </w:tcPr>
          <w:p w14:paraId="5F62A88E" w14:textId="0F2EE400" w:rsidR="00360A5F" w:rsidRPr="00FF5D87" w:rsidRDefault="00360A5F" w:rsidP="00360A5F">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Derechos culturales, lingüísticos, educación intercultural, salvaguarda de saberes y conocimientos tradicionales y comunicación</w:t>
            </w:r>
            <w:r w:rsidR="00590EB9" w:rsidRPr="00FF5D87">
              <w:rPr>
                <w:rFonts w:ascii="Arial Narrow" w:hAnsi="Arial Narrow" w:cs="Arial"/>
                <w:color w:val="000000" w:themeColor="text1"/>
                <w:sz w:val="24"/>
                <w:szCs w:val="24"/>
              </w:rPr>
              <w:t>.</w:t>
            </w:r>
          </w:p>
        </w:tc>
      </w:tr>
      <w:tr w:rsidR="00360A5F" w:rsidRPr="00FF5D87" w14:paraId="21ABC376" w14:textId="77777777" w:rsidTr="00C86038">
        <w:tc>
          <w:tcPr>
            <w:tcW w:w="5098" w:type="dxa"/>
            <w:vMerge/>
            <w:shd w:val="clear" w:color="auto" w:fill="FFFFFF" w:themeFill="background1"/>
            <w:vAlign w:val="center"/>
          </w:tcPr>
          <w:p w14:paraId="58FFA103" w14:textId="77777777" w:rsidR="00360A5F" w:rsidRPr="00FF5D87" w:rsidRDefault="00360A5F" w:rsidP="0082307D">
            <w:pPr>
              <w:spacing w:line="240" w:lineRule="auto"/>
              <w:jc w:val="center"/>
              <w:rPr>
                <w:rFonts w:ascii="Arial Narrow" w:hAnsi="Arial Narrow" w:cs="Arial"/>
                <w:color w:val="000000" w:themeColor="text1"/>
                <w:sz w:val="24"/>
                <w:szCs w:val="24"/>
              </w:rPr>
            </w:pPr>
          </w:p>
        </w:tc>
        <w:tc>
          <w:tcPr>
            <w:tcW w:w="4962" w:type="dxa"/>
            <w:shd w:val="clear" w:color="auto" w:fill="FFFFFF" w:themeFill="background1"/>
            <w:vAlign w:val="center"/>
          </w:tcPr>
          <w:p w14:paraId="61D0C894" w14:textId="1EC1E304" w:rsidR="00360A5F" w:rsidRPr="00FF5D87" w:rsidRDefault="00360A5F" w:rsidP="00360A5F">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 xml:space="preserve">Derecho al desarrollo, derechos </w:t>
            </w:r>
            <w:r w:rsidR="00590EB9" w:rsidRPr="00FF5D87">
              <w:rPr>
                <w:rFonts w:ascii="Arial Narrow" w:hAnsi="Arial Narrow" w:cs="Arial"/>
                <w:color w:val="000000" w:themeColor="text1"/>
                <w:sz w:val="24"/>
                <w:szCs w:val="24"/>
              </w:rPr>
              <w:t>laborales,</w:t>
            </w:r>
            <w:r w:rsidRPr="00FF5D87">
              <w:rPr>
                <w:rFonts w:ascii="Arial Narrow" w:hAnsi="Arial Narrow" w:cs="Arial"/>
                <w:color w:val="000000" w:themeColor="text1"/>
                <w:sz w:val="24"/>
                <w:szCs w:val="24"/>
              </w:rPr>
              <w:t xml:space="preserve"> alud, vivienda, agua, acceso a la justicia</w:t>
            </w:r>
            <w:r w:rsidR="00590EB9" w:rsidRPr="00FF5D87">
              <w:rPr>
                <w:rFonts w:ascii="Arial Narrow" w:hAnsi="Arial Narrow" w:cs="Arial"/>
                <w:color w:val="000000" w:themeColor="text1"/>
                <w:sz w:val="24"/>
                <w:szCs w:val="24"/>
              </w:rPr>
              <w:t>.</w:t>
            </w:r>
          </w:p>
        </w:tc>
      </w:tr>
      <w:tr w:rsidR="00360A5F" w:rsidRPr="00FF5D87" w14:paraId="00F5E7A9" w14:textId="77777777" w:rsidTr="00C86038">
        <w:tc>
          <w:tcPr>
            <w:tcW w:w="5098" w:type="dxa"/>
            <w:vMerge/>
            <w:shd w:val="clear" w:color="auto" w:fill="FFFFFF" w:themeFill="background1"/>
            <w:vAlign w:val="center"/>
          </w:tcPr>
          <w:p w14:paraId="6419F91B" w14:textId="77777777" w:rsidR="00360A5F" w:rsidRPr="00FF5D87" w:rsidRDefault="00360A5F" w:rsidP="0082307D">
            <w:pPr>
              <w:spacing w:line="240" w:lineRule="auto"/>
              <w:jc w:val="center"/>
              <w:rPr>
                <w:rFonts w:ascii="Arial Narrow" w:hAnsi="Arial Narrow" w:cs="Arial"/>
                <w:color w:val="000000" w:themeColor="text1"/>
                <w:sz w:val="24"/>
                <w:szCs w:val="24"/>
              </w:rPr>
            </w:pPr>
          </w:p>
        </w:tc>
        <w:tc>
          <w:tcPr>
            <w:tcW w:w="4962" w:type="dxa"/>
            <w:shd w:val="clear" w:color="auto" w:fill="FFFFFF" w:themeFill="background1"/>
            <w:vAlign w:val="center"/>
          </w:tcPr>
          <w:p w14:paraId="53766B0E" w14:textId="7A7E21F1" w:rsidR="00360A5F" w:rsidRPr="00FF5D87" w:rsidRDefault="00360A5F" w:rsidP="00360A5F">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Derechos de tierras, recursos, medio ambiente y territorio de los pueblos originarios</w:t>
            </w:r>
            <w:r w:rsidR="00590EB9" w:rsidRPr="00FF5D87">
              <w:rPr>
                <w:rFonts w:ascii="Arial Narrow" w:hAnsi="Arial Narrow" w:cs="Arial"/>
                <w:color w:val="000000" w:themeColor="text1"/>
                <w:sz w:val="24"/>
                <w:szCs w:val="24"/>
              </w:rPr>
              <w:t>.</w:t>
            </w:r>
          </w:p>
        </w:tc>
      </w:tr>
      <w:tr w:rsidR="00E10552" w:rsidRPr="00FF5D87" w14:paraId="6B6ECCF8" w14:textId="77777777" w:rsidTr="00C86038">
        <w:tc>
          <w:tcPr>
            <w:tcW w:w="5098" w:type="dxa"/>
            <w:vMerge w:val="restart"/>
            <w:vAlign w:val="center"/>
          </w:tcPr>
          <w:p w14:paraId="25CB4EBB" w14:textId="197122A0" w:rsidR="00E10552" w:rsidRPr="00FF5D87" w:rsidRDefault="00E10552" w:rsidP="004D35BD">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Ley Constitucional de Derechos Humanos y sus Garantías de la Ciudad de México</w:t>
            </w:r>
          </w:p>
        </w:tc>
        <w:tc>
          <w:tcPr>
            <w:tcW w:w="4962" w:type="dxa"/>
            <w:vAlign w:val="center"/>
          </w:tcPr>
          <w:p w14:paraId="7FB8B117" w14:textId="70670C78" w:rsidR="00E10552" w:rsidRPr="00FF5D87" w:rsidRDefault="0046775A" w:rsidP="00360A5F">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Derecho a la consulta y participación</w:t>
            </w:r>
          </w:p>
        </w:tc>
      </w:tr>
      <w:tr w:rsidR="0046775A" w:rsidRPr="00FF5D87" w14:paraId="307CB8B7" w14:textId="77777777" w:rsidTr="00C86038">
        <w:tc>
          <w:tcPr>
            <w:tcW w:w="5098" w:type="dxa"/>
            <w:vMerge/>
            <w:vAlign w:val="center"/>
          </w:tcPr>
          <w:p w14:paraId="08BD07FF" w14:textId="77777777" w:rsidR="0046775A" w:rsidRPr="00FF5D87" w:rsidRDefault="0046775A" w:rsidP="0082307D">
            <w:pPr>
              <w:spacing w:line="240" w:lineRule="auto"/>
              <w:jc w:val="center"/>
              <w:rPr>
                <w:rFonts w:ascii="Arial Narrow" w:hAnsi="Arial Narrow" w:cs="Arial"/>
                <w:color w:val="000000" w:themeColor="text1"/>
                <w:sz w:val="24"/>
                <w:szCs w:val="24"/>
              </w:rPr>
            </w:pPr>
          </w:p>
        </w:tc>
        <w:tc>
          <w:tcPr>
            <w:tcW w:w="4962" w:type="dxa"/>
            <w:vAlign w:val="center"/>
          </w:tcPr>
          <w:p w14:paraId="56E87FD3" w14:textId="4B83C0DB" w:rsidR="0046775A" w:rsidRPr="00FF5D87" w:rsidRDefault="0046775A" w:rsidP="00360A5F">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 xml:space="preserve">Interpretación, traducción y mecanismos necesarios para la prestación de servicios públicos </w:t>
            </w:r>
            <w:r w:rsidR="004D35BD" w:rsidRPr="00FF5D87">
              <w:rPr>
                <w:rFonts w:ascii="Arial Narrow" w:hAnsi="Arial Narrow" w:cs="Arial"/>
                <w:color w:val="000000" w:themeColor="text1"/>
                <w:sz w:val="24"/>
                <w:szCs w:val="24"/>
              </w:rPr>
              <w:t>en su lengua</w:t>
            </w:r>
          </w:p>
        </w:tc>
      </w:tr>
      <w:tr w:rsidR="004C7F66" w:rsidRPr="00FF5D87" w14:paraId="28835168" w14:textId="77777777" w:rsidTr="00C86038">
        <w:tc>
          <w:tcPr>
            <w:tcW w:w="5098" w:type="dxa"/>
            <w:vAlign w:val="center"/>
          </w:tcPr>
          <w:p w14:paraId="5A721426" w14:textId="6228E81D" w:rsidR="004C7F66" w:rsidRPr="00FF5D87" w:rsidRDefault="004C7F66" w:rsidP="00AF1A67">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Ley General de los Derechos Lingüísticos de los Pueblos Indígenas</w:t>
            </w:r>
          </w:p>
        </w:tc>
        <w:tc>
          <w:tcPr>
            <w:tcW w:w="4962" w:type="dxa"/>
            <w:vMerge w:val="restart"/>
            <w:vAlign w:val="center"/>
          </w:tcPr>
          <w:p w14:paraId="5D3DD78E" w14:textId="09927FD2" w:rsidR="004C7F66" w:rsidRPr="00FF5D87" w:rsidRDefault="004C7F66" w:rsidP="0046775A">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Derechos culturales</w:t>
            </w:r>
          </w:p>
        </w:tc>
      </w:tr>
      <w:tr w:rsidR="004C7F66" w:rsidRPr="00FF5D87" w14:paraId="57F70508" w14:textId="77777777" w:rsidTr="00C86038">
        <w:tc>
          <w:tcPr>
            <w:tcW w:w="5098" w:type="dxa"/>
            <w:vAlign w:val="center"/>
          </w:tcPr>
          <w:p w14:paraId="039F5FA2" w14:textId="6040D642" w:rsidR="004C7F66" w:rsidRPr="00FF5D87" w:rsidRDefault="004C7F66" w:rsidP="00AF1A67">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Ley del Sistema Público de Radiodifusión para la Ciudad de México</w:t>
            </w:r>
          </w:p>
        </w:tc>
        <w:tc>
          <w:tcPr>
            <w:tcW w:w="4962" w:type="dxa"/>
            <w:vMerge/>
            <w:vAlign w:val="center"/>
          </w:tcPr>
          <w:p w14:paraId="14248460" w14:textId="6F08F4F7" w:rsidR="004C7F66" w:rsidRPr="00FF5D87" w:rsidRDefault="004C7F66" w:rsidP="0046775A">
            <w:pPr>
              <w:spacing w:line="240" w:lineRule="auto"/>
              <w:jc w:val="both"/>
              <w:rPr>
                <w:rFonts w:ascii="Arial Narrow" w:hAnsi="Arial Narrow" w:cs="Arial"/>
                <w:color w:val="000000" w:themeColor="text1"/>
                <w:sz w:val="24"/>
                <w:szCs w:val="24"/>
              </w:rPr>
            </w:pPr>
          </w:p>
        </w:tc>
      </w:tr>
      <w:tr w:rsidR="004C7F66" w:rsidRPr="00FF5D87" w14:paraId="1DEAA7AC" w14:textId="77777777" w:rsidTr="00C86038">
        <w:tc>
          <w:tcPr>
            <w:tcW w:w="5098" w:type="dxa"/>
            <w:vAlign w:val="center"/>
          </w:tcPr>
          <w:p w14:paraId="13FBA14C" w14:textId="4E2F342C" w:rsidR="004C7F66" w:rsidRPr="00FF5D87" w:rsidRDefault="003A7C69" w:rsidP="00AF1A67">
            <w:pPr>
              <w:spacing w:line="240" w:lineRule="auto"/>
              <w:jc w:val="both"/>
              <w:rPr>
                <w:rFonts w:ascii="Arial Narrow" w:hAnsi="Arial Narrow" w:cs="Arial"/>
                <w:color w:val="000000" w:themeColor="text1"/>
                <w:sz w:val="24"/>
                <w:szCs w:val="24"/>
              </w:rPr>
            </w:pPr>
            <w:hyperlink r:id="rId8" w:history="1">
              <w:r w:rsidR="004C7F66" w:rsidRPr="00FF5D87">
                <w:rPr>
                  <w:rStyle w:val="Hyperlink"/>
                  <w:rFonts w:ascii="Arial Narrow" w:hAnsi="Arial Narrow" w:cs="Arial"/>
                  <w:color w:val="000000" w:themeColor="text1"/>
                  <w:sz w:val="24"/>
                  <w:szCs w:val="24"/>
                  <w:u w:val="none"/>
                </w:rPr>
                <w:t>Ley de los Derechos Culturales de los Habitantes y Visitantes de la Ciudad de México</w:t>
              </w:r>
            </w:hyperlink>
          </w:p>
        </w:tc>
        <w:tc>
          <w:tcPr>
            <w:tcW w:w="4962" w:type="dxa"/>
            <w:vMerge/>
            <w:vAlign w:val="center"/>
          </w:tcPr>
          <w:p w14:paraId="3767A326" w14:textId="757AC035" w:rsidR="004C7F66" w:rsidRPr="00FF5D87" w:rsidRDefault="004C7F66" w:rsidP="0046775A">
            <w:pPr>
              <w:spacing w:line="240" w:lineRule="auto"/>
              <w:jc w:val="both"/>
              <w:rPr>
                <w:rFonts w:ascii="Arial Narrow" w:hAnsi="Arial Narrow" w:cs="Arial"/>
                <w:color w:val="000000" w:themeColor="text1"/>
                <w:sz w:val="24"/>
                <w:szCs w:val="24"/>
              </w:rPr>
            </w:pPr>
          </w:p>
        </w:tc>
      </w:tr>
      <w:tr w:rsidR="004C7F66" w:rsidRPr="00FF5D87" w14:paraId="569210B3" w14:textId="77777777" w:rsidTr="00C86038">
        <w:tc>
          <w:tcPr>
            <w:tcW w:w="5098" w:type="dxa"/>
            <w:vAlign w:val="center"/>
          </w:tcPr>
          <w:p w14:paraId="7E10145D" w14:textId="6C6E2046" w:rsidR="004C7F66" w:rsidRPr="00FF5D87" w:rsidRDefault="004C7F66" w:rsidP="00AF1A67">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Ley de los Derechos Culturales de los Habitantes y Visitantes de la Ciudad de México</w:t>
            </w:r>
          </w:p>
        </w:tc>
        <w:tc>
          <w:tcPr>
            <w:tcW w:w="4962" w:type="dxa"/>
            <w:vMerge/>
            <w:vAlign w:val="center"/>
          </w:tcPr>
          <w:p w14:paraId="38B6C436" w14:textId="78D5726E" w:rsidR="004C7F66" w:rsidRPr="00FF5D87" w:rsidRDefault="004C7F66" w:rsidP="0046775A">
            <w:pPr>
              <w:spacing w:line="240" w:lineRule="auto"/>
              <w:jc w:val="both"/>
              <w:rPr>
                <w:rFonts w:ascii="Arial Narrow" w:hAnsi="Arial Narrow" w:cs="Arial"/>
                <w:color w:val="000000" w:themeColor="text1"/>
                <w:sz w:val="24"/>
                <w:szCs w:val="24"/>
              </w:rPr>
            </w:pPr>
          </w:p>
        </w:tc>
      </w:tr>
      <w:tr w:rsidR="004C7F66" w:rsidRPr="00FF5D87" w14:paraId="5D75752C" w14:textId="77777777" w:rsidTr="00C86038">
        <w:tc>
          <w:tcPr>
            <w:tcW w:w="5098" w:type="dxa"/>
            <w:vAlign w:val="center"/>
          </w:tcPr>
          <w:p w14:paraId="36A43EFA" w14:textId="57D91A1C" w:rsidR="004C7F66" w:rsidRPr="00FF5D87" w:rsidRDefault="003A7C69" w:rsidP="00AF1A67">
            <w:pPr>
              <w:spacing w:line="240" w:lineRule="auto"/>
              <w:jc w:val="both"/>
              <w:rPr>
                <w:rFonts w:ascii="Arial Narrow" w:hAnsi="Arial Narrow" w:cs="Arial"/>
                <w:color w:val="000000" w:themeColor="text1"/>
                <w:sz w:val="24"/>
                <w:szCs w:val="24"/>
              </w:rPr>
            </w:pPr>
            <w:hyperlink r:id="rId9" w:history="1">
              <w:r w:rsidR="004C7F66" w:rsidRPr="00FF5D87">
                <w:rPr>
                  <w:rStyle w:val="Hyperlink"/>
                  <w:rFonts w:ascii="Arial Narrow" w:hAnsi="Arial Narrow" w:cs="Arial"/>
                  <w:color w:val="000000" w:themeColor="text1"/>
                  <w:sz w:val="24"/>
                  <w:szCs w:val="24"/>
                  <w:u w:val="none"/>
                </w:rPr>
                <w:t>Ley para Prevenir y Eliminar la Discriminación de la Ciudad de México</w:t>
              </w:r>
            </w:hyperlink>
          </w:p>
        </w:tc>
        <w:tc>
          <w:tcPr>
            <w:tcW w:w="4962" w:type="dxa"/>
            <w:vAlign w:val="center"/>
          </w:tcPr>
          <w:p w14:paraId="5610CC2B" w14:textId="1614A63D" w:rsidR="004C7F66" w:rsidRPr="00FF5D87" w:rsidRDefault="004C7F66" w:rsidP="0046775A">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Derecho a la no discriminación</w:t>
            </w:r>
          </w:p>
        </w:tc>
      </w:tr>
      <w:tr w:rsidR="00E10552" w:rsidRPr="00FF5D87" w14:paraId="0A50056B" w14:textId="77777777" w:rsidTr="00C86038">
        <w:tc>
          <w:tcPr>
            <w:tcW w:w="5098" w:type="dxa"/>
            <w:vAlign w:val="center"/>
          </w:tcPr>
          <w:p w14:paraId="2A0A2963" w14:textId="5B4DCEF5" w:rsidR="00E10552" w:rsidRPr="00FF5D87" w:rsidRDefault="003A7C69" w:rsidP="00056141">
            <w:pPr>
              <w:spacing w:line="240" w:lineRule="auto"/>
              <w:jc w:val="both"/>
              <w:rPr>
                <w:rFonts w:ascii="Arial Narrow" w:hAnsi="Arial Narrow" w:cs="Arial"/>
                <w:color w:val="000000" w:themeColor="text1"/>
                <w:sz w:val="24"/>
                <w:szCs w:val="24"/>
              </w:rPr>
            </w:pPr>
            <w:hyperlink r:id="rId10" w:history="1">
              <w:r w:rsidR="00E10552" w:rsidRPr="00FF5D87">
                <w:rPr>
                  <w:rStyle w:val="Hyperlink"/>
                  <w:rFonts w:ascii="Arial Narrow" w:hAnsi="Arial Narrow" w:cs="Arial"/>
                  <w:color w:val="000000" w:themeColor="text1"/>
                  <w:sz w:val="24"/>
                  <w:szCs w:val="24"/>
                  <w:u w:val="none"/>
                </w:rPr>
                <w:t>Ley de Acceso de las Mujeres a una vida libre de violencia de la Ciudad de México</w:t>
              </w:r>
            </w:hyperlink>
          </w:p>
        </w:tc>
        <w:tc>
          <w:tcPr>
            <w:tcW w:w="4962" w:type="dxa"/>
            <w:vAlign w:val="center"/>
          </w:tcPr>
          <w:p w14:paraId="29931316" w14:textId="3F9A32F7" w:rsidR="00E10552" w:rsidRPr="00FF5D87" w:rsidRDefault="00E10552" w:rsidP="005C1FF9">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 xml:space="preserve">Derecho a una vida libre de </w:t>
            </w:r>
            <w:r w:rsidR="00590EB9" w:rsidRPr="00FF5D87">
              <w:rPr>
                <w:rFonts w:ascii="Arial Narrow" w:hAnsi="Arial Narrow" w:cs="Arial"/>
                <w:color w:val="000000" w:themeColor="text1"/>
                <w:sz w:val="24"/>
                <w:szCs w:val="24"/>
              </w:rPr>
              <w:t>violencia</w:t>
            </w:r>
          </w:p>
        </w:tc>
      </w:tr>
      <w:tr w:rsidR="00E10552" w:rsidRPr="00FF5D87" w14:paraId="2DC53210" w14:textId="77777777" w:rsidTr="00C86038">
        <w:tc>
          <w:tcPr>
            <w:tcW w:w="5098" w:type="dxa"/>
            <w:vAlign w:val="center"/>
          </w:tcPr>
          <w:p w14:paraId="3AEC85DB" w14:textId="1DB9603A" w:rsidR="00E10552" w:rsidRPr="00FF5D87" w:rsidRDefault="003A7C69" w:rsidP="00056141">
            <w:pPr>
              <w:spacing w:line="240" w:lineRule="auto"/>
              <w:jc w:val="both"/>
              <w:rPr>
                <w:rFonts w:ascii="Arial Narrow" w:hAnsi="Arial Narrow" w:cs="Arial"/>
                <w:color w:val="000000" w:themeColor="text1"/>
                <w:sz w:val="24"/>
                <w:szCs w:val="24"/>
              </w:rPr>
            </w:pPr>
            <w:hyperlink r:id="rId11" w:history="1">
              <w:r w:rsidR="00E10552" w:rsidRPr="00FF5D87">
                <w:rPr>
                  <w:rStyle w:val="Hyperlink"/>
                  <w:rFonts w:ascii="Arial Narrow" w:hAnsi="Arial Narrow" w:cs="Arial"/>
                  <w:color w:val="000000" w:themeColor="text1"/>
                  <w:sz w:val="24"/>
                  <w:szCs w:val="24"/>
                  <w:u w:val="none"/>
                </w:rPr>
                <w:t>Ley de Salud de la Ciudad de México</w:t>
              </w:r>
            </w:hyperlink>
          </w:p>
        </w:tc>
        <w:tc>
          <w:tcPr>
            <w:tcW w:w="4962" w:type="dxa"/>
            <w:vAlign w:val="center"/>
          </w:tcPr>
          <w:p w14:paraId="5CCFDFAF" w14:textId="1ECB266F" w:rsidR="00E10552" w:rsidRPr="00FF5D87" w:rsidRDefault="00E10552" w:rsidP="005C1FF9">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Derecho a la salud, derecho a preservar, desarrollar prácticas y conocimientos propios de su cultura y tradiciones</w:t>
            </w:r>
          </w:p>
        </w:tc>
      </w:tr>
      <w:tr w:rsidR="00E10552" w:rsidRPr="00FF5D87" w14:paraId="6388E31D" w14:textId="77777777" w:rsidTr="00C86038">
        <w:trPr>
          <w:trHeight w:val="56"/>
        </w:trPr>
        <w:tc>
          <w:tcPr>
            <w:tcW w:w="5098" w:type="dxa"/>
            <w:vAlign w:val="center"/>
          </w:tcPr>
          <w:p w14:paraId="73340CE0" w14:textId="06D9FC07" w:rsidR="00E10552" w:rsidRPr="00FF5D87" w:rsidRDefault="003A7C69" w:rsidP="00056141">
            <w:pPr>
              <w:spacing w:line="240" w:lineRule="auto"/>
              <w:jc w:val="both"/>
              <w:rPr>
                <w:rFonts w:ascii="Arial Narrow" w:hAnsi="Arial Narrow" w:cs="Arial"/>
                <w:color w:val="000000" w:themeColor="text1"/>
                <w:sz w:val="24"/>
                <w:szCs w:val="24"/>
              </w:rPr>
            </w:pPr>
            <w:hyperlink r:id="rId12" w:history="1">
              <w:r w:rsidR="00E10552" w:rsidRPr="00FF5D87">
                <w:rPr>
                  <w:rStyle w:val="Hyperlink"/>
                  <w:rFonts w:ascii="Arial Narrow" w:hAnsi="Arial Narrow" w:cs="Arial"/>
                  <w:color w:val="000000" w:themeColor="text1"/>
                  <w:sz w:val="24"/>
                  <w:szCs w:val="24"/>
                  <w:u w:val="none"/>
                </w:rPr>
                <w:t>Ley de Educación de la Ciudad de México</w:t>
              </w:r>
            </w:hyperlink>
          </w:p>
        </w:tc>
        <w:tc>
          <w:tcPr>
            <w:tcW w:w="4962" w:type="dxa"/>
            <w:vAlign w:val="center"/>
          </w:tcPr>
          <w:p w14:paraId="39C8B307" w14:textId="77914786" w:rsidR="00E10552" w:rsidRPr="00FF5D87" w:rsidRDefault="00E10552" w:rsidP="00EE158D">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Derecho a la educación, cultura y ejercicios lingüísticos preservando tradiciones, costumbres y valores culturales</w:t>
            </w:r>
          </w:p>
        </w:tc>
      </w:tr>
      <w:tr w:rsidR="00E10552" w:rsidRPr="00FF5D87" w14:paraId="47B89BF5" w14:textId="77777777" w:rsidTr="00C86038">
        <w:trPr>
          <w:trHeight w:val="56"/>
        </w:trPr>
        <w:tc>
          <w:tcPr>
            <w:tcW w:w="5098" w:type="dxa"/>
            <w:vAlign w:val="center"/>
          </w:tcPr>
          <w:p w14:paraId="2F327C94" w14:textId="6D379A27" w:rsidR="00E10552" w:rsidRPr="00FF5D87" w:rsidRDefault="00E10552" w:rsidP="00056141">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Ley Orgánica del Instituto de Planeación Democrática y Prospectiva de la CDMX</w:t>
            </w:r>
          </w:p>
        </w:tc>
        <w:tc>
          <w:tcPr>
            <w:tcW w:w="4962" w:type="dxa"/>
            <w:vAlign w:val="center"/>
          </w:tcPr>
          <w:p w14:paraId="004DE78C" w14:textId="23022A61" w:rsidR="00E10552" w:rsidRPr="00FF5D87" w:rsidRDefault="00E10552" w:rsidP="00EE158D">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Participación en el proceso integral de planeación del desarrollo</w:t>
            </w:r>
          </w:p>
        </w:tc>
      </w:tr>
      <w:tr w:rsidR="00056141" w:rsidRPr="00FF5D87" w14:paraId="7647F4D4" w14:textId="77777777" w:rsidTr="00C86038">
        <w:trPr>
          <w:trHeight w:val="56"/>
        </w:trPr>
        <w:tc>
          <w:tcPr>
            <w:tcW w:w="5098" w:type="dxa"/>
            <w:vAlign w:val="center"/>
          </w:tcPr>
          <w:p w14:paraId="1043E564" w14:textId="6B8CC323" w:rsidR="00056141" w:rsidRPr="00FF5D87" w:rsidRDefault="00056141" w:rsidP="00056141">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Ley de Patrimonio Cultural, Natural y Biocultural de la CDMX</w:t>
            </w:r>
          </w:p>
        </w:tc>
        <w:tc>
          <w:tcPr>
            <w:tcW w:w="4962" w:type="dxa"/>
            <w:vMerge w:val="restart"/>
            <w:vAlign w:val="center"/>
          </w:tcPr>
          <w:p w14:paraId="540C488C" w14:textId="2E65783C" w:rsidR="00056141" w:rsidRPr="00FF5D87" w:rsidRDefault="00056141" w:rsidP="00B950E1">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Derecho a la participación y consulta</w:t>
            </w:r>
          </w:p>
        </w:tc>
      </w:tr>
      <w:tr w:rsidR="00056141" w:rsidRPr="00FF5D87" w14:paraId="700B9E72" w14:textId="77777777" w:rsidTr="00C86038">
        <w:trPr>
          <w:trHeight w:val="56"/>
        </w:trPr>
        <w:tc>
          <w:tcPr>
            <w:tcW w:w="5098" w:type="dxa"/>
            <w:vAlign w:val="center"/>
          </w:tcPr>
          <w:p w14:paraId="33B42F13" w14:textId="0D6B6AB1" w:rsidR="00056141" w:rsidRPr="00FF5D87" w:rsidRDefault="00056141" w:rsidP="00056141">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Ley de Participación Ciudadana de la Ciudad de México</w:t>
            </w:r>
          </w:p>
        </w:tc>
        <w:tc>
          <w:tcPr>
            <w:tcW w:w="4962" w:type="dxa"/>
            <w:vMerge/>
            <w:vAlign w:val="center"/>
          </w:tcPr>
          <w:p w14:paraId="709DC7EC" w14:textId="4C8CE201" w:rsidR="00056141" w:rsidRPr="00FF5D87" w:rsidRDefault="00056141" w:rsidP="00B950E1">
            <w:pPr>
              <w:spacing w:line="240" w:lineRule="auto"/>
              <w:jc w:val="both"/>
              <w:rPr>
                <w:rFonts w:ascii="Arial Narrow" w:hAnsi="Arial Narrow" w:cs="Arial"/>
                <w:color w:val="000000" w:themeColor="text1"/>
                <w:sz w:val="24"/>
                <w:szCs w:val="24"/>
              </w:rPr>
            </w:pPr>
          </w:p>
        </w:tc>
      </w:tr>
      <w:tr w:rsidR="00056141" w:rsidRPr="00FF5D87" w14:paraId="5F2BB96C" w14:textId="77777777" w:rsidTr="00C86038">
        <w:trPr>
          <w:trHeight w:val="56"/>
        </w:trPr>
        <w:tc>
          <w:tcPr>
            <w:tcW w:w="5098" w:type="dxa"/>
            <w:vAlign w:val="center"/>
          </w:tcPr>
          <w:p w14:paraId="35B91A59" w14:textId="6DB1F481" w:rsidR="00056141" w:rsidRPr="00FF5D87" w:rsidRDefault="00056141" w:rsidP="00056141">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Ley del Sistema de Planeación del Desarrollo de la Ciudad de México</w:t>
            </w:r>
          </w:p>
        </w:tc>
        <w:tc>
          <w:tcPr>
            <w:tcW w:w="4962" w:type="dxa"/>
            <w:vMerge/>
            <w:vAlign w:val="center"/>
          </w:tcPr>
          <w:p w14:paraId="0FC04BE1" w14:textId="13528349" w:rsidR="00056141" w:rsidRPr="00FF5D87" w:rsidRDefault="00056141" w:rsidP="00B950E1">
            <w:pPr>
              <w:spacing w:line="240" w:lineRule="auto"/>
              <w:jc w:val="both"/>
              <w:rPr>
                <w:rFonts w:ascii="Arial Narrow" w:hAnsi="Arial Narrow" w:cs="Arial"/>
                <w:color w:val="000000" w:themeColor="text1"/>
                <w:sz w:val="24"/>
                <w:szCs w:val="24"/>
              </w:rPr>
            </w:pPr>
          </w:p>
        </w:tc>
      </w:tr>
      <w:tr w:rsidR="00E10552" w:rsidRPr="00FF5D87" w14:paraId="15F3B5FC" w14:textId="77777777" w:rsidTr="00C86038">
        <w:trPr>
          <w:trHeight w:val="56"/>
        </w:trPr>
        <w:tc>
          <w:tcPr>
            <w:tcW w:w="5098" w:type="dxa"/>
            <w:vAlign w:val="center"/>
          </w:tcPr>
          <w:p w14:paraId="41885E47" w14:textId="60AF1082" w:rsidR="00E10552" w:rsidRPr="00FF5D87" w:rsidRDefault="00E10552" w:rsidP="00226D2E">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Ley para la Protección, Atención y Asistencia a las Víctimas de los Delitos en Materia de Trata de Personas</w:t>
            </w:r>
          </w:p>
        </w:tc>
        <w:tc>
          <w:tcPr>
            <w:tcW w:w="4962" w:type="dxa"/>
            <w:vAlign w:val="center"/>
          </w:tcPr>
          <w:p w14:paraId="343FFDAD" w14:textId="6A9D8F9A" w:rsidR="00E10552" w:rsidRPr="00FF5D87" w:rsidRDefault="00E10552" w:rsidP="00B950E1">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Obligaciones especiales para protección a víctimas que pertenecen a pueblos indígenas</w:t>
            </w:r>
          </w:p>
        </w:tc>
      </w:tr>
      <w:tr w:rsidR="004C7F66" w:rsidRPr="00FF5D87" w14:paraId="081E276A" w14:textId="77777777" w:rsidTr="00C86038">
        <w:trPr>
          <w:trHeight w:val="56"/>
        </w:trPr>
        <w:tc>
          <w:tcPr>
            <w:tcW w:w="5098" w:type="dxa"/>
            <w:vAlign w:val="center"/>
          </w:tcPr>
          <w:p w14:paraId="5E8510D2" w14:textId="6C1DACBF" w:rsidR="004C7F66" w:rsidRPr="00FF5D87" w:rsidRDefault="004C7F66" w:rsidP="00226D2E">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Ley del Territorio de la CDMX</w:t>
            </w:r>
          </w:p>
        </w:tc>
        <w:tc>
          <w:tcPr>
            <w:tcW w:w="4962" w:type="dxa"/>
            <w:vMerge w:val="restart"/>
            <w:vAlign w:val="center"/>
          </w:tcPr>
          <w:p w14:paraId="7267831F" w14:textId="2290DA4D" w:rsidR="004C7F66" w:rsidRPr="00FF5D87" w:rsidRDefault="004C7F66" w:rsidP="000B4ACD">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Reconocimiento a la tenencia de la tierra</w:t>
            </w:r>
          </w:p>
        </w:tc>
      </w:tr>
      <w:tr w:rsidR="004C7F66" w:rsidRPr="00FF5D87" w14:paraId="096EE69F" w14:textId="77777777" w:rsidTr="00C86038">
        <w:trPr>
          <w:trHeight w:val="56"/>
        </w:trPr>
        <w:tc>
          <w:tcPr>
            <w:tcW w:w="5098" w:type="dxa"/>
            <w:vAlign w:val="center"/>
          </w:tcPr>
          <w:p w14:paraId="35261FD1" w14:textId="3C22F5FC" w:rsidR="004C7F66" w:rsidRPr="00FF5D87" w:rsidRDefault="004C7F66" w:rsidP="00226D2E">
            <w:pPr>
              <w:spacing w:line="240" w:lineRule="auto"/>
              <w:jc w:val="both"/>
              <w:rPr>
                <w:rFonts w:ascii="Arial Narrow" w:hAnsi="Arial Narrow" w:cs="Arial"/>
                <w:color w:val="000000" w:themeColor="text1"/>
                <w:sz w:val="24"/>
                <w:szCs w:val="24"/>
              </w:rPr>
            </w:pPr>
            <w:r w:rsidRPr="00FF5D87">
              <w:rPr>
                <w:rFonts w:ascii="Arial Narrow" w:hAnsi="Arial Narrow" w:cs="Arial"/>
                <w:color w:val="000000" w:themeColor="text1"/>
                <w:sz w:val="24"/>
                <w:szCs w:val="24"/>
              </w:rPr>
              <w:t>Ley Ambiental de Protección a la Tierra en la CDMX</w:t>
            </w:r>
          </w:p>
        </w:tc>
        <w:tc>
          <w:tcPr>
            <w:tcW w:w="4962" w:type="dxa"/>
            <w:vMerge/>
            <w:vAlign w:val="center"/>
          </w:tcPr>
          <w:p w14:paraId="129F6EEB" w14:textId="5F497DDD" w:rsidR="004C7F66" w:rsidRPr="00FF5D87" w:rsidRDefault="004C7F66" w:rsidP="000B4ACD">
            <w:pPr>
              <w:spacing w:line="240" w:lineRule="auto"/>
              <w:jc w:val="both"/>
              <w:rPr>
                <w:rFonts w:ascii="Arial Narrow" w:hAnsi="Arial Narrow" w:cs="Arial"/>
                <w:color w:val="000000" w:themeColor="text1"/>
                <w:sz w:val="24"/>
                <w:szCs w:val="24"/>
              </w:rPr>
            </w:pPr>
          </w:p>
        </w:tc>
      </w:tr>
    </w:tbl>
    <w:p w14:paraId="70B90F84" w14:textId="77777777" w:rsidR="00237C2C" w:rsidRPr="00FF5D87" w:rsidRDefault="00237C2C" w:rsidP="00237C2C">
      <w:pPr>
        <w:spacing w:after="0" w:line="240" w:lineRule="auto"/>
        <w:jc w:val="center"/>
        <w:rPr>
          <w:rFonts w:ascii="Arial Narrow" w:hAnsi="Arial Narrow" w:cs="Arial"/>
          <w:sz w:val="24"/>
          <w:szCs w:val="24"/>
        </w:rPr>
      </w:pPr>
    </w:p>
    <w:p w14:paraId="19B8E55E" w14:textId="0328AC79" w:rsidR="001729ED" w:rsidRPr="00FF5D87" w:rsidRDefault="00C86038" w:rsidP="00E134C9">
      <w:pPr>
        <w:spacing w:after="0" w:line="240" w:lineRule="auto"/>
        <w:jc w:val="both"/>
        <w:rPr>
          <w:rFonts w:ascii="Arial Narrow" w:hAnsi="Arial Narrow" w:cs="Arial"/>
          <w:sz w:val="24"/>
          <w:szCs w:val="24"/>
        </w:rPr>
      </w:pPr>
      <w:r w:rsidRPr="00FF5D87">
        <w:rPr>
          <w:rFonts w:ascii="Arial Narrow" w:hAnsi="Arial Narrow" w:cs="Arial"/>
          <w:sz w:val="24"/>
          <w:szCs w:val="24"/>
        </w:rPr>
        <w:t>En suma, el marco jurídic</w:t>
      </w:r>
      <w:r w:rsidR="00844A3D" w:rsidRPr="00FF5D87">
        <w:rPr>
          <w:rFonts w:ascii="Arial Narrow" w:hAnsi="Arial Narrow" w:cs="Arial"/>
          <w:sz w:val="24"/>
          <w:szCs w:val="24"/>
        </w:rPr>
        <w:t xml:space="preserve">o referente a los derechos de los pueblos indígenas se encuentra consolidado en diversos instrumentos normativos </w:t>
      </w:r>
      <w:r w:rsidR="00BF6C70" w:rsidRPr="00FF5D87">
        <w:rPr>
          <w:rFonts w:ascii="Arial Narrow" w:hAnsi="Arial Narrow" w:cs="Arial"/>
          <w:sz w:val="24"/>
          <w:szCs w:val="24"/>
        </w:rPr>
        <w:t xml:space="preserve">e incluye diversas obligaciones de cumplimiento para el Estado. </w:t>
      </w:r>
    </w:p>
    <w:p w14:paraId="5BFFC4A3" w14:textId="77777777" w:rsidR="00844A3D" w:rsidRPr="00FF5D87" w:rsidRDefault="00844A3D" w:rsidP="00E134C9">
      <w:pPr>
        <w:spacing w:after="0" w:line="240" w:lineRule="auto"/>
        <w:jc w:val="both"/>
        <w:rPr>
          <w:rFonts w:ascii="Arial Narrow" w:hAnsi="Arial Narrow" w:cs="Arial"/>
          <w:sz w:val="24"/>
          <w:szCs w:val="24"/>
        </w:rPr>
      </w:pPr>
    </w:p>
    <w:p w14:paraId="4B3FEF99" w14:textId="62760FC7" w:rsidR="00BF6C70" w:rsidRPr="00FF5D87" w:rsidRDefault="00BF6C70" w:rsidP="00BF6C70">
      <w:pPr>
        <w:spacing w:after="0" w:line="240" w:lineRule="auto"/>
        <w:jc w:val="both"/>
        <w:rPr>
          <w:rFonts w:ascii="Arial Narrow" w:hAnsi="Arial Narrow" w:cs="Arial"/>
          <w:b/>
          <w:bCs/>
          <w:sz w:val="24"/>
          <w:szCs w:val="24"/>
        </w:rPr>
      </w:pPr>
      <w:r w:rsidRPr="00FF5D87">
        <w:rPr>
          <w:rFonts w:ascii="Arial Narrow" w:hAnsi="Arial Narrow" w:cs="Arial"/>
          <w:b/>
          <w:bCs/>
          <w:sz w:val="24"/>
          <w:szCs w:val="24"/>
        </w:rPr>
        <w:t xml:space="preserve">B. </w:t>
      </w:r>
      <w:r w:rsidR="0031223B" w:rsidRPr="00FF5D87">
        <w:rPr>
          <w:rFonts w:ascii="Arial Narrow" w:hAnsi="Arial Narrow" w:cs="Arial"/>
          <w:b/>
          <w:bCs/>
          <w:sz w:val="24"/>
          <w:szCs w:val="24"/>
        </w:rPr>
        <w:t>Decisiones judiciales</w:t>
      </w:r>
      <w:r w:rsidRPr="00FF5D87">
        <w:rPr>
          <w:rFonts w:ascii="Arial Narrow" w:hAnsi="Arial Narrow" w:cs="Arial"/>
          <w:b/>
          <w:bCs/>
          <w:sz w:val="24"/>
          <w:szCs w:val="24"/>
        </w:rPr>
        <w:t xml:space="preserve"> para lograr los fines de la Declaración de las NU sobre los Derechos de los Pueblos Indígenas</w:t>
      </w:r>
    </w:p>
    <w:p w14:paraId="523FDC28" w14:textId="017370B2" w:rsidR="002A677E" w:rsidRDefault="00991FC3" w:rsidP="002A677E">
      <w:pPr>
        <w:spacing w:before="100" w:beforeAutospacing="1" w:after="100" w:afterAutospacing="1"/>
        <w:jc w:val="both"/>
        <w:rPr>
          <w:rFonts w:ascii="Arial Narrow" w:hAnsi="Arial Narrow" w:cs="Arial"/>
          <w:sz w:val="24"/>
          <w:szCs w:val="24"/>
        </w:rPr>
      </w:pPr>
      <w:r w:rsidRPr="00FF5D87">
        <w:rPr>
          <w:rFonts w:ascii="Arial Narrow" w:hAnsi="Arial Narrow" w:cs="Arial"/>
          <w:sz w:val="24"/>
          <w:szCs w:val="24"/>
        </w:rPr>
        <w:t xml:space="preserve">Existen precedentes judiciales </w:t>
      </w:r>
      <w:r w:rsidR="00162955">
        <w:rPr>
          <w:rFonts w:ascii="Arial Narrow" w:hAnsi="Arial Narrow" w:cs="Arial"/>
          <w:sz w:val="24"/>
          <w:szCs w:val="24"/>
        </w:rPr>
        <w:t xml:space="preserve">tanto </w:t>
      </w:r>
      <w:r w:rsidR="00237C2C" w:rsidRPr="00FF5D87">
        <w:rPr>
          <w:rFonts w:ascii="Arial Narrow" w:hAnsi="Arial Narrow" w:cs="Arial"/>
          <w:sz w:val="24"/>
          <w:szCs w:val="24"/>
        </w:rPr>
        <w:t>de la Suprema Corte de Justicia de la Nación</w:t>
      </w:r>
      <w:r w:rsidR="00D24BAB">
        <w:rPr>
          <w:rFonts w:ascii="Arial Narrow" w:hAnsi="Arial Narrow" w:cs="Arial"/>
          <w:sz w:val="24"/>
          <w:szCs w:val="24"/>
        </w:rPr>
        <w:t xml:space="preserve"> (SCJN)</w:t>
      </w:r>
      <w:r w:rsidR="00237C2C" w:rsidRPr="00FF5D87">
        <w:rPr>
          <w:rFonts w:ascii="Arial Narrow" w:hAnsi="Arial Narrow" w:cs="Arial"/>
          <w:sz w:val="24"/>
          <w:szCs w:val="24"/>
        </w:rPr>
        <w:t xml:space="preserve"> </w:t>
      </w:r>
      <w:r w:rsidR="00162955">
        <w:rPr>
          <w:rFonts w:ascii="Arial Narrow" w:hAnsi="Arial Narrow" w:cs="Arial"/>
          <w:sz w:val="24"/>
          <w:szCs w:val="24"/>
        </w:rPr>
        <w:t>como d</w:t>
      </w:r>
      <w:r w:rsidR="00237C2C" w:rsidRPr="00FF5D87">
        <w:rPr>
          <w:rFonts w:ascii="Arial Narrow" w:hAnsi="Arial Narrow" w:cs="Arial"/>
          <w:sz w:val="24"/>
          <w:szCs w:val="24"/>
        </w:rPr>
        <w:t xml:space="preserve">el Tribunal Electoral del Poder Judicial de la Federación </w:t>
      </w:r>
      <w:r w:rsidR="00B533F1" w:rsidRPr="00FF5D87">
        <w:rPr>
          <w:rFonts w:ascii="Arial Narrow" w:hAnsi="Arial Narrow" w:cs="Arial"/>
          <w:sz w:val="24"/>
          <w:szCs w:val="24"/>
        </w:rPr>
        <w:t xml:space="preserve">a través de los cuales se </w:t>
      </w:r>
      <w:r w:rsidR="00162955">
        <w:rPr>
          <w:rFonts w:ascii="Arial Narrow" w:hAnsi="Arial Narrow" w:cs="Arial"/>
          <w:sz w:val="24"/>
          <w:szCs w:val="24"/>
        </w:rPr>
        <w:t>precisado</w:t>
      </w:r>
      <w:r w:rsidRPr="00FF5D87">
        <w:rPr>
          <w:rFonts w:ascii="Arial Narrow" w:hAnsi="Arial Narrow" w:cs="Arial"/>
          <w:sz w:val="24"/>
          <w:szCs w:val="24"/>
        </w:rPr>
        <w:t xml:space="preserve"> y dota</w:t>
      </w:r>
      <w:r w:rsidR="00162955">
        <w:rPr>
          <w:rFonts w:ascii="Arial Narrow" w:hAnsi="Arial Narrow" w:cs="Arial"/>
          <w:sz w:val="24"/>
          <w:szCs w:val="24"/>
        </w:rPr>
        <w:t>do</w:t>
      </w:r>
      <w:r w:rsidRPr="00FF5D87">
        <w:rPr>
          <w:rFonts w:ascii="Arial Narrow" w:hAnsi="Arial Narrow" w:cs="Arial"/>
          <w:sz w:val="24"/>
          <w:szCs w:val="24"/>
        </w:rPr>
        <w:t xml:space="preserve"> de mayor contenido los derechos </w:t>
      </w:r>
      <w:r w:rsidR="00B418C3" w:rsidRPr="00FF5D87">
        <w:rPr>
          <w:rFonts w:ascii="Arial Narrow" w:hAnsi="Arial Narrow" w:cs="Arial"/>
          <w:sz w:val="24"/>
          <w:szCs w:val="24"/>
        </w:rPr>
        <w:t xml:space="preserve">de los pueblos indígenas. </w:t>
      </w:r>
    </w:p>
    <w:p w14:paraId="14403554" w14:textId="77777777" w:rsidR="00853ECA" w:rsidRDefault="00B418C3" w:rsidP="006459F8">
      <w:pPr>
        <w:spacing w:before="100" w:beforeAutospacing="1" w:after="100" w:afterAutospacing="1"/>
        <w:jc w:val="both"/>
        <w:rPr>
          <w:rFonts w:ascii="Arial Narrow" w:hAnsi="Arial Narrow" w:cs="Arial"/>
          <w:sz w:val="24"/>
          <w:szCs w:val="24"/>
        </w:rPr>
      </w:pPr>
      <w:r w:rsidRPr="00FF5D87">
        <w:rPr>
          <w:rFonts w:ascii="Arial Narrow" w:hAnsi="Arial Narrow" w:cs="Arial"/>
          <w:sz w:val="24"/>
          <w:szCs w:val="24"/>
        </w:rPr>
        <w:t>Por un lado, la</w:t>
      </w:r>
      <w:r w:rsidR="00D24BAB">
        <w:rPr>
          <w:rFonts w:ascii="Arial Narrow" w:hAnsi="Arial Narrow" w:cs="Arial"/>
          <w:sz w:val="24"/>
          <w:szCs w:val="24"/>
        </w:rPr>
        <w:t>s decisiones de la</w:t>
      </w:r>
      <w:r w:rsidRPr="00FF5D87">
        <w:rPr>
          <w:rFonts w:ascii="Arial Narrow" w:hAnsi="Arial Narrow" w:cs="Arial"/>
          <w:sz w:val="24"/>
          <w:szCs w:val="24"/>
        </w:rPr>
        <w:t xml:space="preserve"> SCJN </w:t>
      </w:r>
      <w:r w:rsidR="00D24BAB">
        <w:rPr>
          <w:rFonts w:ascii="Arial Narrow" w:hAnsi="Arial Narrow"/>
          <w:sz w:val="24"/>
          <w:szCs w:val="24"/>
        </w:rPr>
        <w:t xml:space="preserve">han impactado en el reconocimiento de los pueblos indígenas </w:t>
      </w:r>
      <w:r w:rsidR="006459F8">
        <w:rPr>
          <w:rFonts w:ascii="Arial Narrow" w:hAnsi="Arial Narrow"/>
          <w:sz w:val="24"/>
          <w:szCs w:val="24"/>
        </w:rPr>
        <w:t xml:space="preserve">en tanto </w:t>
      </w:r>
      <w:r w:rsidR="00E1450C">
        <w:rPr>
          <w:rFonts w:ascii="Arial Narrow" w:hAnsi="Arial Narrow"/>
          <w:sz w:val="24"/>
          <w:szCs w:val="24"/>
        </w:rPr>
        <w:t>se determinó</w:t>
      </w:r>
      <w:r w:rsidR="003F3E4E">
        <w:rPr>
          <w:rFonts w:ascii="Arial Narrow" w:hAnsi="Arial Narrow"/>
          <w:sz w:val="24"/>
          <w:szCs w:val="24"/>
        </w:rPr>
        <w:t xml:space="preserve"> que la</w:t>
      </w:r>
      <w:r w:rsidR="002A677E">
        <w:rPr>
          <w:rFonts w:ascii="Arial Narrow" w:hAnsi="Arial Narrow" w:cs="Arial"/>
          <w:sz w:val="24"/>
          <w:szCs w:val="24"/>
        </w:rPr>
        <w:t xml:space="preserve"> auto</w:t>
      </w:r>
      <w:r w:rsidR="003F3E4E">
        <w:rPr>
          <w:rFonts w:ascii="Arial Narrow" w:hAnsi="Arial Narrow" w:cs="Arial"/>
          <w:sz w:val="24"/>
          <w:szCs w:val="24"/>
        </w:rPr>
        <w:t xml:space="preserve"> </w:t>
      </w:r>
      <w:r w:rsidR="002A677E">
        <w:rPr>
          <w:rFonts w:ascii="Arial Narrow" w:hAnsi="Arial Narrow" w:cs="Arial"/>
          <w:sz w:val="24"/>
          <w:szCs w:val="24"/>
        </w:rPr>
        <w:t xml:space="preserve">adscripción indígena no </w:t>
      </w:r>
      <w:r w:rsidR="00836B59">
        <w:rPr>
          <w:rFonts w:ascii="Arial Narrow" w:hAnsi="Arial Narrow" w:cs="Arial"/>
          <w:sz w:val="24"/>
          <w:szCs w:val="24"/>
        </w:rPr>
        <w:t>requiere de</w:t>
      </w:r>
      <w:r w:rsidR="002A677E">
        <w:rPr>
          <w:rFonts w:ascii="Arial Narrow" w:hAnsi="Arial Narrow" w:cs="Arial"/>
          <w:sz w:val="24"/>
          <w:szCs w:val="24"/>
        </w:rPr>
        <w:t xml:space="preserve"> una carga probatoria</w:t>
      </w:r>
      <w:r w:rsidR="00836B59">
        <w:rPr>
          <w:rFonts w:ascii="Arial Narrow" w:hAnsi="Arial Narrow" w:cs="Arial"/>
          <w:sz w:val="24"/>
          <w:szCs w:val="24"/>
        </w:rPr>
        <w:t xml:space="preserve"> o demostración </w:t>
      </w:r>
      <w:r w:rsidR="00E1450C">
        <w:rPr>
          <w:rFonts w:ascii="Arial Narrow" w:hAnsi="Arial Narrow" w:cs="Arial"/>
          <w:sz w:val="24"/>
          <w:szCs w:val="24"/>
        </w:rPr>
        <w:t>alguna,</w:t>
      </w:r>
      <w:r w:rsidR="00836B59">
        <w:rPr>
          <w:rFonts w:ascii="Arial Narrow" w:hAnsi="Arial Narrow" w:cs="Arial"/>
          <w:sz w:val="24"/>
          <w:szCs w:val="24"/>
        </w:rPr>
        <w:t xml:space="preserve"> sino que </w:t>
      </w:r>
      <w:r w:rsidR="00E1450C">
        <w:rPr>
          <w:rFonts w:ascii="Arial Narrow" w:hAnsi="Arial Narrow" w:cs="Arial"/>
          <w:sz w:val="24"/>
          <w:szCs w:val="24"/>
        </w:rPr>
        <w:t>basta con que la persona se reconozca como tal.</w:t>
      </w:r>
      <w:r w:rsidR="00E1450C">
        <w:rPr>
          <w:rStyle w:val="FootnoteReference"/>
          <w:rFonts w:ascii="Arial Narrow" w:hAnsi="Arial Narrow" w:cs="Arial"/>
          <w:sz w:val="24"/>
          <w:szCs w:val="24"/>
        </w:rPr>
        <w:footnoteReference w:id="1"/>
      </w:r>
      <w:r w:rsidR="007863D3">
        <w:rPr>
          <w:rFonts w:ascii="Arial Narrow" w:hAnsi="Arial Narrow" w:cs="Arial"/>
          <w:sz w:val="24"/>
          <w:szCs w:val="24"/>
        </w:rPr>
        <w:t xml:space="preserve"> </w:t>
      </w:r>
    </w:p>
    <w:p w14:paraId="68515BF7" w14:textId="6DC93FF6" w:rsidR="00827F11" w:rsidRDefault="00E10F7F" w:rsidP="006459F8">
      <w:pPr>
        <w:spacing w:before="100" w:beforeAutospacing="1" w:after="100" w:afterAutospacing="1"/>
        <w:jc w:val="both"/>
        <w:rPr>
          <w:rFonts w:ascii="Arial Narrow" w:hAnsi="Arial Narrow"/>
          <w:sz w:val="24"/>
          <w:szCs w:val="24"/>
        </w:rPr>
      </w:pPr>
      <w:r>
        <w:rPr>
          <w:rFonts w:ascii="Arial Narrow" w:hAnsi="Arial Narrow" w:cs="Arial"/>
          <w:sz w:val="24"/>
          <w:szCs w:val="24"/>
        </w:rPr>
        <w:t xml:space="preserve">Con </w:t>
      </w:r>
      <w:r w:rsidR="00D2474C">
        <w:rPr>
          <w:rFonts w:ascii="Arial Narrow" w:hAnsi="Arial Narrow" w:cs="Arial"/>
          <w:sz w:val="24"/>
          <w:szCs w:val="24"/>
        </w:rPr>
        <w:t>relación a</w:t>
      </w:r>
      <w:r w:rsidR="00CF5244">
        <w:rPr>
          <w:rFonts w:ascii="Arial Narrow" w:hAnsi="Arial Narrow" w:cs="Arial"/>
          <w:sz w:val="24"/>
          <w:szCs w:val="24"/>
        </w:rPr>
        <w:t xml:space="preserve"> los derechos a la propiedad colectiva y a los recursos naturales</w:t>
      </w:r>
      <w:r w:rsidR="00587A01">
        <w:rPr>
          <w:rFonts w:ascii="Arial Narrow" w:hAnsi="Arial Narrow" w:cs="Arial"/>
          <w:sz w:val="24"/>
          <w:szCs w:val="24"/>
        </w:rPr>
        <w:t xml:space="preserve">, el Máximo Tribunal determinó que la prescripción es un medio de adquirir la propiedad por lo que, los pueblos indígenas tienen derechos sobre las tierras y </w:t>
      </w:r>
      <w:r w:rsidR="00473DFF">
        <w:rPr>
          <w:rFonts w:ascii="Arial Narrow" w:hAnsi="Arial Narrow" w:cs="Arial"/>
          <w:sz w:val="24"/>
          <w:szCs w:val="24"/>
        </w:rPr>
        <w:t>recursos naturales sobre los que se han asentado.</w:t>
      </w:r>
      <w:r w:rsidR="00473DFF">
        <w:rPr>
          <w:rStyle w:val="FootnoteReference"/>
          <w:rFonts w:ascii="Arial Narrow" w:hAnsi="Arial Narrow" w:cs="Arial"/>
          <w:sz w:val="24"/>
          <w:szCs w:val="24"/>
        </w:rPr>
        <w:footnoteReference w:id="2"/>
      </w:r>
      <w:r w:rsidR="00853ECA">
        <w:rPr>
          <w:rFonts w:ascii="Arial Narrow" w:hAnsi="Arial Narrow" w:cs="Arial"/>
          <w:sz w:val="24"/>
          <w:szCs w:val="24"/>
        </w:rPr>
        <w:t xml:space="preserve"> Mientras que, </w:t>
      </w:r>
      <w:r w:rsidR="005B103B">
        <w:rPr>
          <w:rFonts w:ascii="Arial Narrow" w:hAnsi="Arial Narrow" w:cs="Arial"/>
          <w:sz w:val="24"/>
          <w:szCs w:val="24"/>
        </w:rPr>
        <w:t>con relación a la garantía de derechos económicos, sociales, culturales y ambientales</w:t>
      </w:r>
      <w:r w:rsidR="00827F11">
        <w:rPr>
          <w:rFonts w:ascii="Arial Narrow" w:hAnsi="Arial Narrow" w:cs="Arial"/>
          <w:sz w:val="24"/>
          <w:szCs w:val="24"/>
        </w:rPr>
        <w:t xml:space="preserve"> la Corte ha sentado varios precedentes, entre ellos, </w:t>
      </w:r>
      <w:r w:rsidR="005B103B">
        <w:rPr>
          <w:rFonts w:ascii="Arial Narrow" w:hAnsi="Arial Narrow" w:cs="Arial"/>
          <w:sz w:val="24"/>
          <w:szCs w:val="24"/>
        </w:rPr>
        <w:t>la sentencia en la Acción de Inconstitucionalidad 1</w:t>
      </w:r>
      <w:r w:rsidR="002B27FC">
        <w:rPr>
          <w:rFonts w:ascii="Arial Narrow" w:hAnsi="Arial Narrow" w:cs="Arial"/>
          <w:sz w:val="24"/>
          <w:szCs w:val="24"/>
        </w:rPr>
        <w:t>09</w:t>
      </w:r>
      <w:r w:rsidR="005B103B">
        <w:rPr>
          <w:rFonts w:ascii="Arial Narrow" w:hAnsi="Arial Narrow" w:cs="Arial"/>
          <w:sz w:val="24"/>
          <w:szCs w:val="24"/>
        </w:rPr>
        <w:t xml:space="preserve">/2020 en la que se determinó </w:t>
      </w:r>
      <w:r w:rsidR="00B65406">
        <w:rPr>
          <w:rFonts w:ascii="Arial Narrow" w:hAnsi="Arial Narrow"/>
          <w:sz w:val="24"/>
          <w:szCs w:val="24"/>
        </w:rPr>
        <w:t xml:space="preserve">la garantía al acceso a servicios </w:t>
      </w:r>
      <w:r w:rsidR="002B27FC">
        <w:rPr>
          <w:rFonts w:ascii="Arial Narrow" w:hAnsi="Arial Narrow"/>
          <w:sz w:val="24"/>
          <w:szCs w:val="24"/>
        </w:rPr>
        <w:t>de salud</w:t>
      </w:r>
      <w:r w:rsidR="00F12256">
        <w:rPr>
          <w:rFonts w:ascii="Arial Narrow" w:hAnsi="Arial Narrow"/>
          <w:sz w:val="24"/>
          <w:szCs w:val="24"/>
        </w:rPr>
        <w:t xml:space="preserve"> </w:t>
      </w:r>
      <w:r w:rsidR="003717A0">
        <w:rPr>
          <w:rFonts w:ascii="Arial Narrow" w:hAnsi="Arial Narrow"/>
          <w:sz w:val="24"/>
          <w:szCs w:val="24"/>
        </w:rPr>
        <w:t xml:space="preserve">e información </w:t>
      </w:r>
      <w:r w:rsidR="00E10606">
        <w:rPr>
          <w:rFonts w:ascii="Arial Narrow" w:hAnsi="Arial Narrow"/>
          <w:sz w:val="24"/>
          <w:szCs w:val="24"/>
        </w:rPr>
        <w:t>en la lengua indígena nacional.</w:t>
      </w:r>
      <w:r w:rsidR="00A54396">
        <w:rPr>
          <w:rStyle w:val="FootnoteReference"/>
          <w:rFonts w:ascii="Arial Narrow" w:hAnsi="Arial Narrow"/>
          <w:sz w:val="24"/>
          <w:szCs w:val="24"/>
        </w:rPr>
        <w:footnoteReference w:id="3"/>
      </w:r>
    </w:p>
    <w:p w14:paraId="3824F212" w14:textId="2B826D1D" w:rsidR="006459F8" w:rsidRPr="00853ECA" w:rsidRDefault="00827F11" w:rsidP="006459F8">
      <w:pPr>
        <w:spacing w:before="100" w:beforeAutospacing="1" w:after="100" w:afterAutospacing="1"/>
        <w:jc w:val="both"/>
        <w:rPr>
          <w:rFonts w:ascii="Arial Narrow" w:hAnsi="Arial Narrow" w:cs="Arial"/>
          <w:sz w:val="24"/>
          <w:szCs w:val="24"/>
        </w:rPr>
      </w:pPr>
      <w:r>
        <w:rPr>
          <w:rFonts w:ascii="Arial Narrow" w:hAnsi="Arial Narrow"/>
          <w:sz w:val="24"/>
          <w:szCs w:val="24"/>
        </w:rPr>
        <w:t>De igual forma</w:t>
      </w:r>
      <w:r w:rsidR="00E10F7F">
        <w:rPr>
          <w:rFonts w:ascii="Arial Narrow" w:hAnsi="Arial Narrow"/>
          <w:sz w:val="24"/>
          <w:szCs w:val="24"/>
        </w:rPr>
        <w:t>, la Corte ha busca</w:t>
      </w:r>
      <w:r w:rsidR="006459F8">
        <w:rPr>
          <w:rFonts w:ascii="Arial Narrow" w:hAnsi="Arial Narrow"/>
          <w:sz w:val="24"/>
          <w:szCs w:val="24"/>
        </w:rPr>
        <w:t>do garantizar</w:t>
      </w:r>
      <w:r w:rsidR="006459F8" w:rsidRPr="00FF5D87">
        <w:rPr>
          <w:rFonts w:ascii="Arial Narrow" w:hAnsi="Arial Narrow"/>
          <w:sz w:val="24"/>
          <w:szCs w:val="24"/>
        </w:rPr>
        <w:t xml:space="preserve"> el derecho a la consulta y participación </w:t>
      </w:r>
      <w:r w:rsidR="006459F8">
        <w:rPr>
          <w:rFonts w:ascii="Arial Narrow" w:hAnsi="Arial Narrow"/>
          <w:sz w:val="24"/>
          <w:szCs w:val="24"/>
        </w:rPr>
        <w:t>de</w:t>
      </w:r>
      <w:r w:rsidR="006459F8" w:rsidRPr="00FF5D87">
        <w:rPr>
          <w:rFonts w:ascii="Arial Narrow" w:hAnsi="Arial Narrow"/>
          <w:sz w:val="24"/>
          <w:szCs w:val="24"/>
        </w:rPr>
        <w:t xml:space="preserve"> los pueblos y las comunidades indígenas y afromexicanas</w:t>
      </w:r>
      <w:r w:rsidR="006459F8">
        <w:rPr>
          <w:rFonts w:ascii="Arial Narrow" w:hAnsi="Arial Narrow"/>
          <w:sz w:val="24"/>
          <w:szCs w:val="24"/>
        </w:rPr>
        <w:t xml:space="preserve"> por lo que han establecidos </w:t>
      </w:r>
      <w:r w:rsidR="006459F8">
        <w:rPr>
          <w:rFonts w:ascii="Arial Narrow" w:hAnsi="Arial Narrow" w:cs="Arial"/>
          <w:color w:val="212529"/>
          <w:sz w:val="24"/>
          <w:szCs w:val="24"/>
          <w:shd w:val="clear" w:color="auto" w:fill="FFFFFF"/>
        </w:rPr>
        <w:t>mínimos que las autoridades deben de cumplir</w:t>
      </w:r>
      <w:r w:rsidR="006459F8" w:rsidRPr="00FF5D87">
        <w:rPr>
          <w:rFonts w:ascii="Arial Narrow" w:hAnsi="Arial Narrow" w:cs="Arial"/>
          <w:color w:val="212529"/>
          <w:sz w:val="24"/>
          <w:szCs w:val="24"/>
          <w:shd w:val="clear" w:color="auto" w:fill="FFFFFF"/>
        </w:rPr>
        <w:t>,</w:t>
      </w:r>
      <w:r w:rsidR="006459F8">
        <w:rPr>
          <w:rFonts w:ascii="Arial Narrow" w:hAnsi="Arial Narrow" w:cs="Arial"/>
          <w:color w:val="212529"/>
          <w:sz w:val="24"/>
          <w:szCs w:val="24"/>
          <w:shd w:val="clear" w:color="auto" w:fill="FFFFFF"/>
        </w:rPr>
        <w:t xml:space="preserve"> entre ellas, que la consulta se debe de realizar de forma previa y que debe de constar de por lo menos, las siguientes fases; </w:t>
      </w:r>
      <w:r w:rsidR="006459F8" w:rsidRPr="00FF5D87">
        <w:rPr>
          <w:rFonts w:ascii="Arial Narrow" w:hAnsi="Arial Narrow" w:cs="Arial"/>
          <w:color w:val="212529"/>
          <w:sz w:val="24"/>
          <w:szCs w:val="24"/>
          <w:shd w:val="clear" w:color="auto" w:fill="FFFFFF"/>
        </w:rPr>
        <w:t>pre</w:t>
      </w:r>
      <w:r w:rsidR="000A79DF">
        <w:rPr>
          <w:rFonts w:ascii="Arial Narrow" w:hAnsi="Arial Narrow" w:cs="Arial"/>
          <w:color w:val="212529"/>
          <w:sz w:val="24"/>
          <w:szCs w:val="24"/>
          <w:shd w:val="clear" w:color="auto" w:fill="FFFFFF"/>
        </w:rPr>
        <w:t xml:space="preserve"> </w:t>
      </w:r>
      <w:r w:rsidR="006459F8" w:rsidRPr="00FF5D87">
        <w:rPr>
          <w:rFonts w:ascii="Arial Narrow" w:hAnsi="Arial Narrow" w:cs="Arial"/>
          <w:color w:val="212529"/>
          <w:sz w:val="24"/>
          <w:szCs w:val="24"/>
          <w:shd w:val="clear" w:color="auto" w:fill="FFFFFF"/>
        </w:rPr>
        <w:t>consultiva, informativa, de deliberación, interna, de diálogo y de decisión bajo los principios rectores de ser culturalmente adecuada, informada, de buena fe, estableciendo metodologías, protocolos o planes basados en ellos.</w:t>
      </w:r>
      <w:r w:rsidR="006459F8" w:rsidRPr="00FF5D87">
        <w:rPr>
          <w:rStyle w:val="FootnoteReference"/>
          <w:rFonts w:ascii="Arial Narrow" w:hAnsi="Arial Narrow" w:cs="Arial"/>
          <w:color w:val="212529"/>
          <w:sz w:val="24"/>
          <w:szCs w:val="24"/>
          <w:shd w:val="clear" w:color="auto" w:fill="FFFFFF"/>
        </w:rPr>
        <w:t xml:space="preserve"> </w:t>
      </w:r>
      <w:r w:rsidR="006459F8" w:rsidRPr="00FF5D87">
        <w:rPr>
          <w:rStyle w:val="FootnoteReference"/>
          <w:rFonts w:ascii="Arial Narrow" w:hAnsi="Arial Narrow" w:cs="Arial"/>
          <w:color w:val="212529"/>
          <w:sz w:val="24"/>
          <w:szCs w:val="24"/>
          <w:shd w:val="clear" w:color="auto" w:fill="FFFFFF"/>
        </w:rPr>
        <w:footnoteReference w:id="4"/>
      </w:r>
      <w:r w:rsidR="006459F8" w:rsidRPr="00FF5D87">
        <w:rPr>
          <w:rFonts w:ascii="Arial Narrow" w:hAnsi="Arial Narrow" w:cs="Arial"/>
          <w:color w:val="212529"/>
          <w:sz w:val="24"/>
          <w:szCs w:val="24"/>
          <w:shd w:val="clear" w:color="auto" w:fill="FFFFFF"/>
        </w:rPr>
        <w:t xml:space="preserve"> </w:t>
      </w:r>
      <w:r w:rsidR="00E10F7F">
        <w:rPr>
          <w:rFonts w:ascii="Arial Narrow" w:hAnsi="Arial Narrow" w:cs="Arial"/>
          <w:color w:val="212529"/>
          <w:sz w:val="24"/>
          <w:szCs w:val="24"/>
          <w:shd w:val="clear" w:color="auto" w:fill="FFFFFF"/>
        </w:rPr>
        <w:t xml:space="preserve"> </w:t>
      </w:r>
      <w:r w:rsidR="006459F8" w:rsidRPr="00FF5D87">
        <w:rPr>
          <w:rFonts w:ascii="Arial Narrow" w:hAnsi="Arial Narrow"/>
          <w:sz w:val="24"/>
          <w:szCs w:val="24"/>
        </w:rPr>
        <w:t xml:space="preserve">Esta Comisión de Derechos Humanos de la Ciudad de México tiene registro de que por lo menos durante 2023, hubo 18 asuntos en los que el Máximo Tribunal invalidó la normativa o reforma por falta de consulta. </w:t>
      </w:r>
    </w:p>
    <w:p w14:paraId="4EBC07BE" w14:textId="0AA6BCEC" w:rsidR="000A79DF" w:rsidRPr="00FF5D87" w:rsidRDefault="00E10F7F" w:rsidP="000A79DF">
      <w:pPr>
        <w:spacing w:after="0" w:line="240" w:lineRule="auto"/>
        <w:jc w:val="both"/>
        <w:rPr>
          <w:rFonts w:ascii="Arial Narrow" w:hAnsi="Arial Narrow" w:cs="Arial"/>
          <w:b/>
          <w:sz w:val="24"/>
          <w:szCs w:val="24"/>
        </w:rPr>
      </w:pPr>
      <w:r>
        <w:rPr>
          <w:rFonts w:ascii="Arial Narrow" w:hAnsi="Arial Narrow" w:cs="Arial"/>
          <w:sz w:val="24"/>
          <w:szCs w:val="24"/>
        </w:rPr>
        <w:t xml:space="preserve">Por otro lado, </w:t>
      </w:r>
      <w:r w:rsidR="00827F11">
        <w:rPr>
          <w:rFonts w:ascii="Arial Narrow" w:hAnsi="Arial Narrow" w:cs="Arial"/>
          <w:sz w:val="24"/>
          <w:szCs w:val="24"/>
        </w:rPr>
        <w:t xml:space="preserve">el Tribunal Electoral del Poder Judicial de la Federación ha sentado precedentes con relación a la participación política de las personas indígenas. </w:t>
      </w:r>
      <w:r w:rsidR="000A79DF">
        <w:rPr>
          <w:rFonts w:ascii="Arial Narrow" w:hAnsi="Arial Narrow" w:cs="Arial"/>
          <w:sz w:val="24"/>
          <w:szCs w:val="24"/>
        </w:rPr>
        <w:t xml:space="preserve">Un ejemplo de esto es la sentencia en </w:t>
      </w:r>
      <w:r w:rsidR="00827F11">
        <w:rPr>
          <w:rFonts w:ascii="Arial Narrow" w:hAnsi="Arial Narrow" w:cs="Arial"/>
          <w:sz w:val="24"/>
          <w:szCs w:val="24"/>
        </w:rPr>
        <w:t>el “Caso Cherán”</w:t>
      </w:r>
      <w:r w:rsidR="000A79DF">
        <w:rPr>
          <w:rFonts w:ascii="Arial Narrow" w:hAnsi="Arial Narrow" w:cs="Arial"/>
          <w:sz w:val="24"/>
          <w:szCs w:val="24"/>
        </w:rPr>
        <w:t xml:space="preserve"> en la que se estableció la obligación</w:t>
      </w:r>
      <w:r w:rsidR="000A79DF" w:rsidRPr="00FF5D87">
        <w:rPr>
          <w:rFonts w:ascii="Arial Narrow" w:hAnsi="Arial Narrow" w:cs="Arial"/>
          <w:sz w:val="24"/>
          <w:szCs w:val="24"/>
        </w:rPr>
        <w:t xml:space="preserve"> de la autoridad local de llevar a cabo consultas a la comunidad sobre la posibilidad de renovar los cargos públicos en el nivel municipal mediante su propio sistema normativo indígena, considerando que el derecho a la autodeterminación implica la posibilidad de que las comunidades indígenas determinen, en cualquier momento, si las elecciones de sus autoridades se hacen mediante un sistema ordinario, o bien, a través de sus propios sistemas normativos.</w:t>
      </w:r>
      <w:r w:rsidR="00BA35B2">
        <w:rPr>
          <w:rStyle w:val="FootnoteReference"/>
          <w:rFonts w:ascii="Arial Narrow" w:hAnsi="Arial Narrow" w:cs="Arial"/>
          <w:sz w:val="24"/>
          <w:szCs w:val="24"/>
        </w:rPr>
        <w:footnoteReference w:id="5"/>
      </w:r>
    </w:p>
    <w:p w14:paraId="60BF3C7E" w14:textId="2380AAFB" w:rsidR="00FB768F" w:rsidRPr="00FF5D87" w:rsidRDefault="00FB768F" w:rsidP="00E134C9">
      <w:pPr>
        <w:spacing w:after="0" w:line="240" w:lineRule="auto"/>
        <w:rPr>
          <w:rFonts w:ascii="Arial Narrow" w:hAnsi="Arial Narrow" w:cs="Arial"/>
          <w:b/>
          <w:sz w:val="24"/>
          <w:szCs w:val="24"/>
        </w:rPr>
      </w:pPr>
    </w:p>
    <w:p w14:paraId="68A632AD" w14:textId="66083619" w:rsidR="0005521A" w:rsidRPr="00FF5D87" w:rsidRDefault="0005521A" w:rsidP="0005521A">
      <w:pPr>
        <w:spacing w:after="0" w:line="240" w:lineRule="auto"/>
        <w:jc w:val="both"/>
        <w:rPr>
          <w:rFonts w:ascii="Arial Narrow" w:hAnsi="Arial Narrow" w:cs="Arial"/>
          <w:b/>
          <w:bCs/>
          <w:sz w:val="24"/>
          <w:szCs w:val="24"/>
        </w:rPr>
      </w:pPr>
      <w:r>
        <w:rPr>
          <w:rFonts w:ascii="Arial Narrow" w:hAnsi="Arial Narrow" w:cs="Arial"/>
          <w:b/>
          <w:sz w:val="24"/>
          <w:szCs w:val="24"/>
        </w:rPr>
        <w:t xml:space="preserve">C. Otros mecanismos </w:t>
      </w:r>
      <w:r w:rsidRPr="00FF5D87">
        <w:rPr>
          <w:rFonts w:ascii="Arial Narrow" w:hAnsi="Arial Narrow" w:cs="Arial"/>
          <w:b/>
          <w:bCs/>
          <w:sz w:val="24"/>
          <w:szCs w:val="24"/>
        </w:rPr>
        <w:t>para lograr los fines de la Declaración de las NU sobre los Derechos de los Pueblos Indígenas</w:t>
      </w:r>
      <w:r>
        <w:rPr>
          <w:rFonts w:ascii="Arial Narrow" w:hAnsi="Arial Narrow" w:cs="Arial"/>
          <w:b/>
          <w:bCs/>
          <w:sz w:val="24"/>
          <w:szCs w:val="24"/>
        </w:rPr>
        <w:t xml:space="preserve">: </w:t>
      </w:r>
    </w:p>
    <w:p w14:paraId="0420D12A" w14:textId="7A04FE03" w:rsidR="00DA31CB" w:rsidRDefault="00DA31CB" w:rsidP="007B0B11">
      <w:pPr>
        <w:shd w:val="clear" w:color="auto" w:fill="FFFFFF"/>
        <w:spacing w:after="0" w:line="240" w:lineRule="auto"/>
        <w:jc w:val="both"/>
        <w:rPr>
          <w:rFonts w:ascii="Arial Narrow" w:hAnsi="Arial Narrow" w:cs="Arial"/>
          <w:sz w:val="24"/>
          <w:szCs w:val="24"/>
        </w:rPr>
      </w:pPr>
    </w:p>
    <w:p w14:paraId="760BAC1B" w14:textId="11A6CC34" w:rsidR="007B0B11" w:rsidRDefault="007414EB" w:rsidP="007B0B11">
      <w:pPr>
        <w:shd w:val="clear" w:color="auto" w:fill="FFFFFF"/>
        <w:spacing w:after="0" w:line="240" w:lineRule="auto"/>
        <w:jc w:val="both"/>
        <w:rPr>
          <w:rFonts w:ascii="Arial Narrow" w:hAnsi="Arial Narrow" w:cs="Arial"/>
          <w:sz w:val="24"/>
          <w:szCs w:val="24"/>
        </w:rPr>
      </w:pPr>
      <w:r>
        <w:rPr>
          <w:rFonts w:ascii="Arial Narrow" w:hAnsi="Arial Narrow" w:cs="Arial"/>
          <w:sz w:val="24"/>
          <w:szCs w:val="24"/>
        </w:rPr>
        <w:t xml:space="preserve">De forma particular, en la Ciudad de México se </w:t>
      </w:r>
      <w:r w:rsidR="003856BD">
        <w:rPr>
          <w:rFonts w:ascii="Arial Narrow" w:hAnsi="Arial Narrow" w:cs="Arial"/>
          <w:sz w:val="24"/>
          <w:szCs w:val="24"/>
        </w:rPr>
        <w:t>desarrolló</w:t>
      </w:r>
      <w:r>
        <w:rPr>
          <w:rFonts w:ascii="Arial Narrow" w:hAnsi="Arial Narrow" w:cs="Arial"/>
          <w:sz w:val="24"/>
          <w:szCs w:val="24"/>
        </w:rPr>
        <w:t xml:space="preserve"> e</w:t>
      </w:r>
      <w:r w:rsidR="007B0B11" w:rsidRPr="007B0B11">
        <w:rPr>
          <w:rFonts w:ascii="Arial Narrow" w:hAnsi="Arial Narrow" w:cs="Arial"/>
          <w:sz w:val="24"/>
          <w:szCs w:val="24"/>
        </w:rPr>
        <w:t xml:space="preserve">l Sistema de Registro y </w:t>
      </w:r>
      <w:r w:rsidR="003856BD">
        <w:rPr>
          <w:rFonts w:ascii="Arial Narrow" w:hAnsi="Arial Narrow" w:cs="Arial"/>
          <w:sz w:val="24"/>
          <w:szCs w:val="24"/>
        </w:rPr>
        <w:t>D</w:t>
      </w:r>
      <w:r w:rsidR="007B0B11" w:rsidRPr="007B0B11">
        <w:rPr>
          <w:rFonts w:ascii="Arial Narrow" w:hAnsi="Arial Narrow" w:cs="Arial"/>
          <w:sz w:val="24"/>
          <w:szCs w:val="24"/>
        </w:rPr>
        <w:t xml:space="preserve">ocumentación de </w:t>
      </w:r>
      <w:r w:rsidR="003856BD">
        <w:rPr>
          <w:rFonts w:ascii="Arial Narrow" w:hAnsi="Arial Narrow" w:cs="Arial"/>
          <w:sz w:val="24"/>
          <w:szCs w:val="24"/>
        </w:rPr>
        <w:t>P</w:t>
      </w:r>
      <w:r w:rsidR="007B0B11" w:rsidRPr="007B0B11">
        <w:rPr>
          <w:rFonts w:ascii="Arial Narrow" w:hAnsi="Arial Narrow" w:cs="Arial"/>
          <w:sz w:val="24"/>
          <w:szCs w:val="24"/>
        </w:rPr>
        <w:t xml:space="preserve">ueblos y </w:t>
      </w:r>
      <w:r w:rsidR="003856BD">
        <w:rPr>
          <w:rFonts w:ascii="Arial Narrow" w:hAnsi="Arial Narrow" w:cs="Arial"/>
          <w:sz w:val="24"/>
          <w:szCs w:val="24"/>
        </w:rPr>
        <w:t>B</w:t>
      </w:r>
      <w:r w:rsidR="007B0B11" w:rsidRPr="007B0B11">
        <w:rPr>
          <w:rFonts w:ascii="Arial Narrow" w:hAnsi="Arial Narrow" w:cs="Arial"/>
          <w:sz w:val="24"/>
          <w:szCs w:val="24"/>
        </w:rPr>
        <w:t xml:space="preserve">arrios </w:t>
      </w:r>
      <w:r w:rsidR="003856BD">
        <w:rPr>
          <w:rFonts w:ascii="Arial Narrow" w:hAnsi="Arial Narrow" w:cs="Arial"/>
          <w:sz w:val="24"/>
          <w:szCs w:val="24"/>
        </w:rPr>
        <w:t>O</w:t>
      </w:r>
      <w:r w:rsidR="007B0B11" w:rsidRPr="007B0B11">
        <w:rPr>
          <w:rFonts w:ascii="Arial Narrow" w:hAnsi="Arial Narrow" w:cs="Arial"/>
          <w:sz w:val="24"/>
          <w:szCs w:val="24"/>
        </w:rPr>
        <w:t xml:space="preserve">riginarios y </w:t>
      </w:r>
      <w:r w:rsidR="003856BD">
        <w:rPr>
          <w:rFonts w:ascii="Arial Narrow" w:hAnsi="Arial Narrow" w:cs="Arial"/>
          <w:sz w:val="24"/>
          <w:szCs w:val="24"/>
        </w:rPr>
        <w:t>C</w:t>
      </w:r>
      <w:r w:rsidR="007B0B11" w:rsidRPr="007B0B11">
        <w:rPr>
          <w:rFonts w:ascii="Arial Narrow" w:hAnsi="Arial Narrow" w:cs="Arial"/>
          <w:sz w:val="24"/>
          <w:szCs w:val="24"/>
        </w:rPr>
        <w:t xml:space="preserve">omunidades </w:t>
      </w:r>
      <w:r w:rsidR="003856BD">
        <w:rPr>
          <w:rFonts w:ascii="Arial Narrow" w:hAnsi="Arial Narrow" w:cs="Arial"/>
          <w:sz w:val="24"/>
          <w:szCs w:val="24"/>
        </w:rPr>
        <w:t>I</w:t>
      </w:r>
      <w:r w:rsidR="007B0B11" w:rsidRPr="007B0B11">
        <w:rPr>
          <w:rFonts w:ascii="Arial Narrow" w:hAnsi="Arial Narrow" w:cs="Arial"/>
          <w:sz w:val="24"/>
          <w:szCs w:val="24"/>
        </w:rPr>
        <w:t xml:space="preserve">ndígenas </w:t>
      </w:r>
      <w:r w:rsidR="003856BD">
        <w:rPr>
          <w:rFonts w:ascii="Arial Narrow" w:hAnsi="Arial Narrow" w:cs="Arial"/>
          <w:sz w:val="24"/>
          <w:szCs w:val="24"/>
        </w:rPr>
        <w:t>R</w:t>
      </w:r>
      <w:r w:rsidR="007B0B11" w:rsidRPr="007B0B11">
        <w:rPr>
          <w:rFonts w:ascii="Arial Narrow" w:hAnsi="Arial Narrow" w:cs="Arial"/>
          <w:sz w:val="24"/>
          <w:szCs w:val="24"/>
        </w:rPr>
        <w:t xml:space="preserve">esidentes </w:t>
      </w:r>
      <w:r w:rsidR="003856BD">
        <w:rPr>
          <w:rFonts w:ascii="Arial Narrow" w:hAnsi="Arial Narrow" w:cs="Arial"/>
          <w:sz w:val="24"/>
          <w:szCs w:val="24"/>
        </w:rPr>
        <w:t>de la Ciudad de México</w:t>
      </w:r>
      <w:r w:rsidR="000733CF">
        <w:rPr>
          <w:rFonts w:ascii="Arial Narrow" w:hAnsi="Arial Narrow" w:cs="Arial"/>
          <w:sz w:val="24"/>
          <w:szCs w:val="24"/>
        </w:rPr>
        <w:t xml:space="preserve"> como </w:t>
      </w:r>
      <w:r w:rsidR="007B0B11" w:rsidRPr="007B0B11">
        <w:rPr>
          <w:rFonts w:ascii="Arial Narrow" w:hAnsi="Arial Narrow" w:cs="Arial"/>
          <w:sz w:val="24"/>
          <w:szCs w:val="24"/>
        </w:rPr>
        <w:t>un catálogo que se encuentra permanentemente abierto para presentar las peticiones de incorporación al registro de cualquier comunidad que esté establecida</w:t>
      </w:r>
      <w:r w:rsidR="007B683D">
        <w:rPr>
          <w:rFonts w:ascii="Arial Narrow" w:hAnsi="Arial Narrow" w:cs="Arial"/>
          <w:sz w:val="24"/>
          <w:szCs w:val="24"/>
        </w:rPr>
        <w:t xml:space="preserve"> dentro de la demarcación </w:t>
      </w:r>
      <w:r w:rsidR="007B0B11" w:rsidRPr="007B0B11">
        <w:rPr>
          <w:rFonts w:ascii="Arial Narrow" w:hAnsi="Arial Narrow" w:cs="Arial"/>
          <w:sz w:val="24"/>
          <w:szCs w:val="24"/>
        </w:rPr>
        <w:t>y cumpla con los criterios de la convocatoria</w:t>
      </w:r>
      <w:r w:rsidR="007B0B11" w:rsidRPr="007B0B11">
        <w:rPr>
          <w:rFonts w:ascii="Arial Narrow" w:hAnsi="Arial Narrow" w:cs="Arial"/>
          <w:noProof/>
          <w:sz w:val="24"/>
          <w:szCs w:val="24"/>
        </w:rPr>
        <w:t xml:space="preserve"> (Convocatoria del Sistema de Registro, 2023</w:t>
      </w:r>
      <w:r w:rsidR="007B683D">
        <w:rPr>
          <w:rFonts w:ascii="Arial Narrow" w:hAnsi="Arial Narrow" w:cs="Arial"/>
          <w:noProof/>
          <w:sz w:val="24"/>
          <w:szCs w:val="24"/>
        </w:rPr>
        <w:t>). El Gobierno de la Ciudad de México</w:t>
      </w:r>
      <w:r w:rsidR="007B0B11" w:rsidRPr="007B0B11">
        <w:rPr>
          <w:rFonts w:ascii="Arial Narrow" w:hAnsi="Arial Narrow" w:cs="Arial"/>
          <w:sz w:val="24"/>
          <w:szCs w:val="24"/>
        </w:rPr>
        <w:t xml:space="preserve"> no ha podido concluir los registros debido a que no todos los pueblos originarios están de acuerdo </w:t>
      </w:r>
      <w:r w:rsidR="007B683D">
        <w:rPr>
          <w:rFonts w:ascii="Arial Narrow" w:hAnsi="Arial Narrow" w:cs="Arial"/>
          <w:sz w:val="24"/>
          <w:szCs w:val="24"/>
        </w:rPr>
        <w:t>con formar parte de</w:t>
      </w:r>
      <w:r w:rsidR="007B0B11" w:rsidRPr="007B0B11">
        <w:rPr>
          <w:rFonts w:ascii="Arial Narrow" w:hAnsi="Arial Narrow" w:cs="Arial"/>
          <w:sz w:val="24"/>
          <w:szCs w:val="24"/>
        </w:rPr>
        <w:t xml:space="preserve"> “inventario administrativo</w:t>
      </w:r>
      <w:r w:rsidR="007B683D">
        <w:rPr>
          <w:rFonts w:ascii="Arial Narrow" w:hAnsi="Arial Narrow" w:cs="Arial"/>
          <w:sz w:val="24"/>
          <w:szCs w:val="24"/>
        </w:rPr>
        <w:t>” que permite la identificación</w:t>
      </w:r>
      <w:r w:rsidR="00EF5BBD">
        <w:rPr>
          <w:rFonts w:ascii="Arial Narrow" w:hAnsi="Arial Narrow" w:cs="Arial"/>
          <w:sz w:val="24"/>
          <w:szCs w:val="24"/>
        </w:rPr>
        <w:t xml:space="preserve">, incluso para la restricción de derechos. </w:t>
      </w:r>
    </w:p>
    <w:p w14:paraId="46F4AB13" w14:textId="3353DCFB" w:rsidR="00EF5BBD" w:rsidRDefault="00EF5BBD" w:rsidP="007B0B11">
      <w:pPr>
        <w:shd w:val="clear" w:color="auto" w:fill="FFFFFF"/>
        <w:spacing w:after="0" w:line="240" w:lineRule="auto"/>
        <w:jc w:val="both"/>
        <w:rPr>
          <w:rFonts w:ascii="Arial Narrow" w:hAnsi="Arial Narrow" w:cs="Arial"/>
          <w:sz w:val="24"/>
          <w:szCs w:val="24"/>
        </w:rPr>
      </w:pPr>
    </w:p>
    <w:p w14:paraId="72C38031" w14:textId="4A1879C9" w:rsidR="00B533F1" w:rsidRPr="007B0B11" w:rsidRDefault="00EF5BBD" w:rsidP="00EF5BBD">
      <w:pPr>
        <w:shd w:val="clear" w:color="auto" w:fill="FFFFFF"/>
        <w:spacing w:after="0" w:line="240" w:lineRule="auto"/>
        <w:jc w:val="both"/>
        <w:rPr>
          <w:rFonts w:ascii="Arial Narrow" w:hAnsi="Arial Narrow" w:cs="Arial"/>
          <w:sz w:val="24"/>
          <w:szCs w:val="24"/>
        </w:rPr>
      </w:pPr>
      <w:r>
        <w:rPr>
          <w:rFonts w:ascii="Arial Narrow" w:hAnsi="Arial Narrow" w:cs="Arial"/>
          <w:sz w:val="24"/>
          <w:szCs w:val="24"/>
        </w:rPr>
        <w:t xml:space="preserve">Otras estrategias que se han desarrollado en la Ciudad de México, están relacionadas con la aprobación del Protocolo de Consulta a Pueblos y Barrios Originarios y Comunidades Indígenas y Afromexicanas Residentes en la Ciudad de México en Materia Electoral y de Participación Ciudadana, en </w:t>
      </w:r>
      <w:r w:rsidR="00B533F1" w:rsidRPr="007B0B11">
        <w:rPr>
          <w:rFonts w:ascii="Arial Narrow" w:hAnsi="Arial Narrow" w:cs="Arial"/>
          <w:sz w:val="24"/>
          <w:szCs w:val="24"/>
        </w:rPr>
        <w:t>el cual se hace énfasis en la participación política, facilita el apoyo técnico cuando se utilizan métodos tradicionales de elección de autoridades.</w:t>
      </w:r>
    </w:p>
    <w:p w14:paraId="03C70C86" w14:textId="5E26399D" w:rsidR="00B533F1" w:rsidRDefault="00B533F1" w:rsidP="00B533F1">
      <w:pPr>
        <w:shd w:val="clear" w:color="auto" w:fill="FFFFFF"/>
        <w:spacing w:after="0" w:line="240" w:lineRule="auto"/>
        <w:jc w:val="both"/>
        <w:rPr>
          <w:rFonts w:ascii="Arial Narrow" w:hAnsi="Arial Narrow" w:cs="Arial"/>
          <w:sz w:val="24"/>
          <w:szCs w:val="24"/>
        </w:rPr>
      </w:pPr>
    </w:p>
    <w:p w14:paraId="095DFCCF" w14:textId="254FD96F" w:rsidR="00EF5BBD" w:rsidRDefault="002B0267" w:rsidP="00EF5BBD">
      <w:pPr>
        <w:shd w:val="clear" w:color="auto" w:fill="FFFFFF"/>
        <w:spacing w:after="0" w:line="240" w:lineRule="auto"/>
        <w:jc w:val="both"/>
        <w:rPr>
          <w:rFonts w:ascii="Arial Narrow" w:hAnsi="Arial Narrow" w:cs="Arial"/>
          <w:sz w:val="24"/>
          <w:szCs w:val="24"/>
        </w:rPr>
      </w:pPr>
      <w:r>
        <w:rPr>
          <w:rFonts w:ascii="Arial Narrow" w:hAnsi="Arial Narrow" w:cs="Arial"/>
          <w:sz w:val="24"/>
          <w:szCs w:val="24"/>
        </w:rPr>
        <w:t xml:space="preserve">Las políticas públicas que se han desarrollado </w:t>
      </w:r>
      <w:r w:rsidR="00EF5BBD">
        <w:rPr>
          <w:rFonts w:ascii="Arial Narrow" w:hAnsi="Arial Narrow" w:cs="Arial"/>
          <w:sz w:val="24"/>
          <w:szCs w:val="24"/>
        </w:rPr>
        <w:t>parece</w:t>
      </w:r>
      <w:r>
        <w:rPr>
          <w:rFonts w:ascii="Arial Narrow" w:hAnsi="Arial Narrow" w:cs="Arial"/>
          <w:sz w:val="24"/>
          <w:szCs w:val="24"/>
        </w:rPr>
        <w:t xml:space="preserve">n no ser suficientes </w:t>
      </w:r>
      <w:r w:rsidR="00EF5BBD">
        <w:rPr>
          <w:rFonts w:ascii="Arial Narrow" w:hAnsi="Arial Narrow" w:cs="Arial"/>
          <w:sz w:val="24"/>
          <w:szCs w:val="24"/>
        </w:rPr>
        <w:t xml:space="preserve">para garantizar la plena efectividad de los derechos de los pueblos indígenas pues aún se enfrentan a discriminación en el ejercicio de derechos, principalmente, aquellos relacionados con el catálogo de derechos económicos, sociales, culturales y ambientales, tal como es el derecho a la vivienda </w:t>
      </w:r>
      <w:r w:rsidR="006447F1">
        <w:rPr>
          <w:rFonts w:ascii="Arial Narrow" w:hAnsi="Arial Narrow" w:cs="Arial"/>
          <w:sz w:val="24"/>
          <w:szCs w:val="24"/>
        </w:rPr>
        <w:t xml:space="preserve">y el derecho a la consulta. Al respecto, cabe decir que no se ha logrado la plena y efectiva consulta de las personas indígenas para los Planes de Desarrollo y Planes Estratégicos. </w:t>
      </w:r>
    </w:p>
    <w:p w14:paraId="7B7D1A11" w14:textId="77777777" w:rsidR="00EF5BBD" w:rsidRPr="00FF5D87" w:rsidRDefault="00EF5BBD" w:rsidP="00B533F1">
      <w:pPr>
        <w:shd w:val="clear" w:color="auto" w:fill="FFFFFF"/>
        <w:spacing w:after="0" w:line="240" w:lineRule="auto"/>
        <w:jc w:val="both"/>
        <w:rPr>
          <w:rFonts w:ascii="Arial Narrow" w:hAnsi="Arial Narrow" w:cs="Arial"/>
          <w:sz w:val="24"/>
          <w:szCs w:val="24"/>
        </w:rPr>
      </w:pPr>
    </w:p>
    <w:p w14:paraId="53676FB8" w14:textId="77777777" w:rsidR="00B533F1" w:rsidRPr="00FF5D87" w:rsidRDefault="00B533F1" w:rsidP="00B533F1">
      <w:pPr>
        <w:pStyle w:val="ListParagraph"/>
        <w:shd w:val="clear" w:color="auto" w:fill="FFFFFF"/>
        <w:spacing w:after="0" w:line="240" w:lineRule="auto"/>
        <w:contextualSpacing w:val="0"/>
        <w:jc w:val="both"/>
        <w:rPr>
          <w:rFonts w:ascii="Arial Narrow" w:hAnsi="Arial Narrow" w:cs="Arial"/>
          <w:sz w:val="24"/>
          <w:szCs w:val="24"/>
        </w:rPr>
      </w:pPr>
    </w:p>
    <w:p w14:paraId="53B63A08" w14:textId="76D20C9C" w:rsidR="00EA0286" w:rsidRPr="00FF5D87" w:rsidRDefault="00EA0286" w:rsidP="001729ED">
      <w:pPr>
        <w:shd w:val="clear" w:color="auto" w:fill="FFFFFF"/>
        <w:spacing w:after="0" w:line="240" w:lineRule="auto"/>
        <w:ind w:left="360"/>
        <w:jc w:val="both"/>
        <w:rPr>
          <w:rFonts w:ascii="Arial Narrow" w:hAnsi="Arial Narrow" w:cs="Arial"/>
          <w:sz w:val="24"/>
          <w:szCs w:val="24"/>
        </w:rPr>
      </w:pPr>
      <w:bookmarkStart w:id="0" w:name="_heading=h.inxj0l7sobdr" w:colFirst="0" w:colLast="0"/>
      <w:bookmarkStart w:id="1" w:name="_heading=h.sosyp7yima5o" w:colFirst="0" w:colLast="0"/>
      <w:bookmarkEnd w:id="0"/>
      <w:bookmarkEnd w:id="1"/>
    </w:p>
    <w:p w14:paraId="2F38F173" w14:textId="77777777" w:rsidR="00CB56ED" w:rsidRPr="00FF5D87" w:rsidRDefault="00CB56ED" w:rsidP="00CB56ED">
      <w:pPr>
        <w:spacing w:after="0" w:line="240" w:lineRule="auto"/>
        <w:jc w:val="both"/>
        <w:rPr>
          <w:rFonts w:ascii="Arial Narrow" w:hAnsi="Arial Narrow" w:cs="Arial"/>
          <w:b/>
          <w:sz w:val="24"/>
          <w:szCs w:val="24"/>
        </w:rPr>
      </w:pPr>
    </w:p>
    <w:p w14:paraId="733ABB86" w14:textId="77777777" w:rsidR="00CB56ED" w:rsidRPr="00FF5D87" w:rsidRDefault="00CB56ED" w:rsidP="001729ED">
      <w:pPr>
        <w:shd w:val="clear" w:color="auto" w:fill="FFFFFF"/>
        <w:spacing w:after="0" w:line="240" w:lineRule="auto"/>
        <w:ind w:left="360"/>
        <w:jc w:val="both"/>
        <w:rPr>
          <w:rFonts w:ascii="Arial Narrow" w:hAnsi="Arial Narrow" w:cs="Arial"/>
          <w:sz w:val="24"/>
          <w:szCs w:val="24"/>
        </w:rPr>
      </w:pPr>
    </w:p>
    <w:sectPr w:rsidR="00CB56ED" w:rsidRPr="00FF5D87" w:rsidSect="00AD52A9">
      <w:headerReference w:type="default" r:id="rId13"/>
      <w:footerReference w:type="default" r:id="rId14"/>
      <w:pgSz w:w="12240" w:h="15840"/>
      <w:pgMar w:top="1418" w:right="1134" w:bottom="1418"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F747" w14:textId="77777777" w:rsidR="003A53C7" w:rsidRDefault="003A53C7" w:rsidP="005E6288">
      <w:pPr>
        <w:spacing w:after="0" w:line="240" w:lineRule="auto"/>
      </w:pPr>
      <w:r>
        <w:separator/>
      </w:r>
    </w:p>
  </w:endnote>
  <w:endnote w:type="continuationSeparator" w:id="0">
    <w:p w14:paraId="13B06840" w14:textId="77777777" w:rsidR="003A53C7" w:rsidRDefault="003A53C7" w:rsidP="005E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58909"/>
      <w:docPartObj>
        <w:docPartGallery w:val="Page Numbers (Bottom of Page)"/>
        <w:docPartUnique/>
      </w:docPartObj>
    </w:sdtPr>
    <w:sdtEndPr/>
    <w:sdtContent>
      <w:p w14:paraId="7BAD22D9" w14:textId="47A3D4F1" w:rsidR="005E6288" w:rsidRDefault="005E6288">
        <w:pPr>
          <w:pStyle w:val="Footer"/>
          <w:jc w:val="center"/>
        </w:pPr>
        <w:r>
          <w:fldChar w:fldCharType="begin"/>
        </w:r>
        <w:r>
          <w:instrText>PAGE   \* MERGEFORMAT</w:instrText>
        </w:r>
        <w:r>
          <w:fldChar w:fldCharType="separate"/>
        </w:r>
        <w:r>
          <w:rPr>
            <w:lang w:val="es-ES"/>
          </w:rPr>
          <w:t>2</w:t>
        </w:r>
        <w:r>
          <w:fldChar w:fldCharType="end"/>
        </w:r>
      </w:p>
    </w:sdtContent>
  </w:sdt>
  <w:p w14:paraId="626340EC" w14:textId="77777777" w:rsidR="005E6288" w:rsidRDefault="005E6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D3550" w14:textId="77777777" w:rsidR="003A53C7" w:rsidRDefault="003A53C7" w:rsidP="005E6288">
      <w:pPr>
        <w:spacing w:after="0" w:line="240" w:lineRule="auto"/>
      </w:pPr>
      <w:r>
        <w:separator/>
      </w:r>
    </w:p>
  </w:footnote>
  <w:footnote w:type="continuationSeparator" w:id="0">
    <w:p w14:paraId="0F5542D5" w14:textId="77777777" w:rsidR="003A53C7" w:rsidRDefault="003A53C7" w:rsidP="005E6288">
      <w:pPr>
        <w:spacing w:after="0" w:line="240" w:lineRule="auto"/>
      </w:pPr>
      <w:r>
        <w:continuationSeparator/>
      </w:r>
    </w:p>
  </w:footnote>
  <w:footnote w:id="1">
    <w:p w14:paraId="0774AD7B" w14:textId="6A9D1E00" w:rsidR="00E1450C" w:rsidRPr="00832203" w:rsidRDefault="00E1450C" w:rsidP="00832203">
      <w:pPr>
        <w:pStyle w:val="FootnoteText"/>
        <w:jc w:val="both"/>
        <w:rPr>
          <w:rFonts w:ascii="Arial Narrow" w:hAnsi="Arial Narrow"/>
          <w:lang w:val="es-ES"/>
        </w:rPr>
      </w:pPr>
      <w:r w:rsidRPr="00832203">
        <w:rPr>
          <w:rStyle w:val="FootnoteReference"/>
          <w:rFonts w:ascii="Arial Narrow" w:hAnsi="Arial Narrow"/>
        </w:rPr>
        <w:footnoteRef/>
      </w:r>
      <w:r w:rsidRPr="00832203">
        <w:rPr>
          <w:rFonts w:ascii="Arial Narrow" w:hAnsi="Arial Narrow"/>
        </w:rPr>
        <w:t xml:space="preserve"> </w:t>
      </w:r>
      <w:r w:rsidRPr="00832203">
        <w:rPr>
          <w:rFonts w:ascii="Arial Narrow" w:hAnsi="Arial Narrow"/>
          <w:lang w:val="es-ES"/>
        </w:rPr>
        <w:t xml:space="preserve">Amparo Directo en Revisión 28/2007. </w:t>
      </w:r>
      <w:r w:rsidR="00473DFF">
        <w:rPr>
          <w:rFonts w:ascii="Arial Narrow" w:hAnsi="Arial Narrow"/>
          <w:lang w:val="es-ES"/>
        </w:rPr>
        <w:t>22 de febrero</w:t>
      </w:r>
      <w:r w:rsidR="00832203" w:rsidRPr="00832203">
        <w:rPr>
          <w:rFonts w:ascii="Arial Narrow" w:hAnsi="Arial Narrow"/>
          <w:lang w:val="es-ES"/>
        </w:rPr>
        <w:t xml:space="preserve"> de 2007. Primera Sala. Ministro José Ramón Cossío Díaz. Suprema Corte de Justicia de la Nación. </w:t>
      </w:r>
    </w:p>
  </w:footnote>
  <w:footnote w:id="2">
    <w:p w14:paraId="2A92944E" w14:textId="1A745F19" w:rsidR="00473DFF" w:rsidRPr="00473DFF" w:rsidRDefault="00473DFF" w:rsidP="00F26659">
      <w:pPr>
        <w:pStyle w:val="FootnoteText"/>
        <w:jc w:val="both"/>
        <w:rPr>
          <w:lang w:val="es-ES"/>
        </w:rPr>
      </w:pPr>
      <w:r>
        <w:rPr>
          <w:rStyle w:val="FootnoteReference"/>
        </w:rPr>
        <w:footnoteRef/>
      </w:r>
      <w:r>
        <w:t xml:space="preserve"> </w:t>
      </w:r>
      <w:r w:rsidRPr="00832203">
        <w:rPr>
          <w:rFonts w:ascii="Arial Narrow" w:hAnsi="Arial Narrow"/>
          <w:lang w:val="es-ES"/>
        </w:rPr>
        <w:t xml:space="preserve">Amparo Directo </w:t>
      </w:r>
      <w:r>
        <w:rPr>
          <w:rFonts w:ascii="Arial Narrow" w:hAnsi="Arial Narrow"/>
          <w:lang w:val="es-ES"/>
        </w:rPr>
        <w:t>11/2015</w:t>
      </w:r>
      <w:r w:rsidRPr="00832203">
        <w:rPr>
          <w:rFonts w:ascii="Arial Narrow" w:hAnsi="Arial Narrow"/>
          <w:lang w:val="es-ES"/>
        </w:rPr>
        <w:t xml:space="preserve">. 21 de junio de 2007. Primera Sala. </w:t>
      </w:r>
      <w:r w:rsidR="00F26659">
        <w:rPr>
          <w:rFonts w:ascii="Arial Narrow" w:hAnsi="Arial Narrow"/>
          <w:lang w:val="es-ES"/>
        </w:rPr>
        <w:t>Ministra Norma Lucía Piña Hernández</w:t>
      </w:r>
      <w:r w:rsidRPr="00832203">
        <w:rPr>
          <w:rFonts w:ascii="Arial Narrow" w:hAnsi="Arial Narrow"/>
          <w:lang w:val="es-ES"/>
        </w:rPr>
        <w:t>. Suprema Corte de Justicia de la Nación.</w:t>
      </w:r>
    </w:p>
  </w:footnote>
  <w:footnote w:id="3">
    <w:p w14:paraId="5CA7C1C4" w14:textId="306EB723" w:rsidR="00A54396" w:rsidRPr="00A54396" w:rsidRDefault="00A54396">
      <w:pPr>
        <w:pStyle w:val="FootnoteText"/>
        <w:rPr>
          <w:lang w:val="es-ES"/>
        </w:rPr>
      </w:pPr>
      <w:r>
        <w:rPr>
          <w:rStyle w:val="FootnoteReference"/>
        </w:rPr>
        <w:footnoteRef/>
      </w:r>
      <w:r>
        <w:t xml:space="preserve"> </w:t>
      </w:r>
      <w:r>
        <w:rPr>
          <w:rFonts w:ascii="Arial Narrow" w:hAnsi="Arial Narrow"/>
          <w:lang w:val="es-ES"/>
        </w:rPr>
        <w:t>Acción de Inconstitucionalidad 109/2020</w:t>
      </w:r>
      <w:r w:rsidRPr="00832203">
        <w:rPr>
          <w:rFonts w:ascii="Arial Narrow" w:hAnsi="Arial Narrow"/>
          <w:lang w:val="es-ES"/>
        </w:rPr>
        <w:t xml:space="preserve">. 21 de junio de 2007. Primera Sala. </w:t>
      </w:r>
      <w:r>
        <w:rPr>
          <w:rFonts w:ascii="Arial Narrow" w:hAnsi="Arial Narrow"/>
          <w:lang w:val="es-ES"/>
        </w:rPr>
        <w:t>Ministra Norma Lucía Piña Hernández</w:t>
      </w:r>
      <w:r w:rsidRPr="00832203">
        <w:rPr>
          <w:rFonts w:ascii="Arial Narrow" w:hAnsi="Arial Narrow"/>
          <w:lang w:val="es-ES"/>
        </w:rPr>
        <w:t>. Suprema Corte de Justicia de la Nación.</w:t>
      </w:r>
    </w:p>
  </w:footnote>
  <w:footnote w:id="4">
    <w:p w14:paraId="25B155E2" w14:textId="77777777" w:rsidR="006459F8" w:rsidRPr="00347D4B" w:rsidRDefault="006459F8" w:rsidP="006459F8">
      <w:pPr>
        <w:pStyle w:val="FootnoteText"/>
        <w:jc w:val="both"/>
        <w:rPr>
          <w:rFonts w:ascii="Arial Narrow" w:hAnsi="Arial Narrow"/>
          <w:lang w:val="es-ES"/>
        </w:rPr>
      </w:pPr>
      <w:r>
        <w:rPr>
          <w:rStyle w:val="FootnoteReference"/>
        </w:rPr>
        <w:footnoteRef/>
      </w:r>
      <w:r>
        <w:t xml:space="preserve"> </w:t>
      </w:r>
      <w:r w:rsidRPr="002C6BF9">
        <w:rPr>
          <w:rFonts w:ascii="Arial Narrow" w:hAnsi="Arial Narrow"/>
          <w:lang w:val="es-ES"/>
        </w:rPr>
        <w:t xml:space="preserve">Sentencia </w:t>
      </w:r>
      <w:r>
        <w:rPr>
          <w:rFonts w:ascii="Arial Narrow" w:hAnsi="Arial Narrow"/>
          <w:lang w:val="es-ES"/>
        </w:rPr>
        <w:t xml:space="preserve">Acción de Inconstitucionalidad 72/2018. Segunda Sala de la Suprema Corte de Justicia de la Nación. Resuelta en sesión de 23 de enero de 2019. Disponible en: </w:t>
      </w:r>
      <w:hyperlink r:id="rId1" w:history="1">
        <w:r w:rsidRPr="00477DEF">
          <w:rPr>
            <w:rStyle w:val="Hyperlink"/>
            <w:rFonts w:ascii="Arial Narrow" w:hAnsi="Arial Narrow"/>
            <w:lang w:val="es-ES"/>
          </w:rPr>
          <w:t>https://www2.scjn.gob.mx/ConsultaTematica/PaginasPub/DetallePub.aspx?AsuntoID=243480</w:t>
        </w:r>
      </w:hyperlink>
      <w:r>
        <w:rPr>
          <w:rFonts w:ascii="Arial Narrow" w:hAnsi="Arial Narrow"/>
          <w:lang w:val="es-ES"/>
        </w:rPr>
        <w:t xml:space="preserve"> </w:t>
      </w:r>
    </w:p>
  </w:footnote>
  <w:footnote w:id="5">
    <w:p w14:paraId="39AA4F46" w14:textId="3986DC1E" w:rsidR="00BA35B2" w:rsidRPr="0005521A" w:rsidRDefault="00BA35B2" w:rsidP="0005521A">
      <w:pPr>
        <w:pStyle w:val="FootnoteText"/>
        <w:jc w:val="both"/>
        <w:rPr>
          <w:rFonts w:ascii="Arial Narrow" w:hAnsi="Arial Narrow" w:cs="Arial"/>
          <w:lang w:val="es-ES"/>
        </w:rPr>
      </w:pPr>
      <w:r w:rsidRPr="0005521A">
        <w:rPr>
          <w:rStyle w:val="FootnoteReference"/>
          <w:rFonts w:ascii="Arial Narrow" w:hAnsi="Arial Narrow" w:cs="Arial"/>
        </w:rPr>
        <w:footnoteRef/>
      </w:r>
      <w:r w:rsidRPr="0005521A">
        <w:rPr>
          <w:rFonts w:ascii="Arial Narrow" w:hAnsi="Arial Narrow" w:cs="Arial"/>
        </w:rPr>
        <w:t xml:space="preserve"> </w:t>
      </w:r>
      <w:r w:rsidRPr="0005521A">
        <w:rPr>
          <w:rFonts w:ascii="Arial Narrow" w:hAnsi="Arial Narrow" w:cs="Arial"/>
          <w:lang w:val="es-ES"/>
        </w:rPr>
        <w:t xml:space="preserve">Tribunal Electoral </w:t>
      </w:r>
      <w:r w:rsidR="0005521A" w:rsidRPr="0005521A">
        <w:rPr>
          <w:rFonts w:ascii="Arial Narrow" w:hAnsi="Arial Narrow" w:cs="Arial"/>
          <w:lang w:val="es-ES"/>
        </w:rPr>
        <w:t>del Poder Judicial de la Federación.</w:t>
      </w:r>
      <w:r w:rsidR="0005521A">
        <w:rPr>
          <w:rFonts w:ascii="Arial Narrow" w:hAnsi="Arial Narrow" w:cs="Arial"/>
          <w:lang w:val="es-ES"/>
        </w:rPr>
        <w:t xml:space="preserve"> 2 de noviembre de 2011.</w:t>
      </w:r>
      <w:r w:rsidR="0005521A" w:rsidRPr="0005521A">
        <w:rPr>
          <w:rFonts w:ascii="Arial Narrow" w:hAnsi="Arial Narrow" w:cs="Arial"/>
          <w:lang w:val="es-ES"/>
        </w:rPr>
        <w:t xml:space="preserve"> SUP-JDC-9167/2011. Magistrado: José Alejandro Luna Ramos. </w:t>
      </w:r>
      <w:r w:rsidR="0005521A">
        <w:rPr>
          <w:rFonts w:ascii="Arial Narrow" w:hAnsi="Arial Narrow" w:cs="Arial"/>
          <w:lang w:val="es-ES"/>
        </w:rPr>
        <w:t xml:space="preserve">Pleno.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4997" w14:textId="1EE01F69" w:rsidR="00D22458" w:rsidRPr="005E1669" w:rsidRDefault="00D22458" w:rsidP="00D22458">
    <w:pPr>
      <w:pStyle w:val="Header"/>
      <w:jc w:val="right"/>
      <w:rPr>
        <w:rFonts w:ascii="Arial" w:hAnsi="Arial" w:cs="Arial"/>
        <w:b/>
        <w:sz w:val="24"/>
      </w:rPr>
    </w:pPr>
    <w:r w:rsidRPr="005E1669">
      <w:rPr>
        <w:rFonts w:ascii="Arial" w:hAnsi="Arial" w:cs="Arial"/>
        <w:b/>
        <w:noProof/>
        <w:sz w:val="24"/>
        <w14:ligatures w14:val="standardContextual"/>
      </w:rPr>
      <w:drawing>
        <wp:anchor distT="0" distB="0" distL="114300" distR="114300" simplePos="0" relativeHeight="251658240" behindDoc="1" locked="0" layoutInCell="1" allowOverlap="1" wp14:anchorId="2AA7D338" wp14:editId="4229C3C9">
          <wp:simplePos x="0" y="0"/>
          <wp:positionH relativeFrom="margin">
            <wp:align>left</wp:align>
          </wp:positionH>
          <wp:positionV relativeFrom="paragraph">
            <wp:posOffset>-229870</wp:posOffset>
          </wp:positionV>
          <wp:extent cx="704850" cy="7048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mbolo-CDHCM-10cm.png"/>
                  <pic:cNvPicPr/>
                </pic:nvPicPr>
                <pic:blipFill>
                  <a:blip r:embed="rId1">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Pr="005E1669">
      <w:rPr>
        <w:rFonts w:ascii="Arial" w:hAnsi="Arial" w:cs="Arial"/>
        <w:b/>
        <w:sz w:val="24"/>
      </w:rPr>
      <w:t xml:space="preserve">Comisión de Derechos Humanos de la Ciudad de México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6F9F"/>
    <w:multiLevelType w:val="hybridMultilevel"/>
    <w:tmpl w:val="DBA60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A448F"/>
    <w:multiLevelType w:val="hybridMultilevel"/>
    <w:tmpl w:val="E20EF216"/>
    <w:lvl w:ilvl="0" w:tplc="AB78AA38">
      <w:start w:val="4"/>
      <w:numFmt w:val="bullet"/>
      <w:lvlText w:val="-"/>
      <w:lvlJc w:val="left"/>
      <w:pPr>
        <w:ind w:left="720" w:hanging="360"/>
      </w:pPr>
      <w:rPr>
        <w:rFonts w:ascii="Calibri" w:eastAsia="Calibr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5E12EA"/>
    <w:multiLevelType w:val="hybridMultilevel"/>
    <w:tmpl w:val="7C44B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D31448"/>
    <w:multiLevelType w:val="hybridMultilevel"/>
    <w:tmpl w:val="1D721A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77CF1"/>
    <w:multiLevelType w:val="hybridMultilevel"/>
    <w:tmpl w:val="1FD0D96C"/>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0928F0"/>
    <w:multiLevelType w:val="hybridMultilevel"/>
    <w:tmpl w:val="A73E6376"/>
    <w:lvl w:ilvl="0" w:tplc="51325434">
      <w:start w:val="3"/>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AF709E"/>
    <w:multiLevelType w:val="hybridMultilevel"/>
    <w:tmpl w:val="0B3EA70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0568BC"/>
    <w:multiLevelType w:val="hybridMultilevel"/>
    <w:tmpl w:val="487414F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5121D6"/>
    <w:multiLevelType w:val="hybridMultilevel"/>
    <w:tmpl w:val="4FF8488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BF0638"/>
    <w:multiLevelType w:val="hybridMultilevel"/>
    <w:tmpl w:val="78D8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6E5C4C"/>
    <w:multiLevelType w:val="hybridMultilevel"/>
    <w:tmpl w:val="0B3EA70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840363"/>
    <w:multiLevelType w:val="hybridMultilevel"/>
    <w:tmpl w:val="A67C672A"/>
    <w:lvl w:ilvl="0" w:tplc="AB78AA38">
      <w:start w:val="4"/>
      <w:numFmt w:val="bullet"/>
      <w:lvlText w:val="-"/>
      <w:lvlJc w:val="left"/>
      <w:pPr>
        <w:ind w:left="720" w:hanging="360"/>
      </w:pPr>
      <w:rPr>
        <w:rFonts w:ascii="Calibri" w:eastAsia="Calibri" w:hAnsi="Calibri" w:cs="Calibr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996228E"/>
    <w:multiLevelType w:val="hybridMultilevel"/>
    <w:tmpl w:val="BBFE7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417C38"/>
    <w:multiLevelType w:val="hybridMultilevel"/>
    <w:tmpl w:val="CCBE5014"/>
    <w:lvl w:ilvl="0" w:tplc="AB78AA38">
      <w:start w:val="4"/>
      <w:numFmt w:val="bullet"/>
      <w:lvlText w:val="-"/>
      <w:lvlJc w:val="left"/>
      <w:pPr>
        <w:ind w:left="720" w:hanging="360"/>
      </w:pPr>
      <w:rPr>
        <w:rFonts w:ascii="Calibri" w:eastAsia="Calibri" w:hAnsi="Calibri" w:cs="Calibr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4E762B"/>
    <w:multiLevelType w:val="hybridMultilevel"/>
    <w:tmpl w:val="B8E00FCC"/>
    <w:lvl w:ilvl="0" w:tplc="F42A9432">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05101032">
    <w:abstractNumId w:val="3"/>
  </w:num>
  <w:num w:numId="2" w16cid:durableId="766803226">
    <w:abstractNumId w:val="5"/>
  </w:num>
  <w:num w:numId="3" w16cid:durableId="1597059834">
    <w:abstractNumId w:val="12"/>
  </w:num>
  <w:num w:numId="4" w16cid:durableId="871183818">
    <w:abstractNumId w:val="7"/>
  </w:num>
  <w:num w:numId="5" w16cid:durableId="1895584393">
    <w:abstractNumId w:val="14"/>
  </w:num>
  <w:num w:numId="6" w16cid:durableId="127478719">
    <w:abstractNumId w:val="9"/>
  </w:num>
  <w:num w:numId="7" w16cid:durableId="848644970">
    <w:abstractNumId w:val="2"/>
  </w:num>
  <w:num w:numId="8" w16cid:durableId="1477338078">
    <w:abstractNumId w:val="11"/>
  </w:num>
  <w:num w:numId="9" w16cid:durableId="2076511809">
    <w:abstractNumId w:val="13"/>
  </w:num>
  <w:num w:numId="10" w16cid:durableId="151456575">
    <w:abstractNumId w:val="1"/>
  </w:num>
  <w:num w:numId="11" w16cid:durableId="503009269">
    <w:abstractNumId w:val="4"/>
  </w:num>
  <w:num w:numId="12" w16cid:durableId="758673970">
    <w:abstractNumId w:val="6"/>
  </w:num>
  <w:num w:numId="13" w16cid:durableId="230240470">
    <w:abstractNumId w:val="10"/>
  </w:num>
  <w:num w:numId="14" w16cid:durableId="83957619">
    <w:abstractNumId w:val="8"/>
  </w:num>
  <w:num w:numId="15" w16cid:durableId="145648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95"/>
    <w:rsid w:val="00023CAC"/>
    <w:rsid w:val="00025E3D"/>
    <w:rsid w:val="00026960"/>
    <w:rsid w:val="00031C19"/>
    <w:rsid w:val="0005521A"/>
    <w:rsid w:val="00056141"/>
    <w:rsid w:val="00061325"/>
    <w:rsid w:val="000733CF"/>
    <w:rsid w:val="0008061B"/>
    <w:rsid w:val="000A79DF"/>
    <w:rsid w:val="000B4ACD"/>
    <w:rsid w:val="000B6090"/>
    <w:rsid w:val="000E28DF"/>
    <w:rsid w:val="000E373C"/>
    <w:rsid w:val="00106382"/>
    <w:rsid w:val="0012605D"/>
    <w:rsid w:val="00131090"/>
    <w:rsid w:val="001373CA"/>
    <w:rsid w:val="00162955"/>
    <w:rsid w:val="001729ED"/>
    <w:rsid w:val="00183BA5"/>
    <w:rsid w:val="001919BC"/>
    <w:rsid w:val="001B5ED3"/>
    <w:rsid w:val="001E073F"/>
    <w:rsid w:val="001E47F0"/>
    <w:rsid w:val="001F3859"/>
    <w:rsid w:val="002018B9"/>
    <w:rsid w:val="00206233"/>
    <w:rsid w:val="00226D2E"/>
    <w:rsid w:val="002302EB"/>
    <w:rsid w:val="00230942"/>
    <w:rsid w:val="00237C2C"/>
    <w:rsid w:val="002478AC"/>
    <w:rsid w:val="00252F90"/>
    <w:rsid w:val="00263528"/>
    <w:rsid w:val="002646CA"/>
    <w:rsid w:val="00267E66"/>
    <w:rsid w:val="002842B5"/>
    <w:rsid w:val="0029067C"/>
    <w:rsid w:val="002944AF"/>
    <w:rsid w:val="002A36FB"/>
    <w:rsid w:val="002A677E"/>
    <w:rsid w:val="002B0267"/>
    <w:rsid w:val="002B02AA"/>
    <w:rsid w:val="002B27FC"/>
    <w:rsid w:val="002B4486"/>
    <w:rsid w:val="002F4FDD"/>
    <w:rsid w:val="0031223B"/>
    <w:rsid w:val="00332BBC"/>
    <w:rsid w:val="00335DF4"/>
    <w:rsid w:val="00345B08"/>
    <w:rsid w:val="0034666A"/>
    <w:rsid w:val="00360A5F"/>
    <w:rsid w:val="003717A0"/>
    <w:rsid w:val="0037320B"/>
    <w:rsid w:val="00381811"/>
    <w:rsid w:val="003856BD"/>
    <w:rsid w:val="003A06B9"/>
    <w:rsid w:val="003A53C7"/>
    <w:rsid w:val="003A7C69"/>
    <w:rsid w:val="003C0DBB"/>
    <w:rsid w:val="003F3E4E"/>
    <w:rsid w:val="004137FF"/>
    <w:rsid w:val="0041498A"/>
    <w:rsid w:val="00421060"/>
    <w:rsid w:val="00442A5B"/>
    <w:rsid w:val="0046775A"/>
    <w:rsid w:val="00467C18"/>
    <w:rsid w:val="0047279D"/>
    <w:rsid w:val="00473DFF"/>
    <w:rsid w:val="00477721"/>
    <w:rsid w:val="0049207E"/>
    <w:rsid w:val="004A1ECA"/>
    <w:rsid w:val="004B3FA3"/>
    <w:rsid w:val="004B474F"/>
    <w:rsid w:val="004C7F66"/>
    <w:rsid w:val="004D35BD"/>
    <w:rsid w:val="004D388D"/>
    <w:rsid w:val="004D44A5"/>
    <w:rsid w:val="004E1AAD"/>
    <w:rsid w:val="004F0578"/>
    <w:rsid w:val="004F6E80"/>
    <w:rsid w:val="00504495"/>
    <w:rsid w:val="0050534D"/>
    <w:rsid w:val="00517E06"/>
    <w:rsid w:val="00537990"/>
    <w:rsid w:val="00550736"/>
    <w:rsid w:val="0056132C"/>
    <w:rsid w:val="00582865"/>
    <w:rsid w:val="00585AD3"/>
    <w:rsid w:val="00587A01"/>
    <w:rsid w:val="00590EB9"/>
    <w:rsid w:val="005A4C9B"/>
    <w:rsid w:val="005B103B"/>
    <w:rsid w:val="005C1FF9"/>
    <w:rsid w:val="005E09E3"/>
    <w:rsid w:val="005E1669"/>
    <w:rsid w:val="005E2D17"/>
    <w:rsid w:val="005E6288"/>
    <w:rsid w:val="0060525E"/>
    <w:rsid w:val="006447F1"/>
    <w:rsid w:val="006459F8"/>
    <w:rsid w:val="00656728"/>
    <w:rsid w:val="00663C76"/>
    <w:rsid w:val="006B1E30"/>
    <w:rsid w:val="006B36BA"/>
    <w:rsid w:val="006C36B0"/>
    <w:rsid w:val="006E57FE"/>
    <w:rsid w:val="006E6E63"/>
    <w:rsid w:val="00700220"/>
    <w:rsid w:val="00713DAE"/>
    <w:rsid w:val="00716E56"/>
    <w:rsid w:val="007414EB"/>
    <w:rsid w:val="00746012"/>
    <w:rsid w:val="00753415"/>
    <w:rsid w:val="007735C6"/>
    <w:rsid w:val="00775131"/>
    <w:rsid w:val="00785F89"/>
    <w:rsid w:val="007863D3"/>
    <w:rsid w:val="007A3881"/>
    <w:rsid w:val="007B0B11"/>
    <w:rsid w:val="007B1C89"/>
    <w:rsid w:val="007B4366"/>
    <w:rsid w:val="007B498E"/>
    <w:rsid w:val="007B683D"/>
    <w:rsid w:val="0082307D"/>
    <w:rsid w:val="00827F11"/>
    <w:rsid w:val="00832203"/>
    <w:rsid w:val="00836B59"/>
    <w:rsid w:val="00844A3D"/>
    <w:rsid w:val="00853ECA"/>
    <w:rsid w:val="008561DD"/>
    <w:rsid w:val="008743D2"/>
    <w:rsid w:val="008910EE"/>
    <w:rsid w:val="00895EA9"/>
    <w:rsid w:val="00896325"/>
    <w:rsid w:val="008C6245"/>
    <w:rsid w:val="008C7038"/>
    <w:rsid w:val="008F04FF"/>
    <w:rsid w:val="009003C7"/>
    <w:rsid w:val="0090472F"/>
    <w:rsid w:val="0091111E"/>
    <w:rsid w:val="009234D5"/>
    <w:rsid w:val="00934294"/>
    <w:rsid w:val="00936B72"/>
    <w:rsid w:val="00965CB3"/>
    <w:rsid w:val="00966DE2"/>
    <w:rsid w:val="00967B65"/>
    <w:rsid w:val="0098555B"/>
    <w:rsid w:val="00987D9E"/>
    <w:rsid w:val="00991FC3"/>
    <w:rsid w:val="009A5AED"/>
    <w:rsid w:val="009A6003"/>
    <w:rsid w:val="009D01AF"/>
    <w:rsid w:val="009D0910"/>
    <w:rsid w:val="009E61CB"/>
    <w:rsid w:val="009E6DB0"/>
    <w:rsid w:val="009F4FA1"/>
    <w:rsid w:val="00A02083"/>
    <w:rsid w:val="00A02C2B"/>
    <w:rsid w:val="00A26579"/>
    <w:rsid w:val="00A30AF9"/>
    <w:rsid w:val="00A36E79"/>
    <w:rsid w:val="00A54396"/>
    <w:rsid w:val="00A610B8"/>
    <w:rsid w:val="00A63A57"/>
    <w:rsid w:val="00A63A80"/>
    <w:rsid w:val="00A64B1F"/>
    <w:rsid w:val="00A97394"/>
    <w:rsid w:val="00AB1801"/>
    <w:rsid w:val="00AC1F83"/>
    <w:rsid w:val="00AC4487"/>
    <w:rsid w:val="00AD52A9"/>
    <w:rsid w:val="00AD7CCC"/>
    <w:rsid w:val="00AF1A67"/>
    <w:rsid w:val="00B156E6"/>
    <w:rsid w:val="00B418C3"/>
    <w:rsid w:val="00B51D99"/>
    <w:rsid w:val="00B533F1"/>
    <w:rsid w:val="00B56499"/>
    <w:rsid w:val="00B568AE"/>
    <w:rsid w:val="00B64009"/>
    <w:rsid w:val="00B65406"/>
    <w:rsid w:val="00B679EA"/>
    <w:rsid w:val="00B755A2"/>
    <w:rsid w:val="00B84C9B"/>
    <w:rsid w:val="00B93494"/>
    <w:rsid w:val="00B950E1"/>
    <w:rsid w:val="00BA35B2"/>
    <w:rsid w:val="00BC006E"/>
    <w:rsid w:val="00BC02A9"/>
    <w:rsid w:val="00BD38E1"/>
    <w:rsid w:val="00BD594E"/>
    <w:rsid w:val="00BF2D91"/>
    <w:rsid w:val="00BF37A2"/>
    <w:rsid w:val="00BF6C70"/>
    <w:rsid w:val="00C10948"/>
    <w:rsid w:val="00C10CF7"/>
    <w:rsid w:val="00C2274F"/>
    <w:rsid w:val="00C24201"/>
    <w:rsid w:val="00C37EEE"/>
    <w:rsid w:val="00C67190"/>
    <w:rsid w:val="00C73345"/>
    <w:rsid w:val="00C76308"/>
    <w:rsid w:val="00C77552"/>
    <w:rsid w:val="00C8103D"/>
    <w:rsid w:val="00C86038"/>
    <w:rsid w:val="00CB56ED"/>
    <w:rsid w:val="00CC5F57"/>
    <w:rsid w:val="00CD46C8"/>
    <w:rsid w:val="00CF5244"/>
    <w:rsid w:val="00D22458"/>
    <w:rsid w:val="00D2474C"/>
    <w:rsid w:val="00D24BAB"/>
    <w:rsid w:val="00D364D0"/>
    <w:rsid w:val="00D36728"/>
    <w:rsid w:val="00D41765"/>
    <w:rsid w:val="00D562F7"/>
    <w:rsid w:val="00D61F13"/>
    <w:rsid w:val="00D6524D"/>
    <w:rsid w:val="00D77E32"/>
    <w:rsid w:val="00D80259"/>
    <w:rsid w:val="00D81D8A"/>
    <w:rsid w:val="00DA31CB"/>
    <w:rsid w:val="00DE2190"/>
    <w:rsid w:val="00E061D9"/>
    <w:rsid w:val="00E10552"/>
    <w:rsid w:val="00E10606"/>
    <w:rsid w:val="00E10F7F"/>
    <w:rsid w:val="00E124DE"/>
    <w:rsid w:val="00E134C9"/>
    <w:rsid w:val="00E1450C"/>
    <w:rsid w:val="00E22FC8"/>
    <w:rsid w:val="00E22FFB"/>
    <w:rsid w:val="00E31552"/>
    <w:rsid w:val="00E41048"/>
    <w:rsid w:val="00E725C4"/>
    <w:rsid w:val="00E86639"/>
    <w:rsid w:val="00EA0286"/>
    <w:rsid w:val="00EC4A69"/>
    <w:rsid w:val="00ED38FE"/>
    <w:rsid w:val="00ED5C32"/>
    <w:rsid w:val="00EE158D"/>
    <w:rsid w:val="00EE2D71"/>
    <w:rsid w:val="00EF5BBD"/>
    <w:rsid w:val="00EF7298"/>
    <w:rsid w:val="00F12256"/>
    <w:rsid w:val="00F1383E"/>
    <w:rsid w:val="00F16531"/>
    <w:rsid w:val="00F26659"/>
    <w:rsid w:val="00F34BDC"/>
    <w:rsid w:val="00F52E59"/>
    <w:rsid w:val="00F72B56"/>
    <w:rsid w:val="00F7736B"/>
    <w:rsid w:val="00F81DAD"/>
    <w:rsid w:val="00FB60DA"/>
    <w:rsid w:val="00FB60FA"/>
    <w:rsid w:val="00FB768F"/>
    <w:rsid w:val="00FE598D"/>
    <w:rsid w:val="00FF57AD"/>
    <w:rsid w:val="00FF5D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AA0FE"/>
  <w15:chartTrackingRefBased/>
  <w15:docId w15:val="{29327907-F915-4CBB-B786-CF2B755E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012"/>
    <w:pPr>
      <w:spacing w:line="259" w:lineRule="auto"/>
    </w:pPr>
    <w:rPr>
      <w:rFonts w:ascii="Calibri" w:eastAsia="Calibri" w:hAnsi="Calibri" w:cs="Calibri"/>
      <w:kern w:val="0"/>
      <w:sz w:val="22"/>
      <w:szCs w:val="22"/>
      <w:lang w:eastAsia="es-MX"/>
      <w14:ligatures w14:val="none"/>
    </w:rPr>
  </w:style>
  <w:style w:type="paragraph" w:styleId="Heading1">
    <w:name w:val="heading 1"/>
    <w:basedOn w:val="Normal"/>
    <w:next w:val="Normal"/>
    <w:link w:val="Heading1Char"/>
    <w:uiPriority w:val="9"/>
    <w:qFormat/>
    <w:rsid w:val="00504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4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4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4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4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495"/>
    <w:rPr>
      <w:rFonts w:eastAsiaTheme="majorEastAsia" w:cstheme="majorBidi"/>
      <w:color w:val="272727" w:themeColor="text1" w:themeTint="D8"/>
    </w:rPr>
  </w:style>
  <w:style w:type="paragraph" w:styleId="Title">
    <w:name w:val="Title"/>
    <w:basedOn w:val="Normal"/>
    <w:next w:val="Normal"/>
    <w:link w:val="TitleChar"/>
    <w:uiPriority w:val="10"/>
    <w:qFormat/>
    <w:rsid w:val="00504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4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495"/>
    <w:pPr>
      <w:spacing w:before="160"/>
      <w:jc w:val="center"/>
    </w:pPr>
    <w:rPr>
      <w:i/>
      <w:iCs/>
      <w:color w:val="404040" w:themeColor="text1" w:themeTint="BF"/>
    </w:rPr>
  </w:style>
  <w:style w:type="character" w:customStyle="1" w:styleId="QuoteChar">
    <w:name w:val="Quote Char"/>
    <w:basedOn w:val="DefaultParagraphFont"/>
    <w:link w:val="Quote"/>
    <w:uiPriority w:val="29"/>
    <w:rsid w:val="00504495"/>
    <w:rPr>
      <w:i/>
      <w:iCs/>
      <w:color w:val="404040" w:themeColor="text1" w:themeTint="BF"/>
    </w:rPr>
  </w:style>
  <w:style w:type="paragraph" w:styleId="ListParagraph">
    <w:name w:val="List Paragraph"/>
    <w:basedOn w:val="Normal"/>
    <w:uiPriority w:val="34"/>
    <w:qFormat/>
    <w:rsid w:val="00504495"/>
    <w:pPr>
      <w:ind w:left="720"/>
      <w:contextualSpacing/>
    </w:pPr>
  </w:style>
  <w:style w:type="character" w:styleId="IntenseEmphasis">
    <w:name w:val="Intense Emphasis"/>
    <w:basedOn w:val="DefaultParagraphFont"/>
    <w:uiPriority w:val="21"/>
    <w:qFormat/>
    <w:rsid w:val="00504495"/>
    <w:rPr>
      <w:i/>
      <w:iCs/>
      <w:color w:val="0F4761" w:themeColor="accent1" w:themeShade="BF"/>
    </w:rPr>
  </w:style>
  <w:style w:type="paragraph" w:styleId="IntenseQuote">
    <w:name w:val="Intense Quote"/>
    <w:basedOn w:val="Normal"/>
    <w:next w:val="Normal"/>
    <w:link w:val="IntenseQuoteChar"/>
    <w:uiPriority w:val="30"/>
    <w:qFormat/>
    <w:rsid w:val="00504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495"/>
    <w:rPr>
      <w:i/>
      <w:iCs/>
      <w:color w:val="0F4761" w:themeColor="accent1" w:themeShade="BF"/>
    </w:rPr>
  </w:style>
  <w:style w:type="character" w:styleId="IntenseReference">
    <w:name w:val="Intense Reference"/>
    <w:basedOn w:val="DefaultParagraphFont"/>
    <w:uiPriority w:val="32"/>
    <w:qFormat/>
    <w:rsid w:val="00504495"/>
    <w:rPr>
      <w:b/>
      <w:bCs/>
      <w:smallCaps/>
      <w:color w:val="0F4761" w:themeColor="accent1" w:themeShade="BF"/>
      <w:spacing w:val="5"/>
    </w:rPr>
  </w:style>
  <w:style w:type="table" w:styleId="TableGrid">
    <w:name w:val="Table Grid"/>
    <w:basedOn w:val="TableNormal"/>
    <w:uiPriority w:val="39"/>
    <w:rsid w:val="006C3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288"/>
    <w:pPr>
      <w:tabs>
        <w:tab w:val="center" w:pos="4419"/>
        <w:tab w:val="right" w:pos="8838"/>
      </w:tabs>
      <w:spacing w:after="0" w:line="240" w:lineRule="auto"/>
    </w:pPr>
  </w:style>
  <w:style w:type="character" w:customStyle="1" w:styleId="HeaderChar">
    <w:name w:val="Header Char"/>
    <w:basedOn w:val="DefaultParagraphFont"/>
    <w:link w:val="Header"/>
    <w:uiPriority w:val="99"/>
    <w:rsid w:val="005E6288"/>
    <w:rPr>
      <w:rFonts w:ascii="Calibri" w:eastAsia="Calibri" w:hAnsi="Calibri" w:cs="Calibri"/>
      <w:kern w:val="0"/>
      <w:sz w:val="22"/>
      <w:szCs w:val="22"/>
      <w:lang w:eastAsia="es-MX"/>
      <w14:ligatures w14:val="none"/>
    </w:rPr>
  </w:style>
  <w:style w:type="paragraph" w:styleId="Footer">
    <w:name w:val="footer"/>
    <w:basedOn w:val="Normal"/>
    <w:link w:val="FooterChar"/>
    <w:uiPriority w:val="99"/>
    <w:unhideWhenUsed/>
    <w:rsid w:val="005E6288"/>
    <w:pPr>
      <w:tabs>
        <w:tab w:val="center" w:pos="4419"/>
        <w:tab w:val="right" w:pos="8838"/>
      </w:tabs>
      <w:spacing w:after="0" w:line="240" w:lineRule="auto"/>
    </w:pPr>
  </w:style>
  <w:style w:type="character" w:customStyle="1" w:styleId="FooterChar">
    <w:name w:val="Footer Char"/>
    <w:basedOn w:val="DefaultParagraphFont"/>
    <w:link w:val="Footer"/>
    <w:uiPriority w:val="99"/>
    <w:rsid w:val="005E6288"/>
    <w:rPr>
      <w:rFonts w:ascii="Calibri" w:eastAsia="Calibri" w:hAnsi="Calibri" w:cs="Calibri"/>
      <w:kern w:val="0"/>
      <w:sz w:val="22"/>
      <w:szCs w:val="22"/>
      <w:lang w:eastAsia="es-MX"/>
      <w14:ligatures w14:val="none"/>
    </w:rPr>
  </w:style>
  <w:style w:type="paragraph" w:styleId="BalloonText">
    <w:name w:val="Balloon Text"/>
    <w:basedOn w:val="Normal"/>
    <w:link w:val="BalloonTextChar"/>
    <w:uiPriority w:val="99"/>
    <w:semiHidden/>
    <w:unhideWhenUsed/>
    <w:rsid w:val="00895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EA9"/>
    <w:rPr>
      <w:rFonts w:ascii="Segoe UI" w:eastAsia="Calibri" w:hAnsi="Segoe UI" w:cs="Segoe UI"/>
      <w:kern w:val="0"/>
      <w:sz w:val="18"/>
      <w:szCs w:val="18"/>
      <w:lang w:eastAsia="es-MX"/>
      <w14:ligatures w14:val="none"/>
    </w:rPr>
  </w:style>
  <w:style w:type="character" w:styleId="CommentReference">
    <w:name w:val="annotation reference"/>
    <w:basedOn w:val="DefaultParagraphFont"/>
    <w:uiPriority w:val="99"/>
    <w:semiHidden/>
    <w:unhideWhenUsed/>
    <w:rsid w:val="00D81D8A"/>
    <w:rPr>
      <w:sz w:val="16"/>
      <w:szCs w:val="16"/>
    </w:rPr>
  </w:style>
  <w:style w:type="paragraph" w:styleId="CommentText">
    <w:name w:val="annotation text"/>
    <w:basedOn w:val="Normal"/>
    <w:link w:val="CommentTextChar"/>
    <w:uiPriority w:val="99"/>
    <w:semiHidden/>
    <w:unhideWhenUsed/>
    <w:rsid w:val="00D81D8A"/>
    <w:pPr>
      <w:spacing w:line="240" w:lineRule="auto"/>
    </w:pPr>
    <w:rPr>
      <w:sz w:val="20"/>
      <w:szCs w:val="20"/>
    </w:rPr>
  </w:style>
  <w:style w:type="character" w:customStyle="1" w:styleId="CommentTextChar">
    <w:name w:val="Comment Text Char"/>
    <w:basedOn w:val="DefaultParagraphFont"/>
    <w:link w:val="CommentText"/>
    <w:uiPriority w:val="99"/>
    <w:semiHidden/>
    <w:rsid w:val="00D81D8A"/>
    <w:rPr>
      <w:rFonts w:ascii="Calibri" w:eastAsia="Calibri" w:hAnsi="Calibri" w:cs="Calibri"/>
      <w:kern w:val="0"/>
      <w:sz w:val="20"/>
      <w:szCs w:val="20"/>
      <w:lang w:eastAsia="es-MX"/>
      <w14:ligatures w14:val="none"/>
    </w:rPr>
  </w:style>
  <w:style w:type="paragraph" w:styleId="CommentSubject">
    <w:name w:val="annotation subject"/>
    <w:basedOn w:val="CommentText"/>
    <w:next w:val="CommentText"/>
    <w:link w:val="CommentSubjectChar"/>
    <w:uiPriority w:val="99"/>
    <w:semiHidden/>
    <w:unhideWhenUsed/>
    <w:rsid w:val="00D81D8A"/>
    <w:rPr>
      <w:b/>
      <w:bCs/>
    </w:rPr>
  </w:style>
  <w:style w:type="character" w:customStyle="1" w:styleId="CommentSubjectChar">
    <w:name w:val="Comment Subject Char"/>
    <w:basedOn w:val="CommentTextChar"/>
    <w:link w:val="CommentSubject"/>
    <w:uiPriority w:val="99"/>
    <w:semiHidden/>
    <w:rsid w:val="00D81D8A"/>
    <w:rPr>
      <w:rFonts w:ascii="Calibri" w:eastAsia="Calibri" w:hAnsi="Calibri" w:cs="Calibri"/>
      <w:b/>
      <w:bCs/>
      <w:kern w:val="0"/>
      <w:sz w:val="20"/>
      <w:szCs w:val="20"/>
      <w:lang w:eastAsia="es-MX"/>
      <w14:ligatures w14:val="none"/>
    </w:rPr>
  </w:style>
  <w:style w:type="character" w:styleId="Hyperlink">
    <w:name w:val="Hyperlink"/>
    <w:basedOn w:val="DefaultParagraphFont"/>
    <w:uiPriority w:val="99"/>
    <w:unhideWhenUsed/>
    <w:rsid w:val="00106382"/>
    <w:rPr>
      <w:color w:val="467886" w:themeColor="hyperlink"/>
      <w:u w:val="single"/>
    </w:rPr>
  </w:style>
  <w:style w:type="character" w:styleId="UnresolvedMention">
    <w:name w:val="Unresolved Mention"/>
    <w:basedOn w:val="DefaultParagraphFont"/>
    <w:uiPriority w:val="99"/>
    <w:semiHidden/>
    <w:unhideWhenUsed/>
    <w:rsid w:val="00106382"/>
    <w:rPr>
      <w:color w:val="605E5C"/>
      <w:shd w:val="clear" w:color="auto" w:fill="E1DFDD"/>
    </w:rPr>
  </w:style>
  <w:style w:type="table" w:styleId="TableGridLight">
    <w:name w:val="Grid Table Light"/>
    <w:basedOn w:val="TableNormal"/>
    <w:uiPriority w:val="40"/>
    <w:rsid w:val="00F773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FF5D87"/>
    <w:pPr>
      <w:spacing w:after="0" w:line="240" w:lineRule="auto"/>
    </w:pPr>
    <w:rPr>
      <w:rFonts w:cs="Times New Roman"/>
      <w:sz w:val="20"/>
      <w:szCs w:val="20"/>
      <w:lang w:val="x-none" w:eastAsia="en-US"/>
    </w:rPr>
  </w:style>
  <w:style w:type="character" w:customStyle="1" w:styleId="FootnoteTextChar">
    <w:name w:val="Footnote Text Char"/>
    <w:basedOn w:val="DefaultParagraphFont"/>
    <w:link w:val="FootnoteText"/>
    <w:uiPriority w:val="99"/>
    <w:semiHidden/>
    <w:rsid w:val="00FF5D87"/>
    <w:rPr>
      <w:rFonts w:ascii="Calibri" w:eastAsia="Calibri" w:hAnsi="Calibri" w:cs="Times New Roman"/>
      <w:kern w:val="0"/>
      <w:sz w:val="20"/>
      <w:szCs w:val="20"/>
      <w:lang w:val="x-none"/>
      <w14:ligatures w14:val="none"/>
    </w:rPr>
  </w:style>
  <w:style w:type="character" w:styleId="FootnoteReference">
    <w:name w:val="footnote reference"/>
    <w:uiPriority w:val="99"/>
    <w:semiHidden/>
    <w:unhideWhenUsed/>
    <w:rsid w:val="00FF5D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2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contraloriadf.gob.mx/prontuario/index.php/normativas/Template/ver_mas/66347/31/1/0"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contraloriadf.gob.mx/prontuario/index.php/normativas/Template/ver_mas/71201/31/1/0"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contraloriadf.gob.mx/prontuario/index.php/normativas/Template/ver_mas/71209/31/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contraloriadf.gob.mx/prontuario/index.php/normativas/Template/ver_mas/71394/31/1/0"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3.contraloriadf.gob.mx/prontuario/index.php/normativas/Template/ver_mas/68304/31/1/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2.scjn.gob.mx/ConsultaTematica/PaginasPub/DetallePub.aspx?AsuntoID=2434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Cám23</b:Tag>
    <b:SourceType>DocumentFromInternetSite</b:SourceType>
    <b:Guid>{178C49EF-0212-4EC1-B2BC-F8C49F9079CD}</b:Guid>
    <b:Author>
      <b:Author>
        <b:Corporate>Cámara de Diputados del H.Congreso de la Unión</b:Corporate>
      </b:Author>
    </b:Author>
    <b:Title>Ley General de Derechos Lingüísticos de los Pueblos Indígenas</b:Title>
    <b:Year>2023</b:Year>
    <b:Month>Octubre</b:Month>
    <b:Day>18</b:Day>
    <b:URL>https://www.diputados.gob.mx/LeyesBiblio/pdf/LGDLPI.pdf</b:URL>
    <b:RefOrder>5</b:RefOrder>
  </b:Source>
  <b:Source>
    <b:Tag>Cám21</b:Tag>
    <b:SourceType>DocumentFromInternetSite</b:SourceType>
    <b:Guid>{233D3866-D9A7-41FE-B969-EB0992D89158}</b:Guid>
    <b:Author>
      <b:Author>
        <b:Corporate>Cámara de Diputados del Gobierno de México</b:Corporate>
      </b:Author>
    </b:Author>
    <b:Title>Ley General de Consulta a los Pueblos y Comuniddes Indíenas y Afromexicanas</b:Title>
    <b:Year>2021</b:Year>
    <b:Month>Abril</b:Month>
    <b:Day>20</b:Day>
    <b:URL>https://infosen.senado.gob.mx/sgsp/gaceta/64/2/2020-06-28-1/assets/documentos/Inic_Morena_Dip_Callejas_LGCPyCIA.pdf</b:URL>
    <b:RefOrder>6</b:RefOrder>
  </b:Source>
  <b:Source>
    <b:Tag>Ley19</b:Tag>
    <b:SourceType>DocumentFromInternetSite</b:SourceType>
    <b:Guid>{B8A7CD21-042F-4500-B5D5-D33FEC5F999B}</b:Guid>
    <b:Author>
      <b:Author>
        <b:Corporate>Ley Derechos de los Pueblos y Comunidades Indígenas CDMX</b:Corporate>
      </b:Author>
    </b:Author>
    <b:Title>Congreso de la Ciudad de México. I. Legislatura</b:Title>
    <b:InternetSiteTitle>Ley de Derechos de los Pueblos y Barrios Originarios y Comunidades Indígenas Residentes en la Ciudad de México. </b:InternetSiteTitle>
    <b:Year>2019</b:Year>
    <b:Month>Diciembre</b:Month>
    <b:Day>20 </b:Day>
    <b:URL>https://www.congresocdmx.gob.mx/media/documentos/ff113326da1ea910e1de8fb964438b5b942e910a.pdf</b:URL>
    <b:RefOrder>8</b:RefOrder>
  </b:Source>
  <b:Source>
    <b:Tag>Ley04</b:Tag>
    <b:SourceType>DocumentFromInternetSite</b:SourceType>
    <b:Guid>{4DDF6AD6-AC10-4B8A-8454-299017D17AC2}</b:Guid>
    <b:Author>
      <b:Author>
        <b:Corporate>Ley de Participación Ciudadana DF </b:Corporate>
      </b:Author>
    </b:Author>
    <b:Title>Congreso de la Ciudad de México, I. Legislatura</b:Title>
    <b:Year>2004</b:Year>
    <b:Month>Mayo</b:Month>
    <b:Day>17</b:Day>
    <b:URL>https://congresocdmx.gob.mx/archivos/legislativas/leydeparticipacionciudadanadeldistritofederal.pdf</b:URL>
    <b:RefOrder>9</b:RefOrder>
  </b:Source>
  <b:Source>
    <b:Tag>Ley11</b:Tag>
    <b:SourceType>DocumentFromInternetSite</b:SourceType>
    <b:Guid>{188D057C-F475-4095-8A70-C08F78BA7FC2}</b:Guid>
    <b:Author>
      <b:Author>
        <b:Corporate>Ley para prevenir y eliminar la Discriminación de la CdMx</b:Corporate>
      </b:Author>
    </b:Author>
    <b:Title>Congreso de la Ciudad de México, I. Legislatura</b:Title>
    <b:Year>2011</b:Year>
    <b:Month>Febrero</b:Month>
    <b:Day>24</b:Day>
    <b:URL>https://www.congresocdmx.gob.mx/media/documentos/318728088ccf9719fd48589b52f05c7720deba18.pdf</b:URL>
    <b:RefOrder>10</b:RefOrder>
  </b:Source>
  <b:Source>
    <b:Tag>Ley14</b:Tag>
    <b:SourceType>DocumentFromInternetSite</b:SourceType>
    <b:Guid>{3EE05490-D419-448F-A9A5-2AA0972F7442}</b:Guid>
    <b:Author>
      <b:Author>
        <b:Corporate>Ley para el Desarrollo Económico de la CdMx</b:Corporate>
      </b:Author>
    </b:Author>
    <b:Title>Gobierno de la Ciudad de México</b:Title>
    <b:InternetSiteTitle>Decreto por el que se expide la Ley para el Desarrollo Económico de la Ciudad de México</b:InternetSiteTitle>
    <b:Year>2014</b:Year>
    <b:Month>Febrero</b:Month>
    <b:Day>21</b:Day>
    <b:URL>https://www.data.consejeria.cdmx.gob.mx/images/leyes/leyes/LEY_PARA_EL_DESARROLLO_ECONOMICO_DE_LA_CDMX_1.1.pdf</b:URL>
    <b:RefOrder>11</b:RefOrder>
  </b:Source>
  <b:Source>
    <b:Tag>Ley18</b:Tag>
    <b:SourceType>DocumentFromInternetSite</b:SourceType>
    <b:Guid>{4AF2D7CA-2E31-46F6-AA31-5C3907547D3A}</b:Guid>
    <b:Author>
      <b:Author>
        <b:Corporate>Ley Derechos Culturales CdMx</b:Corporate>
      </b:Author>
    </b:Author>
    <b:Title>Congreso de la Ciudad de México, I. Legislatura</b:Title>
    <b:InternetSiteTitle>Ley de los Derechos Culturales de los habitantes y visitantes de la Ciudad de México</b:InternetSiteTitle>
    <b:Year>2018</b:Year>
    <b:Month>Enero </b:Month>
    <b:Day>22</b:Day>
    <b:URL>https://www.congresocdmx.gob.mx/media/documentos/acfee035f6b94d8bd2cff3d94e7f24fbbc9279b1.pdf</b:URL>
    <b:RefOrder>12</b:RefOrder>
  </b:Source>
  <b:Source>
    <b:Tag>Ley21</b:Tag>
    <b:SourceType>DocumentFromInternetSite</b:SourceType>
    <b:Guid>{C6AAC4FF-5A0B-4159-9907-4AE836706BFB}</b:Guid>
    <b:Author>
      <b:Author>
        <b:Corporate>Ley de Educación de la Ciudad de México</b:Corporate>
      </b:Author>
    </b:Author>
    <b:Title>Gaceta Oficial de la Ciudad de México</b:Title>
    <b:Year>2021</b:Year>
    <b:Month>Junio</b:Month>
    <b:Day>07</b:Day>
    <b:URL>https://www.congresocdmx.gob.mx/media/documentos/16dfcd254ec727792d543b38a89c689bbfe7f3b4.pdf</b:URL>
    <b:RefOrder>13</b:RefOrder>
  </b:Source>
  <b:Source>
    <b:Tag>Asa20</b:Tag>
    <b:SourceType>DocumentFromInternetSite</b:SourceType>
    <b:Guid>{EDBC4A8A-FA4A-4E85-BB58-E4D65110F442}</b:Guid>
    <b:Author>
      <b:Author>
        <b:Corporate>Asamblea Comunitaria Virtual Demarcación Territorial Xochimilco</b:Corporate>
      </b:Author>
    </b:Author>
    <b:Title>Instituto Electoral de la Ciudad de México</b:Title>
    <b:Year>2020</b:Year>
    <b:Month>Julio</b:Month>
    <b:Day>9</b:Day>
    <b:URL>https://www.iecm.mx/www/_k/circunscripciones/ConvocatoriaAsambleaInformativaXochimilco.pdf</b:URL>
    <b:RefOrder>16</b:RefOrder>
  </b:Source>
  <b:Source>
    <b:Tag>Con231</b:Tag>
    <b:SourceType>DocumentFromInternetSite</b:SourceType>
    <b:Guid>{83FA4CC2-9CA7-4159-967F-12D027F634C1}</b:Guid>
    <b:Author>
      <b:Author>
        <b:Corporate>Convocatoria del Sistema de Registro</b:Corporate>
      </b:Author>
    </b:Author>
    <b:Title>SEPI CdMx</b:Title>
    <b:InternetSiteTitle>Sistema de Registro y documentación de pueblos y barrios originrios y comuniddes indígenas residentes de la ciudad de México</b:InternetSiteTitle>
    <b:Year>2023</b:Year>
    <b:URL>https://www.sepi.cdmx.gob.mx/comunicacion/nota/sistema-de-registro-y-documentacion-de-pueblos-y-barrios-originarios-y-comunidades-indigenas-residentes-de-la-ciudad-de-mexico</b:URL>
    <b:RefOrder>17</b:RefOrder>
  </b:Source>
  <b:Source>
    <b:Tag>Sec21</b:Tag>
    <b:SourceType>Report</b:SourceType>
    <b:Guid>{AC3246FB-E971-410E-955E-17C13318E056}</b:Guid>
    <b:Author>
      <b:Author>
        <b:Corporate>Secretaria de Pueblos y Barrios Originarios y Comunidades</b:Corporate>
      </b:Author>
    </b:Author>
    <b:Title>Programa Refloreciendo pueblos y Comunidades</b:Title>
    <b:Year>2021</b:Year>
    <b:Publisher>Gobierno de la Ciudad de México</b:Publisher>
    <b:City>Ciudad de México</b:City>
    <b:RefOrder>18</b:RefOrder>
  </b:Source>
  <b:Source>
    <b:Tag>ElI23</b:Tag>
    <b:SourceType>DocumentFromInternetSite</b:SourceType>
    <b:Guid>{D4A7B71B-B94B-43B0-AB7E-BE2473775F44}</b:Guid>
    <b:Author>
      <b:Author>
        <b:Corporate>El Instituto Nacional de los Pueblos Indígenas (INPI)</b:Corporate>
      </b:Author>
    </b:Author>
    <b:Title>Universidad de las Lenguas Indígenas de México ULIM</b:Title>
    <b:Year>2023</b:Year>
    <b:URL>https://www.inpi.gob.mx/ulim/ULIM-Convocatoria-Licenciatura-en-Ensenanza-de-Lenguas-Indigenas-2023.pdf</b:URL>
    <b:RefOrder>19</b:RefOrder>
  </b:Source>
  <b:Source>
    <b:Tag>INE211</b:Tag>
    <b:SourceType>DocumentFromInternetSite</b:SourceType>
    <b:Guid>{7DBF2D6D-7DA3-464F-8E59-EB629B3E67FE}</b:Guid>
    <b:Author>
      <b:Author>
        <b:Corporate>INEGI 2021</b:Corporate>
      </b:Author>
    </b:Author>
    <b:Title>Comunicado de Prensa Núm. 98/21. En la ciudad de México somos 9'209,944 habitantes: Censo de Población y Vivienda 2020.</b:Title>
    <b:InternetSiteTitle>INEGI </b:InternetSiteTitle>
    <b:Year>2021</b:Year>
    <b:Month>Enero</b:Month>
    <b:Day>29</b:Day>
    <b:URL>https://www.inegi.org.mx/contenidos/saladeprensa/boletines/2021/EstSociodemo/ResultCenso2020_CdMx.pdf</b:URL>
    <b:RefOrder>2</b:RefOrder>
  </b:Source>
  <b:Source>
    <b:Tag>Ins22</b:Tag>
    <b:SourceType>DocumentFromInternetSite</b:SourceType>
    <b:Guid>{CFAA094D-A4A1-48A3-AE0E-9BAD5603CAF1}</b:Guid>
    <b:Author>
      <b:Author>
        <b:Corporate>Instituto de Planeación Democrática y Prospectiva</b:Corporate>
      </b:Author>
    </b:Author>
    <b:Title>Proyecto del Plan General de Desarrollo</b:Title>
    <b:Year>2022</b:Year>
    <b:URL>https://www.ssc.cdmx.gob.mx/storage/app/media/Difusion%20Consulta%20Indigena/Proyecto_Prog_Gral_de_Desarrollo_2020-2040.pdf</b:URL>
    <b:RefOrder>20</b:RefOrder>
  </b:Source>
  <b:Source>
    <b:Tag>Int22</b:Tag>
    <b:SourceType>DocumentFromInternetSite</b:SourceType>
    <b:Guid>{3DCADD80-3A33-461E-8F8F-89F46845A3AF}</b:Guid>
    <b:Author>
      <b:Author>
        <b:NameList>
          <b:Person>
            <b:Last>Pospectiva</b:Last>
            <b:First>Intituto</b:First>
            <b:Middle>de Planeación Democrática y</b:Middle>
          </b:Person>
        </b:NameList>
      </b:Author>
    </b:Author>
    <b:Title>Programa General de Ordenamiento Territorial (PGOT)</b:Title>
    <b:Year>2022</b:Year>
    <b:URL>http://sectores.pa.cdmx.gob.mx:3128/intranet/web/Ord_Territorial_info_2022.pdf</b:URL>
    <b:RefOrder>21</b:RefOrder>
  </b:Source>
  <b:Source>
    <b:Tag>Ins</b:Tag>
    <b:SourceType>DocumentFromInternetSite</b:SourceType>
    <b:Guid>{0B129F3D-D13F-4865-AF78-B7188E90349C}</b:Guid>
    <b:Author>
      <b:Author>
        <b:Corporate>Instituto Electoral de la Ciudad de México</b:Corporate>
      </b:Author>
    </b:Author>
    <b:Title>Marco Geográfico de Participación Ciudadana</b:Title>
    <b:URL>https://www.iecm.mx/www/scmgpc/</b:URL>
    <b:Year>2022</b:Year>
    <b:RefOrder>22</b:RefOrder>
  </b:Source>
  <b:Source>
    <b:Tag>Ins1</b:Tag>
    <b:SourceType>DocumentFromInternetSite</b:SourceType>
    <b:Guid>{81AC9C07-F161-4414-8E2F-FA32272AB3DB}</b:Guid>
    <b:Author>
      <b:Author>
        <b:Corporate>Instituto Electoral de la Ciudad de México</b:Corporate>
      </b:Author>
    </b:Author>
    <b:Title>Protocolo 2019</b:Title>
    <b:URL>https://www.iecm.mx/www/marconormativo/docs/PROTOCOLODECONSULTABARRIOSIECMACUCG0282022.pdf</b:URL>
    <b:Year>2019</b:Year>
    <b:RefOrder>23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Filename xmlns="d42e65b2-cf21-49c1-b27d-d23f90380c0e" xsi:nil="true"/>
    <Doctype xmlns="d42e65b2-cf21-49c1-b27d-d23f90380c0e">input</Doctype>
    <Contributor xmlns="d42e65b2-cf21-49c1-b27d-d23f90380c0e">Comision de Derechos Humanos de la Ciudad de México</Contributor>
  </documentManagement>
</p:properties>
</file>

<file path=customXml/itemProps1.xml><?xml version="1.0" encoding="utf-8"?>
<ds:datastoreItem xmlns:ds="http://schemas.openxmlformats.org/officeDocument/2006/customXml" ds:itemID="{1040D8CF-F6BB-450D-885F-58420529976E}">
  <ds:schemaRefs>
    <ds:schemaRef ds:uri="http://schemas.openxmlformats.org/officeDocument/2006/bibliography"/>
  </ds:schemaRefs>
</ds:datastoreItem>
</file>

<file path=customXml/itemProps2.xml><?xml version="1.0" encoding="utf-8"?>
<ds:datastoreItem xmlns:ds="http://schemas.openxmlformats.org/officeDocument/2006/customXml" ds:itemID="{211F54AB-DE31-4648-9376-AC2174A25BD0}"/>
</file>

<file path=customXml/itemProps3.xml><?xml version="1.0" encoding="utf-8"?>
<ds:datastoreItem xmlns:ds="http://schemas.openxmlformats.org/officeDocument/2006/customXml" ds:itemID="{9E8F6B2F-38CF-43C7-9799-11EBBDB0EA22}"/>
</file>

<file path=customXml/itemProps4.xml><?xml version="1.0" encoding="utf-8"?>
<ds:datastoreItem xmlns:ds="http://schemas.openxmlformats.org/officeDocument/2006/customXml" ds:itemID="{7450C827-D30F-4E11-94D5-0920916FCB16}"/>
</file>

<file path=docProps/app.xml><?xml version="1.0" encoding="utf-8"?>
<Properties xmlns="http://schemas.openxmlformats.org/officeDocument/2006/extended-properties" xmlns:vt="http://schemas.openxmlformats.org/officeDocument/2006/docPropsVTypes">
  <Template>Normal.dotm</Template>
  <TotalTime>0</TotalTime>
  <Pages>3</Pages>
  <Words>2141</Words>
  <Characters>12207</Characters>
  <Application>Microsoft Office Word</Application>
  <DocSecurity>4</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Areli Barranco</dc:creator>
  <cp:keywords/>
  <dc:description/>
  <cp:lastModifiedBy>Belen Rodriguez de Alba Freiria</cp:lastModifiedBy>
  <cp:revision>2</cp:revision>
  <cp:lastPrinted>2024-02-01T00:04:00Z</cp:lastPrinted>
  <dcterms:created xsi:type="dcterms:W3CDTF">2024-02-01T09:13:00Z</dcterms:created>
  <dcterms:modified xsi:type="dcterms:W3CDTF">2024-02-01T09:13:00Z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