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C3017" w14:textId="77777777" w:rsidR="00070C91" w:rsidRDefault="00070C91" w:rsidP="00070C91">
      <w:pPr>
        <w:pStyle w:val="Title"/>
        <w:spacing w:before="160" w:after="160"/>
        <w:contextualSpacing w:val="0"/>
        <w:rPr>
          <w:rFonts w:ascii="Arial" w:hAnsi="Arial" w:cs="Arial"/>
          <w:b/>
          <w:sz w:val="48"/>
          <w:szCs w:val="48"/>
        </w:rPr>
      </w:pPr>
      <w:r>
        <w:rPr>
          <w:noProof/>
          <w:lang w:eastAsia="en-CA"/>
        </w:rPr>
        <w:drawing>
          <wp:anchor distT="0" distB="0" distL="114300" distR="114300" simplePos="0" relativeHeight="251659264" behindDoc="1" locked="0" layoutInCell="1" allowOverlap="1" wp14:anchorId="024DC830" wp14:editId="06E629B9">
            <wp:simplePos x="0" y="0"/>
            <wp:positionH relativeFrom="page">
              <wp:posOffset>-49530</wp:posOffset>
            </wp:positionH>
            <wp:positionV relativeFrom="paragraph">
              <wp:posOffset>-879431</wp:posOffset>
            </wp:positionV>
            <wp:extent cx="7825740" cy="10156004"/>
            <wp:effectExtent l="0" t="0" r="3810" b="0"/>
            <wp:wrapNone/>
            <wp:docPr id="3" name="Image 2" descr="Cover page with a black banner at the top containing the Canadian Human Rights Commission logo and two colored triangles at the bottom. On the right side, it is inscribed &quot;Human Righ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over page with a black banner at the top containing the Canadian Human Rights Commission logo and two colored triangles at the bottom. On the right side, it is inscribed &quot;Human Rights&quo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25740" cy="10156004"/>
                    </a:xfrm>
                    <a:prstGeom prst="rect">
                      <a:avLst/>
                    </a:prstGeom>
                  </pic:spPr>
                </pic:pic>
              </a:graphicData>
            </a:graphic>
            <wp14:sizeRelH relativeFrom="margin">
              <wp14:pctWidth>0</wp14:pctWidth>
            </wp14:sizeRelH>
            <wp14:sizeRelV relativeFrom="margin">
              <wp14:pctHeight>0</wp14:pctHeight>
            </wp14:sizeRelV>
          </wp:anchor>
        </w:drawing>
      </w:r>
    </w:p>
    <w:p w14:paraId="5ADB1C1D" w14:textId="77777777" w:rsidR="00070C91" w:rsidRDefault="00070C91" w:rsidP="00070C91">
      <w:pPr>
        <w:pStyle w:val="Title"/>
        <w:spacing w:before="160" w:after="160"/>
        <w:contextualSpacing w:val="0"/>
        <w:rPr>
          <w:rFonts w:ascii="Arial" w:hAnsi="Arial" w:cs="Arial"/>
          <w:b/>
          <w:sz w:val="48"/>
          <w:szCs w:val="48"/>
        </w:rPr>
      </w:pPr>
    </w:p>
    <w:p w14:paraId="7C391202" w14:textId="77777777" w:rsidR="00070C91" w:rsidRDefault="00070C91" w:rsidP="00070C91">
      <w:pPr>
        <w:pStyle w:val="Title"/>
        <w:spacing w:before="160" w:after="160"/>
        <w:contextualSpacing w:val="0"/>
        <w:rPr>
          <w:rFonts w:ascii="Arial" w:hAnsi="Arial" w:cs="Arial"/>
          <w:b/>
          <w:sz w:val="48"/>
          <w:szCs w:val="48"/>
        </w:rPr>
      </w:pPr>
    </w:p>
    <w:p w14:paraId="186EFC38" w14:textId="77777777" w:rsidR="00946193" w:rsidRPr="00A57DE3" w:rsidRDefault="00946193" w:rsidP="00070C91">
      <w:pPr>
        <w:pStyle w:val="Title"/>
        <w:spacing w:before="160" w:after="160"/>
        <w:contextualSpacing w:val="0"/>
        <w:rPr>
          <w:rFonts w:ascii="Calibri" w:hAnsi="Calibri" w:cs="Calibri"/>
          <w:b/>
          <w:sz w:val="72"/>
          <w:szCs w:val="72"/>
        </w:rPr>
      </w:pPr>
      <w:bookmarkStart w:id="0" w:name="_Hlk148617321"/>
      <w:r w:rsidRPr="00A57DE3">
        <w:rPr>
          <w:rFonts w:ascii="Calibri" w:hAnsi="Calibri" w:cs="Calibri"/>
          <w:b/>
          <w:sz w:val="72"/>
          <w:szCs w:val="72"/>
        </w:rPr>
        <w:t>Canadian Human Rights Commission</w:t>
      </w:r>
    </w:p>
    <w:p w14:paraId="5554BE2B" w14:textId="2CBD376C" w:rsidR="00070C91" w:rsidRDefault="00A3559E" w:rsidP="00070C91">
      <w:pPr>
        <w:pStyle w:val="Title"/>
        <w:spacing w:before="160" w:after="160"/>
        <w:contextualSpacing w:val="0"/>
        <w:rPr>
          <w:rFonts w:ascii="Calibri" w:hAnsi="Calibri" w:cs="Calibri"/>
          <w:b/>
          <w:sz w:val="44"/>
          <w:szCs w:val="44"/>
        </w:rPr>
      </w:pPr>
      <w:r>
        <w:rPr>
          <w:rFonts w:ascii="Calibri" w:hAnsi="Calibri" w:cs="Calibri"/>
          <w:b/>
          <w:sz w:val="44"/>
          <w:szCs w:val="44"/>
        </w:rPr>
        <w:t>Submission</w:t>
      </w:r>
      <w:r w:rsidR="00070C91" w:rsidRPr="00A57DE3">
        <w:rPr>
          <w:rFonts w:ascii="Calibri" w:hAnsi="Calibri" w:cs="Calibri"/>
          <w:b/>
          <w:sz w:val="44"/>
          <w:szCs w:val="44"/>
        </w:rPr>
        <w:t xml:space="preserve"> to the </w:t>
      </w:r>
      <w:r w:rsidR="004F5D10" w:rsidRPr="004F5D10">
        <w:rPr>
          <w:rFonts w:ascii="Calibri" w:hAnsi="Calibri" w:cs="Calibri"/>
          <w:b/>
          <w:sz w:val="44"/>
          <w:szCs w:val="44"/>
        </w:rPr>
        <w:t>Expert Mechanism on the Rights of Indigenous Peoples</w:t>
      </w:r>
      <w:r w:rsidR="00946193" w:rsidRPr="00A57DE3">
        <w:rPr>
          <w:rFonts w:ascii="Calibri" w:hAnsi="Calibri" w:cs="Calibri"/>
          <w:b/>
          <w:sz w:val="44"/>
          <w:szCs w:val="44"/>
        </w:rPr>
        <w:t xml:space="preserve"> </w:t>
      </w:r>
      <w:r w:rsidR="00070C91" w:rsidRPr="00A57DE3">
        <w:rPr>
          <w:rFonts w:ascii="Calibri" w:hAnsi="Calibri" w:cs="Calibri"/>
          <w:b/>
          <w:sz w:val="44"/>
          <w:szCs w:val="44"/>
        </w:rPr>
        <w:t xml:space="preserve">on the </w:t>
      </w:r>
      <w:r w:rsidR="004F5D10" w:rsidRPr="004F5D10">
        <w:rPr>
          <w:rFonts w:ascii="Calibri" w:hAnsi="Calibri" w:cs="Calibri"/>
          <w:b/>
          <w:sz w:val="44"/>
          <w:szCs w:val="44"/>
        </w:rPr>
        <w:t xml:space="preserve">Study on Laws, legislation, policies, constitutions, judicial </w:t>
      </w:r>
      <w:proofErr w:type="gramStart"/>
      <w:r w:rsidR="004F5D10" w:rsidRPr="004F5D10">
        <w:rPr>
          <w:rFonts w:ascii="Calibri" w:hAnsi="Calibri" w:cs="Calibri"/>
          <w:b/>
          <w:sz w:val="44"/>
          <w:szCs w:val="44"/>
        </w:rPr>
        <w:t>decisions</w:t>
      </w:r>
      <w:proofErr w:type="gramEnd"/>
      <w:r w:rsidR="004F5D10" w:rsidRPr="004F5D10">
        <w:rPr>
          <w:rFonts w:ascii="Calibri" w:hAnsi="Calibri" w:cs="Calibri"/>
          <w:b/>
          <w:sz w:val="44"/>
          <w:szCs w:val="44"/>
        </w:rPr>
        <w:t xml:space="preserve"> and other mechanisms in which States had taken measures to achieve the ends of the United Nations Declaration on the Rights of Indigenous Peoples, in accordance with article 38 of the Declaration</w:t>
      </w:r>
      <w:r w:rsidR="00A57DE3" w:rsidRPr="00A57DE3">
        <w:rPr>
          <w:rFonts w:ascii="Calibri" w:hAnsi="Calibri" w:cs="Calibri"/>
          <w:b/>
          <w:sz w:val="44"/>
          <w:szCs w:val="44"/>
        </w:rPr>
        <w:t>.</w:t>
      </w:r>
      <w:r w:rsidR="00070C91" w:rsidRPr="00A57DE3">
        <w:rPr>
          <w:rFonts w:ascii="Calibri" w:hAnsi="Calibri" w:cs="Calibri"/>
          <w:b/>
          <w:sz w:val="44"/>
          <w:szCs w:val="44"/>
        </w:rPr>
        <w:t xml:space="preserve"> </w:t>
      </w:r>
    </w:p>
    <w:p w14:paraId="7C40AF74" w14:textId="77777777" w:rsidR="00A57DE3" w:rsidRPr="00A57DE3" w:rsidRDefault="00A57DE3" w:rsidP="00A57DE3">
      <w:pPr>
        <w:rPr>
          <w:lang w:val="en-CA"/>
        </w:rPr>
      </w:pPr>
    </w:p>
    <w:p w14:paraId="2F105848" w14:textId="77777777" w:rsidR="00070C91" w:rsidRPr="00946193" w:rsidRDefault="00070C91" w:rsidP="00070C91">
      <w:pPr>
        <w:rPr>
          <w:sz w:val="18"/>
          <w:szCs w:val="18"/>
          <w:lang w:val="en-CA"/>
        </w:rPr>
      </w:pPr>
    </w:p>
    <w:p w14:paraId="211781C6" w14:textId="77777777" w:rsidR="00070C91" w:rsidRPr="00946193" w:rsidRDefault="00070C91" w:rsidP="00070C91">
      <w:pPr>
        <w:rPr>
          <w:sz w:val="18"/>
          <w:szCs w:val="18"/>
          <w:lang w:val="en-CA"/>
        </w:rPr>
      </w:pPr>
    </w:p>
    <w:p w14:paraId="1DDA4493" w14:textId="77777777" w:rsidR="00070C91" w:rsidRDefault="00070C91" w:rsidP="00070C91"/>
    <w:p w14:paraId="5985855B" w14:textId="77777777" w:rsidR="00070C91" w:rsidRDefault="00070C91" w:rsidP="00070C91"/>
    <w:p w14:paraId="7259D89C" w14:textId="77777777" w:rsidR="00070C91" w:rsidRDefault="00070C91" w:rsidP="00070C91"/>
    <w:p w14:paraId="7BD7CFBB" w14:textId="70966034" w:rsidR="00070C91" w:rsidRDefault="00C12B54" w:rsidP="00070C91">
      <w:r>
        <w:rPr>
          <w:b/>
          <w:sz w:val="44"/>
          <w:szCs w:val="44"/>
        </w:rPr>
        <w:t>January</w:t>
      </w:r>
      <w:r w:rsidRPr="00A57DE3">
        <w:rPr>
          <w:b/>
          <w:sz w:val="44"/>
          <w:szCs w:val="44"/>
        </w:rPr>
        <w:t xml:space="preserve"> 202</w:t>
      </w:r>
      <w:r>
        <w:rPr>
          <w:b/>
          <w:sz w:val="44"/>
          <w:szCs w:val="44"/>
        </w:rPr>
        <w:t>4</w:t>
      </w:r>
    </w:p>
    <w:p w14:paraId="21492AE7" w14:textId="77777777" w:rsidR="00070C91" w:rsidRDefault="00070C91" w:rsidP="00070C91"/>
    <w:p w14:paraId="0EFF9E09" w14:textId="77777777" w:rsidR="00070C91" w:rsidRDefault="00070C91" w:rsidP="00070C91"/>
    <w:p w14:paraId="2554F65E" w14:textId="1EF7D776" w:rsidR="00070C91" w:rsidRPr="00A57DE3" w:rsidRDefault="00070C91">
      <w:pPr>
        <w:rPr>
          <w:b/>
          <w:sz w:val="44"/>
          <w:szCs w:val="44"/>
        </w:rPr>
      </w:pPr>
      <w:r w:rsidRPr="00A57DE3">
        <w:rPr>
          <w:b/>
          <w:sz w:val="44"/>
          <w:szCs w:val="44"/>
          <w:u w:val="single"/>
        </w:rPr>
        <w:br w:type="page"/>
      </w:r>
    </w:p>
    <w:p w14:paraId="2A6D17BF" w14:textId="298E042C" w:rsidR="0028558D" w:rsidRPr="00A57DE3" w:rsidRDefault="0028558D" w:rsidP="00A57DE3">
      <w:pPr>
        <w:pStyle w:val="Heading1"/>
        <w:rPr>
          <w:rFonts w:asciiTheme="minorHAnsi" w:hAnsiTheme="minorHAnsi" w:cstheme="minorHAnsi"/>
          <w:b/>
          <w:color w:val="auto"/>
          <w:sz w:val="40"/>
          <w:szCs w:val="40"/>
          <w:lang w:val="en-CA"/>
        </w:rPr>
      </w:pPr>
      <w:r w:rsidRPr="00A57DE3">
        <w:rPr>
          <w:rFonts w:asciiTheme="minorHAnsi" w:hAnsiTheme="minorHAnsi" w:cstheme="minorHAnsi"/>
          <w:b/>
          <w:color w:val="auto"/>
          <w:sz w:val="40"/>
          <w:szCs w:val="40"/>
          <w:lang w:val="en-CA"/>
        </w:rPr>
        <w:lastRenderedPageBreak/>
        <w:t xml:space="preserve">Introduction  </w:t>
      </w:r>
    </w:p>
    <w:bookmarkEnd w:id="0"/>
    <w:p w14:paraId="031A0FBA" w14:textId="2D8C8152" w:rsidR="00070C91" w:rsidRPr="003E5260" w:rsidRDefault="00070C91" w:rsidP="00EC5892">
      <w:pPr>
        <w:spacing w:line="240" w:lineRule="auto"/>
        <w:rPr>
          <w:rFonts w:eastAsia="Calibri"/>
        </w:rPr>
      </w:pPr>
      <w:r w:rsidRPr="003E5260">
        <w:rPr>
          <w:rFonts w:eastAsia="Calibri"/>
        </w:rPr>
        <w:t>The Canadian Human Rights Commission (CHRC) is Canada’s national human rights institution. It has been accredited “A-status” by the Global Alliance of National Human Rights Institutions, first in 1999 and again in 2006, 2011, 2016 and 2023.</w:t>
      </w:r>
    </w:p>
    <w:p w14:paraId="19DA1629" w14:textId="279098F1" w:rsidR="00070C91" w:rsidRPr="003E5260" w:rsidRDefault="00070C91" w:rsidP="00EC5892">
      <w:pPr>
        <w:spacing w:line="240" w:lineRule="auto"/>
        <w:rPr>
          <w:rFonts w:eastAsia="Calibri"/>
        </w:rPr>
      </w:pPr>
      <w:r w:rsidRPr="00297337">
        <w:rPr>
          <w:rFonts w:eastAsia="Calibri"/>
        </w:rPr>
        <w:t>The CHRC was established by Parliament through the Canadian Human Rights Act (CHRA) in 1977.</w:t>
      </w:r>
      <w:r w:rsidRPr="00297337">
        <w:rPr>
          <w:rFonts w:eastAsia="Calibri"/>
          <w:vertAlign w:val="superscript"/>
        </w:rPr>
        <w:footnoteReference w:id="1"/>
      </w:r>
      <w:r w:rsidRPr="00297337">
        <w:rPr>
          <w:rFonts w:eastAsia="Calibri"/>
        </w:rPr>
        <w:t xml:space="preserve"> It has a broad mandate to promote and protect human rights. The Constitution of Canada divides jurisdiction for human rights matters between the federal and provincial or territorial governments. The CHRC, pursuant to the CHRA, has jurisdiction over federal government departments and agencies, Crown corporations, First Nations governments and </w:t>
      </w:r>
      <w:proofErr w:type="gramStart"/>
      <w:r w:rsidRPr="00297337">
        <w:rPr>
          <w:rFonts w:eastAsia="Calibri"/>
        </w:rPr>
        <w:t>federally-regulated</w:t>
      </w:r>
      <w:proofErr w:type="gramEnd"/>
      <w:r w:rsidRPr="00297337">
        <w:rPr>
          <w:rFonts w:eastAsia="Calibri"/>
        </w:rPr>
        <w:t xml:space="preserve"> private sector organizations.</w:t>
      </w:r>
      <w:r w:rsidRPr="003E5260">
        <w:rPr>
          <w:rFonts w:eastAsia="Calibri"/>
        </w:rPr>
        <w:t xml:space="preserve"> </w:t>
      </w:r>
    </w:p>
    <w:p w14:paraId="7B534A2A" w14:textId="7DA28B83" w:rsidR="006C117A" w:rsidRPr="003E5260" w:rsidRDefault="006C117A" w:rsidP="00EC5892">
      <w:pPr>
        <w:spacing w:line="240" w:lineRule="auto"/>
        <w:rPr>
          <w:rFonts w:eastAsia="Calibri"/>
        </w:rPr>
      </w:pPr>
      <w:r w:rsidRPr="003E5260">
        <w:rPr>
          <w:rFonts w:eastAsia="Calibri"/>
        </w:rPr>
        <w:t xml:space="preserve">The CHRC’s efforts to promote and protect human rights include screening and, where possible, mediating discrimination complaints, representing the public interest in the litigation of complaints, and conducting research in consultation with rights holders and stakeholders, issuing public statements, and tabling special reports in Parliament. The CHRC is committed to working with the Government of Canada as well as domestic and international partners and stakeholders to ensure continued progress in the protection of human rights, including Canada’s implementation of the rights and obligations enshrined in the human rights treaties to which Canada is a party. </w:t>
      </w:r>
    </w:p>
    <w:p w14:paraId="4551321B" w14:textId="2649A6B1" w:rsidR="006C117A" w:rsidRPr="003E5260" w:rsidRDefault="006C117A" w:rsidP="00EC5892">
      <w:pPr>
        <w:spacing w:line="240" w:lineRule="auto"/>
        <w:rPr>
          <w:rFonts w:eastAsia="Calibri"/>
        </w:rPr>
      </w:pPr>
      <w:r w:rsidRPr="00297337">
        <w:rPr>
          <w:color w:val="000000"/>
        </w:rPr>
        <w:t>The CHRC also has a mandate under the Employment Equity Act and supports the Accessibility Commissioner and the Pay Equity Commissioner in carrying out their mandates under the Accessible Canada Act and the Pay Equity Act, respectively. It also provides support to the Federal Housing Advocate as legislated by the National Housing Strategy Act</w:t>
      </w:r>
      <w:r w:rsidRPr="00297337">
        <w:rPr>
          <w:rFonts w:eastAsia="Calibri"/>
        </w:rPr>
        <w:t xml:space="preserve">. The </w:t>
      </w:r>
      <w:r w:rsidR="00224CE8" w:rsidRPr="00297337">
        <w:rPr>
          <w:rFonts w:eastAsia="Calibri"/>
        </w:rPr>
        <w:t xml:space="preserve">CHRC </w:t>
      </w:r>
      <w:r w:rsidR="00561A6B" w:rsidRPr="00297337">
        <w:rPr>
          <w:rFonts w:eastAsia="Calibri"/>
        </w:rPr>
        <w:t>i</w:t>
      </w:r>
      <w:r w:rsidRPr="00297337">
        <w:rPr>
          <w:rFonts w:eastAsia="Calibri"/>
        </w:rPr>
        <w:t>s also designated as a body responsible for monitoring the Government of Canada’s implementation of the United Nations Convention on the Rights of Persons with Disabilities (CRPD), in accordance with article 33.2 of the Convention.</w:t>
      </w:r>
      <w:r w:rsidRPr="003E5260">
        <w:rPr>
          <w:rFonts w:eastAsia="Calibri"/>
        </w:rPr>
        <w:t xml:space="preserve"> </w:t>
      </w:r>
    </w:p>
    <w:p w14:paraId="2AC7EF6A" w14:textId="7811EA39" w:rsidR="00070C91" w:rsidRPr="003E5260" w:rsidRDefault="00070C91" w:rsidP="0042633D">
      <w:r w:rsidRPr="003E5260">
        <w:rPr>
          <w:lang w:val="en-CA"/>
        </w:rPr>
        <w:t xml:space="preserve">In Canada, and across the world, </w:t>
      </w:r>
      <w:r w:rsidR="004F5D10" w:rsidRPr="003E5260">
        <w:rPr>
          <w:lang w:val="en-CA"/>
        </w:rPr>
        <w:t>Indigenous</w:t>
      </w:r>
      <w:r w:rsidRPr="003E5260">
        <w:rPr>
          <w:lang w:val="en-CA"/>
        </w:rPr>
        <w:t xml:space="preserve"> </w:t>
      </w:r>
      <w:r w:rsidR="003B00B8" w:rsidRPr="003E5260">
        <w:rPr>
          <w:lang w:val="en-CA"/>
        </w:rPr>
        <w:t>people</w:t>
      </w:r>
      <w:r w:rsidR="004F5D10" w:rsidRPr="003E5260">
        <w:rPr>
          <w:lang w:val="en-CA"/>
        </w:rPr>
        <w:t>s and individuals</w:t>
      </w:r>
      <w:r w:rsidR="003B00B8" w:rsidRPr="003E5260">
        <w:rPr>
          <w:lang w:val="en-CA"/>
        </w:rPr>
        <w:t xml:space="preserve"> </w:t>
      </w:r>
      <w:r w:rsidRPr="003E5260">
        <w:rPr>
          <w:lang w:val="en-CA"/>
        </w:rPr>
        <w:t xml:space="preserve">face unique barriers to </w:t>
      </w:r>
      <w:r w:rsidR="004F5D10" w:rsidRPr="003E5260">
        <w:rPr>
          <w:lang w:val="en-CA"/>
        </w:rPr>
        <w:t>the protection</w:t>
      </w:r>
      <w:r w:rsidRPr="003E5260">
        <w:rPr>
          <w:lang w:val="en-CA"/>
        </w:rPr>
        <w:t xml:space="preserve"> and enjoy</w:t>
      </w:r>
      <w:r w:rsidR="004F5D10" w:rsidRPr="003E5260">
        <w:rPr>
          <w:lang w:val="en-CA"/>
        </w:rPr>
        <w:t>ment of</w:t>
      </w:r>
      <w:r w:rsidRPr="003E5260">
        <w:rPr>
          <w:lang w:val="en-CA"/>
        </w:rPr>
        <w:t xml:space="preserve"> their human rights. </w:t>
      </w:r>
      <w:r w:rsidR="0042633D" w:rsidRPr="0042633D">
        <w:rPr>
          <w:lang w:val="en-CA"/>
        </w:rPr>
        <w:t>The CHRC views the situation of Indigenous peoples in Canada as one of the most pressing human rights issues facing Canada today.</w:t>
      </w:r>
      <w:r w:rsidR="0042633D">
        <w:rPr>
          <w:lang w:val="en-CA"/>
        </w:rPr>
        <w:t xml:space="preserve"> </w:t>
      </w:r>
      <w:r w:rsidR="00D87D4D">
        <w:rPr>
          <w:lang w:val="en-CA"/>
        </w:rPr>
        <w:t xml:space="preserve">The CHRC has been </w:t>
      </w:r>
      <w:r w:rsidR="00761438">
        <w:rPr>
          <w:lang w:val="en-CA"/>
        </w:rPr>
        <w:t xml:space="preserve">and continues to be </w:t>
      </w:r>
      <w:r w:rsidR="00D87D4D">
        <w:rPr>
          <w:lang w:val="en-CA"/>
        </w:rPr>
        <w:t xml:space="preserve">a vocal advocate for </w:t>
      </w:r>
      <w:r w:rsidRPr="003E5260">
        <w:t xml:space="preserve">Canada </w:t>
      </w:r>
      <w:r w:rsidR="00D87D4D">
        <w:t>to</w:t>
      </w:r>
      <w:r w:rsidR="00D87D4D" w:rsidRPr="003E5260">
        <w:t xml:space="preserve"> </w:t>
      </w:r>
      <w:r w:rsidRPr="003E5260">
        <w:t xml:space="preserve">do more to </w:t>
      </w:r>
      <w:r w:rsidR="00FE0F66" w:rsidRPr="003E5260">
        <w:t>realize</w:t>
      </w:r>
      <w:r w:rsidRPr="003E5260">
        <w:t xml:space="preserve"> the human rights of </w:t>
      </w:r>
      <w:r w:rsidR="004F5D10" w:rsidRPr="003E5260">
        <w:t>Indigenous</w:t>
      </w:r>
      <w:r w:rsidRPr="003E5260">
        <w:t xml:space="preserve"> </w:t>
      </w:r>
      <w:r w:rsidR="003B00B8" w:rsidRPr="003E5260">
        <w:t>people</w:t>
      </w:r>
      <w:r w:rsidR="002A4641">
        <w:t>s</w:t>
      </w:r>
      <w:r w:rsidR="00D87D4D">
        <w:t>.</w:t>
      </w:r>
      <w:r w:rsidR="0042633D">
        <w:t xml:space="preserve"> The legacy of the residential school system and the continuing discoveries of unmarked graves looms large over many aspects of Indigenous peoples’ lives and continues to have a detrimental effect on the well-being of Indigenous communities in Canada. The CHRC recognizes that Canada has a long and dark history of institutionalized child neglect, </w:t>
      </w:r>
      <w:proofErr w:type="gramStart"/>
      <w:r w:rsidR="0042633D">
        <w:t>abuse</w:t>
      </w:r>
      <w:proofErr w:type="gramEnd"/>
      <w:r w:rsidR="0042633D">
        <w:t xml:space="preserve"> and discrimination, including systematically separating Indigenous children from their families, culture and identity.</w:t>
      </w:r>
      <w:r w:rsidR="00D87D4D">
        <w:t xml:space="preserve"> </w:t>
      </w:r>
    </w:p>
    <w:p w14:paraId="6D137796" w14:textId="42631209" w:rsidR="00070C91" w:rsidRPr="003E5260" w:rsidRDefault="00070C91" w:rsidP="00EC5892">
      <w:pPr>
        <w:rPr>
          <w:rFonts w:eastAsiaTheme="majorEastAsia"/>
          <w:shd w:val="clear" w:color="auto" w:fill="auto"/>
          <w:lang w:val="en-CA"/>
        </w:rPr>
      </w:pPr>
      <w:r w:rsidRPr="003E5260">
        <w:rPr>
          <w:lang w:val="en-CA"/>
        </w:rPr>
        <w:t xml:space="preserve">The CHRC </w:t>
      </w:r>
      <w:r w:rsidR="0027200D" w:rsidRPr="003E5260">
        <w:rPr>
          <w:lang w:val="en-CA"/>
        </w:rPr>
        <w:t xml:space="preserve">welcomes </w:t>
      </w:r>
      <w:r w:rsidRPr="003E5260">
        <w:rPr>
          <w:lang w:val="en-CA"/>
        </w:rPr>
        <w:t xml:space="preserve">the work of the UN </w:t>
      </w:r>
      <w:r w:rsidR="004F5D10" w:rsidRPr="003E5260">
        <w:rPr>
          <w:lang w:val="en-CA"/>
        </w:rPr>
        <w:t>Expert Mechanism on the Rights of Indigenous Peoples</w:t>
      </w:r>
      <w:r w:rsidRPr="003E5260">
        <w:rPr>
          <w:lang w:val="en-CA"/>
        </w:rPr>
        <w:t xml:space="preserve"> and </w:t>
      </w:r>
      <w:r w:rsidRPr="003E5260">
        <w:t xml:space="preserve">supports </w:t>
      </w:r>
      <w:r w:rsidR="004F5D10" w:rsidRPr="003E5260">
        <w:rPr>
          <w:color w:val="222222"/>
        </w:rPr>
        <w:t xml:space="preserve">this annual study to </w:t>
      </w:r>
      <w:r w:rsidR="006165E6" w:rsidRPr="003E5260">
        <w:rPr>
          <w:color w:val="222222"/>
        </w:rPr>
        <w:t>examine</w:t>
      </w:r>
      <w:r w:rsidR="004F5D10" w:rsidRPr="003E5260">
        <w:rPr>
          <w:color w:val="222222"/>
        </w:rPr>
        <w:t xml:space="preserve"> </w:t>
      </w:r>
      <w:r w:rsidR="006165E6" w:rsidRPr="003E5260">
        <w:rPr>
          <w:color w:val="222222"/>
        </w:rPr>
        <w:t>S</w:t>
      </w:r>
      <w:r w:rsidR="004F5D10" w:rsidRPr="003E5260">
        <w:rPr>
          <w:color w:val="222222"/>
        </w:rPr>
        <w:t>tates</w:t>
      </w:r>
      <w:r w:rsidR="006165E6" w:rsidRPr="003E5260">
        <w:rPr>
          <w:color w:val="222222"/>
        </w:rPr>
        <w:t>’ progress on</w:t>
      </w:r>
      <w:r w:rsidR="004F5D10" w:rsidRPr="003E5260">
        <w:rPr>
          <w:color w:val="222222"/>
        </w:rPr>
        <w:t xml:space="preserve"> the realization of the exercise and enjoyment of the collective and individual norms affirmed in the </w:t>
      </w:r>
      <w:r w:rsidR="006165E6" w:rsidRPr="003E5260">
        <w:rPr>
          <w:color w:val="222222"/>
        </w:rPr>
        <w:t>United Nations Declaration on the Rights of Indigenous Peoples (</w:t>
      </w:r>
      <w:r w:rsidR="004F5D10" w:rsidRPr="003E5260">
        <w:rPr>
          <w:color w:val="222222"/>
        </w:rPr>
        <w:t>Declaration</w:t>
      </w:r>
      <w:r w:rsidR="006165E6" w:rsidRPr="003E5260">
        <w:rPr>
          <w:color w:val="222222"/>
        </w:rPr>
        <w:t>)</w:t>
      </w:r>
      <w:r w:rsidRPr="003E5260">
        <w:rPr>
          <w:color w:val="222222"/>
        </w:rPr>
        <w:t>.</w:t>
      </w:r>
      <w:r w:rsidRPr="003E5260">
        <w:t xml:space="preserve"> </w:t>
      </w:r>
    </w:p>
    <w:p w14:paraId="47BA0CF5" w14:textId="6FE003DA" w:rsidR="008C78AE" w:rsidRPr="00EE392A" w:rsidRDefault="008C78AE" w:rsidP="008C78AE">
      <w:pPr>
        <w:rPr>
          <w:lang w:val="en-CA"/>
        </w:rPr>
      </w:pPr>
      <w:r w:rsidRPr="00EE392A">
        <w:rPr>
          <w:lang w:val="en-CA"/>
        </w:rPr>
        <w:t xml:space="preserve">In support of the Expert Mechanism’s study on “Laws, legislation, policies, constitutions, judicial decisions and other mechanisms in which States had taken measures to achieve the ends of the United </w:t>
      </w:r>
      <w:r w:rsidRPr="00EE392A">
        <w:rPr>
          <w:lang w:val="en-CA"/>
        </w:rPr>
        <w:lastRenderedPageBreak/>
        <w:t xml:space="preserve">Nations Declaration on the Rights of Indigenous Peoples, in accordance with article 38 of the Declaration,” the </w:t>
      </w:r>
      <w:r w:rsidR="0027200D" w:rsidRPr="00EE392A">
        <w:rPr>
          <w:lang w:val="en-CA"/>
        </w:rPr>
        <w:t>CHRC</w:t>
      </w:r>
      <w:r w:rsidRPr="00EE392A">
        <w:rPr>
          <w:lang w:val="en-CA"/>
        </w:rPr>
        <w:t xml:space="preserve"> reports on Canada’s measures in these areas.</w:t>
      </w:r>
    </w:p>
    <w:p w14:paraId="324EF32D" w14:textId="570BACA0" w:rsidR="004E2F5F" w:rsidRDefault="004E2F5F" w:rsidP="004E2F5F">
      <w:pPr>
        <w:pStyle w:val="Heading2"/>
        <w:rPr>
          <w:sz w:val="24"/>
          <w:szCs w:val="24"/>
        </w:rPr>
      </w:pPr>
      <w:r w:rsidRPr="004E2F5F">
        <w:rPr>
          <w:rFonts w:asciiTheme="minorHAnsi" w:hAnsiTheme="minorHAnsi" w:cstheme="minorHAnsi"/>
          <w:b/>
          <w:color w:val="auto"/>
          <w:sz w:val="28"/>
          <w:szCs w:val="28"/>
        </w:rPr>
        <w:t>Laws</w:t>
      </w:r>
    </w:p>
    <w:p w14:paraId="3A9FD62B" w14:textId="3C912683" w:rsidR="004E2F5F" w:rsidRPr="008A39B3" w:rsidRDefault="004E2F5F" w:rsidP="008C78AE">
      <w:pPr>
        <w:rPr>
          <w:u w:val="single"/>
        </w:rPr>
      </w:pPr>
      <w:r w:rsidRPr="00761438">
        <w:rPr>
          <w:rStyle w:val="Heading3Char"/>
        </w:rPr>
        <w:t>Indian Act</w:t>
      </w:r>
      <w:r w:rsidR="00296862">
        <w:rPr>
          <w:rStyle w:val="FootnoteReference"/>
          <w:u w:val="single"/>
        </w:rPr>
        <w:footnoteReference w:id="2"/>
      </w:r>
    </w:p>
    <w:p w14:paraId="47728932" w14:textId="61001CCD" w:rsidR="00BC6B0D" w:rsidRPr="008365D8" w:rsidRDefault="003E5260" w:rsidP="008C78AE">
      <w:r w:rsidRPr="008365D8">
        <w:t>The Indian Act</w:t>
      </w:r>
      <w:r w:rsidR="002E3CB1" w:rsidRPr="008365D8">
        <w:t xml:space="preserve">, enacted in 1876, is federal legislation that governs in matters related to Indian status, </w:t>
      </w:r>
      <w:proofErr w:type="gramStart"/>
      <w:r w:rsidR="002E3CB1" w:rsidRPr="008365D8">
        <w:t>bands</w:t>
      </w:r>
      <w:proofErr w:type="gramEnd"/>
      <w:r w:rsidR="002E3CB1" w:rsidRPr="008365D8">
        <w:t xml:space="preserve"> and Indian reserves. It </w:t>
      </w:r>
      <w:r w:rsidRPr="008365D8">
        <w:t xml:space="preserve">is perhaps the only legislation in the world that rules and manages a people based on their </w:t>
      </w:r>
      <w:proofErr w:type="gramStart"/>
      <w:r w:rsidRPr="008365D8">
        <w:t>race, and</w:t>
      </w:r>
      <w:proofErr w:type="gramEnd"/>
      <w:r w:rsidRPr="008365D8">
        <w:t xml:space="preserve"> has remained relatively unchanged for 150 years. It is outdated and continues to be criticized for being discriminatory and paternalistic. A more modern approach to governance that recognizes First Nations’ inherent right to self-government is long overdue and must be accomplished in consultation and collaboration with First Nations peoples.</w:t>
      </w:r>
    </w:p>
    <w:p w14:paraId="052277F4" w14:textId="27D40509" w:rsidR="00BC6B0D" w:rsidRPr="008365D8" w:rsidRDefault="00BC6B0D" w:rsidP="008C78AE">
      <w:r w:rsidRPr="008365D8">
        <w:t xml:space="preserve">The CHRC has and continues to call for major changes to the Indian Act and other legislation concerning Indigenous peoples’ rights in Canada before Parliament, the Senate, and through </w:t>
      </w:r>
      <w:r w:rsidR="002A4641" w:rsidRPr="008365D8">
        <w:t xml:space="preserve">submissions to </w:t>
      </w:r>
      <w:r w:rsidRPr="008365D8">
        <w:t xml:space="preserve">United Nations </w:t>
      </w:r>
      <w:r w:rsidR="002A4641" w:rsidRPr="008365D8">
        <w:t>bodies</w:t>
      </w:r>
      <w:r w:rsidRPr="008365D8">
        <w:t>.</w:t>
      </w:r>
      <w:r w:rsidR="00673BA3" w:rsidRPr="008365D8">
        <w:rPr>
          <w:rStyle w:val="FootnoteReference"/>
        </w:rPr>
        <w:footnoteReference w:id="3"/>
      </w:r>
      <w:r w:rsidR="000F40FC" w:rsidRPr="008365D8">
        <w:t xml:space="preserve"> </w:t>
      </w:r>
      <w:r w:rsidR="008A39B3" w:rsidRPr="008365D8">
        <w:t xml:space="preserve">Public debate on this topic includes some Indigenous peoples’ reluctance to have the Indian Act repealed without </w:t>
      </w:r>
      <w:r w:rsidR="00296862" w:rsidRPr="008365D8">
        <w:t xml:space="preserve">first determining an instrument </w:t>
      </w:r>
      <w:r w:rsidR="002E3CB1" w:rsidRPr="008365D8">
        <w:t xml:space="preserve">that will </w:t>
      </w:r>
      <w:r w:rsidR="008A39B3" w:rsidRPr="008365D8">
        <w:t>guarantee their rights</w:t>
      </w:r>
      <w:r w:rsidR="002E3CB1" w:rsidRPr="008365D8">
        <w:t>, including the protection of their reserve lands from seizure</w:t>
      </w:r>
      <w:r w:rsidR="00F15F71" w:rsidRPr="008365D8">
        <w:t xml:space="preserve"> and development</w:t>
      </w:r>
      <w:r w:rsidR="002A4641" w:rsidRPr="008365D8">
        <w:t>.</w:t>
      </w:r>
      <w:r w:rsidR="00F15F71" w:rsidRPr="008365D8">
        <w:rPr>
          <w:rStyle w:val="FootnoteReference"/>
        </w:rPr>
        <w:footnoteReference w:id="4"/>
      </w:r>
    </w:p>
    <w:p w14:paraId="08BB2B17" w14:textId="37A9EF08" w:rsidR="00771008" w:rsidRPr="008365D8" w:rsidRDefault="00771008" w:rsidP="00214FC2">
      <w:pPr>
        <w:rPr>
          <w:lang w:val="en-CA"/>
        </w:rPr>
      </w:pPr>
      <w:r w:rsidRPr="008365D8">
        <w:rPr>
          <w:lang w:val="en-CA"/>
        </w:rPr>
        <w:t xml:space="preserve">In October 2023, </w:t>
      </w:r>
      <w:r w:rsidR="00812054" w:rsidRPr="008365D8">
        <w:rPr>
          <w:lang w:val="en-CA"/>
        </w:rPr>
        <w:t>several UN Special Rapporteurs (</w:t>
      </w:r>
      <w:r w:rsidRPr="008365D8">
        <w:rPr>
          <w:lang w:val="en-CA"/>
        </w:rPr>
        <w:t>the Special Rapporteur on violence against women and girls, its causes and consequences; the Special Rapporteur on the rights of Indigenous Peoples; the Special Rapporteur on contemporary forms of racism, racial discrimination, xenophobia and related intolerance; and the Special Rapporteur on the promotion of truth, justice, reparation and guarantees of non-recurrence</w:t>
      </w:r>
      <w:r w:rsidR="00812054" w:rsidRPr="008365D8">
        <w:rPr>
          <w:lang w:val="en-CA"/>
        </w:rPr>
        <w:t>)</w:t>
      </w:r>
      <w:r w:rsidRPr="008365D8">
        <w:rPr>
          <w:lang w:val="en-CA"/>
        </w:rPr>
        <w:t xml:space="preserve"> provided views to Canada related to discrimination in the registration provisions of the Indian Act. These views were in reaction to a communication filed </w:t>
      </w:r>
      <w:r w:rsidR="00214FC2" w:rsidRPr="008365D8">
        <w:rPr>
          <w:lang w:val="en-CA"/>
        </w:rPr>
        <w:t>with Committee on the Elimination of Discrimination in 2022, to which t</w:t>
      </w:r>
      <w:r w:rsidRPr="008365D8">
        <w:rPr>
          <w:lang w:val="en-CA"/>
        </w:rPr>
        <w:t xml:space="preserve">he CHRC provided a letter of support. </w:t>
      </w:r>
    </w:p>
    <w:p w14:paraId="75F0DD64" w14:textId="2B80CBAE" w:rsidR="00771008" w:rsidRPr="008365D8" w:rsidRDefault="00214FC2" w:rsidP="00771008">
      <w:pPr>
        <w:rPr>
          <w:lang w:val="en-CA"/>
        </w:rPr>
      </w:pPr>
      <w:r w:rsidRPr="008365D8">
        <w:rPr>
          <w:lang w:val="en-CA"/>
        </w:rPr>
        <w:t>In the view of t</w:t>
      </w:r>
      <w:r w:rsidR="00771008" w:rsidRPr="008365D8">
        <w:rPr>
          <w:lang w:val="en-CA"/>
        </w:rPr>
        <w:t>he S</w:t>
      </w:r>
      <w:r w:rsidRPr="008365D8">
        <w:rPr>
          <w:lang w:val="en-CA"/>
        </w:rPr>
        <w:t xml:space="preserve">pecial </w:t>
      </w:r>
      <w:r w:rsidR="00771008" w:rsidRPr="008365D8">
        <w:rPr>
          <w:lang w:val="en-CA"/>
        </w:rPr>
        <w:t>R</w:t>
      </w:r>
      <w:r w:rsidRPr="008365D8">
        <w:rPr>
          <w:lang w:val="en-CA"/>
        </w:rPr>
        <w:t xml:space="preserve">apporteurs, </w:t>
      </w:r>
      <w:r w:rsidR="00771008" w:rsidRPr="008365D8">
        <w:rPr>
          <w:lang w:val="en-CA"/>
        </w:rPr>
        <w:t>discriminatory provisions remain in the Indian Act</w:t>
      </w:r>
      <w:r w:rsidRPr="008365D8">
        <w:rPr>
          <w:lang w:val="en-CA"/>
        </w:rPr>
        <w:t>. They</w:t>
      </w:r>
      <w:r w:rsidR="00771008" w:rsidRPr="008365D8">
        <w:rPr>
          <w:lang w:val="en-CA"/>
        </w:rPr>
        <w:t xml:space="preserve"> requested that Canada:</w:t>
      </w:r>
    </w:p>
    <w:p w14:paraId="2B65B41D" w14:textId="77777777" w:rsidR="00214FC2" w:rsidRPr="008365D8" w:rsidRDefault="00771008" w:rsidP="00771008">
      <w:pPr>
        <w:pStyle w:val="ListParagraph"/>
        <w:numPr>
          <w:ilvl w:val="0"/>
          <w:numId w:val="27"/>
        </w:numPr>
        <w:rPr>
          <w:lang w:val="en-CA"/>
        </w:rPr>
      </w:pPr>
      <w:r w:rsidRPr="008365D8">
        <w:rPr>
          <w:lang w:val="en-CA"/>
        </w:rPr>
        <w:t xml:space="preserve">Carefully review the Indian Act and remove all remaining discriminatory </w:t>
      </w:r>
      <w:proofErr w:type="gramStart"/>
      <w:r w:rsidRPr="008365D8">
        <w:rPr>
          <w:lang w:val="en-CA"/>
        </w:rPr>
        <w:t>provisions;</w:t>
      </w:r>
      <w:proofErr w:type="gramEnd"/>
    </w:p>
    <w:p w14:paraId="4B020CA4" w14:textId="77777777" w:rsidR="00214FC2" w:rsidRPr="008365D8" w:rsidRDefault="00771008" w:rsidP="00771008">
      <w:pPr>
        <w:pStyle w:val="ListParagraph"/>
        <w:numPr>
          <w:ilvl w:val="0"/>
          <w:numId w:val="27"/>
        </w:numPr>
        <w:rPr>
          <w:lang w:val="en-CA"/>
        </w:rPr>
      </w:pPr>
      <w:r w:rsidRPr="008365D8">
        <w:rPr>
          <w:lang w:val="en-CA"/>
        </w:rPr>
        <w:t xml:space="preserve">Support timely registration for all those who become </w:t>
      </w:r>
      <w:proofErr w:type="gramStart"/>
      <w:r w:rsidRPr="008365D8">
        <w:rPr>
          <w:lang w:val="en-CA"/>
        </w:rPr>
        <w:t>eligible;</w:t>
      </w:r>
      <w:proofErr w:type="gramEnd"/>
    </w:p>
    <w:p w14:paraId="692DB294" w14:textId="77777777" w:rsidR="00214FC2" w:rsidRPr="008365D8" w:rsidRDefault="00771008" w:rsidP="00771008">
      <w:pPr>
        <w:pStyle w:val="ListParagraph"/>
        <w:numPr>
          <w:ilvl w:val="0"/>
          <w:numId w:val="27"/>
        </w:numPr>
        <w:rPr>
          <w:lang w:val="en-CA"/>
        </w:rPr>
      </w:pPr>
      <w:r w:rsidRPr="008365D8">
        <w:rPr>
          <w:lang w:val="en-CA"/>
        </w:rPr>
        <w:t xml:space="preserve">Provide an accessible remedy to compensate those who have been </w:t>
      </w:r>
      <w:proofErr w:type="gramStart"/>
      <w:r w:rsidRPr="008365D8">
        <w:rPr>
          <w:lang w:val="en-CA"/>
        </w:rPr>
        <w:t>affected;</w:t>
      </w:r>
      <w:proofErr w:type="gramEnd"/>
    </w:p>
    <w:p w14:paraId="4DA882E3" w14:textId="77777777" w:rsidR="00214FC2" w:rsidRPr="008365D8" w:rsidRDefault="00771008" w:rsidP="00771008">
      <w:pPr>
        <w:pStyle w:val="ListParagraph"/>
        <w:numPr>
          <w:ilvl w:val="0"/>
          <w:numId w:val="27"/>
        </w:numPr>
        <w:rPr>
          <w:lang w:val="en-CA"/>
        </w:rPr>
      </w:pPr>
      <w:r w:rsidRPr="008365D8">
        <w:rPr>
          <w:lang w:val="en-CA"/>
        </w:rPr>
        <w:t>Repeal section 6(2) of the Indian Act (“second generation cut-off”</w:t>
      </w:r>
      <w:proofErr w:type="gramStart"/>
      <w:r w:rsidRPr="008365D8">
        <w:rPr>
          <w:lang w:val="en-CA"/>
        </w:rPr>
        <w:t>);</w:t>
      </w:r>
      <w:proofErr w:type="gramEnd"/>
    </w:p>
    <w:p w14:paraId="41F99B6E" w14:textId="77777777" w:rsidR="00214FC2" w:rsidRPr="008365D8" w:rsidRDefault="00771008" w:rsidP="00771008">
      <w:pPr>
        <w:pStyle w:val="ListParagraph"/>
        <w:numPr>
          <w:ilvl w:val="0"/>
          <w:numId w:val="27"/>
        </w:numPr>
        <w:rPr>
          <w:lang w:val="en-CA"/>
        </w:rPr>
      </w:pPr>
      <w:r w:rsidRPr="008365D8">
        <w:rPr>
          <w:lang w:val="en-CA"/>
        </w:rPr>
        <w:t>Repeal non-liability clauses of the Indian Act to allow victims of discriminatory provisions to be compensated; and</w:t>
      </w:r>
    </w:p>
    <w:p w14:paraId="3C95ACCC" w14:textId="62C1DAF4" w:rsidR="00771008" w:rsidRPr="00214FC2" w:rsidRDefault="00771008" w:rsidP="00214FC2">
      <w:pPr>
        <w:pStyle w:val="ListParagraph"/>
        <w:numPr>
          <w:ilvl w:val="0"/>
          <w:numId w:val="27"/>
        </w:numPr>
        <w:rPr>
          <w:lang w:val="en-CA"/>
        </w:rPr>
      </w:pPr>
      <w:r w:rsidRPr="00214FC2">
        <w:rPr>
          <w:lang w:val="en-CA"/>
        </w:rPr>
        <w:lastRenderedPageBreak/>
        <w:t>Develop plain language materials on registration and eligibility.</w:t>
      </w:r>
    </w:p>
    <w:p w14:paraId="7D3ED1AF" w14:textId="3B2FECE7" w:rsidR="003E5260" w:rsidRPr="008A39B3" w:rsidRDefault="003E5260" w:rsidP="003E5260">
      <w:pPr>
        <w:rPr>
          <w:b/>
          <w:u w:val="single"/>
        </w:rPr>
      </w:pPr>
      <w:r w:rsidRPr="00761438">
        <w:rPr>
          <w:rStyle w:val="Heading3Char"/>
        </w:rPr>
        <w:t>United Nations Declaration on the Rights of Indigenous Peoples Act</w:t>
      </w:r>
      <w:r w:rsidR="00582C47">
        <w:rPr>
          <w:rStyle w:val="FootnoteReference"/>
          <w:u w:val="single"/>
          <w:lang w:val="en-CA"/>
        </w:rPr>
        <w:footnoteReference w:id="5"/>
      </w:r>
      <w:r w:rsidRPr="008A39B3">
        <w:rPr>
          <w:b/>
          <w:u w:val="single"/>
        </w:rPr>
        <w:t xml:space="preserve"> </w:t>
      </w:r>
    </w:p>
    <w:p w14:paraId="0B17B08A" w14:textId="4257EADE" w:rsidR="009E51A2" w:rsidRPr="00EE392A" w:rsidRDefault="009E51A2" w:rsidP="009E51A2">
      <w:pPr>
        <w:rPr>
          <w:lang w:val="en-CA"/>
        </w:rPr>
      </w:pPr>
      <w:r w:rsidRPr="00EE392A">
        <w:rPr>
          <w:lang w:val="en-CA"/>
        </w:rPr>
        <w:t>Canada endorsed the Declaration in 2016</w:t>
      </w:r>
      <w:r w:rsidR="0013077B">
        <w:rPr>
          <w:lang w:val="en-CA"/>
        </w:rPr>
        <w:t>,</w:t>
      </w:r>
      <w:r>
        <w:rPr>
          <w:lang w:val="en-CA"/>
        </w:rPr>
        <w:t xml:space="preserve"> and </w:t>
      </w:r>
      <w:r w:rsidR="00C27A6E">
        <w:rPr>
          <w:lang w:val="en-CA"/>
        </w:rPr>
        <w:t xml:space="preserve">the </w:t>
      </w:r>
      <w:r w:rsidR="00C27A6E" w:rsidRPr="009E51A2">
        <w:rPr>
          <w:lang w:val="en-CA"/>
        </w:rPr>
        <w:t xml:space="preserve">United Nations Declaration on the Rights of Indigenous Peoples Act </w:t>
      </w:r>
      <w:r w:rsidR="00C27A6E">
        <w:rPr>
          <w:lang w:val="en-CA"/>
        </w:rPr>
        <w:t>(</w:t>
      </w:r>
      <w:r w:rsidR="00C27A6E" w:rsidRPr="00EE392A">
        <w:rPr>
          <w:lang w:val="en-CA"/>
        </w:rPr>
        <w:t>UNDA</w:t>
      </w:r>
      <w:r w:rsidR="00C27A6E">
        <w:rPr>
          <w:lang w:val="en-CA"/>
        </w:rPr>
        <w:t>)</w:t>
      </w:r>
      <w:r w:rsidR="00C27A6E" w:rsidRPr="00EE392A">
        <w:rPr>
          <w:lang w:val="en-CA"/>
        </w:rPr>
        <w:t xml:space="preserve"> </w:t>
      </w:r>
      <w:r w:rsidR="00B84D8A">
        <w:rPr>
          <w:bCs/>
        </w:rPr>
        <w:t xml:space="preserve">came into force in June 2021 with the purpose of </w:t>
      </w:r>
      <w:r w:rsidR="00B84D8A" w:rsidRPr="00B84D8A">
        <w:rPr>
          <w:bCs/>
        </w:rPr>
        <w:t>ensur</w:t>
      </w:r>
      <w:r w:rsidR="00B84D8A">
        <w:rPr>
          <w:bCs/>
        </w:rPr>
        <w:t>ing</w:t>
      </w:r>
      <w:r w:rsidR="00B84D8A" w:rsidRPr="00B84D8A">
        <w:rPr>
          <w:bCs/>
        </w:rPr>
        <w:t xml:space="preserve"> that the laws of Canada are consistent with the Declaration</w:t>
      </w:r>
      <w:r w:rsidR="00B84D8A">
        <w:rPr>
          <w:bCs/>
        </w:rPr>
        <w:t xml:space="preserve">. </w:t>
      </w:r>
      <w:r w:rsidR="00467E43">
        <w:rPr>
          <w:bCs/>
        </w:rPr>
        <w:t xml:space="preserve">This represented </w:t>
      </w:r>
      <w:r w:rsidR="00467E43" w:rsidRPr="00467E43">
        <w:rPr>
          <w:bCs/>
        </w:rPr>
        <w:t>a vital step towards promoting and protecting Indigenous rights in Canada</w:t>
      </w:r>
      <w:r w:rsidR="00467E43">
        <w:rPr>
          <w:bCs/>
        </w:rPr>
        <w:t xml:space="preserve"> and t</w:t>
      </w:r>
      <w:r w:rsidR="00467E43" w:rsidRPr="00467E43">
        <w:rPr>
          <w:bCs/>
        </w:rPr>
        <w:t>he CHRC welcome</w:t>
      </w:r>
      <w:r w:rsidR="00467E43">
        <w:rPr>
          <w:bCs/>
        </w:rPr>
        <w:t>d</w:t>
      </w:r>
      <w:r w:rsidR="00467E43" w:rsidRPr="00467E43">
        <w:rPr>
          <w:bCs/>
        </w:rPr>
        <w:t xml:space="preserve"> this development as an important step in advancing reconciliation.</w:t>
      </w:r>
      <w:r w:rsidR="00467E43">
        <w:rPr>
          <w:bCs/>
        </w:rPr>
        <w:t xml:space="preserve"> </w:t>
      </w:r>
      <w:r w:rsidRPr="00EE392A">
        <w:rPr>
          <w:lang w:val="en-CA"/>
        </w:rPr>
        <w:t xml:space="preserve">The UNDA </w:t>
      </w:r>
      <w:r w:rsidR="002A4641">
        <w:rPr>
          <w:lang w:val="en-CA"/>
        </w:rPr>
        <w:t>mandated</w:t>
      </w:r>
      <w:r w:rsidRPr="00EE392A">
        <w:rPr>
          <w:lang w:val="en-CA"/>
        </w:rPr>
        <w:t xml:space="preserve"> the development of an action plan to implement the Declaration within two years of adoption of the UNDA.</w:t>
      </w:r>
    </w:p>
    <w:p w14:paraId="43FA8635" w14:textId="75A92AC8" w:rsidR="00B84D8A" w:rsidRDefault="00B84D8A" w:rsidP="003E5260">
      <w:pPr>
        <w:rPr>
          <w:bCs/>
        </w:rPr>
      </w:pPr>
      <w:r>
        <w:rPr>
          <w:bCs/>
        </w:rPr>
        <w:t>The CHRC</w:t>
      </w:r>
      <w:r w:rsidRPr="00B84D8A">
        <w:rPr>
          <w:bCs/>
        </w:rPr>
        <w:t xml:space="preserve"> believe</w:t>
      </w:r>
      <w:r>
        <w:rPr>
          <w:bCs/>
        </w:rPr>
        <w:t>s</w:t>
      </w:r>
      <w:r w:rsidRPr="00B84D8A">
        <w:rPr>
          <w:bCs/>
        </w:rPr>
        <w:t xml:space="preserve"> that </w:t>
      </w:r>
      <w:r w:rsidR="00BD7BFB">
        <w:rPr>
          <w:bCs/>
        </w:rPr>
        <w:t>the UNDA</w:t>
      </w:r>
      <w:r>
        <w:rPr>
          <w:bCs/>
        </w:rPr>
        <w:t xml:space="preserve"> and the accompanying Action Plan </w:t>
      </w:r>
      <w:r w:rsidRPr="00B84D8A">
        <w:rPr>
          <w:bCs/>
        </w:rPr>
        <w:t>provides the framework need</w:t>
      </w:r>
      <w:r>
        <w:rPr>
          <w:bCs/>
        </w:rPr>
        <w:t>ed</w:t>
      </w:r>
      <w:r w:rsidRPr="00B84D8A">
        <w:rPr>
          <w:bCs/>
        </w:rPr>
        <w:t xml:space="preserve"> to dismantle colonialism and chart a new path forward</w:t>
      </w:r>
      <w:r>
        <w:rPr>
          <w:bCs/>
        </w:rPr>
        <w:t xml:space="preserve"> in the relationship between Canada and Indigenous peoples. </w:t>
      </w:r>
      <w:r w:rsidR="00A87B45">
        <w:rPr>
          <w:bCs/>
        </w:rPr>
        <w:t>Critics of this Act point to the lack of detail regarding the free, prior, and informed consent of Indigenous peoples for decisions affecting them.</w:t>
      </w:r>
    </w:p>
    <w:p w14:paraId="61274678" w14:textId="5EBFB266" w:rsidR="009E51A2" w:rsidRPr="00EE392A" w:rsidRDefault="009E51A2" w:rsidP="009E51A2">
      <w:r w:rsidRPr="00EE392A">
        <w:rPr>
          <w:lang w:val="en-CA"/>
        </w:rPr>
        <w:t>Canada published the 2023-28 Action Plan in June 2023, describing it as “a roadmap of actions Canada needs to take in partnership with Indigenous peoples to implement the principles and rights set out in the UN Declaration and to further advance reconciliation in a tangible way.”</w:t>
      </w:r>
      <w:r w:rsidRPr="00EE392A">
        <w:rPr>
          <w:rStyle w:val="FootnoteReference"/>
          <w:lang w:val="en-CA"/>
        </w:rPr>
        <w:footnoteReference w:id="6"/>
      </w:r>
      <w:r w:rsidRPr="00EE392A">
        <w:rPr>
          <w:lang w:val="en-CA"/>
        </w:rPr>
        <w:t xml:space="preserve"> The CHRC welcomes this progress in achieving the ends of the Declaration, but notes that Canada was criticized by Indigenous groups for a lack of thorough consultation on the Action Plan.</w:t>
      </w:r>
      <w:r w:rsidR="00C86DEF">
        <w:rPr>
          <w:rStyle w:val="FootnoteReference"/>
          <w:lang w:val="en-CA"/>
        </w:rPr>
        <w:footnoteReference w:id="7"/>
      </w:r>
      <w:r w:rsidRPr="00EE392A">
        <w:rPr>
          <w:lang w:val="en-CA"/>
        </w:rPr>
        <w:t xml:space="preserve"> </w:t>
      </w:r>
    </w:p>
    <w:p w14:paraId="15779046" w14:textId="58F02C89" w:rsidR="003E5260" w:rsidRPr="00033958" w:rsidRDefault="003E5260" w:rsidP="003E5260">
      <w:pPr>
        <w:rPr>
          <w:u w:val="single"/>
        </w:rPr>
      </w:pPr>
      <w:r w:rsidRPr="00761438">
        <w:rPr>
          <w:rStyle w:val="Heading3Char"/>
        </w:rPr>
        <w:t>Indigenous Languages Act</w:t>
      </w:r>
      <w:r w:rsidR="00582C47" w:rsidRPr="00033958">
        <w:rPr>
          <w:rStyle w:val="FootnoteReference"/>
          <w:u w:val="single"/>
        </w:rPr>
        <w:footnoteReference w:id="8"/>
      </w:r>
    </w:p>
    <w:p w14:paraId="7281FEB1" w14:textId="35B5C0DA" w:rsidR="00033958" w:rsidRDefault="00033958" w:rsidP="00033958">
      <w:pPr>
        <w:rPr>
          <w:bCs/>
        </w:rPr>
      </w:pPr>
      <w:r w:rsidRPr="00033958">
        <w:rPr>
          <w:bCs/>
        </w:rPr>
        <w:t xml:space="preserve">On June 21, 2019, the Indigenous Languages Act received Royal Assent, with the overall purpose of supporting the efforts of Indigenous </w:t>
      </w:r>
      <w:r>
        <w:rPr>
          <w:bCs/>
        </w:rPr>
        <w:t>p</w:t>
      </w:r>
      <w:r w:rsidRPr="00033958">
        <w:rPr>
          <w:bCs/>
        </w:rPr>
        <w:t xml:space="preserve">eoples to reclaim, revitalize, </w:t>
      </w:r>
      <w:proofErr w:type="gramStart"/>
      <w:r w:rsidRPr="00033958">
        <w:rPr>
          <w:bCs/>
        </w:rPr>
        <w:t>maintain</w:t>
      </w:r>
      <w:proofErr w:type="gramEnd"/>
      <w:r w:rsidRPr="00033958">
        <w:rPr>
          <w:bCs/>
        </w:rPr>
        <w:t xml:space="preserve"> and strengthen Indigenous languages.</w:t>
      </w:r>
      <w:r>
        <w:rPr>
          <w:bCs/>
        </w:rPr>
        <w:t xml:space="preserve"> </w:t>
      </w:r>
      <w:r w:rsidRPr="00033958">
        <w:rPr>
          <w:bCs/>
        </w:rPr>
        <w:t>Th</w:t>
      </w:r>
      <w:r>
        <w:rPr>
          <w:bCs/>
        </w:rPr>
        <w:t>is</w:t>
      </w:r>
      <w:r w:rsidRPr="00033958">
        <w:rPr>
          <w:bCs/>
        </w:rPr>
        <w:t xml:space="preserve"> </w:t>
      </w:r>
      <w:r w:rsidR="00BD7BFB">
        <w:rPr>
          <w:bCs/>
        </w:rPr>
        <w:t>a</w:t>
      </w:r>
      <w:r w:rsidRPr="00033958">
        <w:rPr>
          <w:bCs/>
        </w:rPr>
        <w:t>ct contributes to the implementation of the Declaration as it relates to Indigenous languages</w:t>
      </w:r>
      <w:r w:rsidR="0013077B">
        <w:rPr>
          <w:bCs/>
        </w:rPr>
        <w:t>. It also</w:t>
      </w:r>
      <w:r w:rsidR="009C6FFA">
        <w:rPr>
          <w:bCs/>
        </w:rPr>
        <w:t xml:space="preserve"> </w:t>
      </w:r>
      <w:r>
        <w:rPr>
          <w:bCs/>
        </w:rPr>
        <w:t>established the independent Office of the Commissioner of Indigenous Languages</w:t>
      </w:r>
      <w:r w:rsidR="00EF442C">
        <w:rPr>
          <w:bCs/>
        </w:rPr>
        <w:t xml:space="preserve"> in 2021</w:t>
      </w:r>
      <w:r>
        <w:rPr>
          <w:bCs/>
        </w:rPr>
        <w:t>.</w:t>
      </w:r>
    </w:p>
    <w:p w14:paraId="614DDB38" w14:textId="04512159" w:rsidR="00033958" w:rsidRDefault="00033958" w:rsidP="00033958">
      <w:pPr>
        <w:rPr>
          <w:bCs/>
        </w:rPr>
      </w:pPr>
      <w:r w:rsidRPr="00033958">
        <w:rPr>
          <w:bCs/>
        </w:rPr>
        <w:t xml:space="preserve">The </w:t>
      </w:r>
      <w:r>
        <w:rPr>
          <w:bCs/>
        </w:rPr>
        <w:t xml:space="preserve">Indigenous Languages </w:t>
      </w:r>
      <w:r w:rsidRPr="00033958">
        <w:rPr>
          <w:bCs/>
        </w:rPr>
        <w:t>Act recogniz</w:t>
      </w:r>
      <w:r>
        <w:rPr>
          <w:bCs/>
        </w:rPr>
        <w:t>es</w:t>
      </w:r>
      <w:r w:rsidRPr="00033958">
        <w:rPr>
          <w:bCs/>
        </w:rPr>
        <w:t xml:space="preserve"> that the history of colonial and paternalistic policies and practices </w:t>
      </w:r>
      <w:r>
        <w:rPr>
          <w:bCs/>
        </w:rPr>
        <w:t xml:space="preserve">in Canada </w:t>
      </w:r>
      <w:r w:rsidRPr="00033958">
        <w:rPr>
          <w:bCs/>
        </w:rPr>
        <w:t>ha</w:t>
      </w:r>
      <w:r>
        <w:rPr>
          <w:bCs/>
        </w:rPr>
        <w:t>s</w:t>
      </w:r>
      <w:r w:rsidRPr="00033958">
        <w:rPr>
          <w:bCs/>
        </w:rPr>
        <w:t xml:space="preserve"> directly contributed to the erosion of Indigenous languages and affirms that Indigenous language rights are </w:t>
      </w:r>
      <w:r w:rsidR="00FE75F2">
        <w:rPr>
          <w:bCs/>
        </w:rPr>
        <w:t xml:space="preserve">included in the rights of Indigenous peoples recognized </w:t>
      </w:r>
      <w:r w:rsidRPr="00033958">
        <w:rPr>
          <w:bCs/>
        </w:rPr>
        <w:t>under the Constitution Act</w:t>
      </w:r>
      <w:r w:rsidR="00FE75F2">
        <w:rPr>
          <w:bCs/>
        </w:rPr>
        <w:t>,</w:t>
      </w:r>
      <w:r w:rsidRPr="00033958">
        <w:rPr>
          <w:bCs/>
        </w:rPr>
        <w:t xml:space="preserve"> 1982.</w:t>
      </w:r>
      <w:r w:rsidR="00EF442C">
        <w:rPr>
          <w:bCs/>
        </w:rPr>
        <w:t xml:space="preserve"> </w:t>
      </w:r>
      <w:r w:rsidR="00EF442C" w:rsidRPr="00EF442C">
        <w:rPr>
          <w:bCs/>
        </w:rPr>
        <w:t>Indigenous languages are fundamental to the identities, cultures, spirituality, relationship to the land, world views, and self-determination of First Nations, Inuit, and M</w:t>
      </w:r>
      <w:r w:rsidR="00FE75F2">
        <w:rPr>
          <w:bCs/>
        </w:rPr>
        <w:t>é</w:t>
      </w:r>
      <w:r w:rsidR="00EF442C" w:rsidRPr="00EF442C">
        <w:rPr>
          <w:bCs/>
        </w:rPr>
        <w:t>tis peoples.</w:t>
      </w:r>
      <w:r w:rsidR="00EF442C">
        <w:rPr>
          <w:bCs/>
        </w:rPr>
        <w:t xml:space="preserve"> The Commission of Indigenous Languages has heard </w:t>
      </w:r>
      <w:r w:rsidR="00A728FF">
        <w:rPr>
          <w:bCs/>
        </w:rPr>
        <w:t xml:space="preserve">that </w:t>
      </w:r>
      <w:r w:rsidR="00150D54">
        <w:rPr>
          <w:bCs/>
        </w:rPr>
        <w:t xml:space="preserve">a </w:t>
      </w:r>
      <w:r w:rsidR="00A728FF">
        <w:rPr>
          <w:bCs/>
        </w:rPr>
        <w:t>lack of resources and support for fluent speakers of Indigenous languages is leading to fatigue among the declining number of fluent speakers.</w:t>
      </w:r>
      <w:r w:rsidR="00A728FF">
        <w:rPr>
          <w:rStyle w:val="FootnoteReference"/>
          <w:bCs/>
        </w:rPr>
        <w:footnoteReference w:id="9"/>
      </w:r>
    </w:p>
    <w:p w14:paraId="6F95A973" w14:textId="362145F6" w:rsidR="0029280F" w:rsidRPr="0029280F" w:rsidRDefault="0029280F" w:rsidP="00033958">
      <w:pPr>
        <w:rPr>
          <w:bCs/>
          <w:u w:val="single"/>
        </w:rPr>
      </w:pPr>
      <w:r w:rsidRPr="00761438">
        <w:rPr>
          <w:rStyle w:val="Heading3Char"/>
        </w:rPr>
        <w:lastRenderedPageBreak/>
        <w:t xml:space="preserve">Act respecting First Nations, Inuit, and Métis children, </w:t>
      </w:r>
      <w:proofErr w:type="gramStart"/>
      <w:r w:rsidRPr="00761438">
        <w:rPr>
          <w:rStyle w:val="Heading3Char"/>
        </w:rPr>
        <w:t>youth</w:t>
      </w:r>
      <w:proofErr w:type="gramEnd"/>
      <w:r w:rsidRPr="00761438">
        <w:rPr>
          <w:rStyle w:val="Heading3Char"/>
        </w:rPr>
        <w:t xml:space="preserve"> and families</w:t>
      </w:r>
      <w:r>
        <w:rPr>
          <w:rStyle w:val="FootnoteReference"/>
          <w:bCs/>
          <w:u w:val="single"/>
        </w:rPr>
        <w:footnoteReference w:id="10"/>
      </w:r>
    </w:p>
    <w:p w14:paraId="28D4530B" w14:textId="48F62847" w:rsidR="0013077B" w:rsidRDefault="00ED3165" w:rsidP="00D0500D">
      <w:pPr>
        <w:rPr>
          <w:lang w:val="en-CA"/>
        </w:rPr>
      </w:pPr>
      <w:r w:rsidRPr="00ED3165">
        <w:rPr>
          <w:lang w:val="en-CA"/>
        </w:rPr>
        <w:t xml:space="preserve">The Act respecting First Nations, Inuit and Métis children, youth and families was co-developed with Indigenous partners and became law on June 21, 2019. It recognizes that inherent and protected rights of </w:t>
      </w:r>
      <w:r>
        <w:rPr>
          <w:lang w:val="en-CA"/>
        </w:rPr>
        <w:t>I</w:t>
      </w:r>
      <w:r w:rsidRPr="00ED3165">
        <w:rPr>
          <w:lang w:val="en-CA"/>
        </w:rPr>
        <w:t>ndigenous self</w:t>
      </w:r>
      <w:r>
        <w:rPr>
          <w:lang w:val="en-CA"/>
        </w:rPr>
        <w:t>-</w:t>
      </w:r>
      <w:r w:rsidRPr="00ED3165">
        <w:rPr>
          <w:lang w:val="en-CA"/>
        </w:rPr>
        <w:t xml:space="preserve">government include jurisdiction over child and family services. </w:t>
      </w:r>
      <w:r w:rsidR="00D0500D">
        <w:rPr>
          <w:lang w:val="en-CA"/>
        </w:rPr>
        <w:t xml:space="preserve">The law </w:t>
      </w:r>
      <w:r w:rsidR="00D0500D" w:rsidRPr="00D0500D">
        <w:rPr>
          <w:lang w:val="en-CA"/>
        </w:rPr>
        <w:t xml:space="preserve">affirms the rights of Indigenous </w:t>
      </w:r>
      <w:r w:rsidR="00D0500D">
        <w:rPr>
          <w:lang w:val="en-CA"/>
        </w:rPr>
        <w:t>nations and</w:t>
      </w:r>
      <w:r w:rsidR="00D0500D" w:rsidRPr="00D0500D">
        <w:rPr>
          <w:lang w:val="en-CA"/>
        </w:rPr>
        <w:t xml:space="preserve"> communities to exercise jurisdiction in relation to child and family services</w:t>
      </w:r>
      <w:r w:rsidR="00D0500D">
        <w:rPr>
          <w:lang w:val="en-CA"/>
        </w:rPr>
        <w:t xml:space="preserve"> and </w:t>
      </w:r>
      <w:r w:rsidR="00D0500D" w:rsidRPr="00D0500D">
        <w:rPr>
          <w:lang w:val="en-CA"/>
        </w:rPr>
        <w:t xml:space="preserve">provides an opportunity for Indigenous </w:t>
      </w:r>
      <w:r w:rsidR="00D0500D">
        <w:rPr>
          <w:lang w:val="en-CA"/>
        </w:rPr>
        <w:t>p</w:t>
      </w:r>
      <w:r w:rsidR="00D0500D" w:rsidRPr="00D0500D">
        <w:rPr>
          <w:lang w:val="en-CA"/>
        </w:rPr>
        <w:t>eoples to choose their own solutions for their children and families</w:t>
      </w:r>
      <w:r w:rsidR="00D0500D">
        <w:rPr>
          <w:lang w:val="en-CA"/>
        </w:rPr>
        <w:t xml:space="preserve">. </w:t>
      </w:r>
      <w:r w:rsidR="00330211">
        <w:rPr>
          <w:lang w:val="en-CA"/>
        </w:rPr>
        <w:t>This law follows</w:t>
      </w:r>
      <w:r w:rsidR="00BE0377">
        <w:rPr>
          <w:lang w:val="en-CA"/>
        </w:rPr>
        <w:t xml:space="preserve"> the </w:t>
      </w:r>
      <w:r w:rsidR="00BE0377" w:rsidRPr="00173DFF">
        <w:rPr>
          <w:lang w:val="en-CA"/>
        </w:rPr>
        <w:t>2016</w:t>
      </w:r>
      <w:r w:rsidR="00BE0377">
        <w:rPr>
          <w:lang w:val="en-CA"/>
        </w:rPr>
        <w:t xml:space="preserve"> Canadian Human Rights</w:t>
      </w:r>
      <w:r w:rsidR="00BE0377" w:rsidRPr="00173DFF">
        <w:rPr>
          <w:lang w:val="en-CA"/>
        </w:rPr>
        <w:t xml:space="preserve"> Tribunal </w:t>
      </w:r>
      <w:r w:rsidR="00BE0377">
        <w:rPr>
          <w:lang w:val="en-CA"/>
        </w:rPr>
        <w:t>decision finding that</w:t>
      </w:r>
      <w:r w:rsidR="00BE0377" w:rsidRPr="00173DFF">
        <w:rPr>
          <w:lang w:val="en-CA"/>
        </w:rPr>
        <w:t xml:space="preserve"> Canada </w:t>
      </w:r>
      <w:r w:rsidR="00BE0377">
        <w:rPr>
          <w:lang w:val="en-CA"/>
        </w:rPr>
        <w:t xml:space="preserve">had </w:t>
      </w:r>
      <w:r w:rsidR="00BE0377" w:rsidRPr="00173DFF">
        <w:rPr>
          <w:lang w:val="en-CA"/>
        </w:rPr>
        <w:t>discriminated by failing to properly fund and support the delivery of child and family services to First Nations children on reserve</w:t>
      </w:r>
      <w:r w:rsidR="00BE0377">
        <w:rPr>
          <w:lang w:val="en-CA"/>
        </w:rPr>
        <w:t>s across Canada. The CHRC participated significantly in that claim on behalf of the public interest.</w:t>
      </w:r>
      <w:r w:rsidR="00BE0377" w:rsidRPr="00ED3165">
        <w:rPr>
          <w:lang w:val="en-CA"/>
        </w:rPr>
        <w:t xml:space="preserve"> </w:t>
      </w:r>
      <w:r w:rsidRPr="00ED3165">
        <w:rPr>
          <w:lang w:val="en-CA"/>
        </w:rPr>
        <w:t xml:space="preserve">The </w:t>
      </w:r>
      <w:r w:rsidR="00D0500D">
        <w:rPr>
          <w:lang w:val="en-CA"/>
        </w:rPr>
        <w:t xml:space="preserve">government of </w:t>
      </w:r>
      <w:r w:rsidRPr="00ED3165">
        <w:rPr>
          <w:lang w:val="en-CA"/>
        </w:rPr>
        <w:t xml:space="preserve">Quebec </w:t>
      </w:r>
      <w:r w:rsidR="00D0500D">
        <w:rPr>
          <w:lang w:val="en-CA"/>
        </w:rPr>
        <w:t>has challenged some elements of this law and a</w:t>
      </w:r>
      <w:r w:rsidRPr="00ED3165">
        <w:rPr>
          <w:lang w:val="en-CA"/>
        </w:rPr>
        <w:t xml:space="preserve"> decision</w:t>
      </w:r>
      <w:r w:rsidR="00D0500D">
        <w:rPr>
          <w:lang w:val="en-CA"/>
        </w:rPr>
        <w:t xml:space="preserve"> by the </w:t>
      </w:r>
      <w:r w:rsidR="00D0500D" w:rsidRPr="00ED3165">
        <w:rPr>
          <w:lang w:val="en-CA"/>
        </w:rPr>
        <w:t>Supreme Court</w:t>
      </w:r>
      <w:r w:rsidR="00D0500D">
        <w:rPr>
          <w:lang w:val="en-CA"/>
        </w:rPr>
        <w:t xml:space="preserve"> of Canada is</w:t>
      </w:r>
      <w:r w:rsidRPr="00ED3165">
        <w:rPr>
          <w:lang w:val="en-CA"/>
        </w:rPr>
        <w:t xml:space="preserve"> pending.</w:t>
      </w:r>
      <w:r w:rsidR="00D0500D">
        <w:rPr>
          <w:lang w:val="en-CA"/>
        </w:rPr>
        <w:t xml:space="preserve"> </w:t>
      </w:r>
    </w:p>
    <w:p w14:paraId="088F67B9" w14:textId="505D5D62" w:rsidR="0029280F" w:rsidRDefault="00D0500D" w:rsidP="00D0500D">
      <w:pPr>
        <w:rPr>
          <w:lang w:val="en-CA"/>
        </w:rPr>
      </w:pPr>
      <w:r>
        <w:rPr>
          <w:lang w:val="en-CA"/>
        </w:rPr>
        <w:t xml:space="preserve">The CHRC welcomes this law </w:t>
      </w:r>
      <w:r w:rsidRPr="00D0500D">
        <w:rPr>
          <w:lang w:val="en-CA"/>
        </w:rPr>
        <w:t>to reform the federal child welfare system</w:t>
      </w:r>
      <w:r>
        <w:rPr>
          <w:lang w:val="en-CA"/>
        </w:rPr>
        <w:t>, representing</w:t>
      </w:r>
      <w:r w:rsidRPr="00D0500D">
        <w:rPr>
          <w:lang w:val="en-CA"/>
        </w:rPr>
        <w:t xml:space="preserve"> a significant step forward for Indigenous children and families in Canada</w:t>
      </w:r>
      <w:r>
        <w:rPr>
          <w:lang w:val="en-CA"/>
        </w:rPr>
        <w:t xml:space="preserve">, while </w:t>
      </w:r>
      <w:r w:rsidRPr="00D0500D">
        <w:rPr>
          <w:lang w:val="en-CA"/>
        </w:rPr>
        <w:t>acknowledg</w:t>
      </w:r>
      <w:r>
        <w:rPr>
          <w:lang w:val="en-CA"/>
        </w:rPr>
        <w:t>ing</w:t>
      </w:r>
      <w:r w:rsidRPr="00D0500D">
        <w:rPr>
          <w:lang w:val="en-CA"/>
        </w:rPr>
        <w:t xml:space="preserve"> that fundamental inequities still exist for far too many First Nations, Inuit and Métis children and families in Canada.</w:t>
      </w:r>
    </w:p>
    <w:p w14:paraId="4B486B6F" w14:textId="1E656BDB" w:rsidR="00FE75F2" w:rsidRPr="00FE75F2" w:rsidRDefault="00FE75F2" w:rsidP="00D0500D">
      <w:pPr>
        <w:rPr>
          <w:u w:val="single"/>
          <w:lang w:val="en-CA"/>
        </w:rPr>
      </w:pPr>
      <w:r w:rsidRPr="00761438">
        <w:rPr>
          <w:rStyle w:val="Heading3Char"/>
        </w:rPr>
        <w:t>Accessible Canada Act</w:t>
      </w:r>
      <w:r w:rsidR="004F4667">
        <w:rPr>
          <w:rStyle w:val="FootnoteReference"/>
          <w:u w:val="single"/>
          <w:lang w:val="en-CA"/>
        </w:rPr>
        <w:footnoteReference w:id="11"/>
      </w:r>
    </w:p>
    <w:p w14:paraId="5D6BE8EC" w14:textId="25EA851D" w:rsidR="004F4667" w:rsidRPr="003B5CEC" w:rsidRDefault="004F4667" w:rsidP="004F4667">
      <w:pPr>
        <w:rPr>
          <w:lang w:val="en-CA"/>
        </w:rPr>
      </w:pPr>
      <w:r w:rsidRPr="003B5CEC">
        <w:rPr>
          <w:lang w:val="en-CA"/>
        </w:rPr>
        <w:t xml:space="preserve">The rate of disability among Indigenous peoples in Canada is much higher than that </w:t>
      </w:r>
      <w:r w:rsidR="003B5CEC">
        <w:rPr>
          <w:lang w:val="en-CA"/>
        </w:rPr>
        <w:t>of</w:t>
      </w:r>
      <w:r w:rsidRPr="003B5CEC">
        <w:rPr>
          <w:lang w:val="en-CA"/>
        </w:rPr>
        <w:t xml:space="preserve"> the general population. According to Statistics Canada</w:t>
      </w:r>
      <w:r w:rsidR="003B5CEC">
        <w:rPr>
          <w:lang w:val="en-CA"/>
        </w:rPr>
        <w:t>,</w:t>
      </w:r>
      <w:r w:rsidRPr="003B5CEC">
        <w:rPr>
          <w:lang w:val="en-CA"/>
        </w:rPr>
        <w:t xml:space="preserve"> 22% of Canadians identify </w:t>
      </w:r>
      <w:r w:rsidR="003B5CEC">
        <w:rPr>
          <w:lang w:val="en-CA"/>
        </w:rPr>
        <w:t xml:space="preserve">as </w:t>
      </w:r>
      <w:r w:rsidRPr="003B5CEC">
        <w:rPr>
          <w:lang w:val="en-CA"/>
        </w:rPr>
        <w:t xml:space="preserve">having a disability, </w:t>
      </w:r>
      <w:r w:rsidR="003B5CEC">
        <w:rPr>
          <w:lang w:val="en-CA"/>
        </w:rPr>
        <w:t>compared to</w:t>
      </w:r>
      <w:r w:rsidRPr="003B5CEC">
        <w:rPr>
          <w:lang w:val="en-CA"/>
        </w:rPr>
        <w:t xml:space="preserve"> 31% for Indigenous peoples. Indigenous peoples experiencing disability face unique barriers that make it more difficult to fully participate in society. This includes barriers to accessing physical and mental health care, adequate housing and food, employment, and other social supports and services. Furthermore, because of Canada’s legacy of discriminatory child welfare systems, Indigenous parents with disabilities or those who have children with disabilities may </w:t>
      </w:r>
      <w:r w:rsidR="003B5CEC">
        <w:rPr>
          <w:lang w:val="en-CA"/>
        </w:rPr>
        <w:t>hesitate to</w:t>
      </w:r>
      <w:r w:rsidRPr="003B5CEC">
        <w:rPr>
          <w:lang w:val="en-CA"/>
        </w:rPr>
        <w:t xml:space="preserve"> apply for additional supports or programs for fear of having their children removed from the home.</w:t>
      </w:r>
    </w:p>
    <w:p w14:paraId="2C7B12E6" w14:textId="77050C5E" w:rsidR="003B5CEC" w:rsidRDefault="003B5CEC" w:rsidP="003B5CEC">
      <w:r>
        <w:t xml:space="preserve">With the coming into force of the Accessible Canada Act (ACA) in 2019, Canada has begun to move towards full accessibility and inclusion for people with disabilities. However, a more tailored approach to the application of accessibility standards for Indigenous peoples </w:t>
      </w:r>
      <w:r w:rsidR="003A2430">
        <w:t xml:space="preserve">is necessary </w:t>
      </w:r>
      <w:r>
        <w:t xml:space="preserve">to meet the unique needs of each community. For example, Indigenous peoples’ understanding of disability may differ from the Western understanding of the concept, and these discrepancies need to be reflected in the application of accessibility legislation. For this and many other reasons, Indigenous peoples with disabilities themselves must lead and inform how accessibility standards are applied in their communities to ensure their needs are being fully met. </w:t>
      </w:r>
    </w:p>
    <w:p w14:paraId="38714109" w14:textId="669E0FBF" w:rsidR="003B5CEC" w:rsidRDefault="003B5CEC" w:rsidP="003B5CEC">
      <w:r>
        <w:t xml:space="preserve">In recognition of the need for a different approach, First Nations (“Indian Band councils”) are exempt from the planning and reporting requirements in the ACA and the Accessible Canada Regulations until 2026, until fulsome consultations with First Nations can occur. However, there remains a lack of clarity </w:t>
      </w:r>
      <w:r>
        <w:lastRenderedPageBreak/>
        <w:t>around the application of this legislation in First Nations communities and a variety of outstanding issues facing both First Nations governments and First Nations people with disabilities.</w:t>
      </w:r>
    </w:p>
    <w:p w14:paraId="78051038" w14:textId="3C5475F9" w:rsidR="003B5CEC" w:rsidRDefault="003B5CEC" w:rsidP="003B5CEC">
      <w:r>
        <w:t>Advocates have expressed concern that the exemption has the potential impact of leaving many First Nations people with disabilities without protections enjoyed by members of other disability communities. Beyond 2026, advocates are concerned that some First Nations may not comply with the legislation, further perpetuating systemic inequality currently experienced by so many First Nations people with disabilities. Challenges in compliance may be due to several factors, some of which can be linked to limited funding</w:t>
      </w:r>
      <w:r w:rsidR="00DA43E4">
        <w:t>,</w:t>
      </w:r>
      <w:r>
        <w:t xml:space="preserve"> which must be spread across many programs and services to address a variety of economic, </w:t>
      </w:r>
      <w:proofErr w:type="gramStart"/>
      <w:r>
        <w:t>social</w:t>
      </w:r>
      <w:proofErr w:type="gramEnd"/>
      <w:r>
        <w:t xml:space="preserve"> and cultural needs within the community. Further concerns focus on how First Nations will be able to meet their obligations under the ACA given the chronic and systemic underfunding of F</w:t>
      </w:r>
      <w:r w:rsidR="003A2430">
        <w:t xml:space="preserve">irst </w:t>
      </w:r>
      <w:r>
        <w:t>N</w:t>
      </w:r>
      <w:r w:rsidR="003A2430">
        <w:t>ations</w:t>
      </w:r>
      <w:r>
        <w:t xml:space="preserve"> health, </w:t>
      </w:r>
      <w:proofErr w:type="gramStart"/>
      <w:r>
        <w:t>infrastructure</w:t>
      </w:r>
      <w:proofErr w:type="gramEnd"/>
      <w:r>
        <w:t xml:space="preserve"> and housing services</w:t>
      </w:r>
      <w:r w:rsidR="003A2430">
        <w:t>,</w:t>
      </w:r>
      <w:r>
        <w:t xml:space="preserve"> and that the ACA may conflict with principles of self-governance and self-determination.</w:t>
      </w:r>
    </w:p>
    <w:p w14:paraId="11244361" w14:textId="0614C847" w:rsidR="00FE75F2" w:rsidRPr="00BB71DA" w:rsidRDefault="003B5CEC" w:rsidP="003B5CEC">
      <w:r>
        <w:t xml:space="preserve">The situation of First Nations is different than that of other </w:t>
      </w:r>
      <w:proofErr w:type="gramStart"/>
      <w:r>
        <w:t>federally</w:t>
      </w:r>
      <w:r w:rsidR="00243E70">
        <w:t>-</w:t>
      </w:r>
      <w:r>
        <w:t>regulated</w:t>
      </w:r>
      <w:proofErr w:type="gramEnd"/>
      <w:r>
        <w:t xml:space="preserve"> entities. The CHRC recognizes and respects Indigenous peoples’ inherent right to self-determination and that any legislation affecting Indigenous peoples and their governments should be modeled after their own values and traditions</w:t>
      </w:r>
      <w:r w:rsidR="006E5275">
        <w:t xml:space="preserve"> and should be developed in consultation with Indigenous peoples</w:t>
      </w:r>
      <w:r>
        <w:t>. A federal accessibility system must recognize the importance of an intersectional approach, and a commitment to applying such an approach wherever possible to address gaps in protection and to ensure the ACA is consistent with the principles of the UN Declaration on the Rights of Indigenous Peoples.</w:t>
      </w:r>
    </w:p>
    <w:p w14:paraId="2C19F746" w14:textId="477E6D3A" w:rsidR="008C78AE" w:rsidRPr="00454BA6" w:rsidRDefault="00FE75F2" w:rsidP="00454BA6">
      <w:pPr>
        <w:pStyle w:val="Heading2"/>
        <w:rPr>
          <w:rFonts w:asciiTheme="minorHAnsi" w:hAnsiTheme="minorHAnsi" w:cstheme="minorHAnsi"/>
          <w:b/>
          <w:color w:val="auto"/>
          <w:sz w:val="28"/>
          <w:szCs w:val="28"/>
        </w:rPr>
      </w:pPr>
      <w:r>
        <w:rPr>
          <w:rFonts w:asciiTheme="minorHAnsi" w:hAnsiTheme="minorHAnsi" w:cstheme="minorHAnsi"/>
          <w:b/>
          <w:color w:val="auto"/>
          <w:sz w:val="28"/>
          <w:szCs w:val="28"/>
        </w:rPr>
        <w:t xml:space="preserve">Proposed </w:t>
      </w:r>
      <w:r w:rsidR="008C78AE" w:rsidRPr="00454BA6">
        <w:rPr>
          <w:rFonts w:asciiTheme="minorHAnsi" w:hAnsiTheme="minorHAnsi" w:cstheme="minorHAnsi"/>
          <w:b/>
          <w:color w:val="auto"/>
          <w:sz w:val="28"/>
          <w:szCs w:val="28"/>
        </w:rPr>
        <w:t>Legislation</w:t>
      </w:r>
    </w:p>
    <w:p w14:paraId="257B09A0" w14:textId="4B76999A" w:rsidR="0027200D" w:rsidRPr="00EE392A" w:rsidRDefault="009C6FFA" w:rsidP="008C78AE">
      <w:pPr>
        <w:rPr>
          <w:lang w:val="en-CA"/>
        </w:rPr>
      </w:pPr>
      <w:r>
        <w:rPr>
          <w:lang w:val="en-CA"/>
        </w:rPr>
        <w:t xml:space="preserve">The </w:t>
      </w:r>
      <w:r w:rsidR="003A2430">
        <w:rPr>
          <w:lang w:val="en-CA"/>
        </w:rPr>
        <w:t>Canadian Parliament</w:t>
      </w:r>
      <w:r w:rsidR="0027200D" w:rsidRPr="00EE392A">
        <w:rPr>
          <w:lang w:val="en-CA"/>
        </w:rPr>
        <w:t xml:space="preserve"> is currently undertaking </w:t>
      </w:r>
      <w:r w:rsidR="00F503C1" w:rsidRPr="00EE392A">
        <w:rPr>
          <w:lang w:val="en-CA"/>
        </w:rPr>
        <w:t xml:space="preserve">the </w:t>
      </w:r>
      <w:r w:rsidR="0027200D" w:rsidRPr="00EE392A">
        <w:rPr>
          <w:lang w:val="en-CA"/>
        </w:rPr>
        <w:t>stud</w:t>
      </w:r>
      <w:r w:rsidR="00F503C1" w:rsidRPr="00EE392A">
        <w:rPr>
          <w:lang w:val="en-CA"/>
        </w:rPr>
        <w:t>y</w:t>
      </w:r>
      <w:r w:rsidR="0027200D" w:rsidRPr="00EE392A">
        <w:rPr>
          <w:lang w:val="en-CA"/>
        </w:rPr>
        <w:t xml:space="preserve"> and develop</w:t>
      </w:r>
      <w:r w:rsidR="00F503C1" w:rsidRPr="00EE392A">
        <w:rPr>
          <w:lang w:val="en-CA"/>
        </w:rPr>
        <w:t>ment of</w:t>
      </w:r>
      <w:r w:rsidR="0027200D" w:rsidRPr="00EE392A">
        <w:rPr>
          <w:lang w:val="en-CA"/>
        </w:rPr>
        <w:t xml:space="preserve"> </w:t>
      </w:r>
      <w:r w:rsidR="003A2430">
        <w:rPr>
          <w:lang w:val="en-CA"/>
        </w:rPr>
        <w:t>several</w:t>
      </w:r>
      <w:r w:rsidR="003A2430" w:rsidRPr="00EE392A">
        <w:rPr>
          <w:lang w:val="en-CA"/>
        </w:rPr>
        <w:t xml:space="preserve"> </w:t>
      </w:r>
      <w:r w:rsidR="0027200D" w:rsidRPr="00EE392A">
        <w:rPr>
          <w:lang w:val="en-CA"/>
        </w:rPr>
        <w:t>laws to improve human rights for Indigenous people</w:t>
      </w:r>
      <w:r w:rsidR="00C5507B" w:rsidRPr="00EE392A">
        <w:rPr>
          <w:lang w:val="en-CA"/>
        </w:rPr>
        <w:t>s</w:t>
      </w:r>
      <w:r w:rsidR="0027200D" w:rsidRPr="00EE392A">
        <w:rPr>
          <w:lang w:val="en-CA"/>
        </w:rPr>
        <w:t xml:space="preserve"> in Canada and </w:t>
      </w:r>
      <w:r w:rsidR="00BA1262" w:rsidRPr="00EE392A">
        <w:rPr>
          <w:lang w:val="en-CA"/>
        </w:rPr>
        <w:t xml:space="preserve">to </w:t>
      </w:r>
      <w:r w:rsidR="0027200D" w:rsidRPr="00EE392A">
        <w:rPr>
          <w:lang w:val="en-CA"/>
        </w:rPr>
        <w:t>achieve the ends of the Declaration. The CHRC acknowledges these initiatives and looks forward to concrete advancements in the human rights of Indigenous peoples and individuals in Canada.</w:t>
      </w:r>
      <w:r w:rsidR="00C5507B" w:rsidRPr="00EE392A">
        <w:rPr>
          <w:lang w:val="en-CA"/>
        </w:rPr>
        <w:t xml:space="preserve"> </w:t>
      </w:r>
      <w:r w:rsidR="00BA1262" w:rsidRPr="00EE392A">
        <w:rPr>
          <w:lang w:val="en-CA"/>
        </w:rPr>
        <w:t xml:space="preserve">The CHRC is encouraged that Parliamentary committees are informing their understanding of the issues by </w:t>
      </w:r>
      <w:r w:rsidR="003A2430">
        <w:rPr>
          <w:lang w:val="en-CA"/>
        </w:rPr>
        <w:t>engaging with</w:t>
      </w:r>
      <w:r w:rsidR="003A2430" w:rsidRPr="00EE392A">
        <w:rPr>
          <w:lang w:val="en-CA"/>
        </w:rPr>
        <w:t xml:space="preserve"> </w:t>
      </w:r>
      <w:r w:rsidR="00C5507B" w:rsidRPr="00EE392A">
        <w:rPr>
          <w:lang w:val="en-CA"/>
        </w:rPr>
        <w:t xml:space="preserve">a variety of witnesses </w:t>
      </w:r>
      <w:r w:rsidR="00BA1262" w:rsidRPr="00EE392A">
        <w:rPr>
          <w:lang w:val="en-CA"/>
        </w:rPr>
        <w:t xml:space="preserve">with divergent views </w:t>
      </w:r>
      <w:r w:rsidR="00C5507B" w:rsidRPr="00EE392A">
        <w:rPr>
          <w:lang w:val="en-CA"/>
        </w:rPr>
        <w:t xml:space="preserve">and gaining </w:t>
      </w:r>
      <w:r w:rsidR="00BA1262" w:rsidRPr="00EE392A">
        <w:rPr>
          <w:lang w:val="en-CA"/>
        </w:rPr>
        <w:t xml:space="preserve">a wide </w:t>
      </w:r>
      <w:r w:rsidR="00C5507B" w:rsidRPr="00EE392A">
        <w:rPr>
          <w:lang w:val="en-CA"/>
        </w:rPr>
        <w:t xml:space="preserve">perspective </w:t>
      </w:r>
      <w:r w:rsidR="00BA1262" w:rsidRPr="00EE392A">
        <w:rPr>
          <w:lang w:val="en-CA"/>
        </w:rPr>
        <w:t>on the potential consequences of implementing these Acts.</w:t>
      </w:r>
    </w:p>
    <w:p w14:paraId="0F7F79F7" w14:textId="6F6703DB" w:rsidR="004E2F5F" w:rsidRPr="00EE392A" w:rsidRDefault="004E2F5F" w:rsidP="008C78AE">
      <w:pPr>
        <w:rPr>
          <w:u w:val="single"/>
        </w:rPr>
      </w:pPr>
      <w:r w:rsidRPr="006B084D">
        <w:rPr>
          <w:rStyle w:val="Heading3Char"/>
        </w:rPr>
        <w:t>Bill C-</w:t>
      </w:r>
      <w:r w:rsidR="003A2430">
        <w:rPr>
          <w:rStyle w:val="Heading3Char"/>
        </w:rPr>
        <w:t>3</w:t>
      </w:r>
      <w:r w:rsidR="003A2430" w:rsidRPr="006B084D">
        <w:rPr>
          <w:rStyle w:val="Heading3Char"/>
        </w:rPr>
        <w:t>8</w:t>
      </w:r>
      <w:r w:rsidRPr="006B084D">
        <w:rPr>
          <w:rStyle w:val="Heading3Char"/>
        </w:rPr>
        <w:t>, An Act to amend the Indian Act (new registration entitlements)</w:t>
      </w:r>
      <w:r w:rsidR="00667DCE" w:rsidRPr="00EE392A">
        <w:rPr>
          <w:rStyle w:val="FootnoteReference"/>
          <w:u w:val="single"/>
        </w:rPr>
        <w:footnoteReference w:id="12"/>
      </w:r>
    </w:p>
    <w:p w14:paraId="677E6B6F" w14:textId="77777777" w:rsidR="00554A50" w:rsidRPr="00EE392A" w:rsidRDefault="004E2F5F" w:rsidP="008C78AE">
      <w:r w:rsidRPr="00EE392A">
        <w:t xml:space="preserve">The registration provisions in the </w:t>
      </w:r>
      <w:r w:rsidRPr="00EE392A">
        <w:rPr>
          <w:iCs/>
        </w:rPr>
        <w:t>Indian Act</w:t>
      </w:r>
      <w:r w:rsidRPr="00EE392A">
        <w:t xml:space="preserve"> define those whom Canada will recognize as having “Indian” status. These provisions are colonial constructs that do not necessarily have any connection to the concepts and procedures First Nations peoples use to identify their own communities. In 1981, the UN Human Rights Committee found aspects of the registration provisions were contrary to international human rights law. </w:t>
      </w:r>
    </w:p>
    <w:p w14:paraId="0E77A522" w14:textId="55D3C626" w:rsidR="004E2F5F" w:rsidRPr="00EE392A" w:rsidRDefault="00554A50" w:rsidP="008C78AE">
      <w:r w:rsidRPr="00EE392A">
        <w:t>Canada has amended the registration provisions of the Indian Act several times since 1985 in response to court judgments</w:t>
      </w:r>
      <w:r w:rsidR="00667DCE" w:rsidRPr="00EE392A">
        <w:t>,</w:t>
      </w:r>
      <w:r w:rsidRPr="00EE392A">
        <w:t xml:space="preserve"> but inequities remain, as detailed in a report published by the Standing Senate Committee on Indigenous Peoples in June 2022.</w:t>
      </w:r>
      <w:r w:rsidRPr="00EE392A">
        <w:rPr>
          <w:rStyle w:val="FootnoteReference"/>
        </w:rPr>
        <w:footnoteReference w:id="13"/>
      </w:r>
    </w:p>
    <w:p w14:paraId="259F6760" w14:textId="0A52F4FA" w:rsidR="00667DCE" w:rsidRPr="00EE392A" w:rsidRDefault="00667DCE" w:rsidP="00667DCE">
      <w:pPr>
        <w:rPr>
          <w:u w:val="single"/>
        </w:rPr>
      </w:pPr>
      <w:r w:rsidRPr="00EE392A">
        <w:lastRenderedPageBreak/>
        <w:t xml:space="preserve">The proposed </w:t>
      </w:r>
      <w:r w:rsidR="00BD7BFB">
        <w:t>a</w:t>
      </w:r>
      <w:r w:rsidRPr="00EE392A">
        <w:t xml:space="preserve">ct would </w:t>
      </w:r>
      <w:r w:rsidR="00812054" w:rsidRPr="00EE392A">
        <w:t xml:space="preserve">address residual </w:t>
      </w:r>
      <w:r w:rsidR="00812054">
        <w:t xml:space="preserve">discriminatory </w:t>
      </w:r>
      <w:r w:rsidR="00812054" w:rsidRPr="00EE392A">
        <w:t>impacts of enfranchisement</w:t>
      </w:r>
      <w:r w:rsidR="00812054">
        <w:t>,</w:t>
      </w:r>
      <w:r w:rsidR="00812054">
        <w:rPr>
          <w:rStyle w:val="FootnoteReference"/>
        </w:rPr>
        <w:footnoteReference w:id="14"/>
      </w:r>
      <w:r w:rsidR="00812054" w:rsidRPr="00EE392A">
        <w:t xml:space="preserve"> </w:t>
      </w:r>
      <w:r w:rsidRPr="00EE392A">
        <w:t xml:space="preserve">remove outdated and offensive language related to dependent persons, eliminate gender-based inequities in membership provisions by allowing women and their direct descendants to seek reaffiliation with their natal band, and enable persons to remove their names from the Indian Register </w:t>
      </w:r>
      <w:r w:rsidR="00A419DD">
        <w:t>(individual deregistration)</w:t>
      </w:r>
      <w:r w:rsidRPr="00EE392A">
        <w:t xml:space="preserve">. The </w:t>
      </w:r>
      <w:r w:rsidR="00A419DD">
        <w:t>House of Commons is currently considering this</w:t>
      </w:r>
      <w:r w:rsidR="00A419DD" w:rsidRPr="00EE392A">
        <w:t xml:space="preserve"> </w:t>
      </w:r>
      <w:r w:rsidR="00BD7BFB">
        <w:t>b</w:t>
      </w:r>
      <w:r w:rsidRPr="00EE392A">
        <w:t xml:space="preserve">ill. </w:t>
      </w:r>
    </w:p>
    <w:p w14:paraId="03110060" w14:textId="70412D9B" w:rsidR="001E3967" w:rsidRPr="00EE392A" w:rsidRDefault="0027200D" w:rsidP="008C78AE">
      <w:pPr>
        <w:rPr>
          <w:u w:val="single"/>
        </w:rPr>
      </w:pPr>
      <w:r w:rsidRPr="00761438">
        <w:rPr>
          <w:rStyle w:val="Heading3Char"/>
        </w:rPr>
        <w:t xml:space="preserve">Bill C-29, </w:t>
      </w:r>
      <w:r w:rsidR="001E3967" w:rsidRPr="00761438">
        <w:rPr>
          <w:rStyle w:val="Heading3Char"/>
        </w:rPr>
        <w:t>National Council for Reconciliation Act</w:t>
      </w:r>
      <w:r w:rsidR="001E3967" w:rsidRPr="00EE392A">
        <w:rPr>
          <w:rStyle w:val="FootnoteReference"/>
          <w:u w:val="single"/>
        </w:rPr>
        <w:footnoteReference w:id="15"/>
      </w:r>
    </w:p>
    <w:p w14:paraId="6D97177D" w14:textId="2F6A32DE" w:rsidR="001E3967" w:rsidRPr="00EE392A" w:rsidRDefault="004A23CF" w:rsidP="008C78AE">
      <w:pPr>
        <w:rPr>
          <w:lang w:val="en-CA"/>
        </w:rPr>
      </w:pPr>
      <w:r w:rsidRPr="00EE392A">
        <w:t xml:space="preserve">The proposed </w:t>
      </w:r>
      <w:r w:rsidR="00BD7BFB">
        <w:t>a</w:t>
      </w:r>
      <w:r w:rsidRPr="00EE392A">
        <w:t xml:space="preserve">ct would establish a national council for reconciliation as an independent, non-political, </w:t>
      </w:r>
      <w:proofErr w:type="gramStart"/>
      <w:r w:rsidRPr="00EE392A">
        <w:t>permanent</w:t>
      </w:r>
      <w:proofErr w:type="gramEnd"/>
      <w:r w:rsidRPr="00EE392A">
        <w:t xml:space="preserve"> and Indigenous-led organization whose purpose is to advance reconciliation with Indigenous peoples. </w:t>
      </w:r>
      <w:r w:rsidR="001E3967" w:rsidRPr="00EE392A">
        <w:t xml:space="preserve">This </w:t>
      </w:r>
      <w:r w:rsidR="00BD7BFB">
        <w:t>b</w:t>
      </w:r>
      <w:r w:rsidR="001E3967" w:rsidRPr="00EE392A">
        <w:t>ill is currently being examined by the Standing Senate Committee on Indigenous Peoples. The Committee is hearing testimony from interested and expert witnesses with knowledge of this subject.</w:t>
      </w:r>
    </w:p>
    <w:p w14:paraId="01344566" w14:textId="73DAF558" w:rsidR="0027200D" w:rsidRPr="00EE392A" w:rsidRDefault="0027200D" w:rsidP="008C78AE">
      <w:pPr>
        <w:rPr>
          <w:u w:val="single"/>
        </w:rPr>
      </w:pPr>
      <w:r w:rsidRPr="006B084D">
        <w:rPr>
          <w:rStyle w:val="Heading3Char"/>
        </w:rPr>
        <w:t xml:space="preserve">Bill C-53, </w:t>
      </w:r>
      <w:r w:rsidR="00D716C2" w:rsidRPr="006B084D">
        <w:rPr>
          <w:rStyle w:val="Heading3Char"/>
        </w:rPr>
        <w:t>Recognition of Certain Métis Governments in Alberta, Ontario and Saskatchewan and Métis Self-Government Act</w:t>
      </w:r>
      <w:r w:rsidR="00D716C2" w:rsidRPr="00EE392A">
        <w:rPr>
          <w:rStyle w:val="FootnoteReference"/>
          <w:u w:val="single"/>
        </w:rPr>
        <w:footnoteReference w:id="16"/>
      </w:r>
    </w:p>
    <w:p w14:paraId="37CEE782" w14:textId="34A58D2B" w:rsidR="00297337" w:rsidRDefault="004A23CF" w:rsidP="008C78AE">
      <w:r w:rsidRPr="00EE392A">
        <w:t xml:space="preserve">The proposed </w:t>
      </w:r>
      <w:r w:rsidR="00BD7BFB">
        <w:t>a</w:t>
      </w:r>
      <w:r w:rsidRPr="00EE392A">
        <w:t xml:space="preserve">ct provides for the recognition of certain Métis governments in Alberta, Ontario and Saskatchewan and provides a framework for the implementation of treaties </w:t>
      </w:r>
      <w:proofErr w:type="gramStart"/>
      <w:r w:rsidRPr="00EE392A">
        <w:t>entered into</w:t>
      </w:r>
      <w:proofErr w:type="gramEnd"/>
      <w:r w:rsidRPr="00EE392A">
        <w:t xml:space="preserve"> by those Métis governments and the Government of Canada. </w:t>
      </w:r>
      <w:r w:rsidR="0027200D" w:rsidRPr="00EE392A">
        <w:t xml:space="preserve">This </w:t>
      </w:r>
      <w:r w:rsidR="00BD7BFB">
        <w:t>b</w:t>
      </w:r>
      <w:r w:rsidR="0027200D" w:rsidRPr="00EE392A">
        <w:t xml:space="preserve">ill is currently being considered </w:t>
      </w:r>
      <w:r w:rsidR="00D716C2" w:rsidRPr="00EE392A">
        <w:t>by the</w:t>
      </w:r>
      <w:r w:rsidR="0027200D" w:rsidRPr="00EE392A">
        <w:t xml:space="preserve"> Parliamentary </w:t>
      </w:r>
      <w:r w:rsidR="00D716C2" w:rsidRPr="00EE392A">
        <w:t xml:space="preserve">Standing Committee on Indigenous and Northern Affairs. The Committee is hearing testimony from interested and expert witnesses with knowledge of this subject. </w:t>
      </w:r>
    </w:p>
    <w:p w14:paraId="16F5FDAD" w14:textId="08326960" w:rsidR="0027200D" w:rsidRPr="00EE392A" w:rsidRDefault="00297337" w:rsidP="008C78AE">
      <w:r>
        <w:t xml:space="preserve">There is debate among Indigenous groups in Canada regarding this bill. </w:t>
      </w:r>
      <w:r w:rsidRPr="00297337">
        <w:t xml:space="preserve">Self-government is part of the foundation for a renewed relationship </w:t>
      </w:r>
      <w:r w:rsidR="006E5275">
        <w:t xml:space="preserve">between the Government of Canada and Indigenous peoples </w:t>
      </w:r>
      <w:r w:rsidRPr="00297337">
        <w:t xml:space="preserve">and is a pathway to development and economic growth that </w:t>
      </w:r>
      <w:r w:rsidR="008B635F">
        <w:t xml:space="preserve">will </w:t>
      </w:r>
      <w:r w:rsidRPr="00297337">
        <w:t xml:space="preserve">generate benefits for </w:t>
      </w:r>
      <w:r w:rsidR="008B635F">
        <w:t xml:space="preserve">these specific Métis Nations. </w:t>
      </w:r>
      <w:r w:rsidR="003A2430">
        <w:t>However</w:t>
      </w:r>
      <w:r w:rsidR="008B635F">
        <w:t xml:space="preserve">, some rights-holders are concerned that the legislation </w:t>
      </w:r>
      <w:r w:rsidR="008B635F" w:rsidRPr="008B635F">
        <w:t>will undermine the rights of First Nations across Canada and will harm the advancement of Métis rights holders</w:t>
      </w:r>
      <w:r w:rsidR="006E5275">
        <w:t xml:space="preserve"> who have fought for legal recognition of their specific communities</w:t>
      </w:r>
      <w:r w:rsidR="008B635F" w:rsidRPr="008B635F">
        <w:t>.</w:t>
      </w:r>
      <w:r w:rsidR="008B635F">
        <w:rPr>
          <w:rStyle w:val="FootnoteReference"/>
        </w:rPr>
        <w:footnoteReference w:id="17"/>
      </w:r>
      <w:r w:rsidRPr="00297337">
        <w:t xml:space="preserve"> </w:t>
      </w:r>
    </w:p>
    <w:p w14:paraId="2A379122" w14:textId="5DC4C556" w:rsidR="008C78AE" w:rsidRDefault="008C78AE" w:rsidP="00065523">
      <w:pPr>
        <w:pStyle w:val="Heading2"/>
        <w:rPr>
          <w:sz w:val="24"/>
          <w:szCs w:val="24"/>
        </w:rPr>
      </w:pPr>
      <w:r w:rsidRPr="00065523">
        <w:rPr>
          <w:rFonts w:asciiTheme="minorHAnsi" w:hAnsiTheme="minorHAnsi" w:cstheme="minorHAnsi"/>
          <w:b/>
          <w:color w:val="auto"/>
          <w:sz w:val="28"/>
          <w:szCs w:val="28"/>
        </w:rPr>
        <w:t>Policies</w:t>
      </w:r>
    </w:p>
    <w:p w14:paraId="58E75C37" w14:textId="693EEA25" w:rsidR="007D3100" w:rsidRPr="00EE392A" w:rsidRDefault="007D3100" w:rsidP="006B084D">
      <w:pPr>
        <w:pStyle w:val="Heading3"/>
        <w:rPr>
          <w:lang w:val="en-CA"/>
        </w:rPr>
      </w:pPr>
      <w:r w:rsidRPr="00EE392A">
        <w:rPr>
          <w:lang w:val="en-CA"/>
        </w:rPr>
        <w:t>Criminal Justice System</w:t>
      </w:r>
    </w:p>
    <w:p w14:paraId="130CAD05" w14:textId="77777777" w:rsidR="006B084D" w:rsidRDefault="007D3100" w:rsidP="006B084D">
      <w:r w:rsidRPr="00EE392A">
        <w:t xml:space="preserve">Canada has a weak record of </w:t>
      </w:r>
      <w:r w:rsidRPr="00EE392A">
        <w:rPr>
          <w:lang w:val="en-CA"/>
        </w:rPr>
        <w:t xml:space="preserve">upholding the human rights of Indigenous individuals in federal </w:t>
      </w:r>
      <w:proofErr w:type="gramStart"/>
      <w:r w:rsidRPr="00EE392A">
        <w:rPr>
          <w:lang w:val="en-CA"/>
        </w:rPr>
        <w:t>correctional facilities</w:t>
      </w:r>
      <w:proofErr w:type="gramEnd"/>
      <w:r w:rsidRPr="00EE392A">
        <w:rPr>
          <w:lang w:val="en-CA"/>
        </w:rPr>
        <w:t>.</w:t>
      </w:r>
      <w:r w:rsidRPr="00EE392A">
        <w:t xml:space="preserve"> </w:t>
      </w:r>
      <w:r w:rsidR="00502735">
        <w:t>T</w:t>
      </w:r>
      <w:r w:rsidR="00502735" w:rsidRPr="00502735">
        <w:t>he CHRC continues to raise concerns about</w:t>
      </w:r>
      <w:r w:rsidR="00AF7B10">
        <w:t xml:space="preserve"> the</w:t>
      </w:r>
      <w:r w:rsidR="00502735" w:rsidRPr="00502735">
        <w:t xml:space="preserve"> over-representation</w:t>
      </w:r>
      <w:r w:rsidR="00502735">
        <w:t xml:space="preserve"> of </w:t>
      </w:r>
      <w:r w:rsidR="00502735">
        <w:lastRenderedPageBreak/>
        <w:t>Indigenous individuals in prison</w:t>
      </w:r>
      <w:r w:rsidR="00AF7B10">
        <w:t xml:space="preserve"> and </w:t>
      </w:r>
      <w:r w:rsidR="00AF7B10" w:rsidRPr="00AF7B10">
        <w:t>discrimination in relation to the conditions of confinement, including with respect to classification and treatment.</w:t>
      </w:r>
      <w:r w:rsidR="008F2F85">
        <w:rPr>
          <w:rStyle w:val="FootnoteReference"/>
        </w:rPr>
        <w:footnoteReference w:id="18"/>
      </w:r>
      <w:r w:rsidR="00AF7B10" w:rsidRPr="00AF7B10">
        <w:t xml:space="preserve"> </w:t>
      </w:r>
    </w:p>
    <w:p w14:paraId="4830819B" w14:textId="6F2900B2" w:rsidR="00AC22DD" w:rsidRDefault="00AF7B10" w:rsidP="009469C5">
      <w:r w:rsidRPr="00AF7B10">
        <w:t>For instance, Indigenous prisoners are more likely to be over-classified as</w:t>
      </w:r>
      <w:r w:rsidR="00BD3A7D">
        <w:t xml:space="preserve"> requiring </w:t>
      </w:r>
      <w:r w:rsidRPr="00AF7B10">
        <w:t>maximum security and are more likely to be involved in incidents of use of force.</w:t>
      </w:r>
      <w:r w:rsidRPr="00BE0377">
        <w:rPr>
          <w:vertAlign w:val="superscript"/>
        </w:rPr>
        <w:footnoteReference w:id="19"/>
      </w:r>
      <w:r w:rsidRPr="00BE0377">
        <w:rPr>
          <w:vertAlign w:val="superscript"/>
        </w:rPr>
        <w:t xml:space="preserve"> </w:t>
      </w:r>
      <w:r w:rsidRPr="00AF7B10">
        <w:t>Various oversight bodies have also noted that culturally-relevant programming and services are limited for Indigenous prisoners and not reflective of their rehabilitative needs.</w:t>
      </w:r>
      <w:r w:rsidRPr="00EE6C92">
        <w:rPr>
          <w:vertAlign w:val="superscript"/>
        </w:rPr>
        <w:footnoteReference w:id="20"/>
      </w:r>
      <w:r w:rsidRPr="00AF7B10">
        <w:t xml:space="preserve"> The CHRC has received a number of complaints that allege that the Correctional Service of Canada (CSC) fails to provide culturally</w:t>
      </w:r>
      <w:r>
        <w:t>-</w:t>
      </w:r>
      <w:r w:rsidRPr="00AF7B10">
        <w:t>relevant services and fails to accommodate certain religious or spiritual practices.</w:t>
      </w:r>
      <w:r w:rsidR="00AC22DD">
        <w:t xml:space="preserve"> </w:t>
      </w:r>
      <w:r w:rsidRPr="009469C5">
        <w:t>Without access to these programs and services, Indigenous prisoners are less likely to be granted conditional release, and in some cases, are ill-prepared to reintegrate in their communities, placing them at a higher risk of reoffending and further contributing to their overrepresentation in the correctional system</w:t>
      </w:r>
      <w:r w:rsidRPr="008F2F85">
        <w:t>.</w:t>
      </w:r>
      <w:r w:rsidRPr="009469C5">
        <w:rPr>
          <w:vertAlign w:val="superscript"/>
        </w:rPr>
        <w:footnoteReference w:id="21"/>
      </w:r>
      <w:r w:rsidRPr="008F2F85">
        <w:t xml:space="preserve"> </w:t>
      </w:r>
    </w:p>
    <w:p w14:paraId="7109EE58" w14:textId="48ADA219" w:rsidR="00F03563" w:rsidRDefault="00F03563" w:rsidP="009469C5">
      <w:r>
        <w:t xml:space="preserve">The CHRC has joined various stakeholders in calling on Canada to ratify the Optional Protocol to the Convention Against Torture (OPCAT) to address human rights failures in the criminal justice system and in other areas of Canadian society. Given the overrepresentation of Indigenous peoples in the prison population, ratifying OPCAT represents an important step in addressing discrimination in Canada and taking strides in reconciliation with Indigenous peoples. </w:t>
      </w:r>
    </w:p>
    <w:p w14:paraId="23D8F57D" w14:textId="7D50AA3F" w:rsidR="007D3100" w:rsidRPr="00EE392A" w:rsidRDefault="007D3100" w:rsidP="008C78AE">
      <w:r w:rsidRPr="00EE392A">
        <w:t>The CHRC is encouraged by the appointment of the Correctional Service of Canada’s first Deputy Commissioner for Indigenous Corrections</w:t>
      </w:r>
      <w:r w:rsidR="00292541">
        <w:t xml:space="preserve"> in May 2023</w:t>
      </w:r>
      <w:r w:rsidRPr="00EE392A">
        <w:t>, an initiative long called</w:t>
      </w:r>
      <w:r w:rsidR="00BD7BFB">
        <w:t>-</w:t>
      </w:r>
      <w:r w:rsidRPr="00EE392A">
        <w:t>for by the Correctional Investigator</w:t>
      </w:r>
      <w:r w:rsidR="006E008A" w:rsidRPr="00EE392A">
        <w:rPr>
          <w:rStyle w:val="FootnoteReference"/>
        </w:rPr>
        <w:footnoteReference w:id="22"/>
      </w:r>
      <w:r w:rsidR="00055E58" w:rsidRPr="00EE392A">
        <w:t xml:space="preserve"> </w:t>
      </w:r>
      <w:r w:rsidRPr="00EE392A">
        <w:t>and Indigenous rights advocates.</w:t>
      </w:r>
      <w:r w:rsidR="00292541">
        <w:rPr>
          <w:rStyle w:val="FootnoteReference"/>
        </w:rPr>
        <w:footnoteReference w:id="23"/>
      </w:r>
      <w:r w:rsidRPr="00EE392A">
        <w:t xml:space="preserve"> </w:t>
      </w:r>
      <w:r w:rsidR="000013BC" w:rsidRPr="00EE392A">
        <w:t>Canada’s appointment of a Deputy Commissioner for Indigenous Corrections</w:t>
      </w:r>
      <w:r w:rsidRPr="00EE392A">
        <w:t xml:space="preserve"> is only a first step in addressing the many barriers Indigenous individuals face while navigating the federal correctional system.</w:t>
      </w:r>
    </w:p>
    <w:p w14:paraId="7609C18D" w14:textId="20C55E02" w:rsidR="008C78AE" w:rsidRPr="00690406" w:rsidRDefault="008C78AE" w:rsidP="00690406">
      <w:pPr>
        <w:pStyle w:val="Heading2"/>
        <w:rPr>
          <w:rFonts w:asciiTheme="minorHAnsi" w:hAnsiTheme="minorHAnsi" w:cstheme="minorHAnsi"/>
          <w:b/>
          <w:color w:val="auto"/>
          <w:sz w:val="28"/>
          <w:szCs w:val="28"/>
        </w:rPr>
      </w:pPr>
      <w:r w:rsidRPr="00690406">
        <w:rPr>
          <w:rFonts w:asciiTheme="minorHAnsi" w:hAnsiTheme="minorHAnsi" w:cstheme="minorHAnsi"/>
          <w:b/>
          <w:color w:val="auto"/>
          <w:sz w:val="28"/>
          <w:szCs w:val="28"/>
        </w:rPr>
        <w:t>Judicial Decisions</w:t>
      </w:r>
    </w:p>
    <w:p w14:paraId="14573701" w14:textId="5A90D2F3" w:rsidR="00173DFF" w:rsidRPr="00EE392A" w:rsidRDefault="00173DFF" w:rsidP="00173DFF">
      <w:pPr>
        <w:rPr>
          <w:lang w:val="en-CA"/>
        </w:rPr>
      </w:pPr>
      <w:r w:rsidRPr="00EE392A">
        <w:rPr>
          <w:lang w:val="en-CA"/>
        </w:rPr>
        <w:t xml:space="preserve">There </w:t>
      </w:r>
      <w:r w:rsidR="006E008A">
        <w:rPr>
          <w:lang w:val="en-CA"/>
        </w:rPr>
        <w:t>have been</w:t>
      </w:r>
      <w:r w:rsidRPr="00EE392A">
        <w:rPr>
          <w:lang w:val="en-CA"/>
        </w:rPr>
        <w:t xml:space="preserve"> </w:t>
      </w:r>
      <w:r w:rsidR="00BE0377">
        <w:rPr>
          <w:lang w:val="en-CA"/>
        </w:rPr>
        <w:t>some</w:t>
      </w:r>
      <w:r>
        <w:rPr>
          <w:lang w:val="en-CA"/>
        </w:rPr>
        <w:t xml:space="preserve"> </w:t>
      </w:r>
      <w:r w:rsidRPr="00EE392A">
        <w:rPr>
          <w:lang w:val="en-CA"/>
        </w:rPr>
        <w:t xml:space="preserve">recent judicial decisions in Canada </w:t>
      </w:r>
      <w:r>
        <w:rPr>
          <w:lang w:val="en-CA"/>
        </w:rPr>
        <w:t xml:space="preserve">arising from the Canadian Human Rights Act system </w:t>
      </w:r>
      <w:r w:rsidRPr="00EE392A">
        <w:rPr>
          <w:lang w:val="en-CA"/>
        </w:rPr>
        <w:t xml:space="preserve">that advance the rights of Indigenous peoples and individuals. </w:t>
      </w:r>
    </w:p>
    <w:p w14:paraId="3C59AB52" w14:textId="16F992B8" w:rsidR="00173DFF" w:rsidRPr="00173DFF" w:rsidRDefault="00CE17E6" w:rsidP="00173DFF">
      <w:pPr>
        <w:rPr>
          <w:lang w:val="en-CA"/>
        </w:rPr>
      </w:pPr>
      <w:r>
        <w:rPr>
          <w:lang w:val="en-CA"/>
        </w:rPr>
        <w:lastRenderedPageBreak/>
        <w:t>I</w:t>
      </w:r>
      <w:r w:rsidR="00173DFF" w:rsidRPr="00173DFF">
        <w:rPr>
          <w:lang w:val="en-CA"/>
        </w:rPr>
        <w:t xml:space="preserve">n 2021, the </w:t>
      </w:r>
      <w:r w:rsidRPr="00173DFF">
        <w:rPr>
          <w:lang w:val="en-CA"/>
        </w:rPr>
        <w:t xml:space="preserve">Canadian Human Rights </w:t>
      </w:r>
      <w:r w:rsidR="00173DFF" w:rsidRPr="00173DFF">
        <w:rPr>
          <w:lang w:val="en-CA"/>
        </w:rPr>
        <w:t xml:space="preserve">Tribunal </w:t>
      </w:r>
      <w:r w:rsidRPr="00173DFF">
        <w:rPr>
          <w:lang w:val="en-CA"/>
        </w:rPr>
        <w:t xml:space="preserve">(Tribunal) </w:t>
      </w:r>
      <w:r w:rsidR="00173DFF" w:rsidRPr="00173DFF">
        <w:rPr>
          <w:lang w:val="en-CA"/>
        </w:rPr>
        <w:t>found that Canada discriminated on the basis of race and national or ethnic origin by failing to properly fund and support a First Nation’s police service.</w:t>
      </w:r>
      <w:r w:rsidR="00173DFF" w:rsidRPr="00CE17E6">
        <w:rPr>
          <w:vertAlign w:val="superscript"/>
          <w:lang w:val="en-CA"/>
        </w:rPr>
        <w:footnoteReference w:id="24"/>
      </w:r>
      <w:r w:rsidR="00173DFF" w:rsidRPr="00173DFF">
        <w:rPr>
          <w:lang w:val="en-CA"/>
        </w:rPr>
        <w:t xml:space="preserve"> Canada filed an application for judicial </w:t>
      </w:r>
      <w:proofErr w:type="gramStart"/>
      <w:r w:rsidR="00173DFF" w:rsidRPr="00173DFF">
        <w:rPr>
          <w:lang w:val="en-CA"/>
        </w:rPr>
        <w:t>review</w:t>
      </w:r>
      <w:proofErr w:type="gramEnd"/>
      <w:r>
        <w:rPr>
          <w:lang w:val="en-CA"/>
        </w:rPr>
        <w:t xml:space="preserve"> but t</w:t>
      </w:r>
      <w:r w:rsidR="00173DFF" w:rsidRPr="00173DFF">
        <w:rPr>
          <w:lang w:val="en-CA"/>
        </w:rPr>
        <w:t>he Federal Court dismissed the application and upheld the Tribunal’s findings.</w:t>
      </w:r>
      <w:r w:rsidR="00173DFF" w:rsidRPr="00CE17E6">
        <w:rPr>
          <w:vertAlign w:val="superscript"/>
          <w:lang w:val="en-CA"/>
        </w:rPr>
        <w:footnoteReference w:id="25"/>
      </w:r>
      <w:r w:rsidR="00173DFF" w:rsidRPr="00CE17E6">
        <w:rPr>
          <w:vertAlign w:val="superscript"/>
          <w:lang w:val="en-CA"/>
        </w:rPr>
        <w:t xml:space="preserve"> </w:t>
      </w:r>
      <w:r w:rsidR="00173DFF" w:rsidRPr="00173DFF">
        <w:rPr>
          <w:lang w:val="en-CA"/>
        </w:rPr>
        <w:t xml:space="preserve">Canada’s appeal is pending at the Federal Court of Appeal. </w:t>
      </w:r>
      <w:r w:rsidRPr="00173DFF">
        <w:rPr>
          <w:lang w:val="en-CA"/>
        </w:rPr>
        <w:t>The CHRC participated</w:t>
      </w:r>
      <w:r>
        <w:rPr>
          <w:lang w:val="en-CA"/>
        </w:rPr>
        <w:t xml:space="preserve"> on behalf of the public interest</w:t>
      </w:r>
      <w:r w:rsidRPr="00173DFF">
        <w:rPr>
          <w:lang w:val="en-CA"/>
        </w:rPr>
        <w:t xml:space="preserve"> in defending </w:t>
      </w:r>
      <w:r>
        <w:rPr>
          <w:lang w:val="en-CA"/>
        </w:rPr>
        <w:t>this</w:t>
      </w:r>
      <w:r w:rsidRPr="00173DFF">
        <w:rPr>
          <w:lang w:val="en-CA"/>
        </w:rPr>
        <w:t xml:space="preserve"> important Tribunal decision</w:t>
      </w:r>
      <w:r>
        <w:rPr>
          <w:lang w:val="en-CA"/>
        </w:rPr>
        <w:t>.</w:t>
      </w:r>
      <w:r w:rsidR="00173DFF" w:rsidRPr="00173DFF">
        <w:rPr>
          <w:lang w:val="en-CA"/>
        </w:rPr>
        <w:t xml:space="preserve"> </w:t>
      </w:r>
    </w:p>
    <w:p w14:paraId="326768BE" w14:textId="77777777" w:rsidR="00B51543" w:rsidRDefault="00173DFF" w:rsidP="00173DFF">
      <w:pPr>
        <w:rPr>
          <w:lang w:val="en-CA"/>
        </w:rPr>
      </w:pPr>
      <w:r w:rsidRPr="00173DFF">
        <w:rPr>
          <w:lang w:val="en-CA"/>
        </w:rPr>
        <w:t>Important developments have taken place in the long-standing claim against Canada by the Assembly of First Nations and the First Nations Child and Family Caring Society</w:t>
      </w:r>
      <w:r w:rsidR="006F0C01">
        <w:rPr>
          <w:lang w:val="en-CA"/>
        </w:rPr>
        <w:t>,</w:t>
      </w:r>
      <w:r w:rsidRPr="00173DFF">
        <w:rPr>
          <w:lang w:val="en-CA"/>
        </w:rPr>
        <w:t xml:space="preserve"> filed with the CHRC in 2007. In 2016, the Tribunal found Canada discriminated by failing to properly fund and support the delivery of child and family and other services to First Nations children on reserve</w:t>
      </w:r>
      <w:r w:rsidR="00CE17E6">
        <w:rPr>
          <w:lang w:val="en-CA"/>
        </w:rPr>
        <w:t>s across Canada</w:t>
      </w:r>
      <w:r w:rsidRPr="00173DFF">
        <w:rPr>
          <w:lang w:val="en-CA"/>
        </w:rPr>
        <w:t xml:space="preserve"> and in the Yukon.</w:t>
      </w:r>
      <w:r w:rsidR="003D4328">
        <w:rPr>
          <w:rStyle w:val="FootnoteReference"/>
          <w:lang w:val="en-CA"/>
        </w:rPr>
        <w:footnoteReference w:id="26"/>
      </w:r>
      <w:r w:rsidRPr="00173DFF">
        <w:rPr>
          <w:lang w:val="en-CA"/>
        </w:rPr>
        <w:t xml:space="preserve"> </w:t>
      </w:r>
    </w:p>
    <w:p w14:paraId="58D42F85" w14:textId="048D7017" w:rsidR="00173DFF" w:rsidRDefault="00173DFF" w:rsidP="00173DFF">
      <w:pPr>
        <w:rPr>
          <w:lang w:val="en-CA"/>
        </w:rPr>
      </w:pPr>
      <w:r w:rsidRPr="00173DFF">
        <w:rPr>
          <w:lang w:val="en-CA"/>
        </w:rPr>
        <w:t>Since that time, the Tribunal has issued more than 20 additional rulings on remedies, including financial compensation for the thousands of individuals harmed by Canada’s discriminatory practices. In 2023, Canada signed a settlement agreement worth over $23 billion to pay the financial awards made by the Tribunal and resolve related claims made in separate class action lawsuits.</w:t>
      </w:r>
      <w:r w:rsidR="00B51543">
        <w:rPr>
          <w:rStyle w:val="FootnoteReference"/>
          <w:lang w:val="en-CA"/>
        </w:rPr>
        <w:footnoteReference w:id="27"/>
      </w:r>
      <w:r w:rsidRPr="00173DFF">
        <w:rPr>
          <w:lang w:val="en-CA"/>
        </w:rPr>
        <w:t xml:space="preserve"> The Tribunal and the Federal Court both approved the </w:t>
      </w:r>
      <w:proofErr w:type="gramStart"/>
      <w:r w:rsidRPr="00173DFF">
        <w:rPr>
          <w:lang w:val="en-CA"/>
        </w:rPr>
        <w:t>settlement</w:t>
      </w:r>
      <w:proofErr w:type="gramEnd"/>
      <w:r w:rsidR="00B51543">
        <w:rPr>
          <w:lang w:val="en-CA"/>
        </w:rPr>
        <w:t xml:space="preserve"> and t</w:t>
      </w:r>
      <w:r w:rsidRPr="00173DFF">
        <w:rPr>
          <w:lang w:val="en-CA"/>
        </w:rPr>
        <w:t>he Tribunal continues to oversee issues relating to sustainable long term program reform.</w:t>
      </w:r>
    </w:p>
    <w:p w14:paraId="7B37A053" w14:textId="7406A333" w:rsidR="00645783" w:rsidRPr="00173DFF" w:rsidRDefault="00645783" w:rsidP="00173DFF">
      <w:pPr>
        <w:rPr>
          <w:lang w:val="en-CA"/>
        </w:rPr>
      </w:pPr>
      <w:r>
        <w:rPr>
          <w:lang w:val="en-CA"/>
        </w:rPr>
        <w:t xml:space="preserve">Despite these rulings and settlement, </w:t>
      </w:r>
      <w:r w:rsidR="006F6D05">
        <w:rPr>
          <w:rFonts w:ascii="Aptos" w:eastAsia="Times New Roman" w:hAnsi="Aptos"/>
          <w:lang w:val="en-CA"/>
        </w:rPr>
        <w:t xml:space="preserve">in December of 2023, the </w:t>
      </w:r>
      <w:r w:rsidR="006F6D05" w:rsidRPr="00173DFF">
        <w:rPr>
          <w:lang w:val="en-CA"/>
        </w:rPr>
        <w:t xml:space="preserve">First Nations Child and Family </w:t>
      </w:r>
      <w:r w:rsidR="006F6D05">
        <w:rPr>
          <w:rFonts w:ascii="Aptos" w:eastAsia="Times New Roman" w:hAnsi="Aptos"/>
          <w:lang w:val="en-CA"/>
        </w:rPr>
        <w:t>Caring Society raised concerns with the Tribunal about Canada’s compliance with orders regarding the implementation of Jordan’s Principle, and said it plans to seek further remedies from the Tribunal in this regard.</w:t>
      </w:r>
      <w:r>
        <w:rPr>
          <w:rStyle w:val="FootnoteReference"/>
          <w:lang w:val="en-CA"/>
        </w:rPr>
        <w:footnoteReference w:id="28"/>
      </w:r>
    </w:p>
    <w:p w14:paraId="704CE902" w14:textId="0B83F8A2" w:rsidR="008C78AE" w:rsidRPr="00454BA6" w:rsidRDefault="008C78AE" w:rsidP="00454BA6">
      <w:pPr>
        <w:pStyle w:val="Heading2"/>
        <w:rPr>
          <w:rFonts w:asciiTheme="minorHAnsi" w:hAnsiTheme="minorHAnsi" w:cstheme="minorHAnsi"/>
          <w:b/>
          <w:color w:val="auto"/>
          <w:sz w:val="28"/>
          <w:szCs w:val="28"/>
        </w:rPr>
      </w:pPr>
      <w:r w:rsidRPr="00454BA6">
        <w:rPr>
          <w:rFonts w:asciiTheme="minorHAnsi" w:hAnsiTheme="minorHAnsi" w:cstheme="minorHAnsi"/>
          <w:b/>
          <w:color w:val="auto"/>
          <w:sz w:val="28"/>
          <w:szCs w:val="28"/>
        </w:rPr>
        <w:t>Other Mechanisms</w:t>
      </w:r>
    </w:p>
    <w:p w14:paraId="238557F1" w14:textId="1CF4D4A4" w:rsidR="00454BA6" w:rsidRPr="00EE392A" w:rsidRDefault="00AC22DD" w:rsidP="008C78AE">
      <w:pPr>
        <w:rPr>
          <w:u w:val="single"/>
          <w:lang w:val="en-CA"/>
        </w:rPr>
      </w:pPr>
      <w:r w:rsidRPr="009469C5">
        <w:rPr>
          <w:rStyle w:val="Heading3Char"/>
        </w:rPr>
        <w:t>Indigenous Human Rights Mechanism</w:t>
      </w:r>
    </w:p>
    <w:p w14:paraId="1DA4C90F" w14:textId="700123C9" w:rsidR="008C78AE" w:rsidRPr="00EE392A" w:rsidRDefault="004759DE" w:rsidP="00951EA5">
      <w:pPr>
        <w:rPr>
          <w:lang w:val="en-CA"/>
        </w:rPr>
      </w:pPr>
      <w:r>
        <w:rPr>
          <w:lang w:val="en-CA"/>
        </w:rPr>
        <w:t xml:space="preserve">The National Inquiry </w:t>
      </w:r>
      <w:r w:rsidRPr="00EE392A">
        <w:rPr>
          <w:lang w:val="en-CA"/>
        </w:rPr>
        <w:t>into Missing and Murdered Indigenous Women and Girls</w:t>
      </w:r>
      <w:r>
        <w:rPr>
          <w:lang w:val="en-CA"/>
        </w:rPr>
        <w:t xml:space="preserve"> published its final report,</w:t>
      </w:r>
      <w:r w:rsidRPr="00EE392A">
        <w:rPr>
          <w:lang w:val="en-CA"/>
        </w:rPr>
        <w:t xml:space="preserve"> </w:t>
      </w:r>
      <w:r w:rsidR="008C78AE" w:rsidRPr="00EE392A">
        <w:rPr>
          <w:lang w:val="en-CA"/>
        </w:rPr>
        <w:t xml:space="preserve">Reclaiming </w:t>
      </w:r>
      <w:proofErr w:type="gramStart"/>
      <w:r w:rsidR="008C78AE" w:rsidRPr="00EE392A">
        <w:rPr>
          <w:lang w:val="en-CA"/>
        </w:rPr>
        <w:t>Power</w:t>
      </w:r>
      <w:proofErr w:type="gramEnd"/>
      <w:r w:rsidR="008C78AE" w:rsidRPr="00EE392A">
        <w:rPr>
          <w:lang w:val="en-CA"/>
        </w:rPr>
        <w:t xml:space="preserve"> and Place</w:t>
      </w:r>
      <w:r>
        <w:rPr>
          <w:lang w:val="en-CA"/>
        </w:rPr>
        <w:t xml:space="preserve">, in 2019. </w:t>
      </w:r>
      <w:r w:rsidRPr="00173DFF">
        <w:rPr>
          <w:lang w:val="en-CA"/>
        </w:rPr>
        <w:t xml:space="preserve">The report addresses the systemic causes of violence against Indigenous women, girls and LGBTQ and </w:t>
      </w:r>
      <w:r>
        <w:rPr>
          <w:lang w:val="en-CA"/>
        </w:rPr>
        <w:t>T</w:t>
      </w:r>
      <w:r w:rsidRPr="00173DFF">
        <w:rPr>
          <w:lang w:val="en-CA"/>
        </w:rPr>
        <w:t>wo-</w:t>
      </w:r>
      <w:r>
        <w:rPr>
          <w:lang w:val="en-CA"/>
        </w:rPr>
        <w:t>S</w:t>
      </w:r>
      <w:r w:rsidRPr="00173DFF">
        <w:rPr>
          <w:lang w:val="en-CA"/>
        </w:rPr>
        <w:t>pir</w:t>
      </w:r>
      <w:r>
        <w:rPr>
          <w:lang w:val="en-CA"/>
        </w:rPr>
        <w:t>i</w:t>
      </w:r>
      <w:r w:rsidRPr="00173DFF">
        <w:rPr>
          <w:lang w:val="en-CA"/>
        </w:rPr>
        <w:t>t people in Canada.</w:t>
      </w:r>
      <w:r>
        <w:rPr>
          <w:lang w:val="en-CA"/>
        </w:rPr>
        <w:t xml:space="preserve"> </w:t>
      </w:r>
      <w:r w:rsidR="00951EA5">
        <w:rPr>
          <w:lang w:val="en-CA"/>
        </w:rPr>
        <w:t>T</w:t>
      </w:r>
      <w:r w:rsidR="008C78AE" w:rsidRPr="00EE392A">
        <w:rPr>
          <w:lang w:val="en-CA"/>
        </w:rPr>
        <w:t>he Inquiry</w:t>
      </w:r>
      <w:r w:rsidR="00AC22DD">
        <w:rPr>
          <w:lang w:val="en-CA"/>
        </w:rPr>
        <w:t xml:space="preserve"> </w:t>
      </w:r>
      <w:r w:rsidR="00951EA5">
        <w:rPr>
          <w:lang w:val="en-CA"/>
        </w:rPr>
        <w:t xml:space="preserve">called for the </w:t>
      </w:r>
      <w:r w:rsidR="00951EA5" w:rsidRPr="00951EA5">
        <w:rPr>
          <w:lang w:val="en-CA"/>
        </w:rPr>
        <w:t>establish</w:t>
      </w:r>
      <w:r w:rsidR="00951EA5">
        <w:rPr>
          <w:lang w:val="en-CA"/>
        </w:rPr>
        <w:t>ment of</w:t>
      </w:r>
      <w:r w:rsidR="00951EA5" w:rsidRPr="00951EA5">
        <w:rPr>
          <w:lang w:val="en-CA"/>
        </w:rPr>
        <w:t xml:space="preserve"> a National Indigenous and Human Rights Ombudsperson, with authority in all jurisdictions, and to establish a National Indigenous and Human Rights Tribunal</w:t>
      </w:r>
      <w:r w:rsidR="00173DFF">
        <w:rPr>
          <w:lang w:val="en-CA"/>
        </w:rPr>
        <w:t xml:space="preserve">. </w:t>
      </w:r>
      <w:r w:rsidR="00951EA5" w:rsidRPr="00033DDB">
        <w:rPr>
          <w:lang w:val="en-CA"/>
        </w:rPr>
        <w:t xml:space="preserve">The CHRC fully supports the creation of human rights mechanisms specific to Indigenous peoples in Canada. We </w:t>
      </w:r>
      <w:r w:rsidR="00CC0EFB">
        <w:rPr>
          <w:lang w:val="en-CA"/>
        </w:rPr>
        <w:t xml:space="preserve">believe </w:t>
      </w:r>
      <w:r w:rsidR="00951EA5" w:rsidRPr="00033DDB">
        <w:rPr>
          <w:lang w:val="en-CA"/>
        </w:rPr>
        <w:t>that any new independent mechanisms that advance decolonization and self-determination are long overdue</w:t>
      </w:r>
      <w:r w:rsidR="00033DDB" w:rsidRPr="00033DDB">
        <w:rPr>
          <w:lang w:val="en-CA"/>
        </w:rPr>
        <w:t>, and we have been recommending the study of an Indigenous human rights mechanism for many years</w:t>
      </w:r>
      <w:r w:rsidR="00951EA5" w:rsidRPr="00033DDB">
        <w:rPr>
          <w:lang w:val="en-CA"/>
        </w:rPr>
        <w:t>.</w:t>
      </w:r>
      <w:r w:rsidR="00033DDB" w:rsidRPr="00033DDB">
        <w:rPr>
          <w:rStyle w:val="FootnoteReference"/>
          <w:lang w:val="en-CA"/>
        </w:rPr>
        <w:footnoteReference w:id="29"/>
      </w:r>
    </w:p>
    <w:p w14:paraId="79105A08" w14:textId="3F149B2B" w:rsidR="008C78AE" w:rsidRPr="00EE392A" w:rsidRDefault="008C78AE" w:rsidP="008C78AE">
      <w:pPr>
        <w:rPr>
          <w:lang w:val="en-CA"/>
        </w:rPr>
      </w:pPr>
      <w:r w:rsidRPr="00EE392A">
        <w:rPr>
          <w:lang w:val="en-CA"/>
        </w:rPr>
        <w:lastRenderedPageBreak/>
        <w:t>The Senate of Canada is currently studying the question of a national Indigenous human rights mechanism</w:t>
      </w:r>
      <w:r w:rsidR="00AE28FC">
        <w:rPr>
          <w:lang w:val="en-CA"/>
        </w:rPr>
        <w:t xml:space="preserve"> through the</w:t>
      </w:r>
      <w:r w:rsidRPr="00EE392A">
        <w:rPr>
          <w:lang w:val="en-CA"/>
        </w:rPr>
        <w:t xml:space="preserve"> Standing Senate Committee on Indigenous Peoples</w:t>
      </w:r>
      <w:r w:rsidR="00AE28FC">
        <w:rPr>
          <w:lang w:val="en-CA"/>
        </w:rPr>
        <w:t>.</w:t>
      </w:r>
      <w:r w:rsidR="008539CF">
        <w:rPr>
          <w:rStyle w:val="FootnoteReference"/>
          <w:lang w:val="en-CA"/>
        </w:rPr>
        <w:footnoteReference w:id="30"/>
      </w:r>
      <w:r w:rsidR="00AE28FC">
        <w:rPr>
          <w:lang w:val="en-CA"/>
        </w:rPr>
        <w:t xml:space="preserve"> The Committee</w:t>
      </w:r>
      <w:r w:rsidRPr="00EE392A">
        <w:rPr>
          <w:lang w:val="en-CA"/>
        </w:rPr>
        <w:t xml:space="preserve"> is </w:t>
      </w:r>
      <w:r w:rsidR="00F402D4">
        <w:rPr>
          <w:lang w:val="en-CA"/>
        </w:rPr>
        <w:t>engaging with</w:t>
      </w:r>
      <w:r w:rsidR="00F402D4" w:rsidRPr="00EE392A">
        <w:rPr>
          <w:lang w:val="en-CA"/>
        </w:rPr>
        <w:t xml:space="preserve"> </w:t>
      </w:r>
      <w:r w:rsidRPr="00EE392A">
        <w:rPr>
          <w:lang w:val="en-CA"/>
        </w:rPr>
        <w:t>witnesses with expertise and lived experience in the field of Indigenous human rights to inform their report and recommendation</w:t>
      </w:r>
      <w:r w:rsidR="00DA36F6" w:rsidRPr="00EE392A">
        <w:rPr>
          <w:lang w:val="en-CA"/>
        </w:rPr>
        <w:t>s</w:t>
      </w:r>
      <w:r w:rsidRPr="00EE392A">
        <w:rPr>
          <w:lang w:val="en-CA"/>
        </w:rPr>
        <w:t xml:space="preserve"> to Parliament. </w:t>
      </w:r>
      <w:r w:rsidR="00AE28FC">
        <w:rPr>
          <w:lang w:val="en-CA"/>
        </w:rPr>
        <w:t xml:space="preserve">The CHRC </w:t>
      </w:r>
      <w:r w:rsidR="00F402D4">
        <w:rPr>
          <w:lang w:val="en-CA"/>
        </w:rPr>
        <w:t>continues to support</w:t>
      </w:r>
      <w:r w:rsidR="00AE28FC">
        <w:rPr>
          <w:lang w:val="en-CA"/>
        </w:rPr>
        <w:t xml:space="preserve"> this </w:t>
      </w:r>
      <w:proofErr w:type="gramStart"/>
      <w:r w:rsidR="00AE28FC">
        <w:rPr>
          <w:lang w:val="en-CA"/>
        </w:rPr>
        <w:t>initiative</w:t>
      </w:r>
      <w:r w:rsidR="00F402D4">
        <w:rPr>
          <w:lang w:val="en-CA"/>
        </w:rPr>
        <w:t>, and</w:t>
      </w:r>
      <w:proofErr w:type="gramEnd"/>
      <w:r w:rsidR="00F402D4">
        <w:rPr>
          <w:lang w:val="en-CA"/>
        </w:rPr>
        <w:t xml:space="preserve"> has </w:t>
      </w:r>
      <w:r w:rsidR="00EE6C92">
        <w:rPr>
          <w:lang w:val="en-CA"/>
        </w:rPr>
        <w:t>appeared as</w:t>
      </w:r>
      <w:r w:rsidR="00AE28FC">
        <w:rPr>
          <w:lang w:val="en-CA"/>
        </w:rPr>
        <w:t xml:space="preserve"> a witness before the Senate.</w:t>
      </w:r>
      <w:r w:rsidR="00AE28FC">
        <w:rPr>
          <w:rStyle w:val="FootnoteReference"/>
          <w:lang w:val="en-CA"/>
        </w:rPr>
        <w:footnoteReference w:id="31"/>
      </w:r>
    </w:p>
    <w:p w14:paraId="1A384B89" w14:textId="4D71F749" w:rsidR="00454BA6" w:rsidRPr="00EE392A" w:rsidRDefault="00454BA6" w:rsidP="009469C5">
      <w:pPr>
        <w:pStyle w:val="Heading3"/>
        <w:rPr>
          <w:lang w:val="en-CA"/>
        </w:rPr>
      </w:pPr>
      <w:r w:rsidRPr="00EE392A">
        <w:rPr>
          <w:lang w:val="en-CA"/>
        </w:rPr>
        <w:t>Office of the Correctional Investigator</w:t>
      </w:r>
    </w:p>
    <w:p w14:paraId="3E58B0F1" w14:textId="4508DAF5" w:rsidR="00454BA6" w:rsidRPr="00EE392A" w:rsidRDefault="00454BA6" w:rsidP="00454BA6">
      <w:pPr>
        <w:rPr>
          <w:lang w:val="en-CA"/>
        </w:rPr>
      </w:pPr>
      <w:r w:rsidRPr="00EE392A">
        <w:rPr>
          <w:lang w:val="en-CA"/>
        </w:rPr>
        <w:t>The Office of the Correctional Investigator (OCI) recently released</w:t>
      </w:r>
      <w:r w:rsidR="003D73DD">
        <w:rPr>
          <w:lang w:val="en-CA"/>
        </w:rPr>
        <w:t xml:space="preserve"> part two of</w:t>
      </w:r>
      <w:r w:rsidRPr="00EE392A">
        <w:rPr>
          <w:lang w:val="en-CA"/>
        </w:rPr>
        <w:t xml:space="preserve"> </w:t>
      </w:r>
      <w:r w:rsidR="003D73DD">
        <w:rPr>
          <w:lang w:val="en-CA"/>
        </w:rPr>
        <w:t>its</w:t>
      </w:r>
      <w:r w:rsidR="00C12B54">
        <w:rPr>
          <w:lang w:val="en-CA"/>
        </w:rPr>
        <w:t xml:space="preserve"> findings</w:t>
      </w:r>
      <w:r w:rsidR="003D73DD">
        <w:rPr>
          <w:lang w:val="en-CA"/>
        </w:rPr>
        <w:t xml:space="preserve"> following </w:t>
      </w:r>
      <w:r w:rsidRPr="00EE392A">
        <w:rPr>
          <w:lang w:val="en-CA"/>
        </w:rPr>
        <w:t>a thorough and long-standing investigation into the overrepresentation of federally</w:t>
      </w:r>
      <w:r w:rsidR="00580144">
        <w:rPr>
          <w:lang w:val="en-CA"/>
        </w:rPr>
        <w:t>-</w:t>
      </w:r>
      <w:r w:rsidRPr="00EE392A">
        <w:rPr>
          <w:lang w:val="en-CA"/>
        </w:rPr>
        <w:t xml:space="preserve">sentenced Indigenous individuals and </w:t>
      </w:r>
      <w:r w:rsidR="00336E0E" w:rsidRPr="00EE392A">
        <w:rPr>
          <w:lang w:val="en-CA"/>
        </w:rPr>
        <w:t xml:space="preserve">the </w:t>
      </w:r>
      <w:r w:rsidRPr="00EE392A">
        <w:rPr>
          <w:lang w:val="en-CA"/>
        </w:rPr>
        <w:t>conditions they experience in the prison system.</w:t>
      </w:r>
      <w:r w:rsidR="00813D55" w:rsidRPr="00813D55">
        <w:rPr>
          <w:rStyle w:val="FootnoteReference"/>
          <w:lang w:val="en-CA"/>
        </w:rPr>
        <w:t xml:space="preserve"> </w:t>
      </w:r>
      <w:r w:rsidR="00813D55" w:rsidRPr="00EE392A">
        <w:rPr>
          <w:rStyle w:val="FootnoteReference"/>
          <w:lang w:val="en-CA"/>
        </w:rPr>
        <w:footnoteReference w:id="32"/>
      </w:r>
      <w:r w:rsidR="00813D55" w:rsidRPr="00EE392A">
        <w:rPr>
          <w:lang w:val="en-CA"/>
        </w:rPr>
        <w:t xml:space="preserve"> </w:t>
      </w:r>
      <w:r w:rsidRPr="00EE392A">
        <w:rPr>
          <w:lang w:val="en-CA"/>
        </w:rPr>
        <w:t>This two-part</w:t>
      </w:r>
      <w:r w:rsidR="00C12B54">
        <w:rPr>
          <w:lang w:val="en-CA"/>
        </w:rPr>
        <w:t xml:space="preserve"> national</w:t>
      </w:r>
      <w:r w:rsidRPr="00EE392A">
        <w:rPr>
          <w:lang w:val="en-CA"/>
        </w:rPr>
        <w:t xml:space="preserve"> investigation examined and made recommendations on issues that have remained largely unaddressed since the OCI’s 2013 </w:t>
      </w:r>
      <w:r w:rsidR="00580144">
        <w:rPr>
          <w:lang w:val="en-CA"/>
        </w:rPr>
        <w:t>“</w:t>
      </w:r>
      <w:r w:rsidRPr="00EE392A">
        <w:rPr>
          <w:lang w:val="en-CA"/>
        </w:rPr>
        <w:t>Special Report to Parliament, Spirit Matters: Aboriginal People and the Corrections and Conditional Release Act.</w:t>
      </w:r>
      <w:r w:rsidR="00580144">
        <w:rPr>
          <w:lang w:val="en-CA"/>
        </w:rPr>
        <w:t>”</w:t>
      </w:r>
      <w:r w:rsidR="006D459E" w:rsidRPr="00EE392A">
        <w:rPr>
          <w:rStyle w:val="FootnoteReference"/>
          <w:lang w:val="en-CA"/>
        </w:rPr>
        <w:footnoteReference w:id="33"/>
      </w:r>
    </w:p>
    <w:p w14:paraId="78314050" w14:textId="26A62061" w:rsidR="003D73DD" w:rsidRPr="00EE392A" w:rsidRDefault="00454BA6" w:rsidP="00454BA6">
      <w:pPr>
        <w:rPr>
          <w:lang w:val="en-CA"/>
        </w:rPr>
      </w:pPr>
      <w:r w:rsidRPr="00EE392A">
        <w:rPr>
          <w:lang w:val="en-CA"/>
        </w:rPr>
        <w:t xml:space="preserve">The CHRC shares the Correctional Investigator’s ongoing concerns that not enough is being done to uphold the human rights of Indigenous individuals in federal corrections. </w:t>
      </w:r>
      <w:r w:rsidRPr="00EE392A" w:rsidDel="003D73DD">
        <w:rPr>
          <w:lang w:val="en-CA"/>
        </w:rPr>
        <w:t xml:space="preserve">Despite </w:t>
      </w:r>
      <w:r w:rsidR="00336E0E" w:rsidRPr="00EE392A" w:rsidDel="003D73DD">
        <w:rPr>
          <w:lang w:val="en-CA"/>
        </w:rPr>
        <w:t>Canada’s</w:t>
      </w:r>
      <w:r w:rsidRPr="00EE392A" w:rsidDel="003D73DD">
        <w:rPr>
          <w:lang w:val="en-CA"/>
        </w:rPr>
        <w:t xml:space="preserve"> stated commitments, we continue to see widening disparities in outcomes between Indigenous and non-Indigenous persons in prison. </w:t>
      </w:r>
    </w:p>
    <w:p w14:paraId="24889909" w14:textId="63279DE0" w:rsidR="0072589F" w:rsidRPr="00EE392A" w:rsidRDefault="007D3100" w:rsidP="00EC5892">
      <w:pPr>
        <w:widowControl w:val="0"/>
        <w:autoSpaceDE w:val="0"/>
        <w:autoSpaceDN w:val="0"/>
        <w:spacing w:after="0" w:line="240" w:lineRule="auto"/>
      </w:pPr>
      <w:r w:rsidRPr="00EE392A">
        <w:t xml:space="preserve">The CHRC </w:t>
      </w:r>
      <w:r w:rsidR="00CC0EFB">
        <w:t>is grateful for</w:t>
      </w:r>
      <w:r w:rsidR="00CC0EFB" w:rsidRPr="00EE392A">
        <w:t xml:space="preserve"> </w:t>
      </w:r>
      <w:r w:rsidRPr="00EE392A">
        <w:t xml:space="preserve">the OCI’s commitment to </w:t>
      </w:r>
      <w:r w:rsidR="003B3E27" w:rsidRPr="00EE392A">
        <w:t>revealing</w:t>
      </w:r>
      <w:r w:rsidRPr="00EE392A">
        <w:t xml:space="preserve"> the disturbing and continuing trend of overincarceration of Indigenous individuals in Canadian prisons.</w:t>
      </w:r>
    </w:p>
    <w:p w14:paraId="25D9ED4C" w14:textId="77777777" w:rsidR="00C23E63" w:rsidRDefault="00C23E63" w:rsidP="00EC5892">
      <w:pPr>
        <w:widowControl w:val="0"/>
        <w:autoSpaceDE w:val="0"/>
        <w:autoSpaceDN w:val="0"/>
        <w:spacing w:after="0" w:line="240" w:lineRule="auto"/>
        <w:rPr>
          <w:sz w:val="24"/>
          <w:szCs w:val="24"/>
        </w:rPr>
      </w:pPr>
    </w:p>
    <w:p w14:paraId="5D031EFE" w14:textId="26FF2923" w:rsidR="00C23E63" w:rsidRDefault="00C23E63" w:rsidP="00C23E63">
      <w:pPr>
        <w:pStyle w:val="Heading2"/>
        <w:rPr>
          <w:sz w:val="24"/>
          <w:szCs w:val="24"/>
        </w:rPr>
      </w:pPr>
      <w:r w:rsidRPr="00C23E63">
        <w:rPr>
          <w:rFonts w:asciiTheme="minorHAnsi" w:hAnsiTheme="minorHAnsi" w:cstheme="minorHAnsi"/>
          <w:b/>
          <w:color w:val="auto"/>
          <w:sz w:val="28"/>
          <w:szCs w:val="28"/>
        </w:rPr>
        <w:t>Conclusion</w:t>
      </w:r>
    </w:p>
    <w:p w14:paraId="1D74DAEB" w14:textId="1799AA6D" w:rsidR="00C23E63" w:rsidRPr="00EE392A" w:rsidRDefault="00C23E63" w:rsidP="00EC5892">
      <w:pPr>
        <w:widowControl w:val="0"/>
        <w:autoSpaceDE w:val="0"/>
        <w:autoSpaceDN w:val="0"/>
        <w:spacing w:after="0" w:line="240" w:lineRule="auto"/>
      </w:pPr>
      <w:r w:rsidRPr="00EE392A">
        <w:t xml:space="preserve">While Canada has made progress on </w:t>
      </w:r>
      <w:r w:rsidRPr="00EE392A">
        <w:rPr>
          <w:lang w:val="en-CA"/>
        </w:rPr>
        <w:t xml:space="preserve">taking steps to achieve the ends of the United Nations Declaration on the Rights of Indigenous Peoples, in accordance with article 38 of the Declaration, much work needs to be done to accomplish concrete measures for the protection and enjoyment of human rights by Indigenous peoples and individuals in Canada. </w:t>
      </w:r>
      <w:r w:rsidR="005C75C4">
        <w:rPr>
          <w:lang w:val="en-CA"/>
        </w:rPr>
        <w:t xml:space="preserve">Canada has begun many laudable initiatives and must ensure they are adequately </w:t>
      </w:r>
      <w:proofErr w:type="gramStart"/>
      <w:r w:rsidR="005C75C4">
        <w:rPr>
          <w:lang w:val="en-CA"/>
        </w:rPr>
        <w:t>resourced</w:t>
      </w:r>
      <w:proofErr w:type="gramEnd"/>
      <w:r w:rsidR="005C75C4">
        <w:rPr>
          <w:lang w:val="en-CA"/>
        </w:rPr>
        <w:t xml:space="preserve"> so they </w:t>
      </w:r>
      <w:r w:rsidR="00A93B73">
        <w:rPr>
          <w:lang w:val="en-CA"/>
        </w:rPr>
        <w:t>fulfil the expectations Canada has created domestically and internationally.</w:t>
      </w:r>
      <w:r w:rsidR="005C75C4">
        <w:rPr>
          <w:lang w:val="en-CA"/>
        </w:rPr>
        <w:t xml:space="preserve"> </w:t>
      </w:r>
      <w:r w:rsidR="00616117" w:rsidRPr="00EE392A">
        <w:rPr>
          <w:lang w:val="en-CA"/>
        </w:rPr>
        <w:t>The CHRC will continue to monitor Canada’s actions and advocate for equal rights for all Indigenous people</w:t>
      </w:r>
      <w:r w:rsidR="00A93B73">
        <w:rPr>
          <w:lang w:val="en-CA"/>
        </w:rPr>
        <w:t xml:space="preserve">s </w:t>
      </w:r>
      <w:r w:rsidR="00616117" w:rsidRPr="00EE392A">
        <w:rPr>
          <w:lang w:val="en-CA"/>
        </w:rPr>
        <w:t xml:space="preserve">in Canada. </w:t>
      </w:r>
    </w:p>
    <w:sectPr w:rsidR="00C23E63" w:rsidRPr="00EE392A" w:rsidSect="00FC07D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52086" w14:textId="77777777" w:rsidR="000273CD" w:rsidRDefault="000273CD" w:rsidP="000273CD">
      <w:pPr>
        <w:spacing w:after="0" w:line="240" w:lineRule="auto"/>
      </w:pPr>
      <w:r>
        <w:separator/>
      </w:r>
    </w:p>
  </w:endnote>
  <w:endnote w:type="continuationSeparator" w:id="0">
    <w:p w14:paraId="01096ED3" w14:textId="77777777" w:rsidR="000273CD" w:rsidRDefault="000273CD" w:rsidP="0002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590A" w14:textId="77777777" w:rsidR="0029438F" w:rsidRDefault="00294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60988"/>
      <w:docPartObj>
        <w:docPartGallery w:val="Page Numbers (Bottom of Page)"/>
        <w:docPartUnique/>
      </w:docPartObj>
    </w:sdtPr>
    <w:sdtEndPr>
      <w:rPr>
        <w:noProof/>
      </w:rPr>
    </w:sdtEndPr>
    <w:sdtContent>
      <w:p w14:paraId="2244E3A7" w14:textId="4DC9F4C3" w:rsidR="00BB20F0" w:rsidRDefault="00BB20F0">
        <w:pPr>
          <w:pStyle w:val="Footer"/>
          <w:jc w:val="right"/>
        </w:pPr>
        <w:r>
          <w:fldChar w:fldCharType="begin"/>
        </w:r>
        <w:r>
          <w:instrText xml:space="preserve"> PAGE   \* MERGEFORMAT </w:instrText>
        </w:r>
        <w:r>
          <w:fldChar w:fldCharType="separate"/>
        </w:r>
        <w:r w:rsidR="00BF4CC5">
          <w:rPr>
            <w:noProof/>
          </w:rPr>
          <w:t>12</w:t>
        </w:r>
        <w:r>
          <w:rPr>
            <w:noProof/>
          </w:rPr>
          <w:fldChar w:fldCharType="end"/>
        </w:r>
      </w:p>
    </w:sdtContent>
  </w:sdt>
  <w:p w14:paraId="68E3D9E1" w14:textId="4643D006" w:rsidR="00D420F6" w:rsidRPr="00AA6BC9" w:rsidRDefault="00D420F6" w:rsidP="00AA6BC9">
    <w:pPr>
      <w:pStyle w:val="Footer"/>
      <w:jc w:val="right"/>
      <w:rPr>
        <w:rFonts w:ascii="Calibri" w:hAns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8FA2" w14:textId="77777777" w:rsidR="0029438F" w:rsidRDefault="00294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0BB7B" w14:textId="77777777" w:rsidR="000273CD" w:rsidRDefault="000273CD" w:rsidP="000273CD">
      <w:pPr>
        <w:spacing w:after="0" w:line="240" w:lineRule="auto"/>
      </w:pPr>
      <w:r>
        <w:separator/>
      </w:r>
    </w:p>
  </w:footnote>
  <w:footnote w:type="continuationSeparator" w:id="0">
    <w:p w14:paraId="6FF3F00A" w14:textId="77777777" w:rsidR="000273CD" w:rsidRDefault="000273CD" w:rsidP="000273CD">
      <w:pPr>
        <w:spacing w:after="0" w:line="240" w:lineRule="auto"/>
      </w:pPr>
      <w:r>
        <w:continuationSeparator/>
      </w:r>
    </w:p>
  </w:footnote>
  <w:footnote w:id="1">
    <w:p w14:paraId="6FD1BCCF" w14:textId="77777777" w:rsidR="00070C91" w:rsidRPr="001A6AC6" w:rsidRDefault="00070C91" w:rsidP="00070C91">
      <w:pPr>
        <w:pStyle w:val="NoSpacing"/>
        <w:rPr>
          <w:sz w:val="20"/>
          <w:szCs w:val="20"/>
        </w:rPr>
      </w:pPr>
      <w:r w:rsidRPr="004A27F5">
        <w:rPr>
          <w:rStyle w:val="FootnoteReference"/>
          <w:rFonts w:ascii="Arial" w:hAnsi="Arial" w:cs="Arial"/>
          <w:sz w:val="20"/>
          <w:szCs w:val="20"/>
        </w:rPr>
        <w:footnoteRef/>
      </w:r>
      <w:r w:rsidRPr="004A27F5">
        <w:rPr>
          <w:rFonts w:ascii="Arial" w:hAnsi="Arial" w:cs="Arial"/>
          <w:sz w:val="20"/>
          <w:szCs w:val="20"/>
        </w:rPr>
        <w:t xml:space="preserve"> </w:t>
      </w:r>
      <w:r w:rsidRPr="001A6AC6">
        <w:rPr>
          <w:sz w:val="20"/>
          <w:szCs w:val="20"/>
        </w:rPr>
        <w:t xml:space="preserve">Available at: </w:t>
      </w:r>
      <w:hyperlink r:id="rId1" w:history="1">
        <w:r w:rsidRPr="001A6AC6">
          <w:rPr>
            <w:rStyle w:val="Hyperlink1"/>
            <w:sz w:val="20"/>
            <w:szCs w:val="20"/>
          </w:rPr>
          <w:t>laws-lois.justice.gc.ca/PDF/H-6.pdf</w:t>
        </w:r>
      </w:hyperlink>
      <w:r w:rsidRPr="001A6AC6">
        <w:rPr>
          <w:sz w:val="20"/>
          <w:szCs w:val="20"/>
        </w:rPr>
        <w:t xml:space="preserve">. Although Canada’s human rights laws are not part of the Constitution, they are considered “quasi-constitutional” in nature, meaning that all other laws must be interpreted in a manner consistent with human rights law.  </w:t>
      </w:r>
    </w:p>
  </w:footnote>
  <w:footnote w:id="2">
    <w:p w14:paraId="277F4C6E" w14:textId="526D40EA" w:rsidR="00296862" w:rsidRPr="00296862" w:rsidRDefault="00296862">
      <w:pPr>
        <w:pStyle w:val="FootnoteText"/>
      </w:pPr>
      <w:r>
        <w:rPr>
          <w:rStyle w:val="FootnoteReference"/>
        </w:rPr>
        <w:footnoteRef/>
      </w:r>
      <w:r>
        <w:t xml:space="preserve"> See: Justice Canada, Indian Act, </w:t>
      </w:r>
      <w:hyperlink r:id="rId2" w:history="1">
        <w:r w:rsidRPr="00D416ED">
          <w:rPr>
            <w:rStyle w:val="Hyperlink"/>
          </w:rPr>
          <w:t>https://laws-lois.justice.gc.ca/eng/acts/i-5/</w:t>
        </w:r>
      </w:hyperlink>
      <w:r w:rsidR="0068081A">
        <w:rPr>
          <w:rStyle w:val="Hyperlink"/>
        </w:rPr>
        <w:t>.</w:t>
      </w:r>
      <w:r>
        <w:t xml:space="preserve"> </w:t>
      </w:r>
    </w:p>
  </w:footnote>
  <w:footnote w:id="3">
    <w:p w14:paraId="0BD20157" w14:textId="2DD44C4C" w:rsidR="00673BA3" w:rsidRPr="00673BA3" w:rsidRDefault="00673BA3" w:rsidP="00E54D4C">
      <w:pPr>
        <w:pStyle w:val="FootnoteText"/>
      </w:pPr>
      <w:r>
        <w:rPr>
          <w:rStyle w:val="FootnoteReference"/>
        </w:rPr>
        <w:footnoteRef/>
      </w:r>
      <w:r>
        <w:t xml:space="preserve"> See for example: </w:t>
      </w:r>
      <w:r w:rsidR="009F255D">
        <w:t>Canadian Human Rights Commission,</w:t>
      </w:r>
      <w:r w:rsidR="009F255D" w:rsidRPr="009F255D">
        <w:t xml:space="preserve"> Submission to the UN Special Rapporteur on the Rights of Indigenous Peoples on the occasion of their country visit to Canada</w:t>
      </w:r>
      <w:r w:rsidR="009F255D">
        <w:t xml:space="preserve">, February 2023, unpublished; </w:t>
      </w:r>
      <w:r>
        <w:t xml:space="preserve">Canadian Human Rights Commission, Bill C-15, An Act Respecting the United Nations Declaration on the Rights of Indigenous Peoples: Submission to the Standing Senate Committee on Aboriginal Peoples, </w:t>
      </w:r>
      <w:hyperlink r:id="rId3" w:history="1">
        <w:r w:rsidRPr="000D43B0">
          <w:rPr>
            <w:rStyle w:val="Hyperlink"/>
          </w:rPr>
          <w:t>https://www.chrc-ccdp.gc.ca/sites/default/files/2021-06/CHRC_SenateSubmission_C15_EN_0.pdf</w:t>
        </w:r>
      </w:hyperlink>
      <w:r>
        <w:t xml:space="preserve">, May 28, 2021; </w:t>
      </w:r>
      <w:r w:rsidR="009F255D">
        <w:t xml:space="preserve">Canadian Human Rights Commission, Speak Out: </w:t>
      </w:r>
      <w:r w:rsidR="00E54D4C">
        <w:t xml:space="preserve">The Canadian Human Rights Commission’s 2018 Annual Report to Parliament, </w:t>
      </w:r>
      <w:hyperlink r:id="rId4" w:history="1">
        <w:r w:rsidR="00E54D4C" w:rsidRPr="000D43B0">
          <w:rPr>
            <w:rStyle w:val="Hyperlink"/>
          </w:rPr>
          <w:t>https://2018.chrcreport.ca/assets/pdf/CHRC_AR_2018-ENG.pdf</w:t>
        </w:r>
      </w:hyperlink>
      <w:r w:rsidR="00E54D4C">
        <w:t>, 2019; see pages 47-49 for a summary of the CHRC’s work in the public interest to advocate for gender equality in Indian registration.</w:t>
      </w:r>
    </w:p>
  </w:footnote>
  <w:footnote w:id="4">
    <w:p w14:paraId="6FFF60C8" w14:textId="3DAC5D8F" w:rsidR="00F15F71" w:rsidRPr="00F15F71" w:rsidRDefault="00F15F71">
      <w:pPr>
        <w:pStyle w:val="FootnoteText"/>
      </w:pPr>
      <w:r>
        <w:rPr>
          <w:rStyle w:val="FootnoteReference"/>
        </w:rPr>
        <w:footnoteRef/>
      </w:r>
      <w:r>
        <w:t xml:space="preserve"> See </w:t>
      </w:r>
      <w:proofErr w:type="spellStart"/>
      <w:r>
        <w:t>Palmater</w:t>
      </w:r>
      <w:proofErr w:type="spellEnd"/>
      <w:r>
        <w:t>, “</w:t>
      </w:r>
      <w:r w:rsidRPr="00F15F71">
        <w:t>Abolishing the Indian Act means eliminating First Nations’ rights</w:t>
      </w:r>
      <w:r>
        <w:t xml:space="preserve">,” in Macleans Magazine, </w:t>
      </w:r>
      <w:hyperlink r:id="rId5" w:history="1">
        <w:r w:rsidRPr="00AE5961">
          <w:rPr>
            <w:rStyle w:val="Hyperlink"/>
          </w:rPr>
          <w:t>https://macleans.ca/opinion/abolishing-the-indian-act-means-eliminating-first-nations-rights/</w:t>
        </w:r>
      </w:hyperlink>
      <w:r>
        <w:t>, October 10, 2019.</w:t>
      </w:r>
    </w:p>
  </w:footnote>
  <w:footnote w:id="5">
    <w:p w14:paraId="38A02645" w14:textId="3055DB62" w:rsidR="00582C47" w:rsidRPr="00582C47" w:rsidRDefault="00582C47">
      <w:pPr>
        <w:pStyle w:val="FootnoteText"/>
      </w:pPr>
      <w:r>
        <w:rPr>
          <w:rStyle w:val="FootnoteReference"/>
        </w:rPr>
        <w:footnoteRef/>
      </w:r>
      <w:r>
        <w:t xml:space="preserve"> See: Justice Canada, United Nations Declaration on the Rights of Indigenous Peoples Act, </w:t>
      </w:r>
      <w:hyperlink r:id="rId6" w:history="1">
        <w:r w:rsidRPr="00D416ED">
          <w:rPr>
            <w:rStyle w:val="Hyperlink"/>
          </w:rPr>
          <w:t>https://laws-lois.justice.gc.ca/eng/acts/U-2.2/</w:t>
        </w:r>
      </w:hyperlink>
      <w:r w:rsidR="00BE0377">
        <w:rPr>
          <w:rStyle w:val="Hyperlink"/>
        </w:rPr>
        <w:t>.</w:t>
      </w:r>
      <w:r>
        <w:t xml:space="preserve"> </w:t>
      </w:r>
    </w:p>
  </w:footnote>
  <w:footnote w:id="6">
    <w:p w14:paraId="0B10B860" w14:textId="551D2983" w:rsidR="009E51A2" w:rsidRPr="001E3967" w:rsidRDefault="009E51A2" w:rsidP="009E51A2">
      <w:pPr>
        <w:pStyle w:val="FootnoteText"/>
      </w:pPr>
      <w:r>
        <w:rPr>
          <w:rStyle w:val="FootnoteReference"/>
        </w:rPr>
        <w:footnoteRef/>
      </w:r>
      <w:r>
        <w:t xml:space="preserve"> See: Justice Canada, United Nations Declaration on the Rights of Indigenous Peoples Act Action Plan 2023-2028, </w:t>
      </w:r>
      <w:hyperlink r:id="rId7" w:history="1">
        <w:r w:rsidRPr="00B93D79">
          <w:rPr>
            <w:rStyle w:val="Hyperlink"/>
          </w:rPr>
          <w:t>https://www.justice.gc.ca/eng/declaration/ap-pa/index.html</w:t>
        </w:r>
      </w:hyperlink>
      <w:r w:rsidR="00BE0377">
        <w:rPr>
          <w:rStyle w:val="Hyperlink"/>
        </w:rPr>
        <w:t>.</w:t>
      </w:r>
      <w:r>
        <w:t xml:space="preserve"> </w:t>
      </w:r>
    </w:p>
  </w:footnote>
  <w:footnote w:id="7">
    <w:p w14:paraId="34552664" w14:textId="3F392478" w:rsidR="00C86DEF" w:rsidRPr="00C86DEF" w:rsidRDefault="00C86DEF">
      <w:pPr>
        <w:pStyle w:val="FootnoteText"/>
        <w:rPr>
          <w:lang w:val="en"/>
        </w:rPr>
      </w:pPr>
      <w:r>
        <w:rPr>
          <w:rStyle w:val="FootnoteReference"/>
        </w:rPr>
        <w:footnoteRef/>
      </w:r>
      <w:r>
        <w:t xml:space="preserve"> See: CBC News, </w:t>
      </w:r>
      <w:r w:rsidRPr="00C86DEF">
        <w:t>Assembly of First Nations wants federal UNDRIP plan overhauled, slams consultation process</w:t>
      </w:r>
      <w:r>
        <w:t xml:space="preserve">, </w:t>
      </w:r>
      <w:hyperlink r:id="rId8" w:history="1">
        <w:r w:rsidRPr="00AE5961">
          <w:rPr>
            <w:rStyle w:val="Hyperlink"/>
          </w:rPr>
          <w:t>https://www.cbc.ca/news/indigenous/afn-undrip-draft-plan-delay-1.6803777</w:t>
        </w:r>
      </w:hyperlink>
      <w:r>
        <w:t>, April 6, 2023.</w:t>
      </w:r>
    </w:p>
  </w:footnote>
  <w:footnote w:id="8">
    <w:p w14:paraId="10E96E9F" w14:textId="72592D9A" w:rsidR="00582C47" w:rsidRPr="00582C47" w:rsidRDefault="00582C47">
      <w:pPr>
        <w:pStyle w:val="FootnoteText"/>
      </w:pPr>
      <w:r>
        <w:rPr>
          <w:rStyle w:val="FootnoteReference"/>
        </w:rPr>
        <w:footnoteRef/>
      </w:r>
      <w:r>
        <w:t xml:space="preserve"> See: Justice Canada, Indigenous Languages Act, </w:t>
      </w:r>
      <w:hyperlink r:id="rId9" w:history="1">
        <w:r w:rsidRPr="00D416ED">
          <w:rPr>
            <w:rStyle w:val="Hyperlink"/>
          </w:rPr>
          <w:t>https://laws-lois.justice.gc.ca/eng/acts/i-7.85/page-1.html</w:t>
        </w:r>
      </w:hyperlink>
      <w:r w:rsidR="0068081A">
        <w:rPr>
          <w:rStyle w:val="Hyperlink"/>
        </w:rPr>
        <w:t>.</w:t>
      </w:r>
      <w:r>
        <w:t xml:space="preserve"> </w:t>
      </w:r>
    </w:p>
  </w:footnote>
  <w:footnote w:id="9">
    <w:p w14:paraId="1293D474" w14:textId="60D196FE" w:rsidR="00A728FF" w:rsidRPr="00A728FF" w:rsidRDefault="00A728FF">
      <w:pPr>
        <w:pStyle w:val="FootnoteText"/>
        <w:rPr>
          <w:lang w:val="en-CA"/>
        </w:rPr>
      </w:pPr>
      <w:r>
        <w:rPr>
          <w:rStyle w:val="FootnoteReference"/>
        </w:rPr>
        <w:footnoteRef/>
      </w:r>
      <w:r>
        <w:t xml:space="preserve"> See: Office of the Commissioner of Indigenous Languages, </w:t>
      </w:r>
      <w:r w:rsidRPr="00A728FF">
        <w:t>The Office of the Commissioner of Indigenous Languages Hears Directly from Language Experts About Their Efforts to Breathe Life Back into First Nations, Inuit, and Metis Languages</w:t>
      </w:r>
      <w:r>
        <w:t xml:space="preserve">, </w:t>
      </w:r>
      <w:hyperlink r:id="rId10" w:history="1">
        <w:r w:rsidRPr="00D416ED">
          <w:rPr>
            <w:rStyle w:val="Hyperlink"/>
          </w:rPr>
          <w:t>https://commissionforindigenouslanguages.ca/the-office-of-the-commissioner-of-indigenous-languages-hears-directly-from-language-experts-about-their-efforts-to-breathe-life-back-into-first-nations-inuit-and-metis-languages</w:t>
        </w:r>
      </w:hyperlink>
      <w:r w:rsidR="0068081A">
        <w:rPr>
          <w:rStyle w:val="Hyperlink"/>
        </w:rPr>
        <w:t>.</w:t>
      </w:r>
      <w:r>
        <w:t xml:space="preserve"> </w:t>
      </w:r>
    </w:p>
  </w:footnote>
  <w:footnote w:id="10">
    <w:p w14:paraId="3585BAF2" w14:textId="670631C4" w:rsidR="0029280F" w:rsidRPr="0029280F" w:rsidRDefault="0029280F">
      <w:pPr>
        <w:pStyle w:val="FootnoteText"/>
      </w:pPr>
      <w:r>
        <w:rPr>
          <w:rStyle w:val="FootnoteReference"/>
        </w:rPr>
        <w:footnoteRef/>
      </w:r>
      <w:r>
        <w:t xml:space="preserve"> See: Justice Canada, </w:t>
      </w:r>
      <w:r w:rsidRPr="0029280F">
        <w:t xml:space="preserve">An Act respecting First Nations, Inuit and Métis children, </w:t>
      </w:r>
      <w:proofErr w:type="gramStart"/>
      <w:r w:rsidRPr="0029280F">
        <w:t>youth</w:t>
      </w:r>
      <w:proofErr w:type="gramEnd"/>
      <w:r w:rsidRPr="0029280F">
        <w:t xml:space="preserve"> and families</w:t>
      </w:r>
      <w:r>
        <w:t xml:space="preserve">,  </w:t>
      </w:r>
      <w:hyperlink r:id="rId11" w:history="1">
        <w:r w:rsidR="00BE0377" w:rsidRPr="00B27065">
          <w:rPr>
            <w:rStyle w:val="Hyperlink"/>
          </w:rPr>
          <w:t>https://laws.justice.gc.ca/eng/acts/F-11.73/index.html</w:t>
        </w:r>
      </w:hyperlink>
      <w:r w:rsidR="00BE0377">
        <w:t xml:space="preserve">. </w:t>
      </w:r>
      <w:r w:rsidR="00BE0377" w:rsidRPr="00BE0377" w:rsidDel="00BE0377">
        <w:t xml:space="preserve"> </w:t>
      </w:r>
      <w:r w:rsidR="00BE0377">
        <w:t xml:space="preserve"> </w:t>
      </w:r>
      <w:r>
        <w:t xml:space="preserve"> </w:t>
      </w:r>
    </w:p>
  </w:footnote>
  <w:footnote w:id="11">
    <w:p w14:paraId="33E78468" w14:textId="0FA70307" w:rsidR="004F4667" w:rsidRPr="004F4667" w:rsidRDefault="004F4667">
      <w:pPr>
        <w:pStyle w:val="FootnoteText"/>
      </w:pPr>
      <w:r>
        <w:rPr>
          <w:rStyle w:val="FootnoteReference"/>
        </w:rPr>
        <w:footnoteRef/>
      </w:r>
      <w:r>
        <w:t xml:space="preserve"> See: Justice Canada, Accessible Canada Act, </w:t>
      </w:r>
      <w:hyperlink r:id="rId12" w:history="1">
        <w:r w:rsidR="00BE0377" w:rsidRPr="00B27065">
          <w:rPr>
            <w:rStyle w:val="Hyperlink"/>
          </w:rPr>
          <w:t>https://laws-lois.justice.gc.ca/eng/acts/a-0.6/</w:t>
        </w:r>
      </w:hyperlink>
      <w:r w:rsidR="00BE0377">
        <w:t xml:space="preserve">. </w:t>
      </w:r>
    </w:p>
  </w:footnote>
  <w:footnote w:id="12">
    <w:p w14:paraId="73497F8C" w14:textId="04FF6AFA" w:rsidR="00667DCE" w:rsidRPr="00667DCE" w:rsidRDefault="00667DCE">
      <w:pPr>
        <w:pStyle w:val="FootnoteText"/>
      </w:pPr>
      <w:r>
        <w:rPr>
          <w:rStyle w:val="FootnoteReference"/>
        </w:rPr>
        <w:footnoteRef/>
      </w:r>
      <w:r>
        <w:t xml:space="preserve"> See: Parliament of Canada, </w:t>
      </w:r>
      <w:hyperlink r:id="rId13" w:history="1">
        <w:r w:rsidRPr="00D416ED">
          <w:rPr>
            <w:rStyle w:val="Hyperlink"/>
          </w:rPr>
          <w:t>https://www.parl.ca/legisinfo/en/bill/44-1/c-38</w:t>
        </w:r>
      </w:hyperlink>
      <w:r w:rsidR="00BE0377">
        <w:rPr>
          <w:rStyle w:val="Hyperlink"/>
        </w:rPr>
        <w:t>.</w:t>
      </w:r>
      <w:r>
        <w:t xml:space="preserve"> </w:t>
      </w:r>
    </w:p>
  </w:footnote>
  <w:footnote w:id="13">
    <w:p w14:paraId="681B85E5" w14:textId="104DFD3C" w:rsidR="00554A50" w:rsidRPr="00554A50" w:rsidRDefault="00554A50">
      <w:pPr>
        <w:pStyle w:val="FootnoteText"/>
      </w:pPr>
      <w:r>
        <w:rPr>
          <w:rStyle w:val="FootnoteReference"/>
        </w:rPr>
        <w:footnoteRef/>
      </w:r>
      <w:r>
        <w:t xml:space="preserve"> See: Senate of Canada, </w:t>
      </w:r>
      <w:proofErr w:type="gramStart"/>
      <w:r>
        <w:t>Make</w:t>
      </w:r>
      <w:proofErr w:type="gramEnd"/>
      <w:r>
        <w:t xml:space="preserve"> it Stop! Ending the Remaining Discrimination in Indian Registration, </w:t>
      </w:r>
      <w:hyperlink r:id="rId14" w:history="1">
        <w:r w:rsidRPr="00D416ED">
          <w:rPr>
            <w:rStyle w:val="Hyperlink"/>
          </w:rPr>
          <w:t>https://sencanada.ca/content/sen/committee/441/APPA/Reports/2022-06-27_APPA_S-3_Report_e_FINAL.pdf</w:t>
        </w:r>
      </w:hyperlink>
      <w:r w:rsidR="00BE0377">
        <w:rPr>
          <w:rStyle w:val="Hyperlink"/>
        </w:rPr>
        <w:t>.</w:t>
      </w:r>
      <w:r>
        <w:t xml:space="preserve"> </w:t>
      </w:r>
    </w:p>
  </w:footnote>
  <w:footnote w:id="14">
    <w:p w14:paraId="5355FCC6" w14:textId="77777777" w:rsidR="00812054" w:rsidRPr="00613B54" w:rsidRDefault="00812054" w:rsidP="00812054">
      <w:pPr>
        <w:pStyle w:val="FootnoteText"/>
      </w:pPr>
      <w:r>
        <w:rPr>
          <w:rStyle w:val="FootnoteReference"/>
        </w:rPr>
        <w:footnoteRef/>
      </w:r>
      <w:r>
        <w:t xml:space="preserve"> </w:t>
      </w:r>
      <w:r w:rsidRPr="00613B54">
        <w:t xml:space="preserve">Enfranchisement </w:t>
      </w:r>
      <w:r>
        <w:t>wa</w:t>
      </w:r>
      <w:r w:rsidRPr="00613B54">
        <w:t>s a legal process for terminating a person's Indian status and conferring full Canadian citizenship</w:t>
      </w:r>
      <w:r>
        <w:t xml:space="preserve"> rights which were not necessarily available to “Status Indians” before 1960</w:t>
      </w:r>
      <w:r w:rsidRPr="00613B54">
        <w:t xml:space="preserve">. Enfranchisement was a key feature of the Canadian government's assimilation policies regarding </w:t>
      </w:r>
      <w:r>
        <w:t>Indigenous</w:t>
      </w:r>
      <w:r w:rsidRPr="00613B54">
        <w:t xml:space="preserve"> peoples.</w:t>
      </w:r>
    </w:p>
  </w:footnote>
  <w:footnote w:id="15">
    <w:p w14:paraId="6FE88A67" w14:textId="51EA5D20" w:rsidR="001E3967" w:rsidRPr="001E3967" w:rsidRDefault="001E3967">
      <w:pPr>
        <w:pStyle w:val="FootnoteText"/>
      </w:pPr>
      <w:r>
        <w:rPr>
          <w:rStyle w:val="FootnoteReference"/>
        </w:rPr>
        <w:footnoteRef/>
      </w:r>
      <w:r>
        <w:t xml:space="preserve"> See: Parliament of Canada, </w:t>
      </w:r>
      <w:hyperlink r:id="rId15" w:history="1">
        <w:r w:rsidRPr="00B93D79">
          <w:rPr>
            <w:rStyle w:val="Hyperlink"/>
          </w:rPr>
          <w:t>https://www.parl.ca/legisinfo/en/bill/44-1/c-29</w:t>
        </w:r>
      </w:hyperlink>
      <w:r w:rsidR="00BE0377">
        <w:rPr>
          <w:rStyle w:val="Hyperlink"/>
        </w:rPr>
        <w:t>.</w:t>
      </w:r>
      <w:r>
        <w:t xml:space="preserve"> </w:t>
      </w:r>
    </w:p>
  </w:footnote>
  <w:footnote w:id="16">
    <w:p w14:paraId="4DBBA9ED" w14:textId="27617FC3" w:rsidR="00D716C2" w:rsidRPr="00D716C2" w:rsidRDefault="00D716C2">
      <w:pPr>
        <w:pStyle w:val="FootnoteText"/>
      </w:pPr>
      <w:r>
        <w:rPr>
          <w:rStyle w:val="FootnoteReference"/>
        </w:rPr>
        <w:footnoteRef/>
      </w:r>
      <w:r>
        <w:t xml:space="preserve"> See: Parliament of Canada</w:t>
      </w:r>
      <w:r w:rsidR="001E3967">
        <w:t>,</w:t>
      </w:r>
      <w:r>
        <w:t xml:space="preserve">  </w:t>
      </w:r>
      <w:hyperlink r:id="rId16" w:history="1">
        <w:r w:rsidRPr="00B93D79">
          <w:rPr>
            <w:rStyle w:val="Hyperlink"/>
          </w:rPr>
          <w:t>https://www.parl.ca/legisinfo/en/bill/44-1/c-53</w:t>
        </w:r>
      </w:hyperlink>
      <w:r w:rsidR="00BE0377">
        <w:rPr>
          <w:rStyle w:val="Hyperlink"/>
        </w:rPr>
        <w:t>.</w:t>
      </w:r>
      <w:r>
        <w:t xml:space="preserve"> </w:t>
      </w:r>
    </w:p>
  </w:footnote>
  <w:footnote w:id="17">
    <w:p w14:paraId="37BA8D1F" w14:textId="774A1E85" w:rsidR="008B635F" w:rsidRPr="008B635F" w:rsidRDefault="008B635F">
      <w:pPr>
        <w:pStyle w:val="FootnoteText"/>
      </w:pPr>
      <w:r>
        <w:rPr>
          <w:rStyle w:val="FootnoteReference"/>
        </w:rPr>
        <w:footnoteRef/>
      </w:r>
      <w:r>
        <w:t xml:space="preserve"> See: Assembly of First Nations, </w:t>
      </w:r>
      <w:r w:rsidRPr="008B635F">
        <w:t>Assembly of First Nations (AFN) Supports First Nations Call to Delay Implementation of Métis Self-Government Recognition and Implementation Legislation</w:t>
      </w:r>
      <w:r>
        <w:t xml:space="preserve">, </w:t>
      </w:r>
      <w:hyperlink r:id="rId17" w:history="1">
        <w:r w:rsidRPr="00AE5961">
          <w:rPr>
            <w:rStyle w:val="Hyperlink"/>
          </w:rPr>
          <w:t>https://afn.ca/all-news/press-releases/assembly-of-first-nations-afn-supports-first-nations-call-to-delay-implementation-of-metis-self-government-recognition-and-implementation-legislation/</w:t>
        </w:r>
      </w:hyperlink>
      <w:r>
        <w:t>, June 20, 2023.</w:t>
      </w:r>
    </w:p>
  </w:footnote>
  <w:footnote w:id="18">
    <w:p w14:paraId="48319AB8" w14:textId="15FE015B" w:rsidR="008F2F85" w:rsidRPr="008F2F85" w:rsidRDefault="008F2F85" w:rsidP="00DE6E6C">
      <w:pPr>
        <w:pStyle w:val="FootnoteText"/>
      </w:pPr>
      <w:r>
        <w:rPr>
          <w:rStyle w:val="FootnoteReference"/>
        </w:rPr>
        <w:footnoteRef/>
      </w:r>
      <w:r>
        <w:t xml:space="preserve"> See: Canadian Human Rights Commission, </w:t>
      </w:r>
      <w:r w:rsidRPr="008F2F85">
        <w:t>CHRC concerned by findings into overrepresentation of Indigenous people in prison</w:t>
      </w:r>
      <w:r>
        <w:t xml:space="preserve">, </w:t>
      </w:r>
      <w:hyperlink r:id="rId18" w:history="1">
        <w:r w:rsidRPr="00004ABA">
          <w:rPr>
            <w:rStyle w:val="Hyperlink"/>
          </w:rPr>
          <w:t>https://www.chrc-ccdp.gc.ca/en/resources/chrc-concerned-findings-overrepresentation-indigenous-people-prison</w:t>
        </w:r>
      </w:hyperlink>
      <w:r>
        <w:t>, November 3, 2023</w:t>
      </w:r>
      <w:r w:rsidR="00DE6E6C">
        <w:t xml:space="preserve">; and Submission to the Committee Against Torture in Advance of the Committee’s Development of the List of Issues Prior to Reporting for Canada’s 8th Periodic Review, </w:t>
      </w:r>
      <w:hyperlink r:id="rId19" w:history="1">
        <w:r w:rsidR="00DE6E6C" w:rsidRPr="00004ABA">
          <w:rPr>
            <w:rStyle w:val="Hyperlink"/>
          </w:rPr>
          <w:t>https://tbinternet.ohchr.org/_layouts/15/treatybodyexternal/Download.aspx?symbolno=INT%2fCAT%2fIFR%2fCAN%2f45205&amp;Lang=en</w:t>
        </w:r>
      </w:hyperlink>
      <w:r w:rsidR="00DE6E6C">
        <w:t xml:space="preserve">, June 2021. </w:t>
      </w:r>
    </w:p>
  </w:footnote>
  <w:footnote w:id="19">
    <w:p w14:paraId="00076778" w14:textId="56BB8055" w:rsidR="00AF7B10" w:rsidRPr="008F2F85" w:rsidRDefault="00AF7B10" w:rsidP="00AF7B10">
      <w:pPr>
        <w:pStyle w:val="FootnoteText"/>
      </w:pPr>
      <w:r w:rsidRPr="00BF23E7">
        <w:rPr>
          <w:rStyle w:val="FootnoteReference"/>
          <w:rFonts w:ascii="Arial" w:hAnsi="Arial" w:cs="Arial"/>
        </w:rPr>
        <w:footnoteRef/>
      </w:r>
      <w:r w:rsidRPr="00BF23E7">
        <w:rPr>
          <w:rFonts w:ascii="Arial" w:hAnsi="Arial" w:cs="Arial"/>
        </w:rPr>
        <w:t xml:space="preserve"> </w:t>
      </w:r>
      <w:r w:rsidR="00CE17E6">
        <w:rPr>
          <w:rFonts w:ascii="Arial" w:hAnsi="Arial" w:cs="Arial"/>
        </w:rPr>
        <w:t xml:space="preserve">See: </w:t>
      </w:r>
      <w:r w:rsidRPr="008F2F85">
        <w:t xml:space="preserve">OCI Annual Report 2019-2020 at p. 20, available at: </w:t>
      </w:r>
      <w:hyperlink r:id="rId20" w:history="1">
        <w:r w:rsidRPr="008F2F85">
          <w:rPr>
            <w:rStyle w:val="Hyperlink"/>
            <w:rFonts w:eastAsia="Calibri"/>
          </w:rPr>
          <w:t>https://www.oci-bec.gc.ca/cnt/rpt/pdf/annrpt/annrpt20192020-eng.pdf</w:t>
        </w:r>
      </w:hyperlink>
      <w:r w:rsidRPr="008F2F85">
        <w:rPr>
          <w:rFonts w:eastAsia="Calibri"/>
        </w:rPr>
        <w:t xml:space="preserve">; and OCI Annual Report 2016-2017 at p. 56, available at </w:t>
      </w:r>
      <w:hyperlink r:id="rId21" w:history="1">
        <w:r w:rsidRPr="008F2F85">
          <w:rPr>
            <w:rStyle w:val="Hyperlink"/>
          </w:rPr>
          <w:t>https://www.oci-bec.gc.ca/cnt/rpt/pdf/annrpt/annrpt20162017-eng.pdf</w:t>
        </w:r>
      </w:hyperlink>
      <w:r w:rsidRPr="008F2F85">
        <w:t xml:space="preserve">. </w:t>
      </w:r>
      <w:r w:rsidRPr="008F2F85">
        <w:rPr>
          <w:rFonts w:eastAsia="Calibri"/>
          <w:color w:val="0000FF"/>
          <w:u w:val="single"/>
        </w:rPr>
        <w:t xml:space="preserve"> </w:t>
      </w:r>
    </w:p>
  </w:footnote>
  <w:footnote w:id="20">
    <w:p w14:paraId="371904CA" w14:textId="563FC6E5" w:rsidR="00AF7B10" w:rsidRPr="008F2F85" w:rsidRDefault="00AF7B10" w:rsidP="00AF7B10">
      <w:pPr>
        <w:pStyle w:val="FootnoteText"/>
      </w:pPr>
      <w:r w:rsidRPr="008F2F85">
        <w:rPr>
          <w:rStyle w:val="FootnoteReference"/>
        </w:rPr>
        <w:footnoteRef/>
      </w:r>
      <w:r w:rsidRPr="008F2F85">
        <w:t xml:space="preserve"> See, for example: </w:t>
      </w:r>
      <w:r w:rsidRPr="00292541">
        <w:rPr>
          <w:iCs/>
        </w:rPr>
        <w:t xml:space="preserve">2016 Fall Reports of the Auditor General of Canada: Preparing Indigenous Offenders for Release, </w:t>
      </w:r>
      <w:r w:rsidRPr="008F2F85">
        <w:t xml:space="preserve">available at </w:t>
      </w:r>
      <w:hyperlink r:id="rId22" w:history="1">
        <w:r w:rsidRPr="008F2F85">
          <w:rPr>
            <w:rStyle w:val="Hyperlink"/>
          </w:rPr>
          <w:t>http://www.oag-bvg.gc.ca/internet/English/parl_oag_201611_03_e_41832.html</w:t>
        </w:r>
      </w:hyperlink>
      <w:r w:rsidRPr="008F2F85">
        <w:t xml:space="preserve">. </w:t>
      </w:r>
    </w:p>
  </w:footnote>
  <w:footnote w:id="21">
    <w:p w14:paraId="1819E3B3" w14:textId="7675E20E" w:rsidR="00AF7B10" w:rsidRPr="008F2F85" w:rsidRDefault="00AF7B10" w:rsidP="00AF7B10">
      <w:pPr>
        <w:pStyle w:val="FootnoteText"/>
      </w:pPr>
      <w:r w:rsidRPr="008F2F85">
        <w:rPr>
          <w:rStyle w:val="FootnoteReference"/>
        </w:rPr>
        <w:footnoteRef/>
      </w:r>
      <w:r w:rsidRPr="008F2F85">
        <w:t xml:space="preserve"> See: Standing Senate Committee on Human Rights, </w:t>
      </w:r>
      <w:r w:rsidRPr="00292541">
        <w:rPr>
          <w:iCs/>
        </w:rPr>
        <w:t>Interim Report – Study on the Human Rights of Federally-Sentenced Persons: The Most Basic Human Right is to be Treated as a Human Being,</w:t>
      </w:r>
      <w:r w:rsidRPr="008F2F85">
        <w:t xml:space="preserve"> February 2019, at: </w:t>
      </w:r>
      <w:hyperlink r:id="rId23" w:history="1">
        <w:r w:rsidRPr="008F2F85">
          <w:rPr>
            <w:rStyle w:val="Hyperlink"/>
          </w:rPr>
          <w:t>https://sencanada.ca/content/sen/committee/421/RIDR/Reports/RIDR_Report_Prisioners_e.pdf</w:t>
        </w:r>
      </w:hyperlink>
      <w:r w:rsidRPr="008F2F85">
        <w:t xml:space="preserve">.  </w:t>
      </w:r>
    </w:p>
  </w:footnote>
  <w:footnote w:id="22">
    <w:p w14:paraId="6DC76512" w14:textId="549A13E2" w:rsidR="006E008A" w:rsidRPr="00232D08" w:rsidRDefault="006E008A" w:rsidP="006E008A">
      <w:pPr>
        <w:pStyle w:val="FootnoteText"/>
      </w:pPr>
      <w:r w:rsidRPr="003D4328">
        <w:rPr>
          <w:vertAlign w:val="superscript"/>
        </w:rPr>
        <w:footnoteRef/>
      </w:r>
      <w:r>
        <w:t xml:space="preserve"> See: Office of the Correctional Investigator, </w:t>
      </w:r>
      <w:hyperlink r:id="rId24" w:history="1">
        <w:r w:rsidRPr="000D19A4">
          <w:rPr>
            <w:rStyle w:val="Hyperlink"/>
          </w:rPr>
          <w:t>https://oci-bec.gc.ca/en/</w:t>
        </w:r>
      </w:hyperlink>
      <w:r w:rsidR="00BE0377">
        <w:rPr>
          <w:rStyle w:val="Hyperlink"/>
        </w:rPr>
        <w:t>.</w:t>
      </w:r>
      <w:r>
        <w:t xml:space="preserve"> </w:t>
      </w:r>
    </w:p>
  </w:footnote>
  <w:footnote w:id="23">
    <w:p w14:paraId="2F8180F1" w14:textId="4B1312D9" w:rsidR="00292541" w:rsidRPr="00292541" w:rsidRDefault="00292541">
      <w:pPr>
        <w:pStyle w:val="FootnoteText"/>
      </w:pPr>
      <w:r>
        <w:rPr>
          <w:rStyle w:val="FootnoteReference"/>
        </w:rPr>
        <w:footnoteRef/>
      </w:r>
      <w:r>
        <w:t xml:space="preserve"> See: Correctional Service of Canada, </w:t>
      </w:r>
      <w:r w:rsidRPr="00292541">
        <w:t>The Correctional Service of Canada announces Deputy Commissioner for Indigenous Corrections</w:t>
      </w:r>
      <w:r>
        <w:t xml:space="preserve">, </w:t>
      </w:r>
      <w:hyperlink r:id="rId25" w:history="1">
        <w:r w:rsidR="00CE17E6" w:rsidRPr="000D43B0">
          <w:rPr>
            <w:rStyle w:val="Hyperlink"/>
          </w:rPr>
          <w:t>https://www.canada.ca/en/correctional-service/news/2023/03/the-correctional-service-of-canada-announces-deputy-commissioner-for-indigenous-corrections.html</w:t>
        </w:r>
      </w:hyperlink>
      <w:r w:rsidR="00CE17E6">
        <w:t>, March 27, 2023.</w:t>
      </w:r>
    </w:p>
  </w:footnote>
  <w:footnote w:id="24">
    <w:p w14:paraId="5F2FF920" w14:textId="26D2D227" w:rsidR="00173DFF" w:rsidRPr="00D750C9" w:rsidRDefault="00173DFF" w:rsidP="00173DFF">
      <w:pPr>
        <w:pStyle w:val="FootnoteText"/>
      </w:pPr>
      <w:r>
        <w:rPr>
          <w:rStyle w:val="FootnoteReference"/>
        </w:rPr>
        <w:footnoteRef/>
      </w:r>
      <w:r>
        <w:t xml:space="preserve"> </w:t>
      </w:r>
      <w:r w:rsidRPr="003D4328">
        <w:rPr>
          <w:color w:val="212529"/>
        </w:rPr>
        <w:t xml:space="preserve">Dominique (on behalf of the members of the </w:t>
      </w:r>
      <w:proofErr w:type="spellStart"/>
      <w:r w:rsidRPr="003D4328">
        <w:rPr>
          <w:color w:val="212529"/>
        </w:rPr>
        <w:t>Pekuakamiulnuatsh</w:t>
      </w:r>
      <w:proofErr w:type="spellEnd"/>
      <w:r w:rsidRPr="003D4328">
        <w:rPr>
          <w:color w:val="212529"/>
        </w:rPr>
        <w:t xml:space="preserve"> First Nation) v. Public Safety Canada,</w:t>
      </w:r>
      <w:r w:rsidRPr="001B3C25">
        <w:rPr>
          <w:color w:val="212529"/>
        </w:rPr>
        <w:t xml:space="preserve"> 2022 CHRT 4 (</w:t>
      </w:r>
      <w:proofErr w:type="spellStart"/>
      <w:r w:rsidRPr="001B3C25">
        <w:rPr>
          <w:color w:val="212529"/>
        </w:rPr>
        <w:t>CanLII</w:t>
      </w:r>
      <w:proofErr w:type="spellEnd"/>
      <w:r w:rsidRPr="001B3C25">
        <w:rPr>
          <w:color w:val="212529"/>
        </w:rPr>
        <w:t xml:space="preserve">), </w:t>
      </w:r>
      <w:hyperlink r:id="rId26" w:history="1">
        <w:r w:rsidR="006F0C01" w:rsidRPr="000D43B0">
          <w:rPr>
            <w:rStyle w:val="Hyperlink"/>
          </w:rPr>
          <w:t>https://canlii.ca/t/jp3h7</w:t>
        </w:r>
      </w:hyperlink>
      <w:r w:rsidR="006F0C01">
        <w:rPr>
          <w:color w:val="212529"/>
        </w:rPr>
        <w:t>.</w:t>
      </w:r>
    </w:p>
  </w:footnote>
  <w:footnote w:id="25">
    <w:p w14:paraId="4E752B79" w14:textId="3B716816" w:rsidR="00173DFF" w:rsidRPr="001B3C25" w:rsidRDefault="00173DFF" w:rsidP="00173DFF">
      <w:pPr>
        <w:pStyle w:val="FootnoteText"/>
        <w:rPr>
          <w:lang w:val="fr-CA"/>
        </w:rPr>
      </w:pPr>
      <w:r>
        <w:rPr>
          <w:rStyle w:val="FootnoteReference"/>
        </w:rPr>
        <w:footnoteRef/>
      </w:r>
      <w:r w:rsidRPr="001B3C25">
        <w:rPr>
          <w:lang w:val="fr-CA"/>
        </w:rPr>
        <w:t xml:space="preserve"> </w:t>
      </w:r>
      <w:r w:rsidRPr="003D4328">
        <w:rPr>
          <w:rFonts w:ascii="Calibri" w:eastAsia="Calibri" w:hAnsi="Calibri" w:cs="Times New Roman"/>
          <w:shd w:val="clear" w:color="auto" w:fill="auto"/>
          <w:lang w:val="fr-CA"/>
        </w:rPr>
        <w:t>Canada (Procureur général) c. Première Nation des Pekuakamiulnuatsh</w:t>
      </w:r>
      <w:r w:rsidRPr="001B3C25">
        <w:rPr>
          <w:rFonts w:ascii="Calibri" w:eastAsia="Calibri" w:hAnsi="Calibri" w:cs="Times New Roman"/>
          <w:shd w:val="clear" w:color="auto" w:fill="auto"/>
          <w:lang w:val="fr-CA"/>
        </w:rPr>
        <w:t>, 2023 CF 267</w:t>
      </w:r>
      <w:r w:rsidR="00BE0377">
        <w:rPr>
          <w:rFonts w:ascii="Calibri" w:eastAsia="Calibri" w:hAnsi="Calibri" w:cs="Times New Roman"/>
          <w:shd w:val="clear" w:color="auto" w:fill="auto"/>
          <w:lang w:val="fr-CA"/>
        </w:rPr>
        <w:t>.</w:t>
      </w:r>
    </w:p>
  </w:footnote>
  <w:footnote w:id="26">
    <w:p w14:paraId="6049CBD8" w14:textId="75E8D2C2" w:rsidR="003D4328" w:rsidRPr="003D4328" w:rsidRDefault="003D4328">
      <w:pPr>
        <w:pStyle w:val="FootnoteText"/>
      </w:pPr>
      <w:r>
        <w:rPr>
          <w:rStyle w:val="FootnoteReference"/>
        </w:rPr>
        <w:footnoteRef/>
      </w:r>
      <w:r>
        <w:t xml:space="preserve"> </w:t>
      </w:r>
      <w:r w:rsidRPr="003D4328">
        <w:t>First Nations Child and Family Caring Society of Canada et al. v. Attorney General of Canada (for the Minister of Indian and Northern Affairs Canada), 2016 CHRT 2 (</w:t>
      </w:r>
      <w:proofErr w:type="spellStart"/>
      <w:r w:rsidRPr="003D4328">
        <w:t>CanLII</w:t>
      </w:r>
      <w:proofErr w:type="spellEnd"/>
      <w:r w:rsidRPr="003D4328">
        <w:t xml:space="preserve">), </w:t>
      </w:r>
      <w:hyperlink r:id="rId27" w:history="1">
        <w:r w:rsidRPr="000D43B0">
          <w:rPr>
            <w:rStyle w:val="Hyperlink"/>
          </w:rPr>
          <w:t>https://canlii.ca/t/gn2vg</w:t>
        </w:r>
      </w:hyperlink>
      <w:r>
        <w:t xml:space="preserve">. </w:t>
      </w:r>
    </w:p>
  </w:footnote>
  <w:footnote w:id="27">
    <w:p w14:paraId="4111D190" w14:textId="59C4101F" w:rsidR="00B51543" w:rsidRPr="00B51543" w:rsidRDefault="00B51543">
      <w:pPr>
        <w:pStyle w:val="FootnoteText"/>
      </w:pPr>
      <w:r>
        <w:rPr>
          <w:rStyle w:val="FootnoteReference"/>
        </w:rPr>
        <w:footnoteRef/>
      </w:r>
      <w:r>
        <w:t xml:space="preserve"> See: Indigenous Services Canada, </w:t>
      </w:r>
      <w:r w:rsidRPr="00B51543">
        <w:t>Federal Court approves settlement agreement to compensate First Nations children and families</w:t>
      </w:r>
      <w:r>
        <w:t xml:space="preserve">, </w:t>
      </w:r>
      <w:hyperlink r:id="rId28" w:history="1">
        <w:r w:rsidRPr="000D43B0">
          <w:rPr>
            <w:rStyle w:val="Hyperlink"/>
          </w:rPr>
          <w:t>https://www.canada.ca/en/indigenous-services-canada/news/2023/10/federal-court-approves-settlement-agreement-to-compensate-first-nations-children-and-families.html</w:t>
        </w:r>
      </w:hyperlink>
      <w:r>
        <w:t>, October 24, 2023.</w:t>
      </w:r>
    </w:p>
  </w:footnote>
  <w:footnote w:id="28">
    <w:p w14:paraId="0BC15B7C" w14:textId="65388DE9" w:rsidR="00645783" w:rsidRPr="00645783" w:rsidRDefault="00645783">
      <w:pPr>
        <w:pStyle w:val="FootnoteText"/>
      </w:pPr>
      <w:r>
        <w:rPr>
          <w:rStyle w:val="FootnoteReference"/>
        </w:rPr>
        <w:footnoteRef/>
      </w:r>
      <w:r>
        <w:t xml:space="preserve"> See: First Nations Child and Family Caring Society, </w:t>
      </w:r>
      <w:r w:rsidRPr="00645783">
        <w:t>Caring Society December 12</w:t>
      </w:r>
      <w:proofErr w:type="gramStart"/>
      <w:r w:rsidRPr="00645783">
        <w:t xml:space="preserve"> 2023</w:t>
      </w:r>
      <w:proofErr w:type="gramEnd"/>
      <w:r w:rsidRPr="00645783">
        <w:t xml:space="preserve"> Notice of Motion for Jordan's Principle</w:t>
      </w:r>
      <w:r>
        <w:t xml:space="preserve">, </w:t>
      </w:r>
      <w:r w:rsidRPr="00645783">
        <w:t>https://fncaringsociety.com/publications/caring-society-december-12-2023-notice-motion-jordans-principle</w:t>
      </w:r>
      <w:r w:rsidR="000B4BB5">
        <w:t>.</w:t>
      </w:r>
    </w:p>
  </w:footnote>
  <w:footnote w:id="29">
    <w:p w14:paraId="5D306D10" w14:textId="77777777" w:rsidR="00033DDB" w:rsidRDefault="00033DDB" w:rsidP="00033DDB">
      <w:pPr>
        <w:pStyle w:val="FootnoteText"/>
      </w:pPr>
      <w:r>
        <w:rPr>
          <w:rStyle w:val="FootnoteReference"/>
        </w:rPr>
        <w:footnoteRef/>
      </w:r>
      <w:r>
        <w:t xml:space="preserve"> See: Canadian Human Rights Commission, A Matter of Rights: A Special Report of the Canadian Human Rights</w:t>
      </w:r>
    </w:p>
    <w:p w14:paraId="16356623" w14:textId="11FD1082" w:rsidR="00033DDB" w:rsidRPr="00033DDB" w:rsidRDefault="00033DDB" w:rsidP="00033DDB">
      <w:pPr>
        <w:pStyle w:val="FootnoteText"/>
      </w:pPr>
      <w:r>
        <w:t xml:space="preserve">Commission on the Repeal of Section 67 of the Canadian Human Rights Act, October 2005, </w:t>
      </w:r>
      <w:hyperlink r:id="rId29" w:history="1">
        <w:r w:rsidRPr="00033DDB">
          <w:rPr>
            <w:rStyle w:val="Hyperlink"/>
          </w:rPr>
          <w:t>https://www.chrc-ccdp.gc.ca/sites/default/files/publication-pdfs/report_a_matter_of_rights_en.pdf</w:t>
        </w:r>
      </w:hyperlink>
      <w:r>
        <w:t xml:space="preserve">. </w:t>
      </w:r>
    </w:p>
  </w:footnote>
  <w:footnote w:id="30">
    <w:p w14:paraId="38380EB3" w14:textId="5C211501" w:rsidR="008539CF" w:rsidRPr="008539CF" w:rsidRDefault="008539CF" w:rsidP="008539CF">
      <w:pPr>
        <w:pStyle w:val="FootnoteText"/>
      </w:pPr>
      <w:r>
        <w:rPr>
          <w:rStyle w:val="FootnoteReference"/>
        </w:rPr>
        <w:footnoteRef/>
      </w:r>
      <w:r>
        <w:t xml:space="preserve"> See: Standing Senate Committee on Aboriginal Peoples, Order Of Reference, </w:t>
      </w:r>
      <w:hyperlink r:id="rId30" w:history="1">
        <w:r w:rsidRPr="000D43B0">
          <w:rPr>
            <w:rStyle w:val="Hyperlink"/>
          </w:rPr>
          <w:t>https://sencanada.ca/en/Content/SEN/Committee/441/APPA/APPA-SS-1-e</w:t>
        </w:r>
      </w:hyperlink>
      <w:r>
        <w:t>, which gives the authority to study this question.</w:t>
      </w:r>
    </w:p>
  </w:footnote>
  <w:footnote w:id="31">
    <w:p w14:paraId="7C7E1A5B" w14:textId="782390CD" w:rsidR="00AE28FC" w:rsidRPr="00AE28FC" w:rsidRDefault="00AE28FC" w:rsidP="00A96343">
      <w:pPr>
        <w:pStyle w:val="FootnoteText"/>
      </w:pPr>
      <w:r>
        <w:rPr>
          <w:rStyle w:val="FootnoteReference"/>
        </w:rPr>
        <w:footnoteRef/>
      </w:r>
      <w:r>
        <w:t xml:space="preserve"> See: CHRC, </w:t>
      </w:r>
      <w:r w:rsidRPr="00AE28FC">
        <w:t>Appearance before the Senate Committee of Indigenous Peoples (APPA) on the topic of a Canadian Human Rights Framework</w:t>
      </w:r>
      <w:r>
        <w:t xml:space="preserve">, </w:t>
      </w:r>
      <w:hyperlink r:id="rId31" w:history="1">
        <w:r w:rsidRPr="00AE5961">
          <w:rPr>
            <w:rStyle w:val="Hyperlink"/>
          </w:rPr>
          <w:t>https://www.chrc-ccdp.gc.ca/en/resources/appearance-the-senate-committee-indigenous-peoples-appa-the-topic-a-canadian-human-rights</w:t>
        </w:r>
      </w:hyperlink>
      <w:r>
        <w:t>, April 18, 2023</w:t>
      </w:r>
      <w:r w:rsidR="00A96343">
        <w:t>; and Senate of Canada, The Standing Senate Committee on Indigenous Peoples, Evidence (transcript</w:t>
      </w:r>
      <w:r w:rsidR="00E87C3A">
        <w:t xml:space="preserve"> of witness testimony</w:t>
      </w:r>
      <w:r w:rsidR="00A96343">
        <w:t xml:space="preserve">), </w:t>
      </w:r>
      <w:hyperlink r:id="rId32" w:history="1">
        <w:r w:rsidR="00E87C3A" w:rsidRPr="00204630">
          <w:rPr>
            <w:rStyle w:val="Hyperlink"/>
          </w:rPr>
          <w:t>https://sencanada.ca/en/Content/Sen/Committee/441/APPA/38EV-56139-E</w:t>
        </w:r>
      </w:hyperlink>
      <w:r w:rsidR="00A96343">
        <w:t>, April 25, 2023.</w:t>
      </w:r>
    </w:p>
  </w:footnote>
  <w:footnote w:id="32">
    <w:p w14:paraId="6632D089" w14:textId="77777777" w:rsidR="00813D55" w:rsidRPr="00454BA6" w:rsidRDefault="00813D55" w:rsidP="00813D55">
      <w:pPr>
        <w:pStyle w:val="FootnoteText"/>
      </w:pPr>
      <w:r>
        <w:rPr>
          <w:rStyle w:val="FootnoteReference"/>
        </w:rPr>
        <w:footnoteRef/>
      </w:r>
      <w:r>
        <w:t xml:space="preserve"> See: Office of the Correctional Investigator, Office of the Correctional Investigator Annual Report 2022-2023, </w:t>
      </w:r>
      <w:hyperlink r:id="rId33" w:history="1">
        <w:r w:rsidRPr="00B93D79">
          <w:rPr>
            <w:rStyle w:val="Hyperlink"/>
          </w:rPr>
          <w:t>https://oci-bec.gc.ca/en/content/office-correctional-investigator-annual-report-2022-2023</w:t>
        </w:r>
      </w:hyperlink>
      <w:r>
        <w:rPr>
          <w:rStyle w:val="Hyperlink"/>
        </w:rPr>
        <w:t>.</w:t>
      </w:r>
      <w:r>
        <w:t xml:space="preserve"> </w:t>
      </w:r>
    </w:p>
  </w:footnote>
  <w:footnote w:id="33">
    <w:p w14:paraId="0131DC3B" w14:textId="45252B7A" w:rsidR="006D459E" w:rsidRPr="006D459E" w:rsidRDefault="006D459E">
      <w:pPr>
        <w:pStyle w:val="FootnoteText"/>
      </w:pPr>
      <w:r>
        <w:rPr>
          <w:rStyle w:val="FootnoteReference"/>
        </w:rPr>
        <w:footnoteRef/>
      </w:r>
      <w:r>
        <w:t xml:space="preserve"> See: </w:t>
      </w:r>
      <w:r w:rsidR="000B323B">
        <w:t xml:space="preserve">Office of the Correctional Investigator, </w:t>
      </w:r>
      <w:r>
        <w:t xml:space="preserve">Backgrounder – Summary of Ten Years since Spirit Matters: Indigenous Issues in Federal Corrections (Parts I &amp; II), </w:t>
      </w:r>
      <w:hyperlink r:id="rId34" w:history="1">
        <w:r w:rsidRPr="00B93D79">
          <w:rPr>
            <w:rStyle w:val="Hyperlink"/>
          </w:rPr>
          <w:t>https://oci-bec.gc.ca/en/content/backgrounder-summary-ten-years-spirit-matters-indigenous-issues-federal-corrections-parts</w:t>
        </w:r>
      </w:hyperlink>
      <w:r w:rsidR="00BE0377">
        <w:rPr>
          <w:rStyle w:val="Hyperlink"/>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646F" w14:textId="77777777" w:rsidR="0029438F" w:rsidRDefault="00294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783D" w14:textId="1008ABBF" w:rsidR="0029438F" w:rsidRDefault="002943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FD16" w14:textId="77777777" w:rsidR="0029438F" w:rsidRDefault="00294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00D"/>
    <w:multiLevelType w:val="hybridMultilevel"/>
    <w:tmpl w:val="36DE65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5162F99"/>
    <w:multiLevelType w:val="hybridMultilevel"/>
    <w:tmpl w:val="467A199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BF962F4"/>
    <w:multiLevelType w:val="hybridMultilevel"/>
    <w:tmpl w:val="D9787B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BF0424E"/>
    <w:multiLevelType w:val="hybridMultilevel"/>
    <w:tmpl w:val="FB3819B4"/>
    <w:lvl w:ilvl="0" w:tplc="10090011">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3D7076D"/>
    <w:multiLevelType w:val="hybridMultilevel"/>
    <w:tmpl w:val="1D9092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DF3CA4"/>
    <w:multiLevelType w:val="hybridMultilevel"/>
    <w:tmpl w:val="253CB1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357C0AE9"/>
    <w:multiLevelType w:val="hybridMultilevel"/>
    <w:tmpl w:val="916665C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399A161B"/>
    <w:multiLevelType w:val="hybridMultilevel"/>
    <w:tmpl w:val="7B26DE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15D3C84"/>
    <w:multiLevelType w:val="hybridMultilevel"/>
    <w:tmpl w:val="893E7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33C2313"/>
    <w:multiLevelType w:val="hybridMultilevel"/>
    <w:tmpl w:val="7E6EA7E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467A7648"/>
    <w:multiLevelType w:val="hybridMultilevel"/>
    <w:tmpl w:val="4E9E6880"/>
    <w:lvl w:ilvl="0" w:tplc="2C36973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E851A76"/>
    <w:multiLevelType w:val="hybridMultilevel"/>
    <w:tmpl w:val="C268BA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537B6D81"/>
    <w:multiLevelType w:val="hybridMultilevel"/>
    <w:tmpl w:val="4462E142"/>
    <w:lvl w:ilvl="0" w:tplc="E3CA7310">
      <w:start w:val="1"/>
      <w:numFmt w:val="lowerLetter"/>
      <w:lvlText w:val="%1)"/>
      <w:lvlJc w:val="left"/>
      <w:pPr>
        <w:ind w:left="720" w:hanging="360"/>
      </w:pPr>
      <w:rPr>
        <w:rFonts w:hint="default"/>
        <w:sz w:val="22"/>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37E4584"/>
    <w:multiLevelType w:val="hybridMultilevel"/>
    <w:tmpl w:val="258613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705176C"/>
    <w:multiLevelType w:val="hybridMultilevel"/>
    <w:tmpl w:val="7FB6EB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A8D18AD"/>
    <w:multiLevelType w:val="hybridMultilevel"/>
    <w:tmpl w:val="A28699F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5C445D12"/>
    <w:multiLevelType w:val="hybridMultilevel"/>
    <w:tmpl w:val="A21EDF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00854E4"/>
    <w:multiLevelType w:val="hybridMultilevel"/>
    <w:tmpl w:val="D3E232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09C7DE2"/>
    <w:multiLevelType w:val="hybridMultilevel"/>
    <w:tmpl w:val="1CD6C3C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27E5619"/>
    <w:multiLevelType w:val="hybridMultilevel"/>
    <w:tmpl w:val="FD0AFA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5B9365C"/>
    <w:multiLevelType w:val="hybridMultilevel"/>
    <w:tmpl w:val="10F6FA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CA3749D"/>
    <w:multiLevelType w:val="hybridMultilevel"/>
    <w:tmpl w:val="0A4442F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8127FC"/>
    <w:multiLevelType w:val="hybridMultilevel"/>
    <w:tmpl w:val="E2A8C50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71731117"/>
    <w:multiLevelType w:val="hybridMultilevel"/>
    <w:tmpl w:val="A20A01E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7400677D"/>
    <w:multiLevelType w:val="hybridMultilevel"/>
    <w:tmpl w:val="F6B2B4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8AF354E"/>
    <w:multiLevelType w:val="hybridMultilevel"/>
    <w:tmpl w:val="6226B90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7DCA0851"/>
    <w:multiLevelType w:val="hybridMultilevel"/>
    <w:tmpl w:val="399EB5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76671710">
    <w:abstractNumId w:val="10"/>
  </w:num>
  <w:num w:numId="2" w16cid:durableId="738598811">
    <w:abstractNumId w:val="8"/>
  </w:num>
  <w:num w:numId="3" w16cid:durableId="1169177064">
    <w:abstractNumId w:val="12"/>
  </w:num>
  <w:num w:numId="4" w16cid:durableId="1842040168">
    <w:abstractNumId w:val="3"/>
  </w:num>
  <w:num w:numId="5" w16cid:durableId="1935819349">
    <w:abstractNumId w:val="25"/>
  </w:num>
  <w:num w:numId="6" w16cid:durableId="1208835593">
    <w:abstractNumId w:val="22"/>
  </w:num>
  <w:num w:numId="7" w16cid:durableId="251861631">
    <w:abstractNumId w:val="0"/>
  </w:num>
  <w:num w:numId="8" w16cid:durableId="291324119">
    <w:abstractNumId w:val="11"/>
  </w:num>
  <w:num w:numId="9" w16cid:durableId="22438714">
    <w:abstractNumId w:val="15"/>
  </w:num>
  <w:num w:numId="10" w16cid:durableId="1112937181">
    <w:abstractNumId w:val="9"/>
  </w:num>
  <w:num w:numId="11" w16cid:durableId="1060638632">
    <w:abstractNumId w:val="4"/>
  </w:num>
  <w:num w:numId="12" w16cid:durableId="244078085">
    <w:abstractNumId w:val="24"/>
  </w:num>
  <w:num w:numId="13" w16cid:durableId="1585989706">
    <w:abstractNumId w:val="18"/>
  </w:num>
  <w:num w:numId="14" w16cid:durableId="966198482">
    <w:abstractNumId w:val="2"/>
  </w:num>
  <w:num w:numId="15" w16cid:durableId="1102653349">
    <w:abstractNumId w:val="1"/>
  </w:num>
  <w:num w:numId="16" w16cid:durableId="1274439752">
    <w:abstractNumId w:val="16"/>
  </w:num>
  <w:num w:numId="17" w16cid:durableId="716516330">
    <w:abstractNumId w:val="6"/>
  </w:num>
  <w:num w:numId="18" w16cid:durableId="1975022406">
    <w:abstractNumId w:val="23"/>
  </w:num>
  <w:num w:numId="19" w16cid:durableId="39406217">
    <w:abstractNumId w:val="7"/>
  </w:num>
  <w:num w:numId="20" w16cid:durableId="1608192289">
    <w:abstractNumId w:val="26"/>
  </w:num>
  <w:num w:numId="21" w16cid:durableId="1599564340">
    <w:abstractNumId w:val="14"/>
  </w:num>
  <w:num w:numId="22" w16cid:durableId="1758669559">
    <w:abstractNumId w:val="19"/>
  </w:num>
  <w:num w:numId="23" w16cid:durableId="1377969411">
    <w:abstractNumId w:val="20"/>
  </w:num>
  <w:num w:numId="24" w16cid:durableId="1528790737">
    <w:abstractNumId w:val="17"/>
  </w:num>
  <w:num w:numId="25" w16cid:durableId="1084716858">
    <w:abstractNumId w:val="13"/>
  </w:num>
  <w:num w:numId="26" w16cid:durableId="544176850">
    <w:abstractNumId w:val="5"/>
  </w:num>
  <w:num w:numId="27" w16cid:durableId="13558124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proofState w:spelling="clean" w:grammar="clean"/>
  <w:trackRevisions/>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CD"/>
    <w:rsid w:val="000013BC"/>
    <w:rsid w:val="000219A7"/>
    <w:rsid w:val="000244FD"/>
    <w:rsid w:val="0002477E"/>
    <w:rsid w:val="000273CD"/>
    <w:rsid w:val="00030051"/>
    <w:rsid w:val="00033958"/>
    <w:rsid w:val="00033DDB"/>
    <w:rsid w:val="00047761"/>
    <w:rsid w:val="000544AB"/>
    <w:rsid w:val="00055D01"/>
    <w:rsid w:val="00055E58"/>
    <w:rsid w:val="00065523"/>
    <w:rsid w:val="00067578"/>
    <w:rsid w:val="00070C91"/>
    <w:rsid w:val="000864B6"/>
    <w:rsid w:val="00094ABC"/>
    <w:rsid w:val="00095C8D"/>
    <w:rsid w:val="000965EF"/>
    <w:rsid w:val="000B16F6"/>
    <w:rsid w:val="000B323B"/>
    <w:rsid w:val="000B4BB5"/>
    <w:rsid w:val="000C3384"/>
    <w:rsid w:val="000C7646"/>
    <w:rsid w:val="000D61E7"/>
    <w:rsid w:val="000D6588"/>
    <w:rsid w:val="000E0835"/>
    <w:rsid w:val="000F40FC"/>
    <w:rsid w:val="00104527"/>
    <w:rsid w:val="00107B9E"/>
    <w:rsid w:val="001112D3"/>
    <w:rsid w:val="001158C9"/>
    <w:rsid w:val="001175B4"/>
    <w:rsid w:val="00122862"/>
    <w:rsid w:val="00124E8A"/>
    <w:rsid w:val="0013077B"/>
    <w:rsid w:val="00134B40"/>
    <w:rsid w:val="00134CB5"/>
    <w:rsid w:val="00150D54"/>
    <w:rsid w:val="00161148"/>
    <w:rsid w:val="001626E0"/>
    <w:rsid w:val="00162BA7"/>
    <w:rsid w:val="00173DFF"/>
    <w:rsid w:val="001A3BA7"/>
    <w:rsid w:val="001A6A4C"/>
    <w:rsid w:val="001A6AC6"/>
    <w:rsid w:val="001A6EDF"/>
    <w:rsid w:val="001B02CE"/>
    <w:rsid w:val="001B195E"/>
    <w:rsid w:val="001B76BE"/>
    <w:rsid w:val="001C3C35"/>
    <w:rsid w:val="001C599B"/>
    <w:rsid w:val="001D2E53"/>
    <w:rsid w:val="001D5432"/>
    <w:rsid w:val="001E3967"/>
    <w:rsid w:val="001E43EF"/>
    <w:rsid w:val="001F0707"/>
    <w:rsid w:val="00201C38"/>
    <w:rsid w:val="0020227A"/>
    <w:rsid w:val="00205197"/>
    <w:rsid w:val="00214FC2"/>
    <w:rsid w:val="00224CE8"/>
    <w:rsid w:val="002256DA"/>
    <w:rsid w:val="00232D08"/>
    <w:rsid w:val="00236B30"/>
    <w:rsid w:val="00243E70"/>
    <w:rsid w:val="00244997"/>
    <w:rsid w:val="00245FA2"/>
    <w:rsid w:val="002471C4"/>
    <w:rsid w:val="002523B6"/>
    <w:rsid w:val="00257062"/>
    <w:rsid w:val="002570A1"/>
    <w:rsid w:val="00261C4F"/>
    <w:rsid w:val="00265B33"/>
    <w:rsid w:val="002701D7"/>
    <w:rsid w:val="0027200D"/>
    <w:rsid w:val="002720F2"/>
    <w:rsid w:val="00272B84"/>
    <w:rsid w:val="00274712"/>
    <w:rsid w:val="00277DEB"/>
    <w:rsid w:val="002800F0"/>
    <w:rsid w:val="0028558D"/>
    <w:rsid w:val="002858A7"/>
    <w:rsid w:val="0029126D"/>
    <w:rsid w:val="00292541"/>
    <w:rsid w:val="0029280F"/>
    <w:rsid w:val="0029438F"/>
    <w:rsid w:val="00295690"/>
    <w:rsid w:val="00295AA0"/>
    <w:rsid w:val="00296862"/>
    <w:rsid w:val="00297337"/>
    <w:rsid w:val="002977A0"/>
    <w:rsid w:val="002A4641"/>
    <w:rsid w:val="002A6A9A"/>
    <w:rsid w:val="002A7F15"/>
    <w:rsid w:val="002B037F"/>
    <w:rsid w:val="002B6E09"/>
    <w:rsid w:val="002C2592"/>
    <w:rsid w:val="002C352D"/>
    <w:rsid w:val="002C3762"/>
    <w:rsid w:val="002D1F6F"/>
    <w:rsid w:val="002D388D"/>
    <w:rsid w:val="002E0FC4"/>
    <w:rsid w:val="002E3CB1"/>
    <w:rsid w:val="002F7E55"/>
    <w:rsid w:val="00300830"/>
    <w:rsid w:val="00301561"/>
    <w:rsid w:val="00307786"/>
    <w:rsid w:val="00312C12"/>
    <w:rsid w:val="00313815"/>
    <w:rsid w:val="003220BA"/>
    <w:rsid w:val="00325EC6"/>
    <w:rsid w:val="00330211"/>
    <w:rsid w:val="003331BD"/>
    <w:rsid w:val="00336E0E"/>
    <w:rsid w:val="00340C8A"/>
    <w:rsid w:val="0035045D"/>
    <w:rsid w:val="00352D8B"/>
    <w:rsid w:val="003604B5"/>
    <w:rsid w:val="003848BC"/>
    <w:rsid w:val="00395CB0"/>
    <w:rsid w:val="003A2430"/>
    <w:rsid w:val="003A42A8"/>
    <w:rsid w:val="003A6B08"/>
    <w:rsid w:val="003B00B8"/>
    <w:rsid w:val="003B07CC"/>
    <w:rsid w:val="003B3E27"/>
    <w:rsid w:val="003B5CEC"/>
    <w:rsid w:val="003C2EED"/>
    <w:rsid w:val="003C6091"/>
    <w:rsid w:val="003D0DF7"/>
    <w:rsid w:val="003D1157"/>
    <w:rsid w:val="003D4328"/>
    <w:rsid w:val="003D73DD"/>
    <w:rsid w:val="003E4D2D"/>
    <w:rsid w:val="003E5260"/>
    <w:rsid w:val="003E6E6B"/>
    <w:rsid w:val="003F7784"/>
    <w:rsid w:val="00400854"/>
    <w:rsid w:val="00403671"/>
    <w:rsid w:val="00406096"/>
    <w:rsid w:val="00414A99"/>
    <w:rsid w:val="00420B7B"/>
    <w:rsid w:val="0042633D"/>
    <w:rsid w:val="0044138A"/>
    <w:rsid w:val="004415E3"/>
    <w:rsid w:val="004428DB"/>
    <w:rsid w:val="00444AFE"/>
    <w:rsid w:val="00454BA6"/>
    <w:rsid w:val="00460FB9"/>
    <w:rsid w:val="004619D9"/>
    <w:rsid w:val="004636D3"/>
    <w:rsid w:val="0046702A"/>
    <w:rsid w:val="00467E43"/>
    <w:rsid w:val="00472A46"/>
    <w:rsid w:val="004759DE"/>
    <w:rsid w:val="004831A5"/>
    <w:rsid w:val="00486254"/>
    <w:rsid w:val="004A1962"/>
    <w:rsid w:val="004A23CF"/>
    <w:rsid w:val="004A3DEB"/>
    <w:rsid w:val="004A404B"/>
    <w:rsid w:val="004B1C18"/>
    <w:rsid w:val="004B386B"/>
    <w:rsid w:val="004B3DC4"/>
    <w:rsid w:val="004C3F42"/>
    <w:rsid w:val="004C49F6"/>
    <w:rsid w:val="004D32D0"/>
    <w:rsid w:val="004E1FB3"/>
    <w:rsid w:val="004E2F5F"/>
    <w:rsid w:val="004E46E1"/>
    <w:rsid w:val="004E57B0"/>
    <w:rsid w:val="004F291F"/>
    <w:rsid w:val="004F4667"/>
    <w:rsid w:val="004F5D10"/>
    <w:rsid w:val="004F7408"/>
    <w:rsid w:val="00502735"/>
    <w:rsid w:val="00512847"/>
    <w:rsid w:val="005163D1"/>
    <w:rsid w:val="005322E8"/>
    <w:rsid w:val="00540727"/>
    <w:rsid w:val="0054192B"/>
    <w:rsid w:val="00541F67"/>
    <w:rsid w:val="005468BD"/>
    <w:rsid w:val="00554A50"/>
    <w:rsid w:val="00555D7A"/>
    <w:rsid w:val="00561A6B"/>
    <w:rsid w:val="00561F9C"/>
    <w:rsid w:val="00566E13"/>
    <w:rsid w:val="005747E0"/>
    <w:rsid w:val="00575F3D"/>
    <w:rsid w:val="00580144"/>
    <w:rsid w:val="005825EF"/>
    <w:rsid w:val="00582C47"/>
    <w:rsid w:val="005A456B"/>
    <w:rsid w:val="005A46A2"/>
    <w:rsid w:val="005A5ED4"/>
    <w:rsid w:val="005B04B3"/>
    <w:rsid w:val="005B2539"/>
    <w:rsid w:val="005C75C4"/>
    <w:rsid w:val="005D48CE"/>
    <w:rsid w:val="005E0953"/>
    <w:rsid w:val="005E23C3"/>
    <w:rsid w:val="005E2AB1"/>
    <w:rsid w:val="005F2518"/>
    <w:rsid w:val="00613554"/>
    <w:rsid w:val="00613B54"/>
    <w:rsid w:val="00616117"/>
    <w:rsid w:val="006165E6"/>
    <w:rsid w:val="00622166"/>
    <w:rsid w:val="00631F14"/>
    <w:rsid w:val="00635AAB"/>
    <w:rsid w:val="00645783"/>
    <w:rsid w:val="00647817"/>
    <w:rsid w:val="0066020A"/>
    <w:rsid w:val="0066255B"/>
    <w:rsid w:val="00664C2E"/>
    <w:rsid w:val="00666F61"/>
    <w:rsid w:val="00667DCE"/>
    <w:rsid w:val="00673ADF"/>
    <w:rsid w:val="00673BA3"/>
    <w:rsid w:val="0067484F"/>
    <w:rsid w:val="0068081A"/>
    <w:rsid w:val="00685C44"/>
    <w:rsid w:val="00690406"/>
    <w:rsid w:val="006919CA"/>
    <w:rsid w:val="006A358A"/>
    <w:rsid w:val="006A3D39"/>
    <w:rsid w:val="006B084D"/>
    <w:rsid w:val="006B0FE1"/>
    <w:rsid w:val="006B1030"/>
    <w:rsid w:val="006B1F53"/>
    <w:rsid w:val="006C117A"/>
    <w:rsid w:val="006C2D56"/>
    <w:rsid w:val="006C4A5F"/>
    <w:rsid w:val="006D004A"/>
    <w:rsid w:val="006D2244"/>
    <w:rsid w:val="006D459E"/>
    <w:rsid w:val="006E008A"/>
    <w:rsid w:val="006E5275"/>
    <w:rsid w:val="006E7640"/>
    <w:rsid w:val="006F0C01"/>
    <w:rsid w:val="006F2821"/>
    <w:rsid w:val="006F2CB3"/>
    <w:rsid w:val="006F610C"/>
    <w:rsid w:val="006F6D05"/>
    <w:rsid w:val="006F7C14"/>
    <w:rsid w:val="007004D5"/>
    <w:rsid w:val="00703010"/>
    <w:rsid w:val="0071042D"/>
    <w:rsid w:val="00720F99"/>
    <w:rsid w:val="0072589F"/>
    <w:rsid w:val="00725ADB"/>
    <w:rsid w:val="00740441"/>
    <w:rsid w:val="00761438"/>
    <w:rsid w:val="00765172"/>
    <w:rsid w:val="00766D9E"/>
    <w:rsid w:val="00771008"/>
    <w:rsid w:val="00771E4F"/>
    <w:rsid w:val="00773CFC"/>
    <w:rsid w:val="007754AE"/>
    <w:rsid w:val="0078112D"/>
    <w:rsid w:val="00783F30"/>
    <w:rsid w:val="00797C43"/>
    <w:rsid w:val="007A37FE"/>
    <w:rsid w:val="007B1F78"/>
    <w:rsid w:val="007B32E6"/>
    <w:rsid w:val="007B5A28"/>
    <w:rsid w:val="007C105C"/>
    <w:rsid w:val="007C3792"/>
    <w:rsid w:val="007D1606"/>
    <w:rsid w:val="007D3100"/>
    <w:rsid w:val="007E53E9"/>
    <w:rsid w:val="007F362B"/>
    <w:rsid w:val="007F6D75"/>
    <w:rsid w:val="00804FA4"/>
    <w:rsid w:val="00812054"/>
    <w:rsid w:val="00813D55"/>
    <w:rsid w:val="008174B0"/>
    <w:rsid w:val="00823576"/>
    <w:rsid w:val="00824D26"/>
    <w:rsid w:val="00825006"/>
    <w:rsid w:val="00830669"/>
    <w:rsid w:val="00831889"/>
    <w:rsid w:val="008365D8"/>
    <w:rsid w:val="00842020"/>
    <w:rsid w:val="00850395"/>
    <w:rsid w:val="008539CF"/>
    <w:rsid w:val="0085448E"/>
    <w:rsid w:val="0086640A"/>
    <w:rsid w:val="0086765F"/>
    <w:rsid w:val="008707FB"/>
    <w:rsid w:val="00883BA4"/>
    <w:rsid w:val="00886DED"/>
    <w:rsid w:val="00886EB7"/>
    <w:rsid w:val="00887075"/>
    <w:rsid w:val="008A39B3"/>
    <w:rsid w:val="008A4110"/>
    <w:rsid w:val="008A5D72"/>
    <w:rsid w:val="008B635F"/>
    <w:rsid w:val="008C36A1"/>
    <w:rsid w:val="008C494F"/>
    <w:rsid w:val="008C515A"/>
    <w:rsid w:val="008C52B9"/>
    <w:rsid w:val="008C78AE"/>
    <w:rsid w:val="008D56AA"/>
    <w:rsid w:val="008E3C55"/>
    <w:rsid w:val="008E66EA"/>
    <w:rsid w:val="008E7C82"/>
    <w:rsid w:val="008F2F85"/>
    <w:rsid w:val="00902857"/>
    <w:rsid w:val="00904A1A"/>
    <w:rsid w:val="009118B2"/>
    <w:rsid w:val="00917C46"/>
    <w:rsid w:val="009363CA"/>
    <w:rsid w:val="009371B4"/>
    <w:rsid w:val="00946193"/>
    <w:rsid w:val="009469C5"/>
    <w:rsid w:val="00947DEC"/>
    <w:rsid w:val="00951EA5"/>
    <w:rsid w:val="009563A4"/>
    <w:rsid w:val="009576DD"/>
    <w:rsid w:val="00964399"/>
    <w:rsid w:val="00964F19"/>
    <w:rsid w:val="009741D4"/>
    <w:rsid w:val="00980A23"/>
    <w:rsid w:val="00983BD0"/>
    <w:rsid w:val="00991565"/>
    <w:rsid w:val="00994E96"/>
    <w:rsid w:val="009A4C6C"/>
    <w:rsid w:val="009A6AF4"/>
    <w:rsid w:val="009B1CDC"/>
    <w:rsid w:val="009B494A"/>
    <w:rsid w:val="009B6FF5"/>
    <w:rsid w:val="009C07EB"/>
    <w:rsid w:val="009C0A25"/>
    <w:rsid w:val="009C3F7D"/>
    <w:rsid w:val="009C5118"/>
    <w:rsid w:val="009C6FFA"/>
    <w:rsid w:val="009D3657"/>
    <w:rsid w:val="009E51A2"/>
    <w:rsid w:val="009F04D9"/>
    <w:rsid w:val="009F22F4"/>
    <w:rsid w:val="009F255D"/>
    <w:rsid w:val="00A002B5"/>
    <w:rsid w:val="00A04A5D"/>
    <w:rsid w:val="00A14674"/>
    <w:rsid w:val="00A15CC2"/>
    <w:rsid w:val="00A2170D"/>
    <w:rsid w:val="00A22B13"/>
    <w:rsid w:val="00A3044F"/>
    <w:rsid w:val="00A31741"/>
    <w:rsid w:val="00A31E9E"/>
    <w:rsid w:val="00A32D2E"/>
    <w:rsid w:val="00A34749"/>
    <w:rsid w:val="00A3559E"/>
    <w:rsid w:val="00A419DD"/>
    <w:rsid w:val="00A51737"/>
    <w:rsid w:val="00A57DE3"/>
    <w:rsid w:val="00A66346"/>
    <w:rsid w:val="00A66390"/>
    <w:rsid w:val="00A66BF2"/>
    <w:rsid w:val="00A70AF8"/>
    <w:rsid w:val="00A728FF"/>
    <w:rsid w:val="00A74237"/>
    <w:rsid w:val="00A75E15"/>
    <w:rsid w:val="00A77F56"/>
    <w:rsid w:val="00A8373D"/>
    <w:rsid w:val="00A841A0"/>
    <w:rsid w:val="00A853F4"/>
    <w:rsid w:val="00A87B45"/>
    <w:rsid w:val="00A93B73"/>
    <w:rsid w:val="00A93F4F"/>
    <w:rsid w:val="00A96343"/>
    <w:rsid w:val="00A96670"/>
    <w:rsid w:val="00AA2468"/>
    <w:rsid w:val="00AA6BC9"/>
    <w:rsid w:val="00AA766F"/>
    <w:rsid w:val="00AC22DD"/>
    <w:rsid w:val="00AC3455"/>
    <w:rsid w:val="00AC4A14"/>
    <w:rsid w:val="00AD4478"/>
    <w:rsid w:val="00AD570D"/>
    <w:rsid w:val="00AE018F"/>
    <w:rsid w:val="00AE28FC"/>
    <w:rsid w:val="00AF5FD6"/>
    <w:rsid w:val="00AF7B10"/>
    <w:rsid w:val="00B04384"/>
    <w:rsid w:val="00B044F6"/>
    <w:rsid w:val="00B0474D"/>
    <w:rsid w:val="00B16FFF"/>
    <w:rsid w:val="00B2222F"/>
    <w:rsid w:val="00B24266"/>
    <w:rsid w:val="00B25D15"/>
    <w:rsid w:val="00B25EE3"/>
    <w:rsid w:val="00B42EB3"/>
    <w:rsid w:val="00B43455"/>
    <w:rsid w:val="00B44B33"/>
    <w:rsid w:val="00B51543"/>
    <w:rsid w:val="00B53594"/>
    <w:rsid w:val="00B552C8"/>
    <w:rsid w:val="00B55DC5"/>
    <w:rsid w:val="00B72B2C"/>
    <w:rsid w:val="00B7470C"/>
    <w:rsid w:val="00B839C8"/>
    <w:rsid w:val="00B84D8A"/>
    <w:rsid w:val="00B87DC8"/>
    <w:rsid w:val="00B94D96"/>
    <w:rsid w:val="00B966A9"/>
    <w:rsid w:val="00BA1262"/>
    <w:rsid w:val="00BB20F0"/>
    <w:rsid w:val="00BB2817"/>
    <w:rsid w:val="00BB3B8F"/>
    <w:rsid w:val="00BB641D"/>
    <w:rsid w:val="00BB71DA"/>
    <w:rsid w:val="00BC0DD8"/>
    <w:rsid w:val="00BC24FE"/>
    <w:rsid w:val="00BC6303"/>
    <w:rsid w:val="00BC6B0D"/>
    <w:rsid w:val="00BD22F3"/>
    <w:rsid w:val="00BD3992"/>
    <w:rsid w:val="00BD3A7D"/>
    <w:rsid w:val="00BD7BFB"/>
    <w:rsid w:val="00BE0377"/>
    <w:rsid w:val="00BF01F1"/>
    <w:rsid w:val="00BF4CC5"/>
    <w:rsid w:val="00C03BFF"/>
    <w:rsid w:val="00C11440"/>
    <w:rsid w:val="00C12B54"/>
    <w:rsid w:val="00C14395"/>
    <w:rsid w:val="00C16C85"/>
    <w:rsid w:val="00C2122C"/>
    <w:rsid w:val="00C2125C"/>
    <w:rsid w:val="00C23E63"/>
    <w:rsid w:val="00C27A6E"/>
    <w:rsid w:val="00C3342E"/>
    <w:rsid w:val="00C33D3A"/>
    <w:rsid w:val="00C37DF4"/>
    <w:rsid w:val="00C429E5"/>
    <w:rsid w:val="00C457DF"/>
    <w:rsid w:val="00C464CE"/>
    <w:rsid w:val="00C47B25"/>
    <w:rsid w:val="00C5507B"/>
    <w:rsid w:val="00C718D1"/>
    <w:rsid w:val="00C86C5C"/>
    <w:rsid w:val="00C86DEF"/>
    <w:rsid w:val="00C95A19"/>
    <w:rsid w:val="00C963B8"/>
    <w:rsid w:val="00C97A73"/>
    <w:rsid w:val="00CA19F9"/>
    <w:rsid w:val="00CB3662"/>
    <w:rsid w:val="00CB529F"/>
    <w:rsid w:val="00CC0EFB"/>
    <w:rsid w:val="00CD3D73"/>
    <w:rsid w:val="00CD4314"/>
    <w:rsid w:val="00CE17E6"/>
    <w:rsid w:val="00CE18C3"/>
    <w:rsid w:val="00CF2DCF"/>
    <w:rsid w:val="00D0500D"/>
    <w:rsid w:val="00D06856"/>
    <w:rsid w:val="00D16D91"/>
    <w:rsid w:val="00D16DAE"/>
    <w:rsid w:val="00D25232"/>
    <w:rsid w:val="00D25A61"/>
    <w:rsid w:val="00D2756C"/>
    <w:rsid w:val="00D30D1D"/>
    <w:rsid w:val="00D34B29"/>
    <w:rsid w:val="00D420F6"/>
    <w:rsid w:val="00D432EE"/>
    <w:rsid w:val="00D514AC"/>
    <w:rsid w:val="00D538F9"/>
    <w:rsid w:val="00D53972"/>
    <w:rsid w:val="00D55B8A"/>
    <w:rsid w:val="00D57107"/>
    <w:rsid w:val="00D63FE8"/>
    <w:rsid w:val="00D710C4"/>
    <w:rsid w:val="00D715F7"/>
    <w:rsid w:val="00D716C2"/>
    <w:rsid w:val="00D75806"/>
    <w:rsid w:val="00D87D4D"/>
    <w:rsid w:val="00D9607B"/>
    <w:rsid w:val="00D9658C"/>
    <w:rsid w:val="00DA3123"/>
    <w:rsid w:val="00DA36F6"/>
    <w:rsid w:val="00DA43E4"/>
    <w:rsid w:val="00DC15B5"/>
    <w:rsid w:val="00DD15CB"/>
    <w:rsid w:val="00DD4D97"/>
    <w:rsid w:val="00DE3495"/>
    <w:rsid w:val="00DE6E6C"/>
    <w:rsid w:val="00DF2129"/>
    <w:rsid w:val="00E03D51"/>
    <w:rsid w:val="00E04362"/>
    <w:rsid w:val="00E1442F"/>
    <w:rsid w:val="00E21D85"/>
    <w:rsid w:val="00E26022"/>
    <w:rsid w:val="00E30E1B"/>
    <w:rsid w:val="00E33589"/>
    <w:rsid w:val="00E33A9E"/>
    <w:rsid w:val="00E36C1D"/>
    <w:rsid w:val="00E3763C"/>
    <w:rsid w:val="00E4447E"/>
    <w:rsid w:val="00E446C6"/>
    <w:rsid w:val="00E47FA9"/>
    <w:rsid w:val="00E50662"/>
    <w:rsid w:val="00E52F53"/>
    <w:rsid w:val="00E54D4C"/>
    <w:rsid w:val="00E87C3A"/>
    <w:rsid w:val="00EA42E8"/>
    <w:rsid w:val="00EA50CB"/>
    <w:rsid w:val="00EC5892"/>
    <w:rsid w:val="00EC6B07"/>
    <w:rsid w:val="00ED14C5"/>
    <w:rsid w:val="00ED3165"/>
    <w:rsid w:val="00EE0881"/>
    <w:rsid w:val="00EE392A"/>
    <w:rsid w:val="00EE59BA"/>
    <w:rsid w:val="00EE6B09"/>
    <w:rsid w:val="00EE6C92"/>
    <w:rsid w:val="00EF442C"/>
    <w:rsid w:val="00F01BE6"/>
    <w:rsid w:val="00F03563"/>
    <w:rsid w:val="00F060C5"/>
    <w:rsid w:val="00F075F5"/>
    <w:rsid w:val="00F15D35"/>
    <w:rsid w:val="00F15F71"/>
    <w:rsid w:val="00F21F07"/>
    <w:rsid w:val="00F25E7E"/>
    <w:rsid w:val="00F3217A"/>
    <w:rsid w:val="00F37DF4"/>
    <w:rsid w:val="00F402BD"/>
    <w:rsid w:val="00F402D4"/>
    <w:rsid w:val="00F41603"/>
    <w:rsid w:val="00F503C1"/>
    <w:rsid w:val="00F513F3"/>
    <w:rsid w:val="00F55317"/>
    <w:rsid w:val="00F609F1"/>
    <w:rsid w:val="00F60DB3"/>
    <w:rsid w:val="00F66A5D"/>
    <w:rsid w:val="00F6767D"/>
    <w:rsid w:val="00F722AC"/>
    <w:rsid w:val="00F725D6"/>
    <w:rsid w:val="00F81D1A"/>
    <w:rsid w:val="00F92170"/>
    <w:rsid w:val="00F930BB"/>
    <w:rsid w:val="00FB619C"/>
    <w:rsid w:val="00FC07D8"/>
    <w:rsid w:val="00FC2990"/>
    <w:rsid w:val="00FC56BA"/>
    <w:rsid w:val="00FC72D1"/>
    <w:rsid w:val="00FD79B1"/>
    <w:rsid w:val="00FE033B"/>
    <w:rsid w:val="00FE0F66"/>
    <w:rsid w:val="00FE6ACF"/>
    <w:rsid w:val="00FE6F9B"/>
    <w:rsid w:val="00FE75F2"/>
    <w:rsid w:val="00FF01AE"/>
    <w:rsid w:val="00FF43B0"/>
    <w:rsid w:val="00FF76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6AD6004F"/>
  <w15:chartTrackingRefBased/>
  <w15:docId w15:val="{52B3A86E-7CDC-44B6-A7C1-7A67189E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AC6"/>
    <w:rPr>
      <w:rFonts w:cstheme="minorHAnsi"/>
      <w:shd w:val="clear" w:color="auto" w:fill="FFFFFF"/>
      <w:lang w:val="en-US"/>
    </w:rPr>
  </w:style>
  <w:style w:type="paragraph" w:styleId="Heading1">
    <w:name w:val="heading 1"/>
    <w:basedOn w:val="Normal"/>
    <w:next w:val="Normal"/>
    <w:link w:val="Heading1Char"/>
    <w:uiPriority w:val="9"/>
    <w:qFormat/>
    <w:rsid w:val="00027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73CD"/>
    <w:pPr>
      <w:keepNext/>
      <w:keepLines/>
      <w:spacing w:before="40" w:after="0"/>
      <w:outlineLvl w:val="1"/>
    </w:pPr>
    <w:rPr>
      <w:rFonts w:asciiTheme="majorHAnsi" w:eastAsiaTheme="majorEastAsia" w:hAnsiTheme="majorHAnsi" w:cstheme="majorBidi"/>
      <w:color w:val="2E74B5" w:themeColor="accent1" w:themeShade="BF"/>
      <w:sz w:val="26"/>
      <w:szCs w:val="26"/>
      <w:shd w:val="clear" w:color="auto" w:fill="auto"/>
      <w:lang w:val="en-CA"/>
    </w:rPr>
  </w:style>
  <w:style w:type="paragraph" w:styleId="Heading3">
    <w:name w:val="heading 3"/>
    <w:basedOn w:val="Normal"/>
    <w:next w:val="Normal"/>
    <w:link w:val="Heading3Char"/>
    <w:uiPriority w:val="9"/>
    <w:unhideWhenUsed/>
    <w:qFormat/>
    <w:rsid w:val="00AC22DD"/>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3CD"/>
    <w:rPr>
      <w:rFonts w:asciiTheme="majorHAnsi" w:eastAsiaTheme="majorEastAsia" w:hAnsiTheme="majorHAnsi" w:cstheme="majorBidi"/>
      <w:color w:val="2E74B5" w:themeColor="accent1" w:themeShade="BF"/>
      <w:sz w:val="32"/>
      <w:szCs w:val="32"/>
      <w:lang w:val="en-US"/>
    </w:rPr>
  </w:style>
  <w:style w:type="character" w:styleId="Strong">
    <w:name w:val="Strong"/>
    <w:uiPriority w:val="22"/>
    <w:qFormat/>
    <w:rsid w:val="000273CD"/>
    <w:rPr>
      <w:rFonts w:ascii="Century Gothic" w:hAnsi="Century Gothic"/>
      <w:sz w:val="44"/>
      <w:szCs w:val="44"/>
      <w:lang w:val="fr-CA"/>
    </w:rPr>
  </w:style>
  <w:style w:type="paragraph" w:styleId="Title">
    <w:name w:val="Title"/>
    <w:basedOn w:val="Normal"/>
    <w:next w:val="Normal"/>
    <w:link w:val="TitleChar"/>
    <w:uiPriority w:val="10"/>
    <w:qFormat/>
    <w:rsid w:val="000273CD"/>
    <w:pPr>
      <w:spacing w:after="0" w:line="240" w:lineRule="auto"/>
      <w:contextualSpacing/>
    </w:pPr>
    <w:rPr>
      <w:rFonts w:asciiTheme="majorHAnsi" w:eastAsiaTheme="majorEastAsia" w:hAnsiTheme="majorHAnsi" w:cstheme="majorBidi"/>
      <w:spacing w:val="-10"/>
      <w:kern w:val="28"/>
      <w:sz w:val="56"/>
      <w:szCs w:val="56"/>
      <w:shd w:val="clear" w:color="auto" w:fill="auto"/>
      <w:lang w:val="en-CA"/>
    </w:rPr>
  </w:style>
  <w:style w:type="character" w:customStyle="1" w:styleId="TitleChar">
    <w:name w:val="Title Char"/>
    <w:basedOn w:val="DefaultParagraphFont"/>
    <w:link w:val="Title"/>
    <w:uiPriority w:val="10"/>
    <w:rsid w:val="000273CD"/>
    <w:rPr>
      <w:rFonts w:asciiTheme="majorHAnsi" w:eastAsiaTheme="majorEastAsia" w:hAnsiTheme="majorHAnsi" w:cstheme="majorBidi"/>
      <w:spacing w:val="-10"/>
      <w:kern w:val="28"/>
      <w:sz w:val="56"/>
      <w:szCs w:val="56"/>
    </w:rPr>
  </w:style>
  <w:style w:type="paragraph" w:styleId="NoSpacing">
    <w:name w:val="No Spacing"/>
    <w:uiPriority w:val="1"/>
    <w:qFormat/>
    <w:rsid w:val="000273CD"/>
    <w:pPr>
      <w:spacing w:after="0" w:line="240" w:lineRule="auto"/>
    </w:pPr>
    <w:rPr>
      <w:rFonts w:cstheme="minorHAnsi"/>
      <w:shd w:val="clear" w:color="auto" w:fill="FFFFFF"/>
      <w:lang w:val="en-US"/>
    </w:rPr>
  </w:style>
  <w:style w:type="character" w:customStyle="1" w:styleId="Hyperlink1">
    <w:name w:val="Hyperlink1"/>
    <w:basedOn w:val="DefaultParagraphFont"/>
    <w:uiPriority w:val="99"/>
    <w:unhideWhenUsed/>
    <w:rsid w:val="000273CD"/>
    <w:rPr>
      <w:color w:val="0563C1"/>
      <w:u w:val="single"/>
    </w:rPr>
  </w:style>
  <w:style w:type="character" w:styleId="FootnoteReference">
    <w:name w:val="footnote reference"/>
    <w:aliases w:val="Appel note de bas de page,Footnotes refss,Fago Fu?notenzeichen,Fago Fußnotenzeichen,Footnote number,Fago Fuﬂnotenzeichen"/>
    <w:uiPriority w:val="99"/>
    <w:unhideWhenUsed/>
    <w:rsid w:val="000273CD"/>
    <w:rPr>
      <w:vertAlign w:val="superscript"/>
    </w:rPr>
  </w:style>
  <w:style w:type="character" w:styleId="CommentReference">
    <w:name w:val="annotation reference"/>
    <w:basedOn w:val="DefaultParagraphFont"/>
    <w:uiPriority w:val="99"/>
    <w:semiHidden/>
    <w:unhideWhenUsed/>
    <w:rsid w:val="000273CD"/>
    <w:rPr>
      <w:sz w:val="16"/>
      <w:szCs w:val="16"/>
    </w:rPr>
  </w:style>
  <w:style w:type="paragraph" w:styleId="CommentText">
    <w:name w:val="annotation text"/>
    <w:basedOn w:val="Normal"/>
    <w:link w:val="CommentTextChar"/>
    <w:uiPriority w:val="99"/>
    <w:unhideWhenUsed/>
    <w:rsid w:val="000273CD"/>
    <w:pPr>
      <w:spacing w:line="240" w:lineRule="auto"/>
    </w:pPr>
    <w:rPr>
      <w:sz w:val="20"/>
      <w:szCs w:val="20"/>
    </w:rPr>
  </w:style>
  <w:style w:type="character" w:customStyle="1" w:styleId="CommentTextChar">
    <w:name w:val="Comment Text Char"/>
    <w:basedOn w:val="DefaultParagraphFont"/>
    <w:link w:val="CommentText"/>
    <w:uiPriority w:val="99"/>
    <w:rsid w:val="000273CD"/>
    <w:rPr>
      <w:rFonts w:cstheme="minorHAnsi"/>
      <w:sz w:val="20"/>
      <w:szCs w:val="20"/>
      <w:lang w:val="en-US"/>
    </w:rPr>
  </w:style>
  <w:style w:type="paragraph" w:styleId="CommentSubject">
    <w:name w:val="annotation subject"/>
    <w:basedOn w:val="CommentText"/>
    <w:next w:val="CommentText"/>
    <w:link w:val="CommentSubjectChar"/>
    <w:uiPriority w:val="99"/>
    <w:semiHidden/>
    <w:unhideWhenUsed/>
    <w:rsid w:val="000273CD"/>
    <w:rPr>
      <w:b/>
      <w:bCs/>
    </w:rPr>
  </w:style>
  <w:style w:type="character" w:customStyle="1" w:styleId="CommentSubjectChar">
    <w:name w:val="Comment Subject Char"/>
    <w:basedOn w:val="CommentTextChar"/>
    <w:link w:val="CommentSubject"/>
    <w:uiPriority w:val="99"/>
    <w:semiHidden/>
    <w:rsid w:val="000273CD"/>
    <w:rPr>
      <w:rFonts w:cstheme="minorHAnsi"/>
      <w:b/>
      <w:bCs/>
      <w:sz w:val="20"/>
      <w:szCs w:val="20"/>
      <w:lang w:val="en-US"/>
    </w:rPr>
  </w:style>
  <w:style w:type="paragraph" w:styleId="BalloonText">
    <w:name w:val="Balloon Text"/>
    <w:basedOn w:val="Normal"/>
    <w:link w:val="BalloonTextChar"/>
    <w:uiPriority w:val="99"/>
    <w:semiHidden/>
    <w:unhideWhenUsed/>
    <w:rsid w:val="00027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3CD"/>
    <w:rPr>
      <w:rFonts w:ascii="Segoe UI" w:hAnsi="Segoe UI" w:cs="Segoe UI"/>
      <w:sz w:val="18"/>
      <w:szCs w:val="18"/>
      <w:lang w:val="en-US"/>
    </w:rPr>
  </w:style>
  <w:style w:type="character" w:customStyle="1" w:styleId="Heading2Char">
    <w:name w:val="Heading 2 Char"/>
    <w:basedOn w:val="DefaultParagraphFont"/>
    <w:link w:val="Heading2"/>
    <w:uiPriority w:val="9"/>
    <w:rsid w:val="000273C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273CD"/>
    <w:pPr>
      <w:ind w:left="720"/>
      <w:contextualSpacing/>
    </w:pPr>
  </w:style>
  <w:style w:type="paragraph" w:styleId="FootnoteText">
    <w:name w:val="footnote text"/>
    <w:aliases w:val="Carattere,Footnote Text Char1 Char,Footnote Text Char Char Char,Footnote Text Char1 Char Char Char,Footnote Text Char Char Char Char Char,Footnote Text Char2 Char Char Char Char Char,FA Fu,Char,FA,Footnote Text Char1"/>
    <w:basedOn w:val="Normal"/>
    <w:link w:val="FootnoteTextChar"/>
    <w:uiPriority w:val="99"/>
    <w:unhideWhenUsed/>
    <w:rsid w:val="002701D7"/>
    <w:pPr>
      <w:spacing w:after="0" w:line="240" w:lineRule="auto"/>
    </w:pPr>
    <w:rPr>
      <w:sz w:val="20"/>
      <w:szCs w:val="20"/>
    </w:rPr>
  </w:style>
  <w:style w:type="character" w:customStyle="1" w:styleId="FootnoteTextChar">
    <w:name w:val="Footnote Text Char"/>
    <w:aliases w:val="Carattere Char,Footnote Text Char1 Char Char,Footnote Text Char Char Char Char,Footnote Text Char1 Char Char Char Char,Footnote Text Char Char Char Char Char Char,Footnote Text Char2 Char Char Char Char Char Char,FA Fu Char,Char Char"/>
    <w:basedOn w:val="DefaultParagraphFont"/>
    <w:link w:val="FootnoteText"/>
    <w:uiPriority w:val="99"/>
    <w:rsid w:val="002701D7"/>
    <w:rPr>
      <w:rFonts w:cstheme="minorHAnsi"/>
      <w:sz w:val="20"/>
      <w:szCs w:val="20"/>
      <w:lang w:val="en-US"/>
    </w:rPr>
  </w:style>
  <w:style w:type="character" w:styleId="Hyperlink">
    <w:name w:val="Hyperlink"/>
    <w:basedOn w:val="DefaultParagraphFont"/>
    <w:uiPriority w:val="99"/>
    <w:unhideWhenUsed/>
    <w:rsid w:val="002701D7"/>
    <w:rPr>
      <w:color w:val="0563C1" w:themeColor="hyperlink"/>
      <w:u w:val="single"/>
    </w:rPr>
  </w:style>
  <w:style w:type="character" w:styleId="FollowedHyperlink">
    <w:name w:val="FollowedHyperlink"/>
    <w:basedOn w:val="DefaultParagraphFont"/>
    <w:uiPriority w:val="99"/>
    <w:semiHidden/>
    <w:unhideWhenUsed/>
    <w:rsid w:val="002701D7"/>
    <w:rPr>
      <w:color w:val="954F72" w:themeColor="followedHyperlink"/>
      <w:u w:val="single"/>
    </w:rPr>
  </w:style>
  <w:style w:type="character" w:customStyle="1" w:styleId="Heading3Char">
    <w:name w:val="Heading 3 Char"/>
    <w:basedOn w:val="DefaultParagraphFont"/>
    <w:link w:val="Heading3"/>
    <w:uiPriority w:val="9"/>
    <w:rsid w:val="00AC22DD"/>
    <w:rPr>
      <w:rFonts w:cstheme="minorHAnsi"/>
      <w:u w:val="single"/>
      <w:lang w:val="en-US"/>
    </w:rPr>
  </w:style>
  <w:style w:type="character" w:customStyle="1" w:styleId="UnresolvedMention1">
    <w:name w:val="Unresolved Mention1"/>
    <w:basedOn w:val="DefaultParagraphFont"/>
    <w:uiPriority w:val="99"/>
    <w:semiHidden/>
    <w:unhideWhenUsed/>
    <w:rsid w:val="00E47FA9"/>
    <w:rPr>
      <w:color w:val="605E5C"/>
      <w:shd w:val="clear" w:color="auto" w:fill="E1DFDD"/>
    </w:rPr>
  </w:style>
  <w:style w:type="paragraph" w:styleId="Revision">
    <w:name w:val="Revision"/>
    <w:hidden/>
    <w:uiPriority w:val="99"/>
    <w:semiHidden/>
    <w:rsid w:val="00CD3D73"/>
    <w:pPr>
      <w:spacing w:after="0" w:line="240" w:lineRule="auto"/>
    </w:pPr>
    <w:rPr>
      <w:rFonts w:cstheme="minorHAnsi"/>
      <w:shd w:val="clear" w:color="auto" w:fill="FFFFFF"/>
      <w:lang w:val="en-US"/>
    </w:rPr>
  </w:style>
  <w:style w:type="paragraph" w:styleId="Header">
    <w:name w:val="header"/>
    <w:basedOn w:val="Normal"/>
    <w:link w:val="HeaderChar"/>
    <w:uiPriority w:val="99"/>
    <w:unhideWhenUsed/>
    <w:rsid w:val="00A22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B13"/>
    <w:rPr>
      <w:rFonts w:cstheme="minorHAnsi"/>
      <w:lang w:val="en-US"/>
    </w:rPr>
  </w:style>
  <w:style w:type="paragraph" w:styleId="Footer">
    <w:name w:val="footer"/>
    <w:basedOn w:val="Normal"/>
    <w:link w:val="FooterChar"/>
    <w:uiPriority w:val="99"/>
    <w:unhideWhenUsed/>
    <w:rsid w:val="00A22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B13"/>
    <w:rPr>
      <w:rFonts w:cstheme="minorHAnsi"/>
      <w:lang w:val="en-US"/>
    </w:rPr>
  </w:style>
  <w:style w:type="character" w:customStyle="1" w:styleId="UnresolvedMention2">
    <w:name w:val="Unresolved Mention2"/>
    <w:basedOn w:val="DefaultParagraphFont"/>
    <w:uiPriority w:val="99"/>
    <w:semiHidden/>
    <w:unhideWhenUsed/>
    <w:rsid w:val="0028558D"/>
    <w:rPr>
      <w:color w:val="605E5C"/>
      <w:shd w:val="clear" w:color="auto" w:fill="E1DFDD"/>
    </w:rPr>
  </w:style>
  <w:style w:type="character" w:customStyle="1" w:styleId="css-901oao">
    <w:name w:val="css-901oao"/>
    <w:basedOn w:val="DefaultParagraphFont"/>
    <w:rsid w:val="009741D4"/>
  </w:style>
  <w:style w:type="character" w:customStyle="1" w:styleId="r-18u37iz">
    <w:name w:val="r-18u37iz"/>
    <w:basedOn w:val="DefaultParagraphFont"/>
    <w:rsid w:val="009741D4"/>
  </w:style>
  <w:style w:type="paragraph" w:customStyle="1" w:styleId="mrgn-lft-md">
    <w:name w:val="mrgn-lft-md"/>
    <w:basedOn w:val="Normal"/>
    <w:rsid w:val="00A853F4"/>
    <w:pPr>
      <w:spacing w:before="100" w:beforeAutospacing="1" w:after="100" w:afterAutospacing="1" w:line="240" w:lineRule="auto"/>
    </w:pPr>
    <w:rPr>
      <w:rFonts w:ascii="Times New Roman" w:eastAsia="Times New Roman" w:hAnsi="Times New Roman" w:cs="Times New Roman"/>
      <w:sz w:val="24"/>
      <w:szCs w:val="24"/>
      <w:shd w:val="clear" w:color="auto" w:fill="auto"/>
      <w:lang w:val="en-CA" w:eastAsia="en-CA"/>
    </w:rPr>
  </w:style>
  <w:style w:type="paragraph" w:styleId="NormalWeb">
    <w:name w:val="Normal (Web)"/>
    <w:basedOn w:val="Normal"/>
    <w:uiPriority w:val="99"/>
    <w:unhideWhenUsed/>
    <w:rsid w:val="00C963B8"/>
    <w:pPr>
      <w:spacing w:before="100" w:beforeAutospacing="1" w:after="100" w:afterAutospacing="1" w:line="240" w:lineRule="auto"/>
    </w:pPr>
    <w:rPr>
      <w:rFonts w:ascii="Times New Roman" w:eastAsia="Times New Roman" w:hAnsi="Times New Roman" w:cs="Times New Roman"/>
      <w:sz w:val="24"/>
      <w:szCs w:val="24"/>
      <w:shd w:val="clear" w:color="auto" w:fill="auto"/>
      <w:lang w:val="en-CA" w:eastAsia="en-CA"/>
    </w:rPr>
  </w:style>
  <w:style w:type="character" w:styleId="Emphasis">
    <w:name w:val="Emphasis"/>
    <w:basedOn w:val="DefaultParagraphFont"/>
    <w:uiPriority w:val="20"/>
    <w:qFormat/>
    <w:rsid w:val="00C963B8"/>
    <w:rPr>
      <w:i/>
      <w:iCs/>
    </w:rPr>
  </w:style>
  <w:style w:type="character" w:customStyle="1" w:styleId="cf01">
    <w:name w:val="cf01"/>
    <w:basedOn w:val="DefaultParagraphFont"/>
    <w:rsid w:val="00765172"/>
    <w:rPr>
      <w:rFonts w:ascii="Segoe UI" w:hAnsi="Segoe UI" w:cs="Segoe UI" w:hint="default"/>
      <w:sz w:val="18"/>
      <w:szCs w:val="18"/>
    </w:rPr>
  </w:style>
  <w:style w:type="character" w:customStyle="1" w:styleId="UnresolvedMention3">
    <w:name w:val="Unresolved Mention3"/>
    <w:basedOn w:val="DefaultParagraphFont"/>
    <w:uiPriority w:val="99"/>
    <w:semiHidden/>
    <w:unhideWhenUsed/>
    <w:rsid w:val="00A002B5"/>
    <w:rPr>
      <w:color w:val="605E5C"/>
      <w:shd w:val="clear" w:color="auto" w:fill="E1DFDD"/>
    </w:rPr>
  </w:style>
  <w:style w:type="paragraph" w:customStyle="1" w:styleId="pf0">
    <w:name w:val="pf0"/>
    <w:basedOn w:val="Normal"/>
    <w:rsid w:val="00272B84"/>
    <w:pPr>
      <w:spacing w:before="100" w:beforeAutospacing="1" w:after="100" w:afterAutospacing="1" w:line="240" w:lineRule="auto"/>
    </w:pPr>
    <w:rPr>
      <w:rFonts w:ascii="Times New Roman" w:eastAsia="Times New Roman" w:hAnsi="Times New Roman" w:cs="Times New Roman"/>
      <w:sz w:val="24"/>
      <w:szCs w:val="24"/>
      <w:shd w:val="clear" w:color="auto" w:fill="auto"/>
      <w:lang w:val="en-CA" w:eastAsia="en-CA"/>
    </w:rPr>
  </w:style>
  <w:style w:type="character" w:customStyle="1" w:styleId="ui-provider">
    <w:name w:val="ui-provider"/>
    <w:basedOn w:val="DefaultParagraphFont"/>
    <w:rsid w:val="00664C2E"/>
  </w:style>
  <w:style w:type="character" w:styleId="UnresolvedMention">
    <w:name w:val="Unresolved Mention"/>
    <w:basedOn w:val="DefaultParagraphFont"/>
    <w:uiPriority w:val="99"/>
    <w:semiHidden/>
    <w:unhideWhenUsed/>
    <w:rsid w:val="00406096"/>
    <w:rPr>
      <w:color w:val="605E5C"/>
      <w:shd w:val="clear" w:color="auto" w:fill="E1DFDD"/>
    </w:rPr>
  </w:style>
  <w:style w:type="character" w:styleId="PlaceholderText">
    <w:name w:val="Placeholder Text"/>
    <w:basedOn w:val="DefaultParagraphFont"/>
    <w:uiPriority w:val="99"/>
    <w:semiHidden/>
    <w:rsid w:val="0083066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0830">
      <w:bodyDiv w:val="1"/>
      <w:marLeft w:val="0"/>
      <w:marRight w:val="0"/>
      <w:marTop w:val="0"/>
      <w:marBottom w:val="0"/>
      <w:divBdr>
        <w:top w:val="none" w:sz="0" w:space="0" w:color="auto"/>
        <w:left w:val="none" w:sz="0" w:space="0" w:color="auto"/>
        <w:bottom w:val="none" w:sz="0" w:space="0" w:color="auto"/>
        <w:right w:val="none" w:sz="0" w:space="0" w:color="auto"/>
      </w:divBdr>
    </w:div>
    <w:div w:id="112328909">
      <w:bodyDiv w:val="1"/>
      <w:marLeft w:val="0"/>
      <w:marRight w:val="0"/>
      <w:marTop w:val="0"/>
      <w:marBottom w:val="0"/>
      <w:divBdr>
        <w:top w:val="none" w:sz="0" w:space="0" w:color="auto"/>
        <w:left w:val="none" w:sz="0" w:space="0" w:color="auto"/>
        <w:bottom w:val="none" w:sz="0" w:space="0" w:color="auto"/>
        <w:right w:val="none" w:sz="0" w:space="0" w:color="auto"/>
      </w:divBdr>
    </w:div>
    <w:div w:id="257716969">
      <w:bodyDiv w:val="1"/>
      <w:marLeft w:val="0"/>
      <w:marRight w:val="0"/>
      <w:marTop w:val="0"/>
      <w:marBottom w:val="0"/>
      <w:divBdr>
        <w:top w:val="none" w:sz="0" w:space="0" w:color="auto"/>
        <w:left w:val="none" w:sz="0" w:space="0" w:color="auto"/>
        <w:bottom w:val="none" w:sz="0" w:space="0" w:color="auto"/>
        <w:right w:val="none" w:sz="0" w:space="0" w:color="auto"/>
      </w:divBdr>
    </w:div>
    <w:div w:id="279731337">
      <w:bodyDiv w:val="1"/>
      <w:marLeft w:val="0"/>
      <w:marRight w:val="0"/>
      <w:marTop w:val="0"/>
      <w:marBottom w:val="0"/>
      <w:divBdr>
        <w:top w:val="none" w:sz="0" w:space="0" w:color="auto"/>
        <w:left w:val="none" w:sz="0" w:space="0" w:color="auto"/>
        <w:bottom w:val="none" w:sz="0" w:space="0" w:color="auto"/>
        <w:right w:val="none" w:sz="0" w:space="0" w:color="auto"/>
      </w:divBdr>
    </w:div>
    <w:div w:id="302852629">
      <w:bodyDiv w:val="1"/>
      <w:marLeft w:val="0"/>
      <w:marRight w:val="0"/>
      <w:marTop w:val="0"/>
      <w:marBottom w:val="0"/>
      <w:divBdr>
        <w:top w:val="none" w:sz="0" w:space="0" w:color="auto"/>
        <w:left w:val="none" w:sz="0" w:space="0" w:color="auto"/>
        <w:bottom w:val="none" w:sz="0" w:space="0" w:color="auto"/>
        <w:right w:val="none" w:sz="0" w:space="0" w:color="auto"/>
      </w:divBdr>
    </w:div>
    <w:div w:id="354423220">
      <w:bodyDiv w:val="1"/>
      <w:marLeft w:val="0"/>
      <w:marRight w:val="0"/>
      <w:marTop w:val="0"/>
      <w:marBottom w:val="0"/>
      <w:divBdr>
        <w:top w:val="none" w:sz="0" w:space="0" w:color="auto"/>
        <w:left w:val="none" w:sz="0" w:space="0" w:color="auto"/>
        <w:bottom w:val="none" w:sz="0" w:space="0" w:color="auto"/>
        <w:right w:val="none" w:sz="0" w:space="0" w:color="auto"/>
      </w:divBdr>
    </w:div>
    <w:div w:id="387534679">
      <w:bodyDiv w:val="1"/>
      <w:marLeft w:val="0"/>
      <w:marRight w:val="0"/>
      <w:marTop w:val="0"/>
      <w:marBottom w:val="0"/>
      <w:divBdr>
        <w:top w:val="none" w:sz="0" w:space="0" w:color="auto"/>
        <w:left w:val="none" w:sz="0" w:space="0" w:color="auto"/>
        <w:bottom w:val="none" w:sz="0" w:space="0" w:color="auto"/>
        <w:right w:val="none" w:sz="0" w:space="0" w:color="auto"/>
      </w:divBdr>
    </w:div>
    <w:div w:id="439953500">
      <w:bodyDiv w:val="1"/>
      <w:marLeft w:val="0"/>
      <w:marRight w:val="0"/>
      <w:marTop w:val="0"/>
      <w:marBottom w:val="0"/>
      <w:divBdr>
        <w:top w:val="none" w:sz="0" w:space="0" w:color="auto"/>
        <w:left w:val="none" w:sz="0" w:space="0" w:color="auto"/>
        <w:bottom w:val="none" w:sz="0" w:space="0" w:color="auto"/>
        <w:right w:val="none" w:sz="0" w:space="0" w:color="auto"/>
      </w:divBdr>
    </w:div>
    <w:div w:id="642079814">
      <w:bodyDiv w:val="1"/>
      <w:marLeft w:val="0"/>
      <w:marRight w:val="0"/>
      <w:marTop w:val="0"/>
      <w:marBottom w:val="0"/>
      <w:divBdr>
        <w:top w:val="none" w:sz="0" w:space="0" w:color="auto"/>
        <w:left w:val="none" w:sz="0" w:space="0" w:color="auto"/>
        <w:bottom w:val="none" w:sz="0" w:space="0" w:color="auto"/>
        <w:right w:val="none" w:sz="0" w:space="0" w:color="auto"/>
      </w:divBdr>
    </w:div>
    <w:div w:id="701201931">
      <w:bodyDiv w:val="1"/>
      <w:marLeft w:val="0"/>
      <w:marRight w:val="0"/>
      <w:marTop w:val="0"/>
      <w:marBottom w:val="0"/>
      <w:divBdr>
        <w:top w:val="none" w:sz="0" w:space="0" w:color="auto"/>
        <w:left w:val="none" w:sz="0" w:space="0" w:color="auto"/>
        <w:bottom w:val="none" w:sz="0" w:space="0" w:color="auto"/>
        <w:right w:val="none" w:sz="0" w:space="0" w:color="auto"/>
      </w:divBdr>
    </w:div>
    <w:div w:id="707877397">
      <w:bodyDiv w:val="1"/>
      <w:marLeft w:val="0"/>
      <w:marRight w:val="0"/>
      <w:marTop w:val="0"/>
      <w:marBottom w:val="0"/>
      <w:divBdr>
        <w:top w:val="none" w:sz="0" w:space="0" w:color="auto"/>
        <w:left w:val="none" w:sz="0" w:space="0" w:color="auto"/>
        <w:bottom w:val="none" w:sz="0" w:space="0" w:color="auto"/>
        <w:right w:val="none" w:sz="0" w:space="0" w:color="auto"/>
      </w:divBdr>
    </w:div>
    <w:div w:id="735277662">
      <w:bodyDiv w:val="1"/>
      <w:marLeft w:val="0"/>
      <w:marRight w:val="0"/>
      <w:marTop w:val="0"/>
      <w:marBottom w:val="0"/>
      <w:divBdr>
        <w:top w:val="none" w:sz="0" w:space="0" w:color="auto"/>
        <w:left w:val="none" w:sz="0" w:space="0" w:color="auto"/>
        <w:bottom w:val="none" w:sz="0" w:space="0" w:color="auto"/>
        <w:right w:val="none" w:sz="0" w:space="0" w:color="auto"/>
      </w:divBdr>
    </w:div>
    <w:div w:id="849566825">
      <w:bodyDiv w:val="1"/>
      <w:marLeft w:val="0"/>
      <w:marRight w:val="0"/>
      <w:marTop w:val="0"/>
      <w:marBottom w:val="0"/>
      <w:divBdr>
        <w:top w:val="none" w:sz="0" w:space="0" w:color="auto"/>
        <w:left w:val="none" w:sz="0" w:space="0" w:color="auto"/>
        <w:bottom w:val="none" w:sz="0" w:space="0" w:color="auto"/>
        <w:right w:val="none" w:sz="0" w:space="0" w:color="auto"/>
      </w:divBdr>
    </w:div>
    <w:div w:id="957179118">
      <w:bodyDiv w:val="1"/>
      <w:marLeft w:val="0"/>
      <w:marRight w:val="0"/>
      <w:marTop w:val="0"/>
      <w:marBottom w:val="0"/>
      <w:divBdr>
        <w:top w:val="none" w:sz="0" w:space="0" w:color="auto"/>
        <w:left w:val="none" w:sz="0" w:space="0" w:color="auto"/>
        <w:bottom w:val="none" w:sz="0" w:space="0" w:color="auto"/>
        <w:right w:val="none" w:sz="0" w:space="0" w:color="auto"/>
      </w:divBdr>
    </w:div>
    <w:div w:id="987788105">
      <w:bodyDiv w:val="1"/>
      <w:marLeft w:val="0"/>
      <w:marRight w:val="0"/>
      <w:marTop w:val="0"/>
      <w:marBottom w:val="0"/>
      <w:divBdr>
        <w:top w:val="none" w:sz="0" w:space="0" w:color="auto"/>
        <w:left w:val="none" w:sz="0" w:space="0" w:color="auto"/>
        <w:bottom w:val="none" w:sz="0" w:space="0" w:color="auto"/>
        <w:right w:val="none" w:sz="0" w:space="0" w:color="auto"/>
      </w:divBdr>
    </w:div>
    <w:div w:id="1040743274">
      <w:bodyDiv w:val="1"/>
      <w:marLeft w:val="0"/>
      <w:marRight w:val="0"/>
      <w:marTop w:val="0"/>
      <w:marBottom w:val="0"/>
      <w:divBdr>
        <w:top w:val="none" w:sz="0" w:space="0" w:color="auto"/>
        <w:left w:val="none" w:sz="0" w:space="0" w:color="auto"/>
        <w:bottom w:val="none" w:sz="0" w:space="0" w:color="auto"/>
        <w:right w:val="none" w:sz="0" w:space="0" w:color="auto"/>
      </w:divBdr>
    </w:div>
    <w:div w:id="1095979238">
      <w:bodyDiv w:val="1"/>
      <w:marLeft w:val="0"/>
      <w:marRight w:val="0"/>
      <w:marTop w:val="0"/>
      <w:marBottom w:val="0"/>
      <w:divBdr>
        <w:top w:val="none" w:sz="0" w:space="0" w:color="auto"/>
        <w:left w:val="none" w:sz="0" w:space="0" w:color="auto"/>
        <w:bottom w:val="none" w:sz="0" w:space="0" w:color="auto"/>
        <w:right w:val="none" w:sz="0" w:space="0" w:color="auto"/>
      </w:divBdr>
    </w:div>
    <w:div w:id="1162508108">
      <w:bodyDiv w:val="1"/>
      <w:marLeft w:val="0"/>
      <w:marRight w:val="0"/>
      <w:marTop w:val="0"/>
      <w:marBottom w:val="0"/>
      <w:divBdr>
        <w:top w:val="none" w:sz="0" w:space="0" w:color="auto"/>
        <w:left w:val="none" w:sz="0" w:space="0" w:color="auto"/>
        <w:bottom w:val="none" w:sz="0" w:space="0" w:color="auto"/>
        <w:right w:val="none" w:sz="0" w:space="0" w:color="auto"/>
      </w:divBdr>
    </w:div>
    <w:div w:id="1177227280">
      <w:bodyDiv w:val="1"/>
      <w:marLeft w:val="0"/>
      <w:marRight w:val="0"/>
      <w:marTop w:val="0"/>
      <w:marBottom w:val="0"/>
      <w:divBdr>
        <w:top w:val="none" w:sz="0" w:space="0" w:color="auto"/>
        <w:left w:val="none" w:sz="0" w:space="0" w:color="auto"/>
        <w:bottom w:val="none" w:sz="0" w:space="0" w:color="auto"/>
        <w:right w:val="none" w:sz="0" w:space="0" w:color="auto"/>
      </w:divBdr>
    </w:div>
    <w:div w:id="1229145004">
      <w:bodyDiv w:val="1"/>
      <w:marLeft w:val="0"/>
      <w:marRight w:val="0"/>
      <w:marTop w:val="0"/>
      <w:marBottom w:val="0"/>
      <w:divBdr>
        <w:top w:val="none" w:sz="0" w:space="0" w:color="auto"/>
        <w:left w:val="none" w:sz="0" w:space="0" w:color="auto"/>
        <w:bottom w:val="none" w:sz="0" w:space="0" w:color="auto"/>
        <w:right w:val="none" w:sz="0" w:space="0" w:color="auto"/>
      </w:divBdr>
    </w:div>
    <w:div w:id="1301423446">
      <w:bodyDiv w:val="1"/>
      <w:marLeft w:val="0"/>
      <w:marRight w:val="0"/>
      <w:marTop w:val="0"/>
      <w:marBottom w:val="0"/>
      <w:divBdr>
        <w:top w:val="none" w:sz="0" w:space="0" w:color="auto"/>
        <w:left w:val="none" w:sz="0" w:space="0" w:color="auto"/>
        <w:bottom w:val="none" w:sz="0" w:space="0" w:color="auto"/>
        <w:right w:val="none" w:sz="0" w:space="0" w:color="auto"/>
      </w:divBdr>
    </w:div>
    <w:div w:id="1400906792">
      <w:bodyDiv w:val="1"/>
      <w:marLeft w:val="0"/>
      <w:marRight w:val="0"/>
      <w:marTop w:val="0"/>
      <w:marBottom w:val="0"/>
      <w:divBdr>
        <w:top w:val="none" w:sz="0" w:space="0" w:color="auto"/>
        <w:left w:val="none" w:sz="0" w:space="0" w:color="auto"/>
        <w:bottom w:val="none" w:sz="0" w:space="0" w:color="auto"/>
        <w:right w:val="none" w:sz="0" w:space="0" w:color="auto"/>
      </w:divBdr>
    </w:div>
    <w:div w:id="1726754960">
      <w:bodyDiv w:val="1"/>
      <w:marLeft w:val="0"/>
      <w:marRight w:val="0"/>
      <w:marTop w:val="0"/>
      <w:marBottom w:val="0"/>
      <w:divBdr>
        <w:top w:val="none" w:sz="0" w:space="0" w:color="auto"/>
        <w:left w:val="none" w:sz="0" w:space="0" w:color="auto"/>
        <w:bottom w:val="none" w:sz="0" w:space="0" w:color="auto"/>
        <w:right w:val="none" w:sz="0" w:space="0" w:color="auto"/>
      </w:divBdr>
    </w:div>
    <w:div w:id="1748185264">
      <w:bodyDiv w:val="1"/>
      <w:marLeft w:val="0"/>
      <w:marRight w:val="0"/>
      <w:marTop w:val="0"/>
      <w:marBottom w:val="0"/>
      <w:divBdr>
        <w:top w:val="none" w:sz="0" w:space="0" w:color="auto"/>
        <w:left w:val="none" w:sz="0" w:space="0" w:color="auto"/>
        <w:bottom w:val="none" w:sz="0" w:space="0" w:color="auto"/>
        <w:right w:val="none" w:sz="0" w:space="0" w:color="auto"/>
      </w:divBdr>
    </w:div>
    <w:div w:id="1985889704">
      <w:bodyDiv w:val="1"/>
      <w:marLeft w:val="0"/>
      <w:marRight w:val="0"/>
      <w:marTop w:val="0"/>
      <w:marBottom w:val="0"/>
      <w:divBdr>
        <w:top w:val="none" w:sz="0" w:space="0" w:color="auto"/>
        <w:left w:val="none" w:sz="0" w:space="0" w:color="auto"/>
        <w:bottom w:val="none" w:sz="0" w:space="0" w:color="auto"/>
        <w:right w:val="none" w:sz="0" w:space="0" w:color="auto"/>
      </w:divBdr>
    </w:div>
    <w:div w:id="2047245178">
      <w:bodyDiv w:val="1"/>
      <w:marLeft w:val="0"/>
      <w:marRight w:val="0"/>
      <w:marTop w:val="0"/>
      <w:marBottom w:val="0"/>
      <w:divBdr>
        <w:top w:val="none" w:sz="0" w:space="0" w:color="auto"/>
        <w:left w:val="none" w:sz="0" w:space="0" w:color="auto"/>
        <w:bottom w:val="none" w:sz="0" w:space="0" w:color="auto"/>
        <w:right w:val="none" w:sz="0" w:space="0" w:color="auto"/>
      </w:divBdr>
    </w:div>
    <w:div w:id="2082561826">
      <w:bodyDiv w:val="1"/>
      <w:marLeft w:val="0"/>
      <w:marRight w:val="0"/>
      <w:marTop w:val="0"/>
      <w:marBottom w:val="0"/>
      <w:divBdr>
        <w:top w:val="none" w:sz="0" w:space="0" w:color="auto"/>
        <w:left w:val="none" w:sz="0" w:space="0" w:color="auto"/>
        <w:bottom w:val="none" w:sz="0" w:space="0" w:color="auto"/>
        <w:right w:val="none" w:sz="0" w:space="0" w:color="auto"/>
      </w:divBdr>
    </w:div>
    <w:div w:id="2091459552">
      <w:bodyDiv w:val="1"/>
      <w:marLeft w:val="0"/>
      <w:marRight w:val="0"/>
      <w:marTop w:val="0"/>
      <w:marBottom w:val="0"/>
      <w:divBdr>
        <w:top w:val="none" w:sz="0" w:space="0" w:color="auto"/>
        <w:left w:val="none" w:sz="0" w:space="0" w:color="auto"/>
        <w:bottom w:val="none" w:sz="0" w:space="0" w:color="auto"/>
        <w:right w:val="none" w:sz="0" w:space="0" w:color="auto"/>
      </w:divBdr>
    </w:div>
    <w:div w:id="2110543728">
      <w:bodyDiv w:val="1"/>
      <w:marLeft w:val="0"/>
      <w:marRight w:val="0"/>
      <w:marTop w:val="0"/>
      <w:marBottom w:val="0"/>
      <w:divBdr>
        <w:top w:val="none" w:sz="0" w:space="0" w:color="auto"/>
        <w:left w:val="none" w:sz="0" w:space="0" w:color="auto"/>
        <w:bottom w:val="none" w:sz="0" w:space="0" w:color="auto"/>
        <w:right w:val="none" w:sz="0" w:space="0" w:color="auto"/>
      </w:divBdr>
    </w:div>
    <w:div w:id="212233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https://www.parl.ca/legisinfo/en/bill/44-1/c-38" TargetMode="External"/><Relationship Id="rId18" Type="http://schemas.openxmlformats.org/officeDocument/2006/relationships/hyperlink" Target="https://www.chrc-ccdp.gc.ca/en/resources/chrc-concerned-findings-overrepresentation-indigenous-people-prison" TargetMode="External"/><Relationship Id="rId26" Type="http://schemas.openxmlformats.org/officeDocument/2006/relationships/hyperlink" Target="https://canlii.ca/t/jp3h7" TargetMode="External"/><Relationship Id="rId3" Type="http://schemas.openxmlformats.org/officeDocument/2006/relationships/hyperlink" Target="https://www.chrc-ccdp.gc.ca/sites/default/files/2021-06/CHRC_SenateSubmission_C15_EN_0.pdf" TargetMode="External"/><Relationship Id="rId21" Type="http://schemas.openxmlformats.org/officeDocument/2006/relationships/hyperlink" Target="https://www.oci-bec.gc.ca/cnt/rpt/pdf/annrpt/annrpt20162017-eng.pdf" TargetMode="External"/><Relationship Id="rId34" Type="http://schemas.openxmlformats.org/officeDocument/2006/relationships/hyperlink" Target="https://oci-bec.gc.ca/en/content/backgrounder-summary-ten-years-spirit-matters-indigenous-issues-federal-corrections-parts" TargetMode="External"/><Relationship Id="rId7" Type="http://schemas.openxmlformats.org/officeDocument/2006/relationships/hyperlink" Target="https://www.justice.gc.ca/eng/declaration/ap-pa/index.html" TargetMode="External"/><Relationship Id="rId12" Type="http://schemas.openxmlformats.org/officeDocument/2006/relationships/hyperlink" Target="https://laws-lois.justice.gc.ca/eng/acts/a-0.6/" TargetMode="External"/><Relationship Id="rId17" Type="http://schemas.openxmlformats.org/officeDocument/2006/relationships/hyperlink" Target="https://afn.ca/all-news/press-releases/assembly-of-first-nations-afn-supports-first-nations-call-to-delay-implementation-of-metis-self-government-recognition-and-implementation-legislation/" TargetMode="External"/><Relationship Id="rId25" Type="http://schemas.openxmlformats.org/officeDocument/2006/relationships/hyperlink" Target="https://www.canada.ca/en/correctional-service/news/2023/03/the-correctional-service-of-canada-announces-deputy-commissioner-for-indigenous-corrections.html" TargetMode="External"/><Relationship Id="rId33" Type="http://schemas.openxmlformats.org/officeDocument/2006/relationships/hyperlink" Target="https://oci-bec.gc.ca/en/content/office-correctional-investigator-annual-report-2022-2023" TargetMode="External"/><Relationship Id="rId2" Type="http://schemas.openxmlformats.org/officeDocument/2006/relationships/hyperlink" Target="https://laws-lois.justice.gc.ca/eng/acts/i-5/" TargetMode="External"/><Relationship Id="rId16" Type="http://schemas.openxmlformats.org/officeDocument/2006/relationships/hyperlink" Target="https://www.parl.ca/legisinfo/en/bill/44-1/c-53" TargetMode="External"/><Relationship Id="rId20" Type="http://schemas.openxmlformats.org/officeDocument/2006/relationships/hyperlink" Target="https://www.oci-bec.gc.ca/cnt/rpt/pdf/annrpt/annrpt20192020-eng.pdf" TargetMode="External"/><Relationship Id="rId29" Type="http://schemas.openxmlformats.org/officeDocument/2006/relationships/hyperlink" Target="https://www.chrc-ccdp.gc.ca/sites/default/files/publication-pdfs/report_a_matter_of_rights_en.pdf" TargetMode="External"/><Relationship Id="rId1" Type="http://schemas.openxmlformats.org/officeDocument/2006/relationships/hyperlink" Target="http://laws-lois.justice.gc.ca/PDF/H-6.pdf" TargetMode="External"/><Relationship Id="rId6" Type="http://schemas.openxmlformats.org/officeDocument/2006/relationships/hyperlink" Target="https://laws-lois.justice.gc.ca/eng/acts/U-2.2/" TargetMode="External"/><Relationship Id="rId11" Type="http://schemas.openxmlformats.org/officeDocument/2006/relationships/hyperlink" Target="https://laws.justice.gc.ca/eng/acts/F-11.73/index.html" TargetMode="External"/><Relationship Id="rId24" Type="http://schemas.openxmlformats.org/officeDocument/2006/relationships/hyperlink" Target="https://oci-bec.gc.ca/en/" TargetMode="External"/><Relationship Id="rId32" Type="http://schemas.openxmlformats.org/officeDocument/2006/relationships/hyperlink" Target="https://sencanada.ca/en/Content/Sen/Committee/441/APPA/38EV-56139-E" TargetMode="External"/><Relationship Id="rId5" Type="http://schemas.openxmlformats.org/officeDocument/2006/relationships/hyperlink" Target="https://macleans.ca/opinion/abolishing-the-indian-act-means-eliminating-first-nations-rights/" TargetMode="External"/><Relationship Id="rId15" Type="http://schemas.openxmlformats.org/officeDocument/2006/relationships/hyperlink" Target="https://www.parl.ca/legisinfo/en/bill/44-1/c-29" TargetMode="External"/><Relationship Id="rId23" Type="http://schemas.openxmlformats.org/officeDocument/2006/relationships/hyperlink" Target="https://sencanada.ca/content/sen/committee/421/RIDR/Reports/RIDR_Report_Prisioners_e.pdf" TargetMode="External"/><Relationship Id="rId28" Type="http://schemas.openxmlformats.org/officeDocument/2006/relationships/hyperlink" Target="https://www.canada.ca/en/indigenous-services-canada/news/2023/10/federal-court-approves-settlement-agreement-to-compensate-first-nations-children-and-families.html" TargetMode="External"/><Relationship Id="rId10" Type="http://schemas.openxmlformats.org/officeDocument/2006/relationships/hyperlink" Target="https://commissionforindigenouslanguages.ca/the-office-of-the-commissioner-of-indigenous-languages-hears-directly-from-language-experts-about-their-efforts-to-breathe-life-back-into-first-nations-inuit-and-metis-languages" TargetMode="External"/><Relationship Id="rId19" Type="http://schemas.openxmlformats.org/officeDocument/2006/relationships/hyperlink" Target="https://tbinternet.ohchr.org/_layouts/15/treatybodyexternal/Download.aspx?symbolno=INT%2fCAT%2fIFR%2fCAN%2f45205&amp;Lang=en" TargetMode="External"/><Relationship Id="rId31" Type="http://schemas.openxmlformats.org/officeDocument/2006/relationships/hyperlink" Target="https://www.chrc-ccdp.gc.ca/en/resources/appearance-the-senate-committee-indigenous-peoples-appa-the-topic-a-canadian-human-rights" TargetMode="External"/><Relationship Id="rId4" Type="http://schemas.openxmlformats.org/officeDocument/2006/relationships/hyperlink" Target="https://2018.chrcreport.ca/assets/pdf/CHRC_AR_2018-ENG.pdf" TargetMode="External"/><Relationship Id="rId9" Type="http://schemas.openxmlformats.org/officeDocument/2006/relationships/hyperlink" Target="https://laws-lois.justice.gc.ca/eng/acts/i-7.85/page-1.html" TargetMode="External"/><Relationship Id="rId14" Type="http://schemas.openxmlformats.org/officeDocument/2006/relationships/hyperlink" Target="https://sencanada.ca/content/sen/committee/441/APPA/Reports/2022-06-27_APPA_S-3_Report_e_FINAL.pdf" TargetMode="External"/><Relationship Id="rId22" Type="http://schemas.openxmlformats.org/officeDocument/2006/relationships/hyperlink" Target="http://www.oag-bvg.gc.ca/internet/English/parl_oag_201611_03_e_41832.html" TargetMode="External"/><Relationship Id="rId27" Type="http://schemas.openxmlformats.org/officeDocument/2006/relationships/hyperlink" Target="https://canlii.ca/t/gn2vg" TargetMode="External"/><Relationship Id="rId30" Type="http://schemas.openxmlformats.org/officeDocument/2006/relationships/hyperlink" Target="https://sencanada.ca/en/Content/SEN/Committee/441/APPA/APPA-SS-1-e" TargetMode="External"/><Relationship Id="rId8" Type="http://schemas.openxmlformats.org/officeDocument/2006/relationships/hyperlink" Target="https://www.cbc.ca/news/indigenous/afn-undrip-draft-plan-delay-1.68037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Filename xmlns="d42e65b2-cf21-49c1-b27d-d23f90380c0e" xsi:nil="true"/>
    <Doctype xmlns="d42e65b2-cf21-49c1-b27d-d23f90380c0e">input</Doctype>
    <Contributor xmlns="d42e65b2-cf21-49c1-b27d-d23f90380c0e">Canadian Human Rights Commission</Contributor>
  </documentManagement>
</p:properties>
</file>

<file path=customXml/itemProps1.xml><?xml version="1.0" encoding="utf-8"?>
<ds:datastoreItem xmlns:ds="http://schemas.openxmlformats.org/officeDocument/2006/customXml" ds:itemID="{BF4AAF79-2E7A-4A4D-BA90-819BE49BCB9A}">
  <ds:schemaRefs>
    <ds:schemaRef ds:uri="http://schemas.openxmlformats.org/officeDocument/2006/bibliography"/>
  </ds:schemaRefs>
</ds:datastoreItem>
</file>

<file path=customXml/itemProps2.xml><?xml version="1.0" encoding="utf-8"?>
<ds:datastoreItem xmlns:ds="http://schemas.openxmlformats.org/officeDocument/2006/customXml" ds:itemID="{A42F4BF1-60FB-4229-AB8C-057D9D038B85}"/>
</file>

<file path=customXml/itemProps3.xml><?xml version="1.0" encoding="utf-8"?>
<ds:datastoreItem xmlns:ds="http://schemas.openxmlformats.org/officeDocument/2006/customXml" ds:itemID="{82505521-E96C-4746-B86E-9143813F94A4}"/>
</file>

<file path=customXml/itemProps4.xml><?xml version="1.0" encoding="utf-8"?>
<ds:datastoreItem xmlns:ds="http://schemas.openxmlformats.org/officeDocument/2006/customXml" ds:itemID="{4C99C7FF-08EE-4122-8CB4-A36FC3A92CCA}"/>
</file>

<file path=docProps/app.xml><?xml version="1.0" encoding="utf-8"?>
<Properties xmlns="http://schemas.openxmlformats.org/officeDocument/2006/extended-properties" xmlns:vt="http://schemas.openxmlformats.org/officeDocument/2006/docPropsVTypes">
  <Template>Normal.dotm</Template>
  <TotalTime>0</TotalTime>
  <Pages>10</Pages>
  <Words>3614</Words>
  <Characters>20891</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Ashley-Dy, Jasmine (CHRC/CCDP)</dc:creator>
  <cp:keywords/>
  <dc:description/>
  <cp:lastModifiedBy>Uzoma, Emma (CHRC/CCDP)</cp:lastModifiedBy>
  <cp:revision>2</cp:revision>
  <dcterms:created xsi:type="dcterms:W3CDTF">2024-01-26T17:49:00Z</dcterms:created>
  <dcterms:modified xsi:type="dcterms:W3CDTF">2024-01-26T17:49:00Z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