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5282" w14:textId="5DEA37D5" w:rsidR="00885FF3" w:rsidRPr="00885FF3" w:rsidRDefault="00885FF3" w:rsidP="00885FF3">
      <w:pPr>
        <w:spacing w:line="276" w:lineRule="auto"/>
        <w:jc w:val="right"/>
        <w:rPr>
          <w:rFonts w:asciiTheme="majorHAnsi" w:hAnsiTheme="majorHAnsi" w:cstheme="majorHAnsi"/>
          <w:i/>
          <w:iCs/>
          <w:sz w:val="24"/>
          <w:szCs w:val="24"/>
        </w:rPr>
      </w:pPr>
      <w:r w:rsidRPr="00885FF3">
        <w:rPr>
          <w:rFonts w:asciiTheme="majorHAnsi" w:hAnsiTheme="majorHAnsi" w:cstheme="majorHAnsi"/>
          <w:i/>
          <w:iCs/>
          <w:sz w:val="24"/>
          <w:szCs w:val="24"/>
        </w:rPr>
        <w:t xml:space="preserve">Delivered by email: ohchr-expertmechanism@un.org  </w:t>
      </w:r>
    </w:p>
    <w:p w14:paraId="61B37C38" w14:textId="3F76D272" w:rsidR="00122569" w:rsidRDefault="00885FF3" w:rsidP="00033B15">
      <w:pPr>
        <w:spacing w:line="276" w:lineRule="auto"/>
        <w:rPr>
          <w:rFonts w:asciiTheme="majorHAnsi" w:hAnsiTheme="majorHAnsi" w:cstheme="majorHAnsi"/>
          <w:sz w:val="24"/>
          <w:szCs w:val="24"/>
        </w:rPr>
      </w:pPr>
      <w:r>
        <w:rPr>
          <w:rFonts w:asciiTheme="majorHAnsi" w:hAnsiTheme="majorHAnsi" w:cstheme="majorHAnsi"/>
          <w:sz w:val="24"/>
          <w:szCs w:val="24"/>
        </w:rPr>
        <w:t>Prepared By:</w:t>
      </w:r>
      <w:r w:rsidR="009D13C5">
        <w:rPr>
          <w:rFonts w:asciiTheme="majorHAnsi" w:hAnsiTheme="majorHAnsi" w:cstheme="majorHAnsi"/>
          <w:sz w:val="24"/>
          <w:szCs w:val="24"/>
        </w:rPr>
        <w:t xml:space="preserve"> Native Women’s Association of Canada</w:t>
      </w:r>
    </w:p>
    <w:p w14:paraId="1D6AD58D" w14:textId="19D9746C" w:rsidR="00885FF3" w:rsidRDefault="00885FF3" w:rsidP="00033B15">
      <w:pPr>
        <w:spacing w:line="276" w:lineRule="auto"/>
        <w:rPr>
          <w:rFonts w:asciiTheme="majorHAnsi" w:hAnsiTheme="majorHAnsi" w:cstheme="majorHAnsi"/>
          <w:sz w:val="24"/>
          <w:szCs w:val="24"/>
        </w:rPr>
      </w:pPr>
      <w:r>
        <w:rPr>
          <w:rFonts w:asciiTheme="majorHAnsi" w:hAnsiTheme="majorHAnsi" w:cstheme="majorHAnsi"/>
          <w:sz w:val="24"/>
          <w:szCs w:val="24"/>
        </w:rPr>
        <w:t>Prepared For:</w:t>
      </w:r>
      <w:r w:rsidR="00594B53" w:rsidRPr="00594B53">
        <w:t xml:space="preserve"> </w:t>
      </w:r>
      <w:r w:rsidR="00594B53" w:rsidRPr="00594B53">
        <w:rPr>
          <w:rFonts w:asciiTheme="majorHAnsi" w:hAnsiTheme="majorHAnsi" w:cstheme="majorHAnsi"/>
          <w:sz w:val="24"/>
          <w:szCs w:val="24"/>
        </w:rPr>
        <w:t>Expert Mechanism on the Rights of Indigenous Peoples</w:t>
      </w:r>
    </w:p>
    <w:p w14:paraId="6E3BE25F" w14:textId="5F81AA5B" w:rsidR="00885FF3" w:rsidRDefault="00885FF3" w:rsidP="00033B15">
      <w:pPr>
        <w:spacing w:line="276" w:lineRule="auto"/>
        <w:rPr>
          <w:rFonts w:asciiTheme="majorHAnsi" w:hAnsiTheme="majorHAnsi" w:cstheme="majorHAnsi"/>
          <w:sz w:val="24"/>
          <w:szCs w:val="24"/>
        </w:rPr>
      </w:pPr>
      <w:r>
        <w:rPr>
          <w:rFonts w:asciiTheme="majorHAnsi" w:hAnsiTheme="majorHAnsi" w:cstheme="majorHAnsi"/>
          <w:sz w:val="24"/>
          <w:szCs w:val="24"/>
        </w:rPr>
        <w:t>Date:</w:t>
      </w:r>
      <w:r w:rsidR="00594B53">
        <w:rPr>
          <w:rFonts w:asciiTheme="majorHAnsi" w:hAnsiTheme="majorHAnsi" w:cstheme="majorHAnsi"/>
          <w:sz w:val="24"/>
          <w:szCs w:val="24"/>
        </w:rPr>
        <w:t xml:space="preserve"> </w:t>
      </w:r>
      <w:r w:rsidR="009C2B6D">
        <w:rPr>
          <w:rFonts w:asciiTheme="majorHAnsi" w:hAnsiTheme="majorHAnsi" w:cstheme="majorHAnsi"/>
          <w:sz w:val="24"/>
          <w:szCs w:val="24"/>
        </w:rPr>
        <w:t xml:space="preserve">January 31, </w:t>
      </w:r>
      <w:r w:rsidR="00594B53">
        <w:rPr>
          <w:rFonts w:asciiTheme="majorHAnsi" w:hAnsiTheme="majorHAnsi" w:cstheme="majorHAnsi"/>
          <w:sz w:val="24"/>
          <w:szCs w:val="24"/>
        </w:rPr>
        <w:t>2024</w:t>
      </w:r>
    </w:p>
    <w:p w14:paraId="4467BECA" w14:textId="7E424D77" w:rsidR="00885FF3" w:rsidRDefault="00885FF3" w:rsidP="00033B15">
      <w:pPr>
        <w:pBdr>
          <w:bottom w:val="single" w:sz="12" w:space="1" w:color="auto"/>
        </w:pBdr>
        <w:spacing w:line="276" w:lineRule="auto"/>
        <w:rPr>
          <w:rFonts w:asciiTheme="majorHAnsi" w:hAnsiTheme="majorHAnsi" w:cstheme="majorHAnsi"/>
          <w:sz w:val="24"/>
          <w:szCs w:val="24"/>
        </w:rPr>
      </w:pPr>
      <w:r>
        <w:rPr>
          <w:rFonts w:asciiTheme="majorHAnsi" w:hAnsiTheme="majorHAnsi" w:cstheme="majorHAnsi"/>
          <w:sz w:val="24"/>
          <w:szCs w:val="24"/>
        </w:rPr>
        <w:t>Re:</w:t>
      </w:r>
      <w:r w:rsidR="009D13C5" w:rsidRPr="009D13C5">
        <w:t xml:space="preserve"> </w:t>
      </w:r>
      <w:r w:rsidR="009D13C5" w:rsidRPr="009D13C5">
        <w:rPr>
          <w:rFonts w:asciiTheme="majorHAnsi" w:hAnsiTheme="majorHAnsi" w:cstheme="majorHAnsi"/>
          <w:sz w:val="24"/>
          <w:szCs w:val="24"/>
        </w:rPr>
        <w:t>Call for inputs on establishing effective mechanisms at the national and regional levels for implementation of United Nations Declaration on the rights of Indigenous Peoples.</w:t>
      </w:r>
    </w:p>
    <w:p w14:paraId="3BF3C4BF" w14:textId="4D949A54" w:rsidR="004760D8" w:rsidRDefault="001A5955" w:rsidP="00033B15">
      <w:pPr>
        <w:spacing w:line="276" w:lineRule="auto"/>
        <w:rPr>
          <w:rFonts w:asciiTheme="majorHAnsi" w:hAnsiTheme="majorHAnsi" w:cstheme="majorHAnsi"/>
          <w:i/>
          <w:iCs/>
          <w:sz w:val="24"/>
          <w:szCs w:val="24"/>
        </w:rPr>
      </w:pPr>
      <w:r w:rsidRPr="009B3BF5">
        <w:rPr>
          <w:rFonts w:asciiTheme="majorHAnsi" w:hAnsiTheme="majorHAnsi" w:cstheme="majorHAnsi"/>
          <w:i/>
          <w:iCs/>
          <w:sz w:val="24"/>
          <w:szCs w:val="24"/>
        </w:rPr>
        <w:t>Overall analysis</w:t>
      </w:r>
      <w:r w:rsidR="009B3BF5">
        <w:rPr>
          <w:rFonts w:asciiTheme="majorHAnsi" w:hAnsiTheme="majorHAnsi" w:cstheme="majorHAnsi"/>
          <w:i/>
          <w:iCs/>
          <w:sz w:val="24"/>
          <w:szCs w:val="24"/>
        </w:rPr>
        <w:t>:</w:t>
      </w:r>
    </w:p>
    <w:p w14:paraId="40BE5E91" w14:textId="540FFEF6" w:rsidR="009B3BF5" w:rsidRDefault="00FB66B1" w:rsidP="00FB66B1">
      <w:pPr>
        <w:spacing w:line="276" w:lineRule="auto"/>
        <w:ind w:firstLine="720"/>
        <w:rPr>
          <w:rFonts w:asciiTheme="majorHAnsi" w:hAnsiTheme="majorHAnsi" w:cstheme="majorHAnsi"/>
          <w:sz w:val="24"/>
          <w:szCs w:val="24"/>
        </w:rPr>
      </w:pPr>
      <w:r>
        <w:rPr>
          <w:rFonts w:asciiTheme="majorHAnsi" w:hAnsiTheme="majorHAnsi" w:cstheme="majorHAnsi"/>
          <w:sz w:val="24"/>
          <w:szCs w:val="24"/>
        </w:rPr>
        <w:t>Canada has taken meaningful steps to breathe life into the rights affirmed within the UNDRIP by passing federal legislation promising to align all federal laws with the UNDRIP. Canada co-developed an Action Plan to implement this legislation through engagement with Indigenous organizations and communities, including the Native Women’s Association of Canada (NWAC). Canada has begun taking concrete steps to affirm Indigenous Rights as elucidated in the UNDRIP, but has a long journey to reconciliation that requires substantial</w:t>
      </w:r>
      <w:r w:rsidR="005A7E83">
        <w:rPr>
          <w:rFonts w:asciiTheme="majorHAnsi" w:hAnsiTheme="majorHAnsi" w:cstheme="majorHAnsi"/>
          <w:sz w:val="24"/>
          <w:szCs w:val="24"/>
        </w:rPr>
        <w:t xml:space="preserve"> increases in funding, legislative amendments, judicial rulings and mechanisms for redress and enforcement. </w:t>
      </w:r>
    </w:p>
    <w:p w14:paraId="4B89507D" w14:textId="0EFE4EF9" w:rsidR="004F5AC4" w:rsidRDefault="005A7E83" w:rsidP="004F5AC4">
      <w:pPr>
        <w:spacing w:line="276" w:lineRule="auto"/>
        <w:ind w:firstLine="720"/>
        <w:rPr>
          <w:rFonts w:asciiTheme="majorHAnsi" w:hAnsiTheme="majorHAnsi" w:cstheme="majorHAnsi"/>
          <w:sz w:val="24"/>
          <w:szCs w:val="24"/>
        </w:rPr>
      </w:pPr>
      <w:r>
        <w:rPr>
          <w:rFonts w:asciiTheme="majorHAnsi" w:hAnsiTheme="majorHAnsi" w:cstheme="majorHAnsi"/>
          <w:sz w:val="24"/>
          <w:szCs w:val="24"/>
        </w:rPr>
        <w:t>After all, what is a right without a remedy?</w:t>
      </w:r>
    </w:p>
    <w:p w14:paraId="216DA7B8" w14:textId="1B805C70" w:rsidR="004F5AC4" w:rsidRPr="004F5AC4" w:rsidRDefault="004F5AC4" w:rsidP="004F5AC4">
      <w:pPr>
        <w:spacing w:line="276" w:lineRule="auto"/>
        <w:rPr>
          <w:rFonts w:asciiTheme="majorHAnsi" w:hAnsiTheme="majorHAnsi" w:cstheme="majorHAnsi"/>
          <w:i/>
          <w:iCs/>
          <w:sz w:val="24"/>
          <w:szCs w:val="24"/>
        </w:rPr>
      </w:pPr>
      <w:r w:rsidRPr="004F5AC4">
        <w:rPr>
          <w:rFonts w:asciiTheme="majorHAnsi" w:hAnsiTheme="majorHAnsi" w:cstheme="majorHAnsi"/>
          <w:i/>
          <w:iCs/>
          <w:sz w:val="24"/>
          <w:szCs w:val="24"/>
        </w:rPr>
        <w:t>Indigenous gender rights, the UNDRIP, and Canada</w:t>
      </w:r>
    </w:p>
    <w:p w14:paraId="4CD79427" w14:textId="2F364BE6" w:rsidR="00356CAE" w:rsidRDefault="00356CAE" w:rsidP="00033B15">
      <w:pPr>
        <w:spacing w:line="276" w:lineRule="auto"/>
        <w:rPr>
          <w:rFonts w:asciiTheme="majorHAnsi" w:hAnsiTheme="majorHAnsi" w:cstheme="majorHAnsi"/>
          <w:sz w:val="24"/>
          <w:szCs w:val="24"/>
        </w:rPr>
      </w:pPr>
      <w:r>
        <w:rPr>
          <w:rFonts w:asciiTheme="majorHAnsi" w:hAnsiTheme="majorHAnsi" w:cstheme="majorHAnsi"/>
          <w:sz w:val="24"/>
          <w:szCs w:val="24"/>
        </w:rPr>
        <w:tab/>
      </w:r>
      <w:r w:rsidRPr="00356CAE">
        <w:rPr>
          <w:rFonts w:asciiTheme="majorHAnsi" w:hAnsiTheme="majorHAnsi" w:cstheme="majorHAnsi"/>
          <w:sz w:val="24"/>
          <w:szCs w:val="24"/>
        </w:rPr>
        <w:t>The rights elucidated in the UNDRIP are inherent rights Indigenous people already possess, and yet many cannot freely access and claim them</w:t>
      </w:r>
      <w:r>
        <w:rPr>
          <w:rFonts w:asciiTheme="majorHAnsi" w:hAnsiTheme="majorHAnsi" w:cstheme="majorHAnsi"/>
          <w:sz w:val="24"/>
          <w:szCs w:val="24"/>
        </w:rPr>
        <w:t xml:space="preserve"> in Canada.</w:t>
      </w:r>
      <w:r w:rsidR="003D4C76" w:rsidRPr="003D4C76">
        <w:t xml:space="preserve"> </w:t>
      </w:r>
      <w:r w:rsidR="003D4C76" w:rsidRPr="003D4C76">
        <w:rPr>
          <w:rFonts w:asciiTheme="majorHAnsi" w:hAnsiTheme="majorHAnsi" w:cstheme="majorHAnsi"/>
          <w:sz w:val="24"/>
          <w:szCs w:val="24"/>
        </w:rPr>
        <w:t>The UNDRIP lays out these rights within its Articles, and Canada must now enforce these rights. These rights are inherent, and minimum standards to ensure Indigenous Peoples’ wellbeing. Until now, Canada’s colonial laws and policies have not prioritized these minimum standards, and this is a chance to do better. The UNDRIP is Canada’s framework for reconciliation, and the Action Plan is Canada’s chance to make good on that promise.</w:t>
      </w:r>
    </w:p>
    <w:p w14:paraId="552282C4" w14:textId="0942A795" w:rsidR="009D483C" w:rsidRDefault="009D483C" w:rsidP="00033B15">
      <w:pPr>
        <w:spacing w:line="276" w:lineRule="auto"/>
        <w:rPr>
          <w:rFonts w:asciiTheme="majorHAnsi" w:hAnsiTheme="majorHAnsi" w:cstheme="majorHAnsi"/>
          <w:sz w:val="24"/>
          <w:szCs w:val="24"/>
        </w:rPr>
      </w:pPr>
      <w:r>
        <w:rPr>
          <w:rFonts w:asciiTheme="majorHAnsi" w:hAnsiTheme="majorHAnsi" w:cstheme="majorHAnsi"/>
          <w:sz w:val="24"/>
          <w:szCs w:val="24"/>
        </w:rPr>
        <w:tab/>
        <w:t xml:space="preserve">Indigenous Women, Girls, Two-Spirit, Trans and Gender-Diverse (WG2STGD+) People in Canada face specific barriers to accessing their Indigenous rights. </w:t>
      </w:r>
      <w:r w:rsidRPr="009D483C">
        <w:rPr>
          <w:rFonts w:asciiTheme="majorHAnsi" w:hAnsiTheme="majorHAnsi" w:cstheme="majorHAnsi"/>
          <w:sz w:val="24"/>
          <w:szCs w:val="24"/>
        </w:rPr>
        <w:t>The</w:t>
      </w:r>
      <w:r w:rsidR="008D3839">
        <w:rPr>
          <w:rFonts w:asciiTheme="majorHAnsi" w:hAnsiTheme="majorHAnsi" w:cstheme="majorHAnsi"/>
          <w:sz w:val="24"/>
          <w:szCs w:val="24"/>
        </w:rPr>
        <w:t>se</w:t>
      </w:r>
      <w:r w:rsidRPr="009D483C">
        <w:rPr>
          <w:rFonts w:asciiTheme="majorHAnsi" w:hAnsiTheme="majorHAnsi" w:cstheme="majorHAnsi"/>
          <w:sz w:val="24"/>
          <w:szCs w:val="24"/>
        </w:rPr>
        <w:t xml:space="preserve"> barriers include the lack of clarity surrounding </w:t>
      </w:r>
      <w:r w:rsidR="008D3839">
        <w:rPr>
          <w:rFonts w:asciiTheme="majorHAnsi" w:hAnsiTheme="majorHAnsi" w:cstheme="majorHAnsi"/>
          <w:sz w:val="24"/>
          <w:szCs w:val="24"/>
        </w:rPr>
        <w:t xml:space="preserve">gender equality rights under </w:t>
      </w:r>
      <w:r w:rsidRPr="009D483C">
        <w:rPr>
          <w:rFonts w:asciiTheme="majorHAnsi" w:hAnsiTheme="majorHAnsi" w:cstheme="majorHAnsi"/>
          <w:sz w:val="24"/>
          <w:szCs w:val="24"/>
        </w:rPr>
        <w:t xml:space="preserve">s. 35 </w:t>
      </w:r>
      <w:r w:rsidR="008D3839">
        <w:rPr>
          <w:rFonts w:asciiTheme="majorHAnsi" w:hAnsiTheme="majorHAnsi" w:cstheme="majorHAnsi"/>
          <w:sz w:val="24"/>
          <w:szCs w:val="24"/>
        </w:rPr>
        <w:t>of</w:t>
      </w:r>
      <w:r w:rsidRPr="009D483C">
        <w:rPr>
          <w:rFonts w:asciiTheme="majorHAnsi" w:hAnsiTheme="majorHAnsi" w:cstheme="majorHAnsi"/>
          <w:sz w:val="24"/>
          <w:szCs w:val="24"/>
        </w:rPr>
        <w:t xml:space="preserve"> the </w:t>
      </w:r>
      <w:r w:rsidRPr="008D3839">
        <w:rPr>
          <w:rFonts w:asciiTheme="majorHAnsi" w:hAnsiTheme="majorHAnsi" w:cstheme="majorHAnsi"/>
          <w:i/>
          <w:iCs/>
          <w:sz w:val="24"/>
          <w:szCs w:val="24"/>
        </w:rPr>
        <w:t>Constitution Act, 1982</w:t>
      </w:r>
      <w:r w:rsidRPr="009D483C">
        <w:rPr>
          <w:rFonts w:asciiTheme="majorHAnsi" w:hAnsiTheme="majorHAnsi" w:cstheme="majorHAnsi"/>
          <w:sz w:val="24"/>
          <w:szCs w:val="24"/>
        </w:rPr>
        <w:t xml:space="preserve">, the Canadian government's historic disregard for the treaties signed with Indigenous People, the </w:t>
      </w:r>
      <w:r w:rsidR="0078673F">
        <w:rPr>
          <w:rFonts w:asciiTheme="majorHAnsi" w:hAnsiTheme="majorHAnsi" w:cstheme="majorHAnsi"/>
          <w:sz w:val="24"/>
          <w:szCs w:val="24"/>
        </w:rPr>
        <w:t>pattern of excluding</w:t>
      </w:r>
      <w:r w:rsidRPr="009D483C">
        <w:rPr>
          <w:rFonts w:asciiTheme="majorHAnsi" w:hAnsiTheme="majorHAnsi" w:cstheme="majorHAnsi"/>
          <w:sz w:val="24"/>
          <w:szCs w:val="24"/>
        </w:rPr>
        <w:t xml:space="preserve"> Indigenous women</w:t>
      </w:r>
      <w:r w:rsidR="0078673F">
        <w:rPr>
          <w:rFonts w:asciiTheme="majorHAnsi" w:hAnsiTheme="majorHAnsi" w:cstheme="majorHAnsi"/>
          <w:sz w:val="24"/>
          <w:szCs w:val="24"/>
        </w:rPr>
        <w:t xml:space="preserve"> from decision-making frameworks</w:t>
      </w:r>
      <w:r w:rsidRPr="009D483C">
        <w:rPr>
          <w:rFonts w:asciiTheme="majorHAnsi" w:hAnsiTheme="majorHAnsi" w:cstheme="majorHAnsi"/>
          <w:sz w:val="24"/>
          <w:szCs w:val="24"/>
        </w:rPr>
        <w:t>, provincial and federal</w:t>
      </w:r>
      <w:r w:rsidR="008D3839">
        <w:rPr>
          <w:rFonts w:asciiTheme="majorHAnsi" w:hAnsiTheme="majorHAnsi" w:cstheme="majorHAnsi"/>
          <w:sz w:val="24"/>
          <w:szCs w:val="24"/>
        </w:rPr>
        <w:t xml:space="preserve"> </w:t>
      </w:r>
      <w:r w:rsidR="008D3839" w:rsidRPr="008D3839">
        <w:rPr>
          <w:rFonts w:asciiTheme="majorHAnsi" w:hAnsiTheme="majorHAnsi" w:cstheme="majorHAnsi"/>
          <w:sz w:val="24"/>
          <w:szCs w:val="24"/>
        </w:rPr>
        <w:t>divisions that obstruct Indigenous People's right to self-determination, sex-based discrimination within Indigenous governing bodies, and colonial harms.</w:t>
      </w:r>
    </w:p>
    <w:p w14:paraId="541F0DDA" w14:textId="77777777" w:rsidR="004F5AC4" w:rsidRDefault="004F5AC4" w:rsidP="00033B15">
      <w:pPr>
        <w:spacing w:line="276" w:lineRule="auto"/>
        <w:rPr>
          <w:rFonts w:asciiTheme="majorHAnsi" w:hAnsiTheme="majorHAnsi" w:cstheme="majorHAnsi"/>
          <w:sz w:val="24"/>
          <w:szCs w:val="24"/>
        </w:rPr>
      </w:pPr>
    </w:p>
    <w:p w14:paraId="6A9CF66D" w14:textId="77777777" w:rsidR="004F5AC4" w:rsidRDefault="004F5AC4" w:rsidP="00033B15">
      <w:pPr>
        <w:spacing w:line="276" w:lineRule="auto"/>
        <w:rPr>
          <w:rFonts w:asciiTheme="majorHAnsi" w:hAnsiTheme="majorHAnsi" w:cstheme="majorHAnsi"/>
          <w:sz w:val="24"/>
          <w:szCs w:val="24"/>
        </w:rPr>
      </w:pPr>
    </w:p>
    <w:p w14:paraId="0A1AE6F9" w14:textId="63B10940" w:rsidR="009D483C" w:rsidRPr="009D483C" w:rsidRDefault="009D483C" w:rsidP="00033B15">
      <w:pPr>
        <w:spacing w:line="276" w:lineRule="auto"/>
        <w:rPr>
          <w:rFonts w:asciiTheme="majorHAnsi" w:hAnsiTheme="majorHAnsi" w:cstheme="majorHAnsi"/>
          <w:i/>
          <w:iCs/>
          <w:sz w:val="24"/>
          <w:szCs w:val="24"/>
        </w:rPr>
      </w:pPr>
      <w:r w:rsidRPr="001A5955">
        <w:rPr>
          <w:rFonts w:asciiTheme="majorHAnsi" w:hAnsiTheme="majorHAnsi" w:cstheme="majorHAnsi"/>
          <w:i/>
          <w:iCs/>
          <w:sz w:val="24"/>
          <w:szCs w:val="24"/>
        </w:rPr>
        <w:lastRenderedPageBreak/>
        <w:t>Canada has set the framework and begun implementation</w:t>
      </w:r>
    </w:p>
    <w:p w14:paraId="5CFD078A" w14:textId="10F20D7F" w:rsidR="006D1595" w:rsidRDefault="006D1595" w:rsidP="00033B15">
      <w:pPr>
        <w:spacing w:line="276" w:lineRule="auto"/>
        <w:rPr>
          <w:rFonts w:asciiTheme="majorHAnsi" w:hAnsiTheme="majorHAnsi" w:cstheme="majorHAnsi"/>
          <w:sz w:val="24"/>
          <w:szCs w:val="24"/>
        </w:rPr>
      </w:pPr>
      <w:r>
        <w:rPr>
          <w:rFonts w:asciiTheme="majorHAnsi" w:hAnsiTheme="majorHAnsi" w:cstheme="majorHAnsi"/>
          <w:sz w:val="24"/>
          <w:szCs w:val="24"/>
        </w:rPr>
        <w:tab/>
        <w:t>In June 202</w:t>
      </w:r>
      <w:r w:rsidR="007C0F86">
        <w:rPr>
          <w:rFonts w:asciiTheme="majorHAnsi" w:hAnsiTheme="majorHAnsi" w:cstheme="majorHAnsi"/>
          <w:sz w:val="24"/>
          <w:szCs w:val="24"/>
        </w:rPr>
        <w:t xml:space="preserve">1, Canada enacted the </w:t>
      </w:r>
      <w:r w:rsidR="007C0F86" w:rsidRPr="007C0F86">
        <w:rPr>
          <w:rFonts w:asciiTheme="majorHAnsi" w:hAnsiTheme="majorHAnsi" w:cstheme="majorHAnsi"/>
          <w:i/>
          <w:iCs/>
          <w:sz w:val="24"/>
          <w:szCs w:val="24"/>
        </w:rPr>
        <w:t>United Nations Declaration on the Rights of Indigenous Peoples Act</w:t>
      </w:r>
      <w:r w:rsidR="007C0F86">
        <w:rPr>
          <w:rFonts w:asciiTheme="majorHAnsi" w:hAnsiTheme="majorHAnsi" w:cstheme="majorHAnsi"/>
          <w:sz w:val="24"/>
          <w:szCs w:val="24"/>
        </w:rPr>
        <w:t>.</w:t>
      </w:r>
      <w:r w:rsidR="00911C92">
        <w:rPr>
          <w:rStyle w:val="FootnoteReference"/>
          <w:rFonts w:asciiTheme="majorHAnsi" w:hAnsiTheme="majorHAnsi" w:cstheme="majorHAnsi"/>
          <w:sz w:val="24"/>
          <w:szCs w:val="24"/>
        </w:rPr>
        <w:footnoteReference w:id="1"/>
      </w:r>
      <w:r w:rsidR="00783890">
        <w:rPr>
          <w:rFonts w:asciiTheme="majorHAnsi" w:hAnsiTheme="majorHAnsi" w:cstheme="majorHAnsi"/>
          <w:sz w:val="24"/>
          <w:szCs w:val="24"/>
        </w:rPr>
        <w:t xml:space="preserve"> This Act mandated Canada to develop and implement an Action Plan to </w:t>
      </w:r>
      <w:r w:rsidR="002321C7">
        <w:rPr>
          <w:rFonts w:asciiTheme="majorHAnsi" w:hAnsiTheme="majorHAnsi" w:cstheme="majorHAnsi"/>
          <w:sz w:val="24"/>
          <w:szCs w:val="24"/>
        </w:rPr>
        <w:t>achieve the UNDRIP’s objectives and ensure Canada’s federal laws align with the rights affirmed in the UNDRIP.</w:t>
      </w:r>
      <w:r w:rsidR="00085390">
        <w:rPr>
          <w:rFonts w:asciiTheme="majorHAnsi" w:hAnsiTheme="majorHAnsi" w:cstheme="majorHAnsi"/>
          <w:sz w:val="24"/>
          <w:szCs w:val="24"/>
        </w:rPr>
        <w:t xml:space="preserve"> The Act mandated Canada to table the Action Plan within two years.</w:t>
      </w:r>
    </w:p>
    <w:p w14:paraId="6A56C5A2" w14:textId="2FF36830" w:rsidR="0062114A" w:rsidRDefault="0062114A" w:rsidP="00033B15">
      <w:pPr>
        <w:spacing w:line="276" w:lineRule="auto"/>
        <w:rPr>
          <w:rFonts w:asciiTheme="majorHAnsi" w:hAnsiTheme="majorHAnsi" w:cstheme="majorHAnsi"/>
          <w:sz w:val="24"/>
          <w:szCs w:val="24"/>
        </w:rPr>
      </w:pPr>
      <w:r>
        <w:rPr>
          <w:rFonts w:asciiTheme="majorHAnsi" w:hAnsiTheme="majorHAnsi" w:cstheme="majorHAnsi"/>
          <w:sz w:val="24"/>
          <w:szCs w:val="24"/>
        </w:rPr>
        <w:tab/>
        <w:t>NWAC applied to</w:t>
      </w:r>
      <w:r w:rsidR="00FB2578">
        <w:rPr>
          <w:rFonts w:asciiTheme="majorHAnsi" w:hAnsiTheme="majorHAnsi" w:cstheme="majorHAnsi"/>
          <w:sz w:val="24"/>
          <w:szCs w:val="24"/>
        </w:rPr>
        <w:t xml:space="preserve"> and was accepted to</w:t>
      </w:r>
      <w:r>
        <w:rPr>
          <w:rFonts w:asciiTheme="majorHAnsi" w:hAnsiTheme="majorHAnsi" w:cstheme="majorHAnsi"/>
          <w:sz w:val="24"/>
          <w:szCs w:val="24"/>
        </w:rPr>
        <w:t xml:space="preserve"> participate in funded engagements with Canada to provide priorities and feedback as Canada developed the Action Plan</w:t>
      </w:r>
      <w:r w:rsidR="00085390">
        <w:rPr>
          <w:rFonts w:asciiTheme="majorHAnsi" w:hAnsiTheme="majorHAnsi" w:cstheme="majorHAnsi"/>
          <w:sz w:val="24"/>
          <w:szCs w:val="24"/>
        </w:rPr>
        <w:t xml:space="preserve"> between 2021 and 2023.</w:t>
      </w:r>
      <w:r w:rsidR="005B1891">
        <w:rPr>
          <w:rFonts w:asciiTheme="majorHAnsi" w:hAnsiTheme="majorHAnsi" w:cstheme="majorHAnsi"/>
          <w:sz w:val="24"/>
          <w:szCs w:val="24"/>
        </w:rPr>
        <w:t xml:space="preserve"> </w:t>
      </w:r>
      <w:r w:rsidR="00196C52">
        <w:rPr>
          <w:rFonts w:asciiTheme="majorHAnsi" w:hAnsiTheme="majorHAnsi" w:cstheme="majorHAnsi"/>
          <w:sz w:val="24"/>
          <w:szCs w:val="24"/>
        </w:rPr>
        <w:t xml:space="preserve">NWAC’s </w:t>
      </w:r>
      <w:r w:rsidR="00887E07">
        <w:rPr>
          <w:rFonts w:asciiTheme="majorHAnsi" w:hAnsiTheme="majorHAnsi" w:cstheme="majorHAnsi"/>
          <w:sz w:val="24"/>
          <w:szCs w:val="24"/>
        </w:rPr>
        <w:t xml:space="preserve">role was and remains to provide input from a Culturally Relevant Gender-Based Analysis (CRGBA+) perspective. </w:t>
      </w:r>
      <w:r w:rsidR="005B1891">
        <w:rPr>
          <w:rFonts w:asciiTheme="majorHAnsi" w:hAnsiTheme="majorHAnsi" w:cstheme="majorHAnsi"/>
          <w:sz w:val="24"/>
          <w:szCs w:val="24"/>
        </w:rPr>
        <w:t xml:space="preserve">NWAC </w:t>
      </w:r>
      <w:r w:rsidR="000D6B2E">
        <w:rPr>
          <w:rFonts w:asciiTheme="majorHAnsi" w:hAnsiTheme="majorHAnsi" w:cstheme="majorHAnsi"/>
          <w:sz w:val="24"/>
          <w:szCs w:val="24"/>
        </w:rPr>
        <w:t xml:space="preserve">held several virtual roundtables with experts in Indigenous laws, Indigenous WG2STGD+ People </w:t>
      </w:r>
      <w:r w:rsidR="00831166">
        <w:rPr>
          <w:rFonts w:asciiTheme="majorHAnsi" w:hAnsiTheme="majorHAnsi" w:cstheme="majorHAnsi"/>
          <w:sz w:val="24"/>
          <w:szCs w:val="24"/>
        </w:rPr>
        <w:t>and Knowledge Keepers to develop a list of priorities for Canada’s UNDRIP Action Plan.</w:t>
      </w:r>
    </w:p>
    <w:p w14:paraId="3B1D0855" w14:textId="536A9DB4" w:rsidR="00831166" w:rsidRDefault="00831166" w:rsidP="00033B15">
      <w:pPr>
        <w:spacing w:line="276" w:lineRule="auto"/>
        <w:rPr>
          <w:rFonts w:asciiTheme="majorHAnsi" w:hAnsiTheme="majorHAnsi" w:cstheme="majorHAnsi"/>
          <w:sz w:val="24"/>
          <w:szCs w:val="24"/>
        </w:rPr>
      </w:pPr>
      <w:r>
        <w:rPr>
          <w:rFonts w:asciiTheme="majorHAnsi" w:hAnsiTheme="majorHAnsi" w:cstheme="majorHAnsi"/>
          <w:sz w:val="24"/>
          <w:szCs w:val="24"/>
        </w:rPr>
        <w:tab/>
        <w:t xml:space="preserve">NWAC submitted these priorities in two written reports (one </w:t>
      </w:r>
      <w:hyperlink r:id="rId8" w:history="1">
        <w:r w:rsidRPr="00217C59">
          <w:rPr>
            <w:rStyle w:val="Hyperlink"/>
            <w:rFonts w:asciiTheme="majorHAnsi" w:hAnsiTheme="majorHAnsi" w:cstheme="majorHAnsi"/>
            <w:sz w:val="24"/>
            <w:szCs w:val="24"/>
          </w:rPr>
          <w:t>interim</w:t>
        </w:r>
      </w:hyperlink>
      <w:r>
        <w:rPr>
          <w:rFonts w:asciiTheme="majorHAnsi" w:hAnsiTheme="majorHAnsi" w:cstheme="majorHAnsi"/>
          <w:sz w:val="24"/>
          <w:szCs w:val="24"/>
        </w:rPr>
        <w:t xml:space="preserve"> and one </w:t>
      </w:r>
      <w:hyperlink r:id="rId9" w:history="1">
        <w:r w:rsidRPr="00B00671">
          <w:rPr>
            <w:rStyle w:val="Hyperlink"/>
            <w:rFonts w:asciiTheme="majorHAnsi" w:hAnsiTheme="majorHAnsi" w:cstheme="majorHAnsi"/>
            <w:sz w:val="24"/>
            <w:szCs w:val="24"/>
          </w:rPr>
          <w:t>final</w:t>
        </w:r>
      </w:hyperlink>
      <w:r>
        <w:rPr>
          <w:rFonts w:asciiTheme="majorHAnsi" w:hAnsiTheme="majorHAnsi" w:cstheme="majorHAnsi"/>
          <w:sz w:val="24"/>
          <w:szCs w:val="24"/>
        </w:rPr>
        <w:t xml:space="preserve">). NWAC also </w:t>
      </w:r>
      <w:r w:rsidR="0049238F">
        <w:rPr>
          <w:rFonts w:asciiTheme="majorHAnsi" w:hAnsiTheme="majorHAnsi" w:cstheme="majorHAnsi"/>
          <w:sz w:val="24"/>
          <w:szCs w:val="24"/>
        </w:rPr>
        <w:t xml:space="preserve">provided written feedback </w:t>
      </w:r>
      <w:r w:rsidR="00454CEA">
        <w:rPr>
          <w:rFonts w:asciiTheme="majorHAnsi" w:hAnsiTheme="majorHAnsi" w:cstheme="majorHAnsi"/>
          <w:sz w:val="24"/>
          <w:szCs w:val="24"/>
        </w:rPr>
        <w:t>to Canada on its</w:t>
      </w:r>
      <w:r w:rsidR="0049238F">
        <w:rPr>
          <w:rFonts w:asciiTheme="majorHAnsi" w:hAnsiTheme="majorHAnsi" w:cstheme="majorHAnsi"/>
          <w:sz w:val="24"/>
          <w:szCs w:val="24"/>
        </w:rPr>
        <w:t xml:space="preserve"> draft Action Plan documents. </w:t>
      </w:r>
    </w:p>
    <w:p w14:paraId="6A9573F6" w14:textId="02A7E60C" w:rsidR="002321C7" w:rsidRDefault="002321C7" w:rsidP="00033B15">
      <w:pPr>
        <w:spacing w:line="276" w:lineRule="auto"/>
        <w:rPr>
          <w:rFonts w:asciiTheme="majorHAnsi" w:hAnsiTheme="majorHAnsi" w:cstheme="majorHAnsi"/>
          <w:sz w:val="24"/>
          <w:szCs w:val="24"/>
        </w:rPr>
      </w:pPr>
      <w:r>
        <w:rPr>
          <w:rFonts w:asciiTheme="majorHAnsi" w:hAnsiTheme="majorHAnsi" w:cstheme="majorHAnsi"/>
          <w:sz w:val="24"/>
          <w:szCs w:val="24"/>
        </w:rPr>
        <w:tab/>
        <w:t xml:space="preserve">In June 2023, Canada tabled its Action Plan. </w:t>
      </w:r>
      <w:r w:rsidR="00454CEA">
        <w:rPr>
          <w:rFonts w:asciiTheme="majorHAnsi" w:hAnsiTheme="majorHAnsi" w:cstheme="majorHAnsi"/>
          <w:sz w:val="24"/>
          <w:szCs w:val="24"/>
        </w:rPr>
        <w:t xml:space="preserve">This </w:t>
      </w:r>
      <w:r w:rsidR="00ED18BC">
        <w:rPr>
          <w:rFonts w:asciiTheme="majorHAnsi" w:hAnsiTheme="majorHAnsi" w:cstheme="majorHAnsi"/>
          <w:sz w:val="24"/>
          <w:szCs w:val="24"/>
        </w:rPr>
        <w:t xml:space="preserve">five-year </w:t>
      </w:r>
      <w:r w:rsidR="00454CEA">
        <w:rPr>
          <w:rFonts w:asciiTheme="majorHAnsi" w:hAnsiTheme="majorHAnsi" w:cstheme="majorHAnsi"/>
          <w:sz w:val="24"/>
          <w:szCs w:val="24"/>
        </w:rPr>
        <w:t xml:space="preserve">Action Plan includes Measures </w:t>
      </w:r>
      <w:r w:rsidR="00ED18BC">
        <w:rPr>
          <w:rFonts w:asciiTheme="majorHAnsi" w:hAnsiTheme="majorHAnsi" w:cstheme="majorHAnsi"/>
          <w:sz w:val="24"/>
          <w:szCs w:val="24"/>
        </w:rPr>
        <w:t xml:space="preserve">to implement the UNDRIP. </w:t>
      </w:r>
      <w:r w:rsidR="00963068">
        <w:rPr>
          <w:rFonts w:asciiTheme="majorHAnsi" w:hAnsiTheme="majorHAnsi" w:cstheme="majorHAnsi"/>
          <w:sz w:val="24"/>
          <w:szCs w:val="24"/>
        </w:rPr>
        <w:t xml:space="preserve">Throughout the drafting stages and upon its release, NWAC </w:t>
      </w:r>
      <w:hyperlink r:id="rId10" w:history="1">
        <w:r w:rsidR="00EE36A2" w:rsidRPr="00752C29">
          <w:rPr>
            <w:rStyle w:val="Hyperlink"/>
            <w:rFonts w:asciiTheme="majorHAnsi" w:hAnsiTheme="majorHAnsi" w:cstheme="majorHAnsi"/>
            <w:sz w:val="24"/>
            <w:szCs w:val="24"/>
          </w:rPr>
          <w:t>expressed criticism</w:t>
        </w:r>
      </w:hyperlink>
      <w:r w:rsidR="00EE36A2">
        <w:rPr>
          <w:rFonts w:asciiTheme="majorHAnsi" w:hAnsiTheme="majorHAnsi" w:cstheme="majorHAnsi"/>
          <w:sz w:val="24"/>
          <w:szCs w:val="24"/>
        </w:rPr>
        <w:t xml:space="preserve"> that Canada’s Action Plan did not </w:t>
      </w:r>
      <w:r w:rsidR="00752C29">
        <w:rPr>
          <w:rFonts w:asciiTheme="majorHAnsi" w:hAnsiTheme="majorHAnsi" w:cstheme="majorHAnsi"/>
          <w:sz w:val="24"/>
          <w:szCs w:val="24"/>
        </w:rPr>
        <w:t xml:space="preserve">affirm Indigenous WG2STGD+ People’s leadership in implementing the </w:t>
      </w:r>
      <w:r w:rsidR="00752C29" w:rsidRPr="00752C29">
        <w:rPr>
          <w:rFonts w:asciiTheme="majorHAnsi" w:hAnsiTheme="majorHAnsi" w:cstheme="majorHAnsi"/>
          <w:i/>
          <w:iCs/>
          <w:sz w:val="24"/>
          <w:szCs w:val="24"/>
        </w:rPr>
        <w:t>UNDRIP Act</w:t>
      </w:r>
      <w:r w:rsidR="00752C29">
        <w:rPr>
          <w:rFonts w:asciiTheme="majorHAnsi" w:hAnsiTheme="majorHAnsi" w:cstheme="majorHAnsi"/>
          <w:sz w:val="24"/>
          <w:szCs w:val="24"/>
        </w:rPr>
        <w:t xml:space="preserve">. </w:t>
      </w:r>
      <w:r w:rsidR="00ED18BC">
        <w:rPr>
          <w:rFonts w:asciiTheme="majorHAnsi" w:hAnsiTheme="majorHAnsi" w:cstheme="majorHAnsi"/>
          <w:sz w:val="24"/>
          <w:szCs w:val="24"/>
        </w:rPr>
        <w:t xml:space="preserve">NWAC remains critical that the Action Plan does not include </w:t>
      </w:r>
      <w:r w:rsidR="00DA1B8A">
        <w:rPr>
          <w:rFonts w:asciiTheme="majorHAnsi" w:hAnsiTheme="majorHAnsi" w:cstheme="majorHAnsi"/>
          <w:sz w:val="24"/>
          <w:szCs w:val="24"/>
        </w:rPr>
        <w:t>time</w:t>
      </w:r>
      <w:r w:rsidR="00196C52">
        <w:rPr>
          <w:rFonts w:asciiTheme="majorHAnsi" w:hAnsiTheme="majorHAnsi" w:cstheme="majorHAnsi"/>
          <w:sz w:val="24"/>
          <w:szCs w:val="24"/>
        </w:rPr>
        <w:t>lines</w:t>
      </w:r>
      <w:r w:rsidR="00DA1B8A">
        <w:rPr>
          <w:rFonts w:asciiTheme="majorHAnsi" w:hAnsiTheme="majorHAnsi" w:cstheme="majorHAnsi"/>
          <w:sz w:val="24"/>
          <w:szCs w:val="24"/>
        </w:rPr>
        <w:t xml:space="preserve"> for achieving the Measures, </w:t>
      </w:r>
      <w:r w:rsidR="00196C52">
        <w:rPr>
          <w:rFonts w:asciiTheme="majorHAnsi" w:hAnsiTheme="majorHAnsi" w:cstheme="majorHAnsi"/>
          <w:sz w:val="24"/>
          <w:szCs w:val="24"/>
        </w:rPr>
        <w:t>enforcement mechanisms, nor redress mechanisms.</w:t>
      </w:r>
    </w:p>
    <w:p w14:paraId="53818A00" w14:textId="28095520" w:rsidR="001A5955" w:rsidRPr="00E81C69" w:rsidRDefault="00807594" w:rsidP="00033B15">
      <w:pPr>
        <w:spacing w:line="276" w:lineRule="auto"/>
        <w:rPr>
          <w:rFonts w:asciiTheme="majorHAnsi" w:hAnsiTheme="majorHAnsi" w:cstheme="majorHAnsi"/>
          <w:i/>
          <w:iCs/>
          <w:sz w:val="24"/>
          <w:szCs w:val="24"/>
        </w:rPr>
      </w:pPr>
      <w:r w:rsidRPr="00E81C69">
        <w:rPr>
          <w:rFonts w:asciiTheme="majorHAnsi" w:hAnsiTheme="majorHAnsi" w:cstheme="majorHAnsi"/>
          <w:i/>
          <w:iCs/>
          <w:sz w:val="24"/>
          <w:szCs w:val="24"/>
        </w:rPr>
        <w:t>NWAC participated in engagement to provide input</w:t>
      </w:r>
    </w:p>
    <w:p w14:paraId="6E5FD0C3" w14:textId="1B321E8D" w:rsidR="001F1301" w:rsidRDefault="001F1301" w:rsidP="00160C31">
      <w:pPr>
        <w:spacing w:line="276" w:lineRule="auto"/>
        <w:ind w:firstLine="720"/>
        <w:rPr>
          <w:rFonts w:asciiTheme="majorHAnsi" w:hAnsiTheme="majorHAnsi" w:cstheme="majorHAnsi"/>
          <w:sz w:val="24"/>
          <w:szCs w:val="24"/>
        </w:rPr>
      </w:pPr>
      <w:r>
        <w:rPr>
          <w:rFonts w:asciiTheme="majorHAnsi" w:hAnsiTheme="majorHAnsi" w:cstheme="majorHAnsi"/>
          <w:sz w:val="24"/>
          <w:szCs w:val="24"/>
        </w:rPr>
        <w:t xml:space="preserve">Canada received NWAC’s input throughout 2022 and 2023 as it worked to build the Action Plan and </w:t>
      </w:r>
      <w:r w:rsidR="003A7F58">
        <w:rPr>
          <w:rFonts w:asciiTheme="majorHAnsi" w:hAnsiTheme="majorHAnsi" w:cstheme="majorHAnsi"/>
          <w:sz w:val="24"/>
          <w:szCs w:val="24"/>
        </w:rPr>
        <w:t xml:space="preserve">begin its implementation. </w:t>
      </w:r>
    </w:p>
    <w:p w14:paraId="3D104239" w14:textId="5B51DB88" w:rsidR="001175D3" w:rsidRDefault="00160C31" w:rsidP="00160C31">
      <w:pPr>
        <w:spacing w:line="276" w:lineRule="auto"/>
        <w:ind w:firstLine="720"/>
        <w:rPr>
          <w:rFonts w:asciiTheme="majorHAnsi" w:hAnsiTheme="majorHAnsi" w:cstheme="majorHAnsi"/>
          <w:sz w:val="24"/>
          <w:szCs w:val="24"/>
        </w:rPr>
      </w:pPr>
      <w:r>
        <w:rPr>
          <w:rFonts w:asciiTheme="majorHAnsi" w:hAnsiTheme="majorHAnsi" w:cstheme="majorHAnsi"/>
          <w:sz w:val="24"/>
          <w:szCs w:val="24"/>
        </w:rPr>
        <w:t>Canada held biweekly meetings with NWAC to exchange updates on engagements</w:t>
      </w:r>
      <w:r w:rsidR="00FD3134">
        <w:rPr>
          <w:rFonts w:asciiTheme="majorHAnsi" w:hAnsiTheme="majorHAnsi" w:cstheme="majorHAnsi"/>
          <w:sz w:val="24"/>
          <w:szCs w:val="24"/>
        </w:rPr>
        <w:t xml:space="preserve">, share feedback from Indigenous WG2STGD+ People, and express concerns about the </w:t>
      </w:r>
      <w:r w:rsidR="001175D3">
        <w:rPr>
          <w:rFonts w:asciiTheme="majorHAnsi" w:hAnsiTheme="majorHAnsi" w:cstheme="majorHAnsi"/>
          <w:sz w:val="24"/>
          <w:szCs w:val="24"/>
        </w:rPr>
        <w:t>forthcoming UNDRIP Action Plan. NWAC accommodated requests from Canada to</w:t>
      </w:r>
      <w:r w:rsidR="001978E2">
        <w:rPr>
          <w:rFonts w:asciiTheme="majorHAnsi" w:hAnsiTheme="majorHAnsi" w:cstheme="majorHAnsi"/>
          <w:sz w:val="24"/>
          <w:szCs w:val="24"/>
        </w:rPr>
        <w:t xml:space="preserve"> provide additional materials at earlier deadlines. NWAC received draft Action Plan materials it was expected to respond to later than some other organizations, causing NWAC concern that as an Indigenous women’s organization, it was being disadvantaged on the basis of gender. NWAC expressed these concerns to Canada, including to the former Justice Minister David </w:t>
      </w:r>
      <w:proofErr w:type="spellStart"/>
      <w:r w:rsidR="001978E2">
        <w:rPr>
          <w:rFonts w:asciiTheme="majorHAnsi" w:hAnsiTheme="majorHAnsi" w:cstheme="majorHAnsi"/>
          <w:sz w:val="24"/>
          <w:szCs w:val="24"/>
        </w:rPr>
        <w:t>Lametti</w:t>
      </w:r>
      <w:proofErr w:type="spellEnd"/>
      <w:r w:rsidR="001978E2">
        <w:rPr>
          <w:rFonts w:asciiTheme="majorHAnsi" w:hAnsiTheme="majorHAnsi" w:cstheme="majorHAnsi"/>
          <w:sz w:val="24"/>
          <w:szCs w:val="24"/>
        </w:rPr>
        <w:t xml:space="preserve"> in a meeting held in March 2023.</w:t>
      </w:r>
      <w:r w:rsidR="001175D3">
        <w:rPr>
          <w:rFonts w:asciiTheme="majorHAnsi" w:hAnsiTheme="majorHAnsi" w:cstheme="majorHAnsi"/>
          <w:sz w:val="24"/>
          <w:szCs w:val="24"/>
        </w:rPr>
        <w:t xml:space="preserve"> </w:t>
      </w:r>
    </w:p>
    <w:p w14:paraId="1051C406" w14:textId="2A35CDC7" w:rsidR="0028545A" w:rsidRPr="0079306F" w:rsidRDefault="0028545A" w:rsidP="0028545A">
      <w:pPr>
        <w:spacing w:line="276" w:lineRule="auto"/>
        <w:rPr>
          <w:rFonts w:asciiTheme="majorHAnsi" w:hAnsiTheme="majorHAnsi" w:cstheme="majorHAnsi"/>
          <w:i/>
          <w:iCs/>
          <w:sz w:val="24"/>
          <w:szCs w:val="24"/>
        </w:rPr>
      </w:pPr>
      <w:r w:rsidRPr="0079306F">
        <w:rPr>
          <w:rFonts w:asciiTheme="majorHAnsi" w:hAnsiTheme="majorHAnsi" w:cstheme="majorHAnsi"/>
          <w:i/>
          <w:iCs/>
          <w:sz w:val="24"/>
          <w:szCs w:val="24"/>
        </w:rPr>
        <w:t xml:space="preserve">Canada did not integrate NWAC’s </w:t>
      </w:r>
      <w:r w:rsidR="0079306F" w:rsidRPr="0079306F">
        <w:rPr>
          <w:rFonts w:asciiTheme="majorHAnsi" w:hAnsiTheme="majorHAnsi" w:cstheme="majorHAnsi"/>
          <w:i/>
          <w:iCs/>
          <w:sz w:val="24"/>
          <w:szCs w:val="24"/>
        </w:rPr>
        <w:t>feedback amplifying UNDRIP’s role and gendered perspectives</w:t>
      </w:r>
    </w:p>
    <w:p w14:paraId="4FC8C85C" w14:textId="77777777" w:rsidR="00FA4C64" w:rsidRDefault="0079306F" w:rsidP="000F6AC4">
      <w:pPr>
        <w:spacing w:line="276" w:lineRule="auto"/>
        <w:ind w:firstLine="720"/>
        <w:rPr>
          <w:rFonts w:asciiTheme="majorHAnsi" w:hAnsiTheme="majorHAnsi" w:cstheme="majorHAnsi"/>
          <w:sz w:val="24"/>
          <w:szCs w:val="24"/>
        </w:rPr>
      </w:pPr>
      <w:r>
        <w:rPr>
          <w:rFonts w:asciiTheme="majorHAnsi" w:hAnsiTheme="majorHAnsi" w:cstheme="majorHAnsi"/>
          <w:sz w:val="24"/>
          <w:szCs w:val="24"/>
        </w:rPr>
        <w:t xml:space="preserve">NWAC </w:t>
      </w:r>
      <w:r w:rsidR="00163E37">
        <w:rPr>
          <w:rFonts w:asciiTheme="majorHAnsi" w:hAnsiTheme="majorHAnsi" w:cstheme="majorHAnsi"/>
          <w:sz w:val="24"/>
          <w:szCs w:val="24"/>
        </w:rPr>
        <w:t>made</w:t>
      </w:r>
      <w:r w:rsidR="00163E37" w:rsidRPr="00163E37">
        <w:rPr>
          <w:rFonts w:asciiTheme="majorHAnsi" w:hAnsiTheme="majorHAnsi" w:cstheme="majorHAnsi"/>
          <w:sz w:val="24"/>
          <w:szCs w:val="24"/>
        </w:rPr>
        <w:t xml:space="preserve"> written submissions, </w:t>
      </w:r>
      <w:r w:rsidR="00163E37">
        <w:rPr>
          <w:rFonts w:asciiTheme="majorHAnsi" w:hAnsiTheme="majorHAnsi" w:cstheme="majorHAnsi"/>
          <w:sz w:val="24"/>
          <w:szCs w:val="24"/>
        </w:rPr>
        <w:t xml:space="preserve">and held </w:t>
      </w:r>
      <w:r w:rsidR="00163E37" w:rsidRPr="00163E37">
        <w:rPr>
          <w:rFonts w:asciiTheme="majorHAnsi" w:hAnsiTheme="majorHAnsi" w:cstheme="majorHAnsi"/>
          <w:sz w:val="24"/>
          <w:szCs w:val="24"/>
        </w:rPr>
        <w:t>in-person and virtual consultations with Canada</w:t>
      </w:r>
      <w:r w:rsidR="00FA4C64">
        <w:rPr>
          <w:rFonts w:asciiTheme="majorHAnsi" w:hAnsiTheme="majorHAnsi" w:cstheme="majorHAnsi"/>
          <w:sz w:val="24"/>
          <w:szCs w:val="24"/>
        </w:rPr>
        <w:t>, repeating two key positions:</w:t>
      </w:r>
    </w:p>
    <w:p w14:paraId="0E660508" w14:textId="48C8E80E" w:rsidR="00FA4C64" w:rsidRDefault="00FA4C64" w:rsidP="00E267E5">
      <w:pPr>
        <w:pStyle w:val="ListParagraph"/>
        <w:numPr>
          <w:ilvl w:val="0"/>
          <w:numId w:val="2"/>
        </w:numPr>
        <w:spacing w:line="276" w:lineRule="auto"/>
        <w:rPr>
          <w:rFonts w:asciiTheme="majorHAnsi" w:hAnsiTheme="majorHAnsi" w:cstheme="majorHAnsi"/>
          <w:sz w:val="24"/>
          <w:szCs w:val="24"/>
        </w:rPr>
      </w:pPr>
      <w:r w:rsidRPr="00E267E5">
        <w:rPr>
          <w:rFonts w:asciiTheme="majorHAnsi" w:hAnsiTheme="majorHAnsi" w:cstheme="majorHAnsi"/>
          <w:sz w:val="24"/>
          <w:szCs w:val="24"/>
        </w:rPr>
        <w:lastRenderedPageBreak/>
        <w:t xml:space="preserve">The UNDRIP Act implementation Action Plan must </w:t>
      </w:r>
      <w:r w:rsidR="00272753" w:rsidRPr="00E267E5">
        <w:rPr>
          <w:rFonts w:asciiTheme="majorHAnsi" w:hAnsiTheme="majorHAnsi" w:cstheme="majorHAnsi"/>
          <w:sz w:val="24"/>
          <w:szCs w:val="24"/>
        </w:rPr>
        <w:t>be amended to reflect Indigenous WG2STGD+ People’s gender-specific needs and roles</w:t>
      </w:r>
      <w:r w:rsidR="00E267E5" w:rsidRPr="00E267E5">
        <w:rPr>
          <w:rFonts w:asciiTheme="majorHAnsi" w:hAnsiTheme="majorHAnsi" w:cstheme="majorHAnsi"/>
          <w:sz w:val="24"/>
          <w:szCs w:val="24"/>
        </w:rPr>
        <w:t>; and</w:t>
      </w:r>
    </w:p>
    <w:p w14:paraId="4CBA84C4" w14:textId="66E95E15" w:rsidR="00272753" w:rsidRPr="00E267E5" w:rsidRDefault="00E267E5" w:rsidP="00E267E5">
      <w:pPr>
        <w:pStyle w:val="ListParagraph"/>
        <w:numPr>
          <w:ilvl w:val="0"/>
          <w:numId w:val="2"/>
        </w:numPr>
        <w:spacing w:line="276" w:lineRule="auto"/>
        <w:rPr>
          <w:rFonts w:asciiTheme="majorHAnsi" w:hAnsiTheme="majorHAnsi" w:cstheme="majorHAnsi"/>
          <w:sz w:val="24"/>
          <w:szCs w:val="24"/>
        </w:rPr>
      </w:pPr>
      <w:r>
        <w:rPr>
          <w:rFonts w:asciiTheme="majorHAnsi" w:hAnsiTheme="majorHAnsi" w:cstheme="majorHAnsi"/>
          <w:sz w:val="24"/>
          <w:szCs w:val="24"/>
        </w:rPr>
        <w:t>A</w:t>
      </w:r>
      <w:r w:rsidRPr="00FA4C64">
        <w:rPr>
          <w:rFonts w:asciiTheme="majorHAnsi" w:hAnsiTheme="majorHAnsi" w:cstheme="majorHAnsi"/>
          <w:sz w:val="24"/>
          <w:szCs w:val="24"/>
        </w:rPr>
        <w:t xml:space="preserve"> non-derogation clause in the federal </w:t>
      </w:r>
      <w:r w:rsidRPr="00FA4C64">
        <w:rPr>
          <w:rFonts w:asciiTheme="majorHAnsi" w:hAnsiTheme="majorHAnsi" w:cstheme="majorHAnsi"/>
          <w:i/>
          <w:iCs/>
          <w:sz w:val="24"/>
          <w:szCs w:val="24"/>
        </w:rPr>
        <w:t>Interpretation Act</w:t>
      </w:r>
      <w:r w:rsidRPr="00FA4C64">
        <w:rPr>
          <w:rFonts w:asciiTheme="majorHAnsi" w:hAnsiTheme="majorHAnsi" w:cstheme="majorHAnsi"/>
          <w:sz w:val="24"/>
          <w:szCs w:val="24"/>
        </w:rPr>
        <w:t xml:space="preserve"> must specifically affirm the rights contained in the UNDRIP</w:t>
      </w:r>
      <w:r>
        <w:rPr>
          <w:rFonts w:asciiTheme="majorHAnsi" w:hAnsiTheme="majorHAnsi" w:cstheme="majorHAnsi"/>
          <w:sz w:val="24"/>
          <w:szCs w:val="24"/>
        </w:rPr>
        <w:t>.</w:t>
      </w:r>
    </w:p>
    <w:p w14:paraId="394A0AD1" w14:textId="6D24025D" w:rsidR="00D70BD5" w:rsidRDefault="003E15D3" w:rsidP="000F6AC4">
      <w:pPr>
        <w:spacing w:line="276" w:lineRule="auto"/>
        <w:ind w:firstLine="720"/>
        <w:rPr>
          <w:rFonts w:asciiTheme="majorHAnsi" w:hAnsiTheme="majorHAnsi" w:cstheme="majorHAnsi"/>
          <w:sz w:val="24"/>
          <w:szCs w:val="24"/>
        </w:rPr>
      </w:pPr>
      <w:r>
        <w:rPr>
          <w:rFonts w:asciiTheme="majorHAnsi" w:hAnsiTheme="majorHAnsi" w:cstheme="majorHAnsi"/>
          <w:sz w:val="24"/>
          <w:szCs w:val="24"/>
        </w:rPr>
        <w:t xml:space="preserve">Much of NWAC’s proposed wording, recommendations and feedback were not integrated into the UNDRIP Action Plan. </w:t>
      </w:r>
      <w:r w:rsidR="005425FB">
        <w:rPr>
          <w:rFonts w:asciiTheme="majorHAnsi" w:hAnsiTheme="majorHAnsi" w:cstheme="majorHAnsi"/>
          <w:sz w:val="24"/>
          <w:szCs w:val="24"/>
        </w:rPr>
        <w:t>Much of NWAC’s proposed changes amplified the importance of including Indigenous WG2STGD+ People’s perspectives, leadership and recognition</w:t>
      </w:r>
      <w:r w:rsidR="00A05A42">
        <w:rPr>
          <w:rFonts w:asciiTheme="majorHAnsi" w:hAnsiTheme="majorHAnsi" w:cstheme="majorHAnsi"/>
          <w:sz w:val="24"/>
          <w:szCs w:val="24"/>
        </w:rPr>
        <w:t xml:space="preserve"> within decision-making frameworks. </w:t>
      </w:r>
      <w:r>
        <w:rPr>
          <w:rFonts w:asciiTheme="majorHAnsi" w:hAnsiTheme="majorHAnsi" w:cstheme="majorHAnsi"/>
          <w:sz w:val="24"/>
          <w:szCs w:val="24"/>
        </w:rPr>
        <w:t xml:space="preserve">Though Canada invited NWAC to provide such input, </w:t>
      </w:r>
      <w:r w:rsidR="00F65F15">
        <w:rPr>
          <w:rFonts w:asciiTheme="majorHAnsi" w:hAnsiTheme="majorHAnsi" w:cstheme="majorHAnsi"/>
          <w:sz w:val="24"/>
          <w:szCs w:val="24"/>
        </w:rPr>
        <w:t xml:space="preserve">and </w:t>
      </w:r>
      <w:r w:rsidR="000F6AC4">
        <w:rPr>
          <w:rFonts w:asciiTheme="majorHAnsi" w:hAnsiTheme="majorHAnsi" w:cstheme="majorHAnsi"/>
          <w:sz w:val="24"/>
          <w:szCs w:val="24"/>
        </w:rPr>
        <w:t>specifically</w:t>
      </w:r>
      <w:r w:rsidR="00F65F15">
        <w:rPr>
          <w:rFonts w:asciiTheme="majorHAnsi" w:hAnsiTheme="majorHAnsi" w:cstheme="majorHAnsi"/>
          <w:sz w:val="24"/>
          <w:szCs w:val="24"/>
        </w:rPr>
        <w:t xml:space="preserve"> sought suggested wording to improve gender-</w:t>
      </w:r>
      <w:r w:rsidR="000F6AC4">
        <w:rPr>
          <w:rFonts w:asciiTheme="majorHAnsi" w:hAnsiTheme="majorHAnsi" w:cstheme="majorHAnsi"/>
          <w:sz w:val="24"/>
          <w:szCs w:val="24"/>
        </w:rPr>
        <w:t>responsiveness</w:t>
      </w:r>
      <w:r w:rsidR="00F65F15">
        <w:rPr>
          <w:rFonts w:asciiTheme="majorHAnsi" w:hAnsiTheme="majorHAnsi" w:cstheme="majorHAnsi"/>
          <w:sz w:val="24"/>
          <w:szCs w:val="24"/>
        </w:rPr>
        <w:t xml:space="preserve">, these recommendations did not appear in the final </w:t>
      </w:r>
      <w:hyperlink r:id="rId11" w:history="1">
        <w:r w:rsidR="00F65F15" w:rsidRPr="000F6AC4">
          <w:rPr>
            <w:rStyle w:val="Hyperlink"/>
            <w:rFonts w:asciiTheme="majorHAnsi" w:hAnsiTheme="majorHAnsi" w:cstheme="majorHAnsi"/>
            <w:sz w:val="24"/>
            <w:szCs w:val="24"/>
          </w:rPr>
          <w:t>Action Plan</w:t>
        </w:r>
      </w:hyperlink>
      <w:r w:rsidR="00F65F15">
        <w:rPr>
          <w:rFonts w:asciiTheme="majorHAnsi" w:hAnsiTheme="majorHAnsi" w:cstheme="majorHAnsi"/>
          <w:sz w:val="24"/>
          <w:szCs w:val="24"/>
        </w:rPr>
        <w:t>.</w:t>
      </w:r>
    </w:p>
    <w:p w14:paraId="3443DC8F" w14:textId="1F125913" w:rsidR="00041DE5" w:rsidRDefault="00041DE5" w:rsidP="000F6AC4">
      <w:pPr>
        <w:spacing w:line="276" w:lineRule="auto"/>
        <w:ind w:firstLine="720"/>
        <w:rPr>
          <w:rFonts w:asciiTheme="majorHAnsi" w:hAnsiTheme="majorHAnsi" w:cstheme="majorHAnsi"/>
          <w:sz w:val="24"/>
          <w:szCs w:val="24"/>
        </w:rPr>
      </w:pPr>
      <w:r>
        <w:rPr>
          <w:rFonts w:asciiTheme="majorHAnsi" w:hAnsiTheme="majorHAnsi" w:cstheme="majorHAnsi"/>
          <w:sz w:val="24"/>
          <w:szCs w:val="24"/>
        </w:rPr>
        <w:t>NWAC’s recommendations for the UNDRIP Action Plan can thematically be</w:t>
      </w:r>
      <w:r w:rsidR="0009772E">
        <w:rPr>
          <w:rFonts w:asciiTheme="majorHAnsi" w:hAnsiTheme="majorHAnsi" w:cstheme="majorHAnsi"/>
          <w:sz w:val="24"/>
          <w:szCs w:val="24"/>
        </w:rPr>
        <w:t xml:space="preserve"> described as belonging to one of the following three key changes:</w:t>
      </w:r>
    </w:p>
    <w:p w14:paraId="022DDB17" w14:textId="77777777" w:rsidR="00BB3DAE" w:rsidRDefault="0009772E" w:rsidP="00BB3DAE">
      <w:pPr>
        <w:pStyle w:val="ListParagraph"/>
        <w:numPr>
          <w:ilvl w:val="0"/>
          <w:numId w:val="3"/>
        </w:numPr>
        <w:spacing w:line="276" w:lineRule="auto"/>
        <w:rPr>
          <w:rFonts w:asciiTheme="majorHAnsi" w:hAnsiTheme="majorHAnsi" w:cstheme="majorHAnsi"/>
          <w:sz w:val="24"/>
          <w:szCs w:val="24"/>
        </w:rPr>
      </w:pPr>
      <w:r w:rsidRPr="0009772E">
        <w:rPr>
          <w:rFonts w:asciiTheme="majorHAnsi" w:hAnsiTheme="majorHAnsi" w:cstheme="majorHAnsi"/>
          <w:sz w:val="24"/>
          <w:szCs w:val="24"/>
        </w:rPr>
        <w:t xml:space="preserve">Create measurable </w:t>
      </w:r>
      <w:r>
        <w:rPr>
          <w:rFonts w:ascii="Calibri Light" w:eastAsia="Calibri Light" w:hAnsi="Calibri Light" w:cs="Calibri Light"/>
          <w:sz w:val="24"/>
          <w:szCs w:val="24"/>
        </w:rPr>
        <w:t>ti</w:t>
      </w:r>
      <w:r w:rsidRPr="0009772E">
        <w:rPr>
          <w:rFonts w:asciiTheme="majorHAnsi" w:hAnsiTheme="majorHAnsi" w:cstheme="majorHAnsi"/>
          <w:sz w:val="24"/>
          <w:szCs w:val="24"/>
        </w:rPr>
        <w:t>melines (short, medium, and long-term) and assign responsible authori</w:t>
      </w:r>
      <w:r w:rsidR="00BB3DAE">
        <w:rPr>
          <w:rFonts w:ascii="Calibri Light" w:eastAsia="Calibri Light" w:hAnsi="Calibri Light" w:cs="Calibri Light"/>
          <w:sz w:val="24"/>
          <w:szCs w:val="24"/>
        </w:rPr>
        <w:t>ti</w:t>
      </w:r>
      <w:r w:rsidRPr="0009772E">
        <w:rPr>
          <w:rFonts w:asciiTheme="majorHAnsi" w:hAnsiTheme="majorHAnsi" w:cstheme="majorHAnsi"/>
          <w:sz w:val="24"/>
          <w:szCs w:val="24"/>
        </w:rPr>
        <w:t>es for all measures</w:t>
      </w:r>
      <w:r w:rsidR="00BB3DAE">
        <w:rPr>
          <w:rFonts w:asciiTheme="majorHAnsi" w:hAnsiTheme="majorHAnsi" w:cstheme="majorHAnsi"/>
          <w:sz w:val="24"/>
          <w:szCs w:val="24"/>
        </w:rPr>
        <w:t>;</w:t>
      </w:r>
    </w:p>
    <w:p w14:paraId="2367509C" w14:textId="77777777" w:rsidR="00BB3DAE" w:rsidRDefault="0009772E" w:rsidP="00BB3DAE">
      <w:pPr>
        <w:pStyle w:val="ListParagraph"/>
        <w:numPr>
          <w:ilvl w:val="0"/>
          <w:numId w:val="3"/>
        </w:numPr>
        <w:spacing w:line="276" w:lineRule="auto"/>
        <w:rPr>
          <w:rFonts w:asciiTheme="majorHAnsi" w:hAnsiTheme="majorHAnsi" w:cstheme="majorHAnsi"/>
          <w:sz w:val="24"/>
          <w:szCs w:val="24"/>
        </w:rPr>
      </w:pPr>
      <w:r w:rsidRPr="00BB3DAE">
        <w:rPr>
          <w:rFonts w:asciiTheme="majorHAnsi" w:hAnsiTheme="majorHAnsi" w:cstheme="majorHAnsi"/>
          <w:sz w:val="24"/>
          <w:szCs w:val="24"/>
        </w:rPr>
        <w:t xml:space="preserve">Commit to address all 231 Calls to </w:t>
      </w:r>
      <w:proofErr w:type="spellStart"/>
      <w:r w:rsidRPr="00BB3DAE">
        <w:rPr>
          <w:rFonts w:asciiTheme="majorHAnsi" w:hAnsiTheme="majorHAnsi" w:cstheme="majorHAnsi"/>
          <w:sz w:val="24"/>
          <w:szCs w:val="24"/>
        </w:rPr>
        <w:t>Jus</w:t>
      </w:r>
      <w:r w:rsidR="00BB3DAE">
        <w:rPr>
          <w:rFonts w:ascii="Calibri Light" w:eastAsia="Calibri Light" w:hAnsi="Calibri Light" w:cs="Calibri Light"/>
          <w:sz w:val="24"/>
          <w:szCs w:val="24"/>
        </w:rPr>
        <w:t>i</w:t>
      </w:r>
      <w:r w:rsidRPr="00BB3DAE">
        <w:rPr>
          <w:rFonts w:asciiTheme="majorHAnsi" w:hAnsiTheme="majorHAnsi" w:cstheme="majorHAnsi"/>
          <w:sz w:val="24"/>
          <w:szCs w:val="24"/>
        </w:rPr>
        <w:t>ce</w:t>
      </w:r>
      <w:proofErr w:type="spellEnd"/>
      <w:r w:rsidRPr="00BB3DAE">
        <w:rPr>
          <w:rFonts w:asciiTheme="majorHAnsi" w:hAnsiTheme="majorHAnsi" w:cstheme="majorHAnsi"/>
          <w:sz w:val="24"/>
          <w:szCs w:val="24"/>
        </w:rPr>
        <w:t xml:space="preserve"> recommended by the N</w:t>
      </w:r>
      <w:r w:rsidR="00BB3DAE">
        <w:rPr>
          <w:rFonts w:asciiTheme="majorHAnsi" w:hAnsiTheme="majorHAnsi" w:cstheme="majorHAnsi"/>
          <w:sz w:val="24"/>
          <w:szCs w:val="24"/>
        </w:rPr>
        <w:t xml:space="preserve">ational </w:t>
      </w:r>
      <w:r w:rsidRPr="00BB3DAE">
        <w:rPr>
          <w:rFonts w:asciiTheme="majorHAnsi" w:hAnsiTheme="majorHAnsi" w:cstheme="majorHAnsi"/>
          <w:sz w:val="24"/>
          <w:szCs w:val="24"/>
        </w:rPr>
        <w:t>I</w:t>
      </w:r>
      <w:r w:rsidR="00BB3DAE">
        <w:rPr>
          <w:rFonts w:asciiTheme="majorHAnsi" w:hAnsiTheme="majorHAnsi" w:cstheme="majorHAnsi"/>
          <w:sz w:val="24"/>
          <w:szCs w:val="24"/>
        </w:rPr>
        <w:t xml:space="preserve">nquiry into </w:t>
      </w:r>
      <w:r w:rsidRPr="00BB3DAE">
        <w:rPr>
          <w:rFonts w:asciiTheme="majorHAnsi" w:hAnsiTheme="majorHAnsi" w:cstheme="majorHAnsi"/>
          <w:sz w:val="24"/>
          <w:szCs w:val="24"/>
        </w:rPr>
        <w:t>M</w:t>
      </w:r>
      <w:r w:rsidR="00BB3DAE">
        <w:rPr>
          <w:rFonts w:asciiTheme="majorHAnsi" w:hAnsiTheme="majorHAnsi" w:cstheme="majorHAnsi"/>
          <w:sz w:val="24"/>
          <w:szCs w:val="24"/>
        </w:rPr>
        <w:t xml:space="preserve">issing and </w:t>
      </w:r>
      <w:r w:rsidRPr="00BB3DAE">
        <w:rPr>
          <w:rFonts w:asciiTheme="majorHAnsi" w:hAnsiTheme="majorHAnsi" w:cstheme="majorHAnsi"/>
          <w:sz w:val="24"/>
          <w:szCs w:val="24"/>
        </w:rPr>
        <w:t>M</w:t>
      </w:r>
      <w:r w:rsidR="00BB3DAE">
        <w:rPr>
          <w:rFonts w:asciiTheme="majorHAnsi" w:hAnsiTheme="majorHAnsi" w:cstheme="majorHAnsi"/>
          <w:sz w:val="24"/>
          <w:szCs w:val="24"/>
        </w:rPr>
        <w:t xml:space="preserve">urdered </w:t>
      </w:r>
      <w:r w:rsidRPr="00BB3DAE">
        <w:rPr>
          <w:rFonts w:asciiTheme="majorHAnsi" w:hAnsiTheme="majorHAnsi" w:cstheme="majorHAnsi"/>
          <w:sz w:val="24"/>
          <w:szCs w:val="24"/>
        </w:rPr>
        <w:t>I</w:t>
      </w:r>
      <w:r w:rsidR="00BB3DAE">
        <w:rPr>
          <w:rFonts w:asciiTheme="majorHAnsi" w:hAnsiTheme="majorHAnsi" w:cstheme="majorHAnsi"/>
          <w:sz w:val="24"/>
          <w:szCs w:val="24"/>
        </w:rPr>
        <w:t xml:space="preserve">ndigenous </w:t>
      </w:r>
      <w:r w:rsidRPr="00BB3DAE">
        <w:rPr>
          <w:rFonts w:asciiTheme="majorHAnsi" w:hAnsiTheme="majorHAnsi" w:cstheme="majorHAnsi"/>
          <w:sz w:val="24"/>
          <w:szCs w:val="24"/>
        </w:rPr>
        <w:t>W</w:t>
      </w:r>
      <w:r w:rsidR="00BB3DAE">
        <w:rPr>
          <w:rFonts w:asciiTheme="majorHAnsi" w:hAnsiTheme="majorHAnsi" w:cstheme="majorHAnsi"/>
          <w:sz w:val="24"/>
          <w:szCs w:val="24"/>
        </w:rPr>
        <w:t xml:space="preserve">omen and </w:t>
      </w:r>
      <w:r w:rsidRPr="00BB3DAE">
        <w:rPr>
          <w:rFonts w:asciiTheme="majorHAnsi" w:hAnsiTheme="majorHAnsi" w:cstheme="majorHAnsi"/>
          <w:sz w:val="24"/>
          <w:szCs w:val="24"/>
        </w:rPr>
        <w:t>G</w:t>
      </w:r>
      <w:r w:rsidR="00BB3DAE">
        <w:rPr>
          <w:rFonts w:asciiTheme="majorHAnsi" w:hAnsiTheme="majorHAnsi" w:cstheme="majorHAnsi"/>
          <w:sz w:val="24"/>
          <w:szCs w:val="24"/>
        </w:rPr>
        <w:t>irls (MMIWG); and</w:t>
      </w:r>
    </w:p>
    <w:p w14:paraId="184CA4E7" w14:textId="5E0D323D" w:rsidR="0009772E" w:rsidRDefault="0009772E" w:rsidP="00BB3DAE">
      <w:pPr>
        <w:pStyle w:val="ListParagraph"/>
        <w:numPr>
          <w:ilvl w:val="0"/>
          <w:numId w:val="3"/>
        </w:numPr>
        <w:spacing w:line="276" w:lineRule="auto"/>
        <w:rPr>
          <w:rFonts w:asciiTheme="majorHAnsi" w:hAnsiTheme="majorHAnsi" w:cstheme="majorHAnsi"/>
          <w:sz w:val="24"/>
          <w:szCs w:val="24"/>
        </w:rPr>
      </w:pPr>
      <w:r w:rsidRPr="00BB3DAE">
        <w:rPr>
          <w:rFonts w:asciiTheme="majorHAnsi" w:hAnsiTheme="majorHAnsi" w:cstheme="majorHAnsi"/>
          <w:sz w:val="24"/>
          <w:szCs w:val="24"/>
        </w:rPr>
        <w:t>Specify responsible authori</w:t>
      </w:r>
      <w:r w:rsidR="00BB3DAE">
        <w:rPr>
          <w:rFonts w:ascii="Calibri Light" w:eastAsia="Calibri Light" w:hAnsi="Calibri Light" w:cs="Calibri Light"/>
          <w:sz w:val="24"/>
          <w:szCs w:val="24"/>
        </w:rPr>
        <w:t>ti</w:t>
      </w:r>
      <w:r w:rsidRPr="00BB3DAE">
        <w:rPr>
          <w:rFonts w:asciiTheme="majorHAnsi" w:hAnsiTheme="majorHAnsi" w:cstheme="majorHAnsi"/>
          <w:sz w:val="24"/>
          <w:szCs w:val="24"/>
        </w:rPr>
        <w:t>es and dedicate sustainable funding.</w:t>
      </w:r>
    </w:p>
    <w:p w14:paraId="6B251C50" w14:textId="53A771FC" w:rsidR="00BB3DAE" w:rsidRPr="00BB3DAE" w:rsidRDefault="00BB3DAE" w:rsidP="00BB3DAE">
      <w:pPr>
        <w:spacing w:line="276" w:lineRule="auto"/>
        <w:ind w:firstLine="720"/>
        <w:rPr>
          <w:rFonts w:asciiTheme="majorHAnsi" w:hAnsiTheme="majorHAnsi" w:cstheme="majorHAnsi"/>
          <w:sz w:val="24"/>
          <w:szCs w:val="24"/>
        </w:rPr>
      </w:pPr>
      <w:r>
        <w:rPr>
          <w:rFonts w:asciiTheme="majorHAnsi" w:hAnsiTheme="majorHAnsi" w:cstheme="majorHAnsi"/>
          <w:sz w:val="24"/>
          <w:szCs w:val="24"/>
        </w:rPr>
        <w:t xml:space="preserve">Canada’s Action Plan and ongoing engagement with NWAC in the Action Plan’s implementation phase suggest </w:t>
      </w:r>
      <w:r w:rsidR="00132678">
        <w:rPr>
          <w:rFonts w:asciiTheme="majorHAnsi" w:hAnsiTheme="majorHAnsi" w:cstheme="majorHAnsi"/>
          <w:sz w:val="24"/>
          <w:szCs w:val="24"/>
        </w:rPr>
        <w:t>the federal government is more interested in being seen to hear NWAC’s recommendations rather than meaningfully implement those</w:t>
      </w:r>
      <w:r w:rsidR="00AC03CC">
        <w:rPr>
          <w:rFonts w:asciiTheme="majorHAnsi" w:hAnsiTheme="majorHAnsi" w:cstheme="majorHAnsi"/>
          <w:sz w:val="24"/>
          <w:szCs w:val="24"/>
        </w:rPr>
        <w:t xml:space="preserve"> recommendations</w:t>
      </w:r>
      <w:r w:rsidR="003A7F58">
        <w:rPr>
          <w:rFonts w:asciiTheme="majorHAnsi" w:hAnsiTheme="majorHAnsi" w:cstheme="majorHAnsi"/>
          <w:sz w:val="24"/>
          <w:szCs w:val="24"/>
        </w:rPr>
        <w:t xml:space="preserve"> and resolve systemic discrimination against Indigenous WG2STGD+ People</w:t>
      </w:r>
      <w:r w:rsidR="00AC03CC">
        <w:rPr>
          <w:rFonts w:asciiTheme="majorHAnsi" w:hAnsiTheme="majorHAnsi" w:cstheme="majorHAnsi"/>
          <w:sz w:val="24"/>
          <w:szCs w:val="24"/>
        </w:rPr>
        <w:t>.</w:t>
      </w:r>
    </w:p>
    <w:p w14:paraId="2DB79197" w14:textId="5E1812D7" w:rsidR="0033271D" w:rsidRDefault="0053256F" w:rsidP="000F6AC4">
      <w:pPr>
        <w:spacing w:line="276" w:lineRule="auto"/>
        <w:ind w:firstLine="720"/>
        <w:rPr>
          <w:rFonts w:asciiTheme="majorHAnsi" w:hAnsiTheme="majorHAnsi" w:cstheme="majorHAnsi"/>
          <w:sz w:val="24"/>
          <w:szCs w:val="24"/>
        </w:rPr>
      </w:pPr>
      <w:r>
        <w:rPr>
          <w:rFonts w:asciiTheme="majorHAnsi" w:hAnsiTheme="majorHAnsi" w:cstheme="majorHAnsi"/>
          <w:sz w:val="24"/>
          <w:szCs w:val="24"/>
        </w:rPr>
        <w:t>Canada tabled Bill S-13, which seeks to amend the federal</w:t>
      </w:r>
      <w:r w:rsidRPr="00AC03CC">
        <w:rPr>
          <w:rFonts w:asciiTheme="majorHAnsi" w:hAnsiTheme="majorHAnsi" w:cstheme="majorHAnsi"/>
          <w:i/>
          <w:iCs/>
          <w:sz w:val="24"/>
          <w:szCs w:val="24"/>
        </w:rPr>
        <w:t xml:space="preserve"> Interpretation Act </w:t>
      </w:r>
      <w:r>
        <w:rPr>
          <w:rFonts w:asciiTheme="majorHAnsi" w:hAnsiTheme="majorHAnsi" w:cstheme="majorHAnsi"/>
          <w:sz w:val="24"/>
          <w:szCs w:val="24"/>
        </w:rPr>
        <w:t>with a universal non-derogation clause</w:t>
      </w:r>
      <w:r w:rsidR="006A7F6A">
        <w:rPr>
          <w:rFonts w:asciiTheme="majorHAnsi" w:hAnsiTheme="majorHAnsi" w:cstheme="majorHAnsi"/>
          <w:sz w:val="24"/>
          <w:szCs w:val="24"/>
        </w:rPr>
        <w:t xml:space="preserve"> (NDC)</w:t>
      </w:r>
      <w:r>
        <w:rPr>
          <w:rFonts w:asciiTheme="majorHAnsi" w:hAnsiTheme="majorHAnsi" w:cstheme="majorHAnsi"/>
          <w:sz w:val="24"/>
          <w:szCs w:val="24"/>
        </w:rPr>
        <w:t xml:space="preserve">, clarifying that no federal legislation should be interpreted so as to derogate from Indigenous rights, as affirmed in treaties and under s. 35 of Canada’s </w:t>
      </w:r>
      <w:r w:rsidRPr="0053256F">
        <w:rPr>
          <w:rFonts w:asciiTheme="majorHAnsi" w:hAnsiTheme="majorHAnsi" w:cstheme="majorHAnsi"/>
          <w:i/>
          <w:iCs/>
          <w:sz w:val="24"/>
          <w:szCs w:val="24"/>
        </w:rPr>
        <w:t>Constitution Act, 1982</w:t>
      </w:r>
      <w:r>
        <w:rPr>
          <w:rFonts w:asciiTheme="majorHAnsi" w:hAnsiTheme="majorHAnsi" w:cstheme="majorHAnsi"/>
          <w:sz w:val="24"/>
          <w:szCs w:val="24"/>
        </w:rPr>
        <w:t xml:space="preserve">. NWAC, and other Indigenous advocates, </w:t>
      </w:r>
      <w:r w:rsidR="00392C0C">
        <w:rPr>
          <w:rFonts w:asciiTheme="majorHAnsi" w:hAnsiTheme="majorHAnsi" w:cstheme="majorHAnsi"/>
          <w:sz w:val="24"/>
          <w:szCs w:val="24"/>
        </w:rPr>
        <w:t xml:space="preserve">demanded that in order to give full effect to the Canada’s commitment to reconciliation by </w:t>
      </w:r>
      <w:r w:rsidR="006A7F6A">
        <w:rPr>
          <w:rFonts w:asciiTheme="majorHAnsi" w:hAnsiTheme="majorHAnsi" w:cstheme="majorHAnsi"/>
          <w:sz w:val="24"/>
          <w:szCs w:val="24"/>
        </w:rPr>
        <w:t xml:space="preserve">achieving the UNDRIP’s  the UNDRIP must also be specifically named in the federal NDC. </w:t>
      </w:r>
      <w:r w:rsidR="0033271D" w:rsidRPr="0033271D">
        <w:rPr>
          <w:rFonts w:asciiTheme="majorHAnsi" w:hAnsiTheme="majorHAnsi" w:cstheme="majorHAnsi"/>
          <w:sz w:val="24"/>
          <w:szCs w:val="24"/>
        </w:rPr>
        <w:tab/>
        <w:t>NWAC believes it is crucial a federal Interpretation Act NDC include section 35, treaty and UNDRIP rights to breathe life into reconciliation promises.</w:t>
      </w:r>
    </w:p>
    <w:p w14:paraId="10320B3E" w14:textId="22A4F77F" w:rsidR="00E267E5" w:rsidRDefault="00E267E5" w:rsidP="000F6AC4">
      <w:pPr>
        <w:spacing w:line="276" w:lineRule="auto"/>
        <w:ind w:firstLine="720"/>
        <w:rPr>
          <w:rFonts w:asciiTheme="majorHAnsi" w:hAnsiTheme="majorHAnsi" w:cstheme="majorHAnsi"/>
          <w:sz w:val="24"/>
          <w:szCs w:val="24"/>
        </w:rPr>
      </w:pPr>
      <w:r w:rsidRPr="00E267E5">
        <w:rPr>
          <w:rFonts w:asciiTheme="majorHAnsi" w:hAnsiTheme="majorHAnsi" w:cstheme="majorHAnsi"/>
          <w:sz w:val="24"/>
          <w:szCs w:val="24"/>
        </w:rPr>
        <w:t xml:space="preserve">NWAC </w:t>
      </w:r>
      <w:r w:rsidR="00F608BD">
        <w:rPr>
          <w:rFonts w:asciiTheme="majorHAnsi" w:hAnsiTheme="majorHAnsi" w:cstheme="majorHAnsi"/>
          <w:sz w:val="24"/>
          <w:szCs w:val="24"/>
        </w:rPr>
        <w:t xml:space="preserve">met with </w:t>
      </w:r>
      <w:r w:rsidR="00CA6A75">
        <w:rPr>
          <w:rFonts w:asciiTheme="majorHAnsi" w:hAnsiTheme="majorHAnsi" w:cstheme="majorHAnsi"/>
          <w:sz w:val="24"/>
          <w:szCs w:val="24"/>
        </w:rPr>
        <w:t xml:space="preserve">several government </w:t>
      </w:r>
      <w:r w:rsidR="008B6A13">
        <w:rPr>
          <w:rFonts w:asciiTheme="majorHAnsi" w:hAnsiTheme="majorHAnsi" w:cstheme="majorHAnsi"/>
          <w:sz w:val="24"/>
          <w:szCs w:val="24"/>
        </w:rPr>
        <w:t xml:space="preserve">representatives and </w:t>
      </w:r>
      <w:hyperlink r:id="rId12" w:history="1">
        <w:r w:rsidR="008B6A13" w:rsidRPr="007D083E">
          <w:rPr>
            <w:rStyle w:val="Hyperlink"/>
            <w:rFonts w:asciiTheme="majorHAnsi" w:hAnsiTheme="majorHAnsi" w:cstheme="majorHAnsi"/>
            <w:sz w:val="24"/>
            <w:szCs w:val="24"/>
          </w:rPr>
          <w:t>appeared before</w:t>
        </w:r>
      </w:hyperlink>
      <w:r w:rsidR="008B6A13">
        <w:rPr>
          <w:rFonts w:asciiTheme="majorHAnsi" w:hAnsiTheme="majorHAnsi" w:cstheme="majorHAnsi"/>
          <w:sz w:val="24"/>
          <w:szCs w:val="24"/>
        </w:rPr>
        <w:t xml:space="preserve"> the Senate Committee on Legal and Constitutional Affairs as they studied Bill S-13. To date, there has been no move to include the UNDRIP in the federal NDC, casting doubt as to how serious Canada is about advancing and protecting the rights affirmed in the UNDRIP. NWAC </w:t>
      </w:r>
      <w:r w:rsidRPr="00E267E5">
        <w:rPr>
          <w:rFonts w:asciiTheme="majorHAnsi" w:hAnsiTheme="majorHAnsi" w:cstheme="majorHAnsi"/>
          <w:sz w:val="24"/>
          <w:szCs w:val="24"/>
        </w:rPr>
        <w:t xml:space="preserve">has not received a clear explanation for why the UNDRIP is not included in the proposed NDC.  </w:t>
      </w:r>
    </w:p>
    <w:p w14:paraId="05C778C3" w14:textId="77777777" w:rsidR="00BB0F71" w:rsidRPr="00160C31" w:rsidRDefault="00BB0F71" w:rsidP="000F6AC4">
      <w:pPr>
        <w:spacing w:line="276" w:lineRule="auto"/>
        <w:ind w:firstLine="720"/>
        <w:rPr>
          <w:rFonts w:asciiTheme="majorHAnsi" w:hAnsiTheme="majorHAnsi" w:cstheme="majorHAnsi"/>
          <w:sz w:val="24"/>
          <w:szCs w:val="24"/>
        </w:rPr>
      </w:pPr>
    </w:p>
    <w:p w14:paraId="3F2B4826" w14:textId="38DA1CE6" w:rsidR="00E81C69" w:rsidRPr="00E81C69" w:rsidRDefault="00E81C69" w:rsidP="00E81C69">
      <w:pPr>
        <w:spacing w:line="276" w:lineRule="auto"/>
        <w:rPr>
          <w:rFonts w:asciiTheme="majorHAnsi" w:hAnsiTheme="majorHAnsi" w:cstheme="majorHAnsi"/>
          <w:i/>
          <w:iCs/>
          <w:sz w:val="24"/>
          <w:szCs w:val="24"/>
        </w:rPr>
      </w:pPr>
      <w:r w:rsidRPr="00E81C69">
        <w:rPr>
          <w:rFonts w:asciiTheme="majorHAnsi" w:hAnsiTheme="majorHAnsi" w:cstheme="majorHAnsi"/>
          <w:i/>
          <w:iCs/>
          <w:sz w:val="24"/>
          <w:szCs w:val="24"/>
        </w:rPr>
        <w:t>Limited judicial decisions shaping UNDRIP’s application</w:t>
      </w:r>
    </w:p>
    <w:p w14:paraId="355FCFF2" w14:textId="201BA317" w:rsidR="00CD75E2" w:rsidRDefault="00216C00" w:rsidP="00216C00">
      <w:pPr>
        <w:spacing w:line="276" w:lineRule="auto"/>
        <w:ind w:firstLine="360"/>
        <w:rPr>
          <w:rFonts w:asciiTheme="majorHAnsi" w:hAnsiTheme="majorHAnsi" w:cstheme="majorHAnsi"/>
          <w:sz w:val="24"/>
          <w:szCs w:val="24"/>
        </w:rPr>
      </w:pPr>
      <w:r>
        <w:rPr>
          <w:rFonts w:asciiTheme="majorHAnsi" w:hAnsiTheme="majorHAnsi" w:cstheme="majorHAnsi"/>
          <w:sz w:val="24"/>
          <w:szCs w:val="24"/>
        </w:rPr>
        <w:t>Canada has not ruled on many cases interpreting the UNDRIP</w:t>
      </w:r>
      <w:r w:rsidR="003B0543">
        <w:rPr>
          <w:rFonts w:asciiTheme="majorHAnsi" w:hAnsiTheme="majorHAnsi" w:cstheme="majorHAnsi"/>
          <w:sz w:val="24"/>
          <w:szCs w:val="24"/>
        </w:rPr>
        <w:t>; more</w:t>
      </w:r>
      <w:r>
        <w:rPr>
          <w:rFonts w:asciiTheme="majorHAnsi" w:hAnsiTheme="majorHAnsi" w:cstheme="majorHAnsi"/>
          <w:sz w:val="24"/>
          <w:szCs w:val="24"/>
        </w:rPr>
        <w:t xml:space="preserve"> judicial rulings are necessary to advancing the UNDRIP’s application in Indigenous Peoples’ </w:t>
      </w:r>
      <w:r w:rsidR="003B0543">
        <w:rPr>
          <w:rFonts w:asciiTheme="majorHAnsi" w:hAnsiTheme="majorHAnsi" w:cstheme="majorHAnsi"/>
          <w:sz w:val="24"/>
          <w:szCs w:val="24"/>
        </w:rPr>
        <w:t xml:space="preserve">daily lives. </w:t>
      </w:r>
    </w:p>
    <w:p w14:paraId="23EBE6AD" w14:textId="12F976F6" w:rsidR="00D44259" w:rsidRDefault="00D44259" w:rsidP="00216C00">
      <w:pPr>
        <w:spacing w:line="276" w:lineRule="auto"/>
        <w:ind w:firstLine="360"/>
        <w:rPr>
          <w:rFonts w:asciiTheme="majorHAnsi" w:hAnsiTheme="majorHAnsi" w:cstheme="majorHAnsi"/>
          <w:sz w:val="24"/>
          <w:szCs w:val="24"/>
        </w:rPr>
      </w:pPr>
      <w:r>
        <w:rPr>
          <w:rFonts w:asciiTheme="majorHAnsi" w:hAnsiTheme="majorHAnsi" w:cstheme="majorHAnsi"/>
          <w:sz w:val="24"/>
          <w:szCs w:val="24"/>
        </w:rPr>
        <w:t xml:space="preserve">Lower court cases interpreting the UNDRIP’s application </w:t>
      </w:r>
      <w:r w:rsidR="00655FA7">
        <w:rPr>
          <w:rFonts w:asciiTheme="majorHAnsi" w:hAnsiTheme="majorHAnsi" w:cstheme="majorHAnsi"/>
          <w:sz w:val="24"/>
          <w:szCs w:val="24"/>
        </w:rPr>
        <w:t>seem comfortable to consider it</w:t>
      </w:r>
      <w:r w:rsidR="006B053A">
        <w:rPr>
          <w:rFonts w:asciiTheme="majorHAnsi" w:hAnsiTheme="majorHAnsi" w:cstheme="majorHAnsi"/>
          <w:sz w:val="24"/>
          <w:szCs w:val="24"/>
        </w:rPr>
        <w:t xml:space="preserve"> </w:t>
      </w:r>
      <w:r w:rsidR="00655FA7">
        <w:rPr>
          <w:rFonts w:asciiTheme="majorHAnsi" w:hAnsiTheme="majorHAnsi" w:cstheme="majorHAnsi"/>
          <w:sz w:val="24"/>
          <w:szCs w:val="24"/>
        </w:rPr>
        <w:t xml:space="preserve">contextually when shaping their rulings, but have not gone so far as </w:t>
      </w:r>
      <w:r w:rsidR="006B053A">
        <w:rPr>
          <w:rFonts w:asciiTheme="majorHAnsi" w:hAnsiTheme="majorHAnsi" w:cstheme="majorHAnsi"/>
          <w:sz w:val="24"/>
          <w:szCs w:val="24"/>
        </w:rPr>
        <w:t>creating a standalone test for its application, with one notable exception</w:t>
      </w:r>
      <w:r w:rsidR="00C56A88">
        <w:rPr>
          <w:rFonts w:asciiTheme="majorHAnsi" w:hAnsiTheme="majorHAnsi" w:cstheme="majorHAnsi"/>
          <w:sz w:val="24"/>
          <w:szCs w:val="24"/>
        </w:rPr>
        <w:t xml:space="preserve"> in </w:t>
      </w:r>
      <w:r w:rsidR="00C56A88" w:rsidRPr="00C56A88">
        <w:rPr>
          <w:rFonts w:asciiTheme="majorHAnsi" w:hAnsiTheme="majorHAnsi" w:cstheme="majorHAnsi"/>
          <w:i/>
          <w:iCs/>
          <w:sz w:val="24"/>
          <w:szCs w:val="24"/>
        </w:rPr>
        <w:t>Montour</w:t>
      </w:r>
      <w:r w:rsidR="00C56A88">
        <w:rPr>
          <w:rFonts w:asciiTheme="majorHAnsi" w:hAnsiTheme="majorHAnsi" w:cstheme="majorHAnsi"/>
          <w:sz w:val="24"/>
          <w:szCs w:val="24"/>
        </w:rPr>
        <w:t>. When read together, the current case</w:t>
      </w:r>
      <w:r w:rsidR="007E3F28">
        <w:rPr>
          <w:rFonts w:asciiTheme="majorHAnsi" w:hAnsiTheme="majorHAnsi" w:cstheme="majorHAnsi"/>
          <w:sz w:val="24"/>
          <w:szCs w:val="24"/>
        </w:rPr>
        <w:t>s</w:t>
      </w:r>
      <w:r w:rsidR="00C56A88">
        <w:rPr>
          <w:rFonts w:asciiTheme="majorHAnsi" w:hAnsiTheme="majorHAnsi" w:cstheme="majorHAnsi"/>
          <w:sz w:val="24"/>
          <w:szCs w:val="24"/>
        </w:rPr>
        <w:t xml:space="preserve"> interpreting the UNDRIP’s application do not reach as far as bestowing it standalone authority when determining whether a right affirmed within the UNDRIP has been violated</w:t>
      </w:r>
      <w:r w:rsidR="00E624FB">
        <w:rPr>
          <w:rFonts w:asciiTheme="majorHAnsi" w:hAnsiTheme="majorHAnsi" w:cstheme="majorHAnsi"/>
          <w:sz w:val="24"/>
          <w:szCs w:val="24"/>
        </w:rPr>
        <w:t xml:space="preserve">, but hint that this may occur in the future. For example, in </w:t>
      </w:r>
      <w:hyperlink r:id="rId13" w:history="1">
        <w:proofErr w:type="spellStart"/>
        <w:r w:rsidR="00882ADB" w:rsidRPr="000E17ED">
          <w:rPr>
            <w:rStyle w:val="Hyperlink"/>
            <w:rFonts w:asciiTheme="majorHAnsi" w:hAnsiTheme="majorHAnsi" w:cstheme="majorHAnsi"/>
            <w:i/>
            <w:iCs/>
            <w:sz w:val="24"/>
            <w:szCs w:val="24"/>
          </w:rPr>
          <w:t>Da'naxda'xw</w:t>
        </w:r>
        <w:proofErr w:type="spellEnd"/>
        <w:r w:rsidR="00882ADB" w:rsidRPr="000E17ED">
          <w:rPr>
            <w:rStyle w:val="Hyperlink"/>
            <w:rFonts w:asciiTheme="majorHAnsi" w:hAnsiTheme="majorHAnsi" w:cstheme="majorHAnsi"/>
            <w:i/>
            <w:iCs/>
            <w:sz w:val="24"/>
            <w:szCs w:val="24"/>
          </w:rPr>
          <w:t xml:space="preserve"> First Nation v. Peters</w:t>
        </w:r>
      </w:hyperlink>
      <w:r w:rsidR="00882ADB" w:rsidRPr="00882ADB">
        <w:rPr>
          <w:rFonts w:asciiTheme="majorHAnsi" w:hAnsiTheme="majorHAnsi" w:cstheme="majorHAnsi"/>
          <w:sz w:val="24"/>
          <w:szCs w:val="24"/>
        </w:rPr>
        <w:t>,</w:t>
      </w:r>
      <w:r w:rsidR="000E17ED">
        <w:rPr>
          <w:rFonts w:asciiTheme="majorHAnsi" w:hAnsiTheme="majorHAnsi" w:cstheme="majorHAnsi"/>
          <w:sz w:val="24"/>
          <w:szCs w:val="24"/>
        </w:rPr>
        <w:t xml:space="preserve"> </w:t>
      </w:r>
      <w:r w:rsidR="009215EF">
        <w:rPr>
          <w:rFonts w:asciiTheme="majorHAnsi" w:hAnsiTheme="majorHAnsi" w:cstheme="majorHAnsi"/>
          <w:sz w:val="24"/>
          <w:szCs w:val="24"/>
        </w:rPr>
        <w:t xml:space="preserve">the </w:t>
      </w:r>
      <w:r w:rsidR="00950A36">
        <w:rPr>
          <w:rFonts w:asciiTheme="majorHAnsi" w:hAnsiTheme="majorHAnsi" w:cstheme="majorHAnsi"/>
          <w:sz w:val="24"/>
          <w:szCs w:val="24"/>
        </w:rPr>
        <w:t xml:space="preserve">Federal Court held that the plaintiffs could </w:t>
      </w:r>
      <w:r w:rsidR="00950A36" w:rsidRPr="00950A36">
        <w:rPr>
          <w:rFonts w:asciiTheme="majorHAnsi" w:hAnsiTheme="majorHAnsi" w:cstheme="majorHAnsi"/>
          <w:sz w:val="24"/>
          <w:szCs w:val="24"/>
        </w:rPr>
        <w:t xml:space="preserve">rely on the </w:t>
      </w:r>
      <w:r w:rsidR="00950A36" w:rsidRPr="00950A36">
        <w:rPr>
          <w:rFonts w:asciiTheme="majorHAnsi" w:hAnsiTheme="majorHAnsi" w:cstheme="majorHAnsi"/>
          <w:i/>
          <w:iCs/>
          <w:sz w:val="24"/>
          <w:szCs w:val="24"/>
        </w:rPr>
        <w:t>UNDRIP Act</w:t>
      </w:r>
      <w:r w:rsidR="00950A36">
        <w:rPr>
          <w:rFonts w:asciiTheme="majorHAnsi" w:hAnsiTheme="majorHAnsi" w:cstheme="majorHAnsi"/>
          <w:sz w:val="24"/>
          <w:szCs w:val="24"/>
        </w:rPr>
        <w:t xml:space="preserve"> when </w:t>
      </w:r>
      <w:r w:rsidR="008F4CCB">
        <w:rPr>
          <w:rFonts w:asciiTheme="majorHAnsi" w:hAnsiTheme="majorHAnsi" w:cstheme="majorHAnsi"/>
          <w:sz w:val="24"/>
          <w:szCs w:val="24"/>
        </w:rPr>
        <w:t>“</w:t>
      </w:r>
      <w:r w:rsidR="00950A36">
        <w:rPr>
          <w:rFonts w:asciiTheme="majorHAnsi" w:hAnsiTheme="majorHAnsi" w:cstheme="majorHAnsi"/>
          <w:sz w:val="24"/>
          <w:szCs w:val="24"/>
        </w:rPr>
        <w:t>affirming</w:t>
      </w:r>
      <w:r w:rsidR="00950A36" w:rsidRPr="00950A36">
        <w:rPr>
          <w:rFonts w:asciiTheme="majorHAnsi" w:hAnsiTheme="majorHAnsi" w:cstheme="majorHAnsi"/>
          <w:sz w:val="24"/>
          <w:szCs w:val="24"/>
        </w:rPr>
        <w:t xml:space="preserve"> their right to self-determination, participation in decision making, as well as requiring free, prior and informed consent in advance of implementing administrative measures that may affect them, including the confirmation of their governance custom.</w:t>
      </w:r>
      <w:r w:rsidR="008F4CCB">
        <w:rPr>
          <w:rFonts w:asciiTheme="majorHAnsi" w:hAnsiTheme="majorHAnsi" w:cstheme="majorHAnsi"/>
          <w:sz w:val="24"/>
          <w:szCs w:val="24"/>
        </w:rPr>
        <w:t>”</w:t>
      </w:r>
      <w:r w:rsidR="008F4CCB">
        <w:rPr>
          <w:rStyle w:val="FootnoteReference"/>
          <w:rFonts w:asciiTheme="majorHAnsi" w:hAnsiTheme="majorHAnsi" w:cstheme="majorHAnsi"/>
          <w:sz w:val="24"/>
          <w:szCs w:val="24"/>
        </w:rPr>
        <w:footnoteReference w:id="2"/>
      </w:r>
    </w:p>
    <w:p w14:paraId="0FB8A3D2" w14:textId="49FD4F77" w:rsidR="002A4C70" w:rsidRDefault="0016610E" w:rsidP="00216C00">
      <w:pPr>
        <w:spacing w:line="276" w:lineRule="auto"/>
        <w:ind w:firstLine="360"/>
        <w:rPr>
          <w:rFonts w:asciiTheme="majorHAnsi" w:hAnsiTheme="majorHAnsi" w:cstheme="majorHAnsi"/>
          <w:sz w:val="24"/>
          <w:szCs w:val="24"/>
        </w:rPr>
      </w:pPr>
      <w:r>
        <w:rPr>
          <w:rFonts w:asciiTheme="majorHAnsi" w:hAnsiTheme="majorHAnsi" w:cstheme="majorHAnsi"/>
          <w:sz w:val="24"/>
          <w:szCs w:val="24"/>
        </w:rPr>
        <w:t>Some judicial decisions have gone so far as to downplay the UNDRIP’s application</w:t>
      </w:r>
      <w:r w:rsidR="00944C9D">
        <w:rPr>
          <w:rFonts w:asciiTheme="majorHAnsi" w:hAnsiTheme="majorHAnsi" w:cstheme="majorHAnsi"/>
          <w:sz w:val="24"/>
          <w:szCs w:val="24"/>
        </w:rPr>
        <w:t xml:space="preserve"> The BC </w:t>
      </w:r>
      <w:r w:rsidR="008969A3">
        <w:rPr>
          <w:rFonts w:asciiTheme="majorHAnsi" w:hAnsiTheme="majorHAnsi" w:cstheme="majorHAnsi"/>
          <w:sz w:val="24"/>
          <w:szCs w:val="24"/>
        </w:rPr>
        <w:t>Superior Court considered the provincial UNDRIP legislation to find that</w:t>
      </w:r>
      <w:r w:rsidR="004C2362">
        <w:rPr>
          <w:rFonts w:asciiTheme="majorHAnsi" w:hAnsiTheme="majorHAnsi" w:cstheme="majorHAnsi"/>
          <w:sz w:val="24"/>
          <w:szCs w:val="24"/>
        </w:rPr>
        <w:t xml:space="preserve"> provincial legislators did not intend to create binding obligations.</w:t>
      </w:r>
      <w:r w:rsidR="008969A3">
        <w:rPr>
          <w:rStyle w:val="FootnoteReference"/>
          <w:rFonts w:asciiTheme="majorHAnsi" w:hAnsiTheme="majorHAnsi" w:cstheme="majorHAnsi"/>
          <w:sz w:val="24"/>
          <w:szCs w:val="24"/>
        </w:rPr>
        <w:footnoteReference w:id="3"/>
      </w:r>
    </w:p>
    <w:p w14:paraId="6AE12E06" w14:textId="002E2D3C" w:rsidR="008969A3" w:rsidRDefault="008969A3" w:rsidP="00216C00">
      <w:pPr>
        <w:spacing w:line="276" w:lineRule="auto"/>
        <w:ind w:firstLine="360"/>
        <w:rPr>
          <w:rFonts w:asciiTheme="majorHAnsi" w:hAnsiTheme="majorHAnsi" w:cstheme="majorHAnsi"/>
          <w:sz w:val="24"/>
          <w:szCs w:val="24"/>
        </w:rPr>
      </w:pPr>
      <w:r>
        <w:rPr>
          <w:rFonts w:asciiTheme="majorHAnsi" w:hAnsiTheme="majorHAnsi" w:cstheme="majorHAnsi"/>
          <w:sz w:val="24"/>
          <w:szCs w:val="24"/>
        </w:rPr>
        <w:t xml:space="preserve">Most recently, the Quebec Superior Court </w:t>
      </w:r>
      <w:r w:rsidR="008E5C63">
        <w:rPr>
          <w:rFonts w:asciiTheme="majorHAnsi" w:hAnsiTheme="majorHAnsi" w:cstheme="majorHAnsi"/>
          <w:sz w:val="24"/>
          <w:szCs w:val="24"/>
        </w:rPr>
        <w:t xml:space="preserve">affirmed in R v Montour that the </w:t>
      </w:r>
      <w:r w:rsidR="008E5C63" w:rsidRPr="008E5C63">
        <w:rPr>
          <w:rFonts w:asciiTheme="majorHAnsi" w:hAnsiTheme="majorHAnsi" w:cstheme="majorHAnsi"/>
          <w:i/>
          <w:iCs/>
          <w:sz w:val="24"/>
          <w:szCs w:val="24"/>
        </w:rPr>
        <w:t>UNDRIP Act</w:t>
      </w:r>
      <w:r w:rsidR="008E5C63">
        <w:rPr>
          <w:rFonts w:asciiTheme="majorHAnsi" w:hAnsiTheme="majorHAnsi" w:cstheme="majorHAnsi"/>
          <w:sz w:val="24"/>
          <w:szCs w:val="24"/>
        </w:rPr>
        <w:t xml:space="preserve">’s </w:t>
      </w:r>
      <w:r w:rsidR="008E5C63" w:rsidRPr="008E5C63">
        <w:rPr>
          <w:rFonts w:asciiTheme="majorHAnsi" w:hAnsiTheme="majorHAnsi" w:cstheme="majorHAnsi"/>
          <w:sz w:val="24"/>
          <w:szCs w:val="24"/>
        </w:rPr>
        <w:t>values, principles and rights are a</w:t>
      </w:r>
      <w:r w:rsidR="008E5C63">
        <w:rPr>
          <w:rFonts w:asciiTheme="majorHAnsi" w:hAnsiTheme="majorHAnsi" w:cstheme="majorHAnsi"/>
          <w:sz w:val="24"/>
          <w:szCs w:val="24"/>
        </w:rPr>
        <w:t xml:space="preserve"> valid</w:t>
      </w:r>
      <w:r w:rsidR="008E5C63" w:rsidRPr="008E5C63">
        <w:rPr>
          <w:rFonts w:asciiTheme="majorHAnsi" w:hAnsiTheme="majorHAnsi" w:cstheme="majorHAnsi"/>
          <w:sz w:val="24"/>
          <w:szCs w:val="24"/>
        </w:rPr>
        <w:t xml:space="preserve"> source of interpretation in Canadian law</w:t>
      </w:r>
      <w:r w:rsidR="008E5C63">
        <w:rPr>
          <w:rFonts w:asciiTheme="majorHAnsi" w:hAnsiTheme="majorHAnsi" w:cstheme="majorHAnsi"/>
          <w:sz w:val="24"/>
          <w:szCs w:val="24"/>
        </w:rPr>
        <w:t>.</w:t>
      </w:r>
      <w:r w:rsidR="008E5C63">
        <w:rPr>
          <w:rStyle w:val="FootnoteReference"/>
          <w:rFonts w:asciiTheme="majorHAnsi" w:hAnsiTheme="majorHAnsi" w:cstheme="majorHAnsi"/>
          <w:sz w:val="24"/>
          <w:szCs w:val="24"/>
        </w:rPr>
        <w:footnoteReference w:id="4"/>
      </w:r>
      <w:r w:rsidR="00F768AA">
        <w:rPr>
          <w:rFonts w:asciiTheme="majorHAnsi" w:hAnsiTheme="majorHAnsi" w:cstheme="majorHAnsi"/>
          <w:sz w:val="24"/>
          <w:szCs w:val="24"/>
        </w:rPr>
        <w:t xml:space="preserve"> The Court in Montour supplanted </w:t>
      </w:r>
      <w:r w:rsidR="00DD2181">
        <w:rPr>
          <w:rFonts w:asciiTheme="majorHAnsi" w:hAnsiTheme="majorHAnsi" w:cstheme="majorHAnsi"/>
          <w:sz w:val="24"/>
          <w:szCs w:val="24"/>
        </w:rPr>
        <w:t xml:space="preserve">a new test for assessing Indigenous rights, replacing the previous test from the Supreme Court of Canada’s </w:t>
      </w:r>
      <w:r w:rsidR="00DD2181" w:rsidRPr="00DD2181">
        <w:rPr>
          <w:rFonts w:asciiTheme="majorHAnsi" w:hAnsiTheme="majorHAnsi" w:cstheme="majorHAnsi"/>
          <w:i/>
          <w:iCs/>
          <w:sz w:val="24"/>
          <w:szCs w:val="24"/>
        </w:rPr>
        <w:t>Van der Peet</w:t>
      </w:r>
      <w:r w:rsidR="00DD2181">
        <w:rPr>
          <w:rFonts w:asciiTheme="majorHAnsi" w:hAnsiTheme="majorHAnsi" w:cstheme="majorHAnsi"/>
          <w:sz w:val="24"/>
          <w:szCs w:val="24"/>
        </w:rPr>
        <w:t xml:space="preserve"> ruling (the </w:t>
      </w:r>
      <w:r w:rsidR="00DD2181" w:rsidRPr="00DD2181">
        <w:rPr>
          <w:rFonts w:asciiTheme="majorHAnsi" w:hAnsiTheme="majorHAnsi" w:cstheme="majorHAnsi"/>
          <w:i/>
          <w:iCs/>
          <w:sz w:val="24"/>
          <w:szCs w:val="24"/>
        </w:rPr>
        <w:t>Van der Peet</w:t>
      </w:r>
      <w:r w:rsidR="00DD2181">
        <w:rPr>
          <w:rFonts w:asciiTheme="majorHAnsi" w:hAnsiTheme="majorHAnsi" w:cstheme="majorHAnsi"/>
          <w:sz w:val="24"/>
          <w:szCs w:val="24"/>
        </w:rPr>
        <w:t xml:space="preserve"> test)</w:t>
      </w:r>
      <w:r w:rsidR="003E117F">
        <w:rPr>
          <w:rFonts w:asciiTheme="majorHAnsi" w:hAnsiTheme="majorHAnsi" w:cstheme="majorHAnsi"/>
          <w:sz w:val="24"/>
          <w:szCs w:val="24"/>
        </w:rPr>
        <w:t xml:space="preserve">. This new test, crafted in alignment with the </w:t>
      </w:r>
      <w:r w:rsidR="003E117F" w:rsidRPr="00B441FF">
        <w:rPr>
          <w:rFonts w:asciiTheme="majorHAnsi" w:hAnsiTheme="majorHAnsi" w:cstheme="majorHAnsi"/>
          <w:i/>
          <w:iCs/>
          <w:sz w:val="24"/>
          <w:szCs w:val="24"/>
        </w:rPr>
        <w:t>UNDRIP Act</w:t>
      </w:r>
      <w:r w:rsidR="00B441FF">
        <w:rPr>
          <w:rFonts w:asciiTheme="majorHAnsi" w:hAnsiTheme="majorHAnsi" w:cstheme="majorHAnsi"/>
          <w:sz w:val="24"/>
          <w:szCs w:val="24"/>
        </w:rPr>
        <w:t>, now requires Indigenous People affirming a right be able to:</w:t>
      </w:r>
    </w:p>
    <w:p w14:paraId="076AE965" w14:textId="2B887AA5" w:rsidR="00BB0F71" w:rsidRPr="00BB0F71" w:rsidRDefault="00B441FF" w:rsidP="00BB0F71">
      <w:pPr>
        <w:pStyle w:val="ListParagraph"/>
        <w:numPr>
          <w:ilvl w:val="0"/>
          <w:numId w:val="4"/>
        </w:numPr>
        <w:spacing w:line="276" w:lineRule="auto"/>
        <w:rPr>
          <w:rFonts w:asciiTheme="majorHAnsi" w:hAnsiTheme="majorHAnsi" w:cstheme="majorHAnsi"/>
          <w:sz w:val="24"/>
          <w:szCs w:val="24"/>
        </w:rPr>
      </w:pPr>
      <w:r w:rsidRPr="00BB0F71">
        <w:rPr>
          <w:rFonts w:asciiTheme="majorHAnsi" w:hAnsiTheme="majorHAnsi" w:cstheme="majorHAnsi"/>
          <w:sz w:val="24"/>
          <w:szCs w:val="24"/>
        </w:rPr>
        <w:t>Identify the collective right that an Applicant invokes;</w:t>
      </w:r>
    </w:p>
    <w:p w14:paraId="67C0AEF7" w14:textId="77777777" w:rsidR="00BB0F71" w:rsidRDefault="00B441FF" w:rsidP="00BB0F71">
      <w:pPr>
        <w:pStyle w:val="ListParagraph"/>
        <w:numPr>
          <w:ilvl w:val="0"/>
          <w:numId w:val="4"/>
        </w:numPr>
        <w:spacing w:line="276" w:lineRule="auto"/>
        <w:rPr>
          <w:rFonts w:asciiTheme="majorHAnsi" w:hAnsiTheme="majorHAnsi" w:cstheme="majorHAnsi"/>
          <w:sz w:val="24"/>
          <w:szCs w:val="24"/>
        </w:rPr>
      </w:pPr>
      <w:r w:rsidRPr="00BB0F71">
        <w:rPr>
          <w:rFonts w:asciiTheme="majorHAnsi" w:hAnsiTheme="majorHAnsi" w:cstheme="majorHAnsi"/>
          <w:sz w:val="24"/>
          <w:szCs w:val="24"/>
        </w:rPr>
        <w:t>Prove that such a right is protected by his or her traditional legal system; and</w:t>
      </w:r>
    </w:p>
    <w:p w14:paraId="2CE5A41F" w14:textId="17CE7DE6" w:rsidR="00B441FF" w:rsidRPr="00BB0F71" w:rsidRDefault="00B441FF" w:rsidP="00BB0F71">
      <w:pPr>
        <w:pStyle w:val="ListParagraph"/>
        <w:numPr>
          <w:ilvl w:val="0"/>
          <w:numId w:val="4"/>
        </w:numPr>
        <w:spacing w:line="276" w:lineRule="auto"/>
        <w:rPr>
          <w:rFonts w:asciiTheme="majorHAnsi" w:hAnsiTheme="majorHAnsi" w:cstheme="majorHAnsi"/>
          <w:sz w:val="24"/>
          <w:szCs w:val="24"/>
        </w:rPr>
      </w:pPr>
      <w:r w:rsidRPr="00BB0F71">
        <w:rPr>
          <w:rFonts w:asciiTheme="majorHAnsi" w:hAnsiTheme="majorHAnsi" w:cstheme="majorHAnsi"/>
          <w:sz w:val="24"/>
          <w:szCs w:val="24"/>
        </w:rPr>
        <w:t>Show that the litigious practice or activity in question is an exercise of that right.</w:t>
      </w:r>
      <w:r>
        <w:rPr>
          <w:rStyle w:val="FootnoteReference"/>
          <w:rFonts w:asciiTheme="majorHAnsi" w:hAnsiTheme="majorHAnsi" w:cstheme="majorHAnsi"/>
          <w:sz w:val="24"/>
          <w:szCs w:val="24"/>
        </w:rPr>
        <w:footnoteReference w:id="5"/>
      </w:r>
    </w:p>
    <w:p w14:paraId="59C47C61" w14:textId="66052A15" w:rsidR="00B441FF" w:rsidRDefault="00B441FF" w:rsidP="00B441FF">
      <w:pPr>
        <w:spacing w:line="276" w:lineRule="auto"/>
        <w:ind w:firstLine="360"/>
        <w:rPr>
          <w:rFonts w:asciiTheme="majorHAnsi" w:hAnsiTheme="majorHAnsi" w:cstheme="majorHAnsi"/>
          <w:sz w:val="24"/>
          <w:szCs w:val="24"/>
        </w:rPr>
      </w:pPr>
      <w:r>
        <w:rPr>
          <w:rFonts w:asciiTheme="majorHAnsi" w:hAnsiTheme="majorHAnsi" w:cstheme="majorHAnsi"/>
          <w:sz w:val="24"/>
          <w:szCs w:val="24"/>
        </w:rPr>
        <w:tab/>
        <w:t>The province is appealing the ruling</w:t>
      </w:r>
      <w:r w:rsidR="00BB0F71">
        <w:rPr>
          <w:rFonts w:asciiTheme="majorHAnsi" w:hAnsiTheme="majorHAnsi" w:cstheme="majorHAnsi"/>
          <w:sz w:val="24"/>
          <w:szCs w:val="24"/>
        </w:rPr>
        <w:t>,</w:t>
      </w:r>
      <w:r>
        <w:rPr>
          <w:rFonts w:asciiTheme="majorHAnsi" w:hAnsiTheme="majorHAnsi" w:cstheme="majorHAnsi"/>
          <w:sz w:val="24"/>
          <w:szCs w:val="24"/>
        </w:rPr>
        <w:t xml:space="preserve"> and it is expected to ascend to the Supreme Court of Canada for ultimate clarification.</w:t>
      </w:r>
    </w:p>
    <w:p w14:paraId="3E7E7CC7" w14:textId="198B5F91" w:rsidR="004A639D" w:rsidRPr="00E147F4" w:rsidRDefault="002204A2" w:rsidP="004A639D">
      <w:pPr>
        <w:spacing w:line="276" w:lineRule="auto"/>
        <w:rPr>
          <w:rFonts w:asciiTheme="majorHAnsi" w:hAnsiTheme="majorHAnsi" w:cstheme="majorHAnsi"/>
          <w:i/>
          <w:iCs/>
          <w:sz w:val="24"/>
          <w:szCs w:val="24"/>
        </w:rPr>
      </w:pPr>
      <w:r>
        <w:rPr>
          <w:rFonts w:asciiTheme="majorHAnsi" w:hAnsiTheme="majorHAnsi" w:cstheme="majorHAnsi"/>
          <w:i/>
          <w:iCs/>
          <w:sz w:val="24"/>
          <w:szCs w:val="24"/>
        </w:rPr>
        <w:t>Indigenous Women continue to experience systemic violence in ongoing MMIWG genocide</w:t>
      </w:r>
    </w:p>
    <w:p w14:paraId="7A5438FC" w14:textId="3DFB0738" w:rsidR="0031637B" w:rsidRDefault="00B441FF" w:rsidP="00B441FF">
      <w:pPr>
        <w:spacing w:line="276" w:lineRule="auto"/>
        <w:ind w:firstLine="720"/>
        <w:rPr>
          <w:rFonts w:asciiTheme="majorHAnsi" w:hAnsiTheme="majorHAnsi" w:cstheme="majorHAnsi"/>
          <w:sz w:val="24"/>
          <w:szCs w:val="24"/>
        </w:rPr>
      </w:pPr>
      <w:r>
        <w:rPr>
          <w:rFonts w:asciiTheme="majorHAnsi" w:hAnsiTheme="majorHAnsi" w:cstheme="majorHAnsi"/>
          <w:sz w:val="24"/>
          <w:szCs w:val="24"/>
        </w:rPr>
        <w:t>Canada’s</w:t>
      </w:r>
      <w:r w:rsidR="0031637B" w:rsidRPr="0031637B">
        <w:rPr>
          <w:rFonts w:asciiTheme="majorHAnsi" w:hAnsiTheme="majorHAnsi" w:cstheme="majorHAnsi"/>
          <w:sz w:val="24"/>
          <w:szCs w:val="24"/>
        </w:rPr>
        <w:t xml:space="preserve"> National Inquiry into Missing and Murdered Indigenous Women and Girls </w:t>
      </w:r>
      <w:r w:rsidR="002204A2">
        <w:rPr>
          <w:rFonts w:asciiTheme="majorHAnsi" w:hAnsiTheme="majorHAnsi" w:cstheme="majorHAnsi"/>
          <w:sz w:val="24"/>
          <w:szCs w:val="24"/>
        </w:rPr>
        <w:t xml:space="preserve">(MMIWG) </w:t>
      </w:r>
      <w:r w:rsidR="0031637B" w:rsidRPr="0031637B">
        <w:rPr>
          <w:rFonts w:asciiTheme="majorHAnsi" w:hAnsiTheme="majorHAnsi" w:cstheme="majorHAnsi"/>
          <w:sz w:val="24"/>
          <w:szCs w:val="24"/>
        </w:rPr>
        <w:t>Calls on Canada to implement the UNDRIP to protect Indigenous women from discrimination within law and politics.</w:t>
      </w:r>
      <w:r w:rsidR="00F12DA5">
        <w:rPr>
          <w:rFonts w:asciiTheme="majorHAnsi" w:hAnsiTheme="majorHAnsi" w:cstheme="majorHAnsi"/>
          <w:sz w:val="24"/>
          <w:szCs w:val="24"/>
        </w:rPr>
        <w:t xml:space="preserve"> While </w:t>
      </w:r>
      <w:r w:rsidR="008C35F2">
        <w:rPr>
          <w:rFonts w:asciiTheme="majorHAnsi" w:hAnsiTheme="majorHAnsi" w:cstheme="majorHAnsi"/>
          <w:sz w:val="24"/>
          <w:szCs w:val="24"/>
        </w:rPr>
        <w:t>Canada’s</w:t>
      </w:r>
      <w:r w:rsidR="00F12DA5">
        <w:rPr>
          <w:rFonts w:asciiTheme="majorHAnsi" w:hAnsiTheme="majorHAnsi" w:cstheme="majorHAnsi"/>
          <w:sz w:val="24"/>
          <w:szCs w:val="24"/>
        </w:rPr>
        <w:t xml:space="preserve"> </w:t>
      </w:r>
      <w:r w:rsidR="00F12DA5" w:rsidRPr="00F12DA5">
        <w:rPr>
          <w:rFonts w:asciiTheme="majorHAnsi" w:hAnsiTheme="majorHAnsi" w:cstheme="majorHAnsi"/>
          <w:i/>
          <w:iCs/>
          <w:sz w:val="24"/>
          <w:szCs w:val="24"/>
        </w:rPr>
        <w:t>UNDRIP Act</w:t>
      </w:r>
      <w:r w:rsidR="00F12DA5">
        <w:rPr>
          <w:rFonts w:asciiTheme="majorHAnsi" w:hAnsiTheme="majorHAnsi" w:cstheme="majorHAnsi"/>
          <w:sz w:val="24"/>
          <w:szCs w:val="24"/>
        </w:rPr>
        <w:t xml:space="preserve"> implementation Action Plan makes reference to th</w:t>
      </w:r>
      <w:r w:rsidR="008C35F2">
        <w:rPr>
          <w:rFonts w:asciiTheme="majorHAnsi" w:hAnsiTheme="majorHAnsi" w:cstheme="majorHAnsi"/>
          <w:sz w:val="24"/>
          <w:szCs w:val="24"/>
        </w:rPr>
        <w:t>e national</w:t>
      </w:r>
      <w:r w:rsidR="00F12DA5">
        <w:rPr>
          <w:rFonts w:asciiTheme="majorHAnsi" w:hAnsiTheme="majorHAnsi" w:cstheme="majorHAnsi"/>
          <w:sz w:val="24"/>
          <w:szCs w:val="24"/>
        </w:rPr>
        <w:t xml:space="preserve"> inquiry’s calls</w:t>
      </w:r>
      <w:r w:rsidR="00CB62E7">
        <w:rPr>
          <w:rFonts w:asciiTheme="majorHAnsi" w:hAnsiTheme="majorHAnsi" w:cstheme="majorHAnsi"/>
          <w:sz w:val="24"/>
          <w:szCs w:val="24"/>
        </w:rPr>
        <w:t xml:space="preserve"> with promises to “end systemic </w:t>
      </w:r>
      <w:r w:rsidR="002B7A20">
        <w:rPr>
          <w:rFonts w:asciiTheme="majorHAnsi" w:hAnsiTheme="majorHAnsi" w:cstheme="majorHAnsi"/>
          <w:sz w:val="24"/>
          <w:szCs w:val="24"/>
        </w:rPr>
        <w:t>violence against Indigenous women, girls and gender-diverse people,” its mechanisms for achieving this are vague</w:t>
      </w:r>
      <w:r w:rsidR="004A54B6">
        <w:rPr>
          <w:rFonts w:asciiTheme="majorHAnsi" w:hAnsiTheme="majorHAnsi" w:cstheme="majorHAnsi"/>
          <w:sz w:val="24"/>
          <w:szCs w:val="24"/>
        </w:rPr>
        <w:t xml:space="preserve"> and without concrete, measurable actions. </w:t>
      </w:r>
    </w:p>
    <w:p w14:paraId="567BA5AB" w14:textId="4E02C4B5" w:rsidR="00FE22AB" w:rsidRDefault="00FE22AB" w:rsidP="00B441FF">
      <w:pPr>
        <w:spacing w:line="276" w:lineRule="auto"/>
        <w:ind w:firstLine="720"/>
        <w:rPr>
          <w:rFonts w:asciiTheme="majorHAnsi" w:hAnsiTheme="majorHAnsi" w:cstheme="majorHAnsi"/>
          <w:sz w:val="24"/>
          <w:szCs w:val="24"/>
        </w:rPr>
      </w:pPr>
      <w:r>
        <w:rPr>
          <w:rFonts w:asciiTheme="majorHAnsi" w:hAnsiTheme="majorHAnsi" w:cstheme="majorHAnsi"/>
          <w:sz w:val="24"/>
          <w:szCs w:val="24"/>
        </w:rPr>
        <w:t xml:space="preserve">NWAC’s </w:t>
      </w:r>
      <w:hyperlink r:id="rId14" w:history="1">
        <w:r w:rsidRPr="00DE77E1">
          <w:rPr>
            <w:rStyle w:val="Hyperlink"/>
            <w:rFonts w:asciiTheme="majorHAnsi" w:hAnsiTheme="majorHAnsi" w:cstheme="majorHAnsi"/>
            <w:sz w:val="24"/>
            <w:szCs w:val="24"/>
          </w:rPr>
          <w:t>annual review</w:t>
        </w:r>
      </w:hyperlink>
      <w:r>
        <w:rPr>
          <w:rFonts w:asciiTheme="majorHAnsi" w:hAnsiTheme="majorHAnsi" w:cstheme="majorHAnsi"/>
          <w:sz w:val="24"/>
          <w:szCs w:val="24"/>
        </w:rPr>
        <w:t xml:space="preserve"> of Canada’s progress addressing the national inquiry’s Calls for Justice in 2023 revealed a failing grade, denoting minimal progress on taking meaningful actions to end systemic violence against Indigenous WG2STGD+ People. This failure does not align with </w:t>
      </w:r>
      <w:r w:rsidR="00484FD1">
        <w:rPr>
          <w:rFonts w:asciiTheme="majorHAnsi" w:hAnsiTheme="majorHAnsi" w:cstheme="majorHAnsi"/>
          <w:sz w:val="24"/>
          <w:szCs w:val="24"/>
        </w:rPr>
        <w:t xml:space="preserve">Indigenous </w:t>
      </w:r>
      <w:r w:rsidR="00E04BF7">
        <w:rPr>
          <w:rFonts w:asciiTheme="majorHAnsi" w:hAnsiTheme="majorHAnsi" w:cstheme="majorHAnsi"/>
          <w:sz w:val="24"/>
          <w:szCs w:val="24"/>
        </w:rPr>
        <w:t>Women’s</w:t>
      </w:r>
      <w:r w:rsidR="00484FD1">
        <w:rPr>
          <w:rFonts w:asciiTheme="majorHAnsi" w:hAnsiTheme="majorHAnsi" w:cstheme="majorHAnsi"/>
          <w:sz w:val="24"/>
          <w:szCs w:val="24"/>
        </w:rPr>
        <w:t xml:space="preserve"> affirmed right to equality, to be free from violence and discrimination and from state action to end systemic violence, all rights affirmed in the UNDRIP.</w:t>
      </w:r>
      <w:r>
        <w:rPr>
          <w:rFonts w:asciiTheme="majorHAnsi" w:hAnsiTheme="majorHAnsi" w:cstheme="majorHAnsi"/>
          <w:sz w:val="24"/>
          <w:szCs w:val="24"/>
        </w:rPr>
        <w:t xml:space="preserve"> </w:t>
      </w:r>
    </w:p>
    <w:p w14:paraId="1115100D" w14:textId="20BF3500" w:rsidR="00E147F4" w:rsidRPr="000C1979" w:rsidRDefault="000C1979" w:rsidP="00033B15">
      <w:pPr>
        <w:spacing w:line="276" w:lineRule="auto"/>
        <w:rPr>
          <w:rFonts w:asciiTheme="majorHAnsi" w:hAnsiTheme="majorHAnsi" w:cstheme="majorHAnsi"/>
          <w:i/>
          <w:iCs/>
          <w:sz w:val="24"/>
          <w:szCs w:val="24"/>
        </w:rPr>
      </w:pPr>
      <w:r w:rsidRPr="000C1979">
        <w:rPr>
          <w:rFonts w:asciiTheme="majorHAnsi" w:hAnsiTheme="majorHAnsi" w:cstheme="majorHAnsi"/>
          <w:i/>
          <w:iCs/>
          <w:sz w:val="24"/>
          <w:szCs w:val="24"/>
        </w:rPr>
        <w:t>Measures yet to be taken</w:t>
      </w:r>
    </w:p>
    <w:p w14:paraId="36D0F145" w14:textId="5941CCA3" w:rsidR="0093578B" w:rsidRDefault="0093578B" w:rsidP="00033B15">
      <w:pPr>
        <w:spacing w:line="276" w:lineRule="auto"/>
        <w:rPr>
          <w:rFonts w:asciiTheme="majorHAnsi" w:hAnsiTheme="majorHAnsi" w:cstheme="majorHAnsi"/>
          <w:sz w:val="24"/>
          <w:szCs w:val="24"/>
        </w:rPr>
      </w:pPr>
      <w:r>
        <w:rPr>
          <w:rFonts w:asciiTheme="majorHAnsi" w:hAnsiTheme="majorHAnsi" w:cstheme="majorHAnsi"/>
          <w:sz w:val="24"/>
          <w:szCs w:val="24"/>
        </w:rPr>
        <w:tab/>
        <w:t xml:space="preserve">Canada continues to table legislation and policies that refer to the UNDRIP without adequately </w:t>
      </w:r>
      <w:r w:rsidR="00E04BF7">
        <w:rPr>
          <w:rFonts w:asciiTheme="majorHAnsi" w:hAnsiTheme="majorHAnsi" w:cstheme="majorHAnsi"/>
          <w:sz w:val="24"/>
          <w:szCs w:val="24"/>
        </w:rPr>
        <w:t>ensuring that</w:t>
      </w:r>
      <w:r>
        <w:rPr>
          <w:rFonts w:asciiTheme="majorHAnsi" w:hAnsiTheme="majorHAnsi" w:cstheme="majorHAnsi"/>
          <w:sz w:val="24"/>
          <w:szCs w:val="24"/>
        </w:rPr>
        <w:t xml:space="preserve"> they </w:t>
      </w:r>
      <w:r w:rsidR="006B46FC">
        <w:rPr>
          <w:rFonts w:asciiTheme="majorHAnsi" w:hAnsiTheme="majorHAnsi" w:cstheme="majorHAnsi"/>
          <w:sz w:val="24"/>
          <w:szCs w:val="24"/>
        </w:rPr>
        <w:t xml:space="preserve">truly </w:t>
      </w:r>
      <w:r>
        <w:rPr>
          <w:rFonts w:asciiTheme="majorHAnsi" w:hAnsiTheme="majorHAnsi" w:cstheme="majorHAnsi"/>
          <w:sz w:val="24"/>
          <w:szCs w:val="24"/>
        </w:rPr>
        <w:t xml:space="preserve">align with the UNDRIP. There is currently no legislative monitoring mechanism in place at the federal level to review </w:t>
      </w:r>
      <w:r w:rsidR="006B46FC">
        <w:rPr>
          <w:rFonts w:asciiTheme="majorHAnsi" w:hAnsiTheme="majorHAnsi" w:cstheme="majorHAnsi"/>
          <w:sz w:val="24"/>
          <w:szCs w:val="24"/>
        </w:rPr>
        <w:t xml:space="preserve">legislation for its alignment with the UNDRIP, only a promise that this may happen someday. </w:t>
      </w:r>
    </w:p>
    <w:p w14:paraId="08EBE9EA" w14:textId="37DD693C" w:rsidR="006B46FC" w:rsidRDefault="006B46FC" w:rsidP="00033B15">
      <w:pPr>
        <w:spacing w:line="276" w:lineRule="auto"/>
        <w:rPr>
          <w:rFonts w:asciiTheme="majorHAnsi" w:hAnsiTheme="majorHAnsi" w:cstheme="majorHAnsi"/>
          <w:sz w:val="24"/>
          <w:szCs w:val="24"/>
        </w:rPr>
      </w:pPr>
      <w:r>
        <w:rPr>
          <w:rFonts w:asciiTheme="majorHAnsi" w:hAnsiTheme="majorHAnsi" w:cstheme="majorHAnsi"/>
          <w:sz w:val="24"/>
          <w:szCs w:val="24"/>
        </w:rPr>
        <w:tab/>
      </w:r>
      <w:r w:rsidR="008B7CBA">
        <w:rPr>
          <w:rFonts w:asciiTheme="majorHAnsi" w:hAnsiTheme="majorHAnsi" w:cstheme="majorHAnsi"/>
          <w:sz w:val="24"/>
          <w:szCs w:val="24"/>
        </w:rPr>
        <w:t>Two notable pieces of recent federal legislation seeking to align with the UNDRIP have faced considerable scrutiny</w:t>
      </w:r>
      <w:r w:rsidR="00C80577">
        <w:rPr>
          <w:rFonts w:asciiTheme="majorHAnsi" w:hAnsiTheme="majorHAnsi" w:cstheme="majorHAnsi"/>
          <w:sz w:val="24"/>
          <w:szCs w:val="24"/>
        </w:rPr>
        <w:t>.</w:t>
      </w:r>
      <w:hyperlink r:id="rId15" w:history="1">
        <w:r w:rsidR="00C80577" w:rsidRPr="00687E2A">
          <w:rPr>
            <w:rStyle w:val="Hyperlink"/>
            <w:rFonts w:asciiTheme="majorHAnsi" w:hAnsiTheme="majorHAnsi" w:cstheme="majorHAnsi"/>
            <w:i/>
            <w:iCs/>
            <w:sz w:val="24"/>
            <w:szCs w:val="24"/>
          </w:rPr>
          <w:t xml:space="preserve"> </w:t>
        </w:r>
        <w:r w:rsidR="005408D1" w:rsidRPr="00687E2A">
          <w:rPr>
            <w:rStyle w:val="Hyperlink"/>
            <w:rFonts w:asciiTheme="majorHAnsi" w:hAnsiTheme="majorHAnsi" w:cstheme="majorHAnsi"/>
            <w:i/>
            <w:iCs/>
            <w:sz w:val="24"/>
            <w:szCs w:val="24"/>
          </w:rPr>
          <w:t>An Act respecting First Nations, Inuit and Métis children, youth and families</w:t>
        </w:r>
      </w:hyperlink>
      <w:r w:rsidR="005408D1" w:rsidRPr="005408D1">
        <w:rPr>
          <w:rFonts w:asciiTheme="majorHAnsi" w:hAnsiTheme="majorHAnsi" w:cstheme="majorHAnsi"/>
          <w:i/>
          <w:iCs/>
          <w:sz w:val="24"/>
          <w:szCs w:val="24"/>
        </w:rPr>
        <w:t xml:space="preserve"> </w:t>
      </w:r>
      <w:r w:rsidR="005408D1">
        <w:rPr>
          <w:rFonts w:asciiTheme="majorHAnsi" w:hAnsiTheme="majorHAnsi" w:cstheme="majorHAnsi"/>
          <w:sz w:val="24"/>
          <w:szCs w:val="24"/>
        </w:rPr>
        <w:t xml:space="preserve">seeks to affirm Indigenous People’s right to govern their own child and family service provision, but currently faces </w:t>
      </w:r>
      <w:r w:rsidR="00AF66EF">
        <w:rPr>
          <w:rFonts w:asciiTheme="majorHAnsi" w:hAnsiTheme="majorHAnsi" w:cstheme="majorHAnsi"/>
          <w:sz w:val="24"/>
          <w:szCs w:val="24"/>
        </w:rPr>
        <w:t xml:space="preserve">opposition from provinces seeking to retain jurisdiction over those areas. The decision from the Supreme Court of Canada on this issue is expected shortly. </w:t>
      </w:r>
      <w:r w:rsidR="00687E2A">
        <w:rPr>
          <w:rFonts w:asciiTheme="majorHAnsi" w:hAnsiTheme="majorHAnsi" w:cstheme="majorHAnsi"/>
          <w:sz w:val="24"/>
          <w:szCs w:val="24"/>
        </w:rPr>
        <w:t xml:space="preserve">The </w:t>
      </w:r>
      <w:hyperlink r:id="rId16" w:history="1">
        <w:r w:rsidR="00687E2A" w:rsidRPr="00395A69">
          <w:rPr>
            <w:rStyle w:val="Hyperlink"/>
            <w:rFonts w:asciiTheme="majorHAnsi" w:hAnsiTheme="majorHAnsi" w:cstheme="majorHAnsi"/>
            <w:i/>
            <w:iCs/>
            <w:sz w:val="24"/>
            <w:szCs w:val="24"/>
          </w:rPr>
          <w:t>Impact Assessment Act</w:t>
        </w:r>
      </w:hyperlink>
      <w:r w:rsidR="00687E2A">
        <w:rPr>
          <w:rFonts w:asciiTheme="majorHAnsi" w:hAnsiTheme="majorHAnsi" w:cstheme="majorHAnsi"/>
          <w:sz w:val="24"/>
          <w:szCs w:val="24"/>
        </w:rPr>
        <w:t xml:space="preserve"> seeks to </w:t>
      </w:r>
      <w:r w:rsidR="001C0BCB">
        <w:rPr>
          <w:rFonts w:asciiTheme="majorHAnsi" w:hAnsiTheme="majorHAnsi" w:cstheme="majorHAnsi"/>
          <w:sz w:val="24"/>
          <w:szCs w:val="24"/>
        </w:rPr>
        <w:t>advance Indigenous People’s rights related to land management when the federal government assesses environmental impacts of proposed development projects. Th</w:t>
      </w:r>
      <w:r w:rsidR="00F60848">
        <w:rPr>
          <w:rFonts w:asciiTheme="majorHAnsi" w:hAnsiTheme="majorHAnsi" w:cstheme="majorHAnsi"/>
          <w:sz w:val="24"/>
          <w:szCs w:val="24"/>
        </w:rPr>
        <w:t xml:space="preserve">e Supreme Court of Canada recently </w:t>
      </w:r>
      <w:hyperlink r:id="rId17" w:history="1">
        <w:r w:rsidR="00F60848" w:rsidRPr="00F60848">
          <w:rPr>
            <w:rStyle w:val="Hyperlink"/>
            <w:rFonts w:asciiTheme="majorHAnsi" w:hAnsiTheme="majorHAnsi" w:cstheme="majorHAnsi"/>
            <w:sz w:val="24"/>
            <w:szCs w:val="24"/>
          </w:rPr>
          <w:t>struck down</w:t>
        </w:r>
      </w:hyperlink>
      <w:r w:rsidR="00F60848">
        <w:rPr>
          <w:rFonts w:asciiTheme="majorHAnsi" w:hAnsiTheme="majorHAnsi" w:cstheme="majorHAnsi"/>
          <w:sz w:val="24"/>
          <w:szCs w:val="24"/>
        </w:rPr>
        <w:t xml:space="preserve"> portions of th</w:t>
      </w:r>
      <w:r w:rsidR="001C0BCB">
        <w:rPr>
          <w:rFonts w:asciiTheme="majorHAnsi" w:hAnsiTheme="majorHAnsi" w:cstheme="majorHAnsi"/>
          <w:sz w:val="24"/>
          <w:szCs w:val="24"/>
        </w:rPr>
        <w:t>is legislation</w:t>
      </w:r>
      <w:r w:rsidR="00511528">
        <w:rPr>
          <w:rFonts w:asciiTheme="majorHAnsi" w:hAnsiTheme="majorHAnsi" w:cstheme="majorHAnsi"/>
          <w:sz w:val="24"/>
          <w:szCs w:val="24"/>
        </w:rPr>
        <w:t xml:space="preserve">, and only addressed Indigenous rights insofar as they were protected by the </w:t>
      </w:r>
      <w:r w:rsidR="00511528" w:rsidRPr="00511528">
        <w:rPr>
          <w:rFonts w:asciiTheme="majorHAnsi" w:hAnsiTheme="majorHAnsi" w:cstheme="majorHAnsi"/>
          <w:i/>
          <w:iCs/>
          <w:sz w:val="24"/>
          <w:szCs w:val="24"/>
        </w:rPr>
        <w:t>Constitution Act</w:t>
      </w:r>
      <w:r w:rsidR="00511528">
        <w:rPr>
          <w:rFonts w:asciiTheme="majorHAnsi" w:hAnsiTheme="majorHAnsi" w:cstheme="majorHAnsi"/>
          <w:sz w:val="24"/>
          <w:szCs w:val="24"/>
        </w:rPr>
        <w:t xml:space="preserve">, </w:t>
      </w:r>
      <w:r w:rsidR="00511528" w:rsidRPr="00511528">
        <w:rPr>
          <w:rFonts w:asciiTheme="majorHAnsi" w:hAnsiTheme="majorHAnsi" w:cstheme="majorHAnsi"/>
          <w:i/>
          <w:iCs/>
          <w:sz w:val="24"/>
          <w:szCs w:val="24"/>
        </w:rPr>
        <w:t>1982</w:t>
      </w:r>
      <w:r w:rsidR="00511528">
        <w:rPr>
          <w:rFonts w:asciiTheme="majorHAnsi" w:hAnsiTheme="majorHAnsi" w:cstheme="majorHAnsi"/>
          <w:sz w:val="24"/>
          <w:szCs w:val="24"/>
        </w:rPr>
        <w:t>, not the UNDRIP.</w:t>
      </w:r>
    </w:p>
    <w:p w14:paraId="1CC51EBD" w14:textId="3CEA353B" w:rsidR="00674249" w:rsidRPr="00033B15" w:rsidRDefault="00674249" w:rsidP="0093578B">
      <w:pPr>
        <w:spacing w:line="276" w:lineRule="auto"/>
        <w:ind w:firstLine="720"/>
        <w:rPr>
          <w:rFonts w:asciiTheme="majorHAnsi" w:hAnsiTheme="majorHAnsi" w:cstheme="majorHAnsi"/>
          <w:sz w:val="24"/>
          <w:szCs w:val="24"/>
        </w:rPr>
      </w:pPr>
    </w:p>
    <w:sectPr w:rsidR="00674249" w:rsidRPr="00033B15">
      <w:headerReference w:type="default"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5318" w14:textId="77777777" w:rsidR="0073785B" w:rsidRDefault="0073785B" w:rsidP="00033B15">
      <w:pPr>
        <w:spacing w:after="0" w:line="240" w:lineRule="auto"/>
      </w:pPr>
      <w:r>
        <w:separator/>
      </w:r>
    </w:p>
  </w:endnote>
  <w:endnote w:type="continuationSeparator" w:id="0">
    <w:p w14:paraId="77710647" w14:textId="77777777" w:rsidR="0073785B" w:rsidRDefault="0073785B" w:rsidP="0003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452680"/>
      <w:docPartObj>
        <w:docPartGallery w:val="Page Numbers (Bottom of Page)"/>
        <w:docPartUnique/>
      </w:docPartObj>
    </w:sdtPr>
    <w:sdtEndPr>
      <w:rPr>
        <w:noProof/>
      </w:rPr>
    </w:sdtEndPr>
    <w:sdtContent>
      <w:p w14:paraId="16A6957D" w14:textId="128B48AE" w:rsidR="00033B15" w:rsidRDefault="00033B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72067" w14:textId="77777777" w:rsidR="00033B15" w:rsidRDefault="00033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0247" w14:textId="77777777" w:rsidR="0073785B" w:rsidRDefault="0073785B" w:rsidP="00033B15">
      <w:pPr>
        <w:spacing w:after="0" w:line="240" w:lineRule="auto"/>
      </w:pPr>
      <w:r>
        <w:separator/>
      </w:r>
    </w:p>
  </w:footnote>
  <w:footnote w:type="continuationSeparator" w:id="0">
    <w:p w14:paraId="1C6FC5B4" w14:textId="77777777" w:rsidR="0073785B" w:rsidRDefault="0073785B" w:rsidP="00033B15">
      <w:pPr>
        <w:spacing w:after="0" w:line="240" w:lineRule="auto"/>
      </w:pPr>
      <w:r>
        <w:continuationSeparator/>
      </w:r>
    </w:p>
  </w:footnote>
  <w:footnote w:id="1">
    <w:p w14:paraId="7F1AFF16" w14:textId="39CC64D6" w:rsidR="00911C92" w:rsidRDefault="00911C92">
      <w:pPr>
        <w:pStyle w:val="FootnoteText"/>
      </w:pPr>
      <w:r>
        <w:rPr>
          <w:rStyle w:val="FootnoteReference"/>
        </w:rPr>
        <w:footnoteRef/>
      </w:r>
      <w:r>
        <w:t xml:space="preserve"> </w:t>
      </w:r>
      <w:hyperlink r:id="rId1" w:history="1">
        <w:r w:rsidRPr="00783890">
          <w:rPr>
            <w:rStyle w:val="Hyperlink"/>
            <w:i/>
            <w:iCs/>
          </w:rPr>
          <w:t>United Nations Declaration on the Rights of Indigenous Peoples Act</w:t>
        </w:r>
      </w:hyperlink>
      <w:r>
        <w:t xml:space="preserve">, </w:t>
      </w:r>
      <w:r w:rsidRPr="00911C92">
        <w:t>SC 2021, c 14</w:t>
      </w:r>
      <w:r>
        <w:t>.</w:t>
      </w:r>
    </w:p>
  </w:footnote>
  <w:footnote w:id="2">
    <w:p w14:paraId="075577FD" w14:textId="00DFCA06" w:rsidR="008F4CCB" w:rsidRDefault="008F4CCB">
      <w:pPr>
        <w:pStyle w:val="FootnoteText"/>
      </w:pPr>
      <w:r>
        <w:rPr>
          <w:rStyle w:val="FootnoteReference"/>
        </w:rPr>
        <w:footnoteRef/>
      </w:r>
      <w:r>
        <w:t xml:space="preserve"> </w:t>
      </w:r>
      <w:r w:rsidR="002A4C70" w:rsidRPr="002A4C70">
        <w:rPr>
          <w:i/>
          <w:iCs/>
        </w:rPr>
        <w:t>Da'naxda'xw First Nation v Peters</w:t>
      </w:r>
      <w:r w:rsidR="002A4C70" w:rsidRPr="002A4C70">
        <w:t>, 2023 FC 386</w:t>
      </w:r>
      <w:r w:rsidR="002A4C70">
        <w:t xml:space="preserve"> at</w:t>
      </w:r>
      <w:r w:rsidR="002A4C70" w:rsidRPr="002A4C70">
        <w:t xml:space="preserve"> para 67</w:t>
      </w:r>
      <w:r w:rsidR="002A4C70">
        <w:t>.</w:t>
      </w:r>
    </w:p>
  </w:footnote>
  <w:footnote w:id="3">
    <w:p w14:paraId="15DE593B" w14:textId="280C5548" w:rsidR="008969A3" w:rsidRDefault="008969A3">
      <w:pPr>
        <w:pStyle w:val="FootnoteText"/>
      </w:pPr>
      <w:r>
        <w:rPr>
          <w:rStyle w:val="FootnoteReference"/>
        </w:rPr>
        <w:footnoteRef/>
      </w:r>
      <w:r>
        <w:t xml:space="preserve"> </w:t>
      </w:r>
      <w:r w:rsidRPr="008969A3">
        <w:rPr>
          <w:i/>
          <w:iCs/>
        </w:rPr>
        <w:t>Gitxaala v British Columbia (Chief Gold Commissioner),</w:t>
      </w:r>
      <w:r w:rsidRPr="008969A3">
        <w:t xml:space="preserve"> 2023 BCSC 1680</w:t>
      </w:r>
      <w:r>
        <w:t>.</w:t>
      </w:r>
    </w:p>
  </w:footnote>
  <w:footnote w:id="4">
    <w:p w14:paraId="5E6DD026" w14:textId="17A1A649" w:rsidR="008E5C63" w:rsidRDefault="008E5C63">
      <w:pPr>
        <w:pStyle w:val="FootnoteText"/>
      </w:pPr>
      <w:r>
        <w:rPr>
          <w:rStyle w:val="FootnoteReference"/>
        </w:rPr>
        <w:footnoteRef/>
      </w:r>
      <w:r>
        <w:t xml:space="preserve"> </w:t>
      </w:r>
      <w:r w:rsidR="00F768AA" w:rsidRPr="00F768AA">
        <w:rPr>
          <w:i/>
          <w:iCs/>
        </w:rPr>
        <w:t>R c Montour</w:t>
      </w:r>
      <w:r w:rsidR="00F768AA" w:rsidRPr="00F768AA">
        <w:t>, 2023 QCCS 4154</w:t>
      </w:r>
      <w:r w:rsidR="00F768AA">
        <w:t>.</w:t>
      </w:r>
    </w:p>
  </w:footnote>
  <w:footnote w:id="5">
    <w:p w14:paraId="1BA943F4" w14:textId="0D04714D" w:rsidR="00B441FF" w:rsidRDefault="00B441FF">
      <w:pPr>
        <w:pStyle w:val="FootnoteText"/>
      </w:pPr>
      <w:r>
        <w:rPr>
          <w:rStyle w:val="FootnoteReference"/>
        </w:rPr>
        <w:footnoteRef/>
      </w:r>
      <w:r>
        <w:t xml:space="preserve"> </w:t>
      </w:r>
      <w:r w:rsidRPr="00B441FF">
        <w:rPr>
          <w:i/>
          <w:iCs/>
        </w:rPr>
        <w:t>Montour</w:t>
      </w:r>
      <w:r>
        <w:t xml:space="preserve"> at para 1297.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453D" w14:textId="769E9C1D" w:rsidR="00033B15" w:rsidRDefault="00033B15">
    <w:pPr>
      <w:pStyle w:val="Header"/>
    </w:pPr>
    <w:r w:rsidRPr="007F4C47">
      <w:rPr>
        <w:rFonts w:ascii="Trebuchet MS" w:eastAsia="Trebuchet MS" w:hAnsi="Trebuchet MS" w:cs="Times New Roman"/>
        <w:noProof/>
        <w:lang w:eastAsia="en-CA"/>
      </w:rPr>
      <w:drawing>
        <wp:anchor distT="0" distB="0" distL="114300" distR="114300" simplePos="0" relativeHeight="251659264" behindDoc="1" locked="0" layoutInCell="1" allowOverlap="1" wp14:anchorId="3DD80171" wp14:editId="794179EC">
          <wp:simplePos x="0" y="0"/>
          <wp:positionH relativeFrom="page">
            <wp:posOffset>-200025</wp:posOffset>
          </wp:positionH>
          <wp:positionV relativeFrom="paragraph">
            <wp:posOffset>-448310</wp:posOffset>
          </wp:positionV>
          <wp:extent cx="8454399" cy="417195"/>
          <wp:effectExtent l="0" t="0" r="381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bar-smallest-NWAC.jpg"/>
                  <pic:cNvPicPr/>
                </pic:nvPicPr>
                <pic:blipFill>
                  <a:blip r:embed="rId1">
                    <a:extLst>
                      <a:ext uri="{28A0092B-C50C-407E-A947-70E740481C1C}">
                        <a14:useLocalDpi xmlns:a14="http://schemas.microsoft.com/office/drawing/2010/main" val="0"/>
                      </a:ext>
                    </a:extLst>
                  </a:blip>
                  <a:stretch>
                    <a:fillRect/>
                  </a:stretch>
                </pic:blipFill>
                <pic:spPr>
                  <a:xfrm flipV="1">
                    <a:off x="0" y="0"/>
                    <a:ext cx="8454399" cy="417195"/>
                  </a:xfrm>
                  <a:prstGeom prst="rect">
                    <a:avLst/>
                  </a:prstGeom>
                </pic:spPr>
              </pic:pic>
            </a:graphicData>
          </a:graphic>
          <wp14:sizeRelH relativeFrom="margin">
            <wp14:pctWidth>0</wp14:pctWidth>
          </wp14:sizeRelH>
          <wp14:sizeRelV relativeFrom="margin">
            <wp14:pctHeight>0</wp14:pctHeight>
          </wp14:sizeRelV>
        </wp:anchor>
      </w:drawing>
    </w:r>
  </w:p>
  <w:p w14:paraId="2461B85B" w14:textId="77777777" w:rsidR="00033B15" w:rsidRDefault="0003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407A"/>
    <w:multiLevelType w:val="hybridMultilevel"/>
    <w:tmpl w:val="63DC7396"/>
    <w:lvl w:ilvl="0" w:tplc="E1982D8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EF7229C"/>
    <w:multiLevelType w:val="hybridMultilevel"/>
    <w:tmpl w:val="163C5FDC"/>
    <w:lvl w:ilvl="0" w:tplc="0AE69B0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14C5ADA"/>
    <w:multiLevelType w:val="hybridMultilevel"/>
    <w:tmpl w:val="5F98D936"/>
    <w:lvl w:ilvl="0" w:tplc="ECCE4BD4">
      <w:numFmt w:val="bullet"/>
      <w:lvlText w:val="-"/>
      <w:lvlJc w:val="left"/>
      <w:pPr>
        <w:ind w:left="720" w:hanging="360"/>
      </w:pPr>
      <w:rPr>
        <w:rFonts w:ascii="Calibri Light" w:eastAsiaTheme="minorHAnsi"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8259D5"/>
    <w:multiLevelType w:val="hybridMultilevel"/>
    <w:tmpl w:val="D21AED8E"/>
    <w:lvl w:ilvl="0" w:tplc="E91ECA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73857246">
    <w:abstractNumId w:val="2"/>
  </w:num>
  <w:num w:numId="2" w16cid:durableId="1013337853">
    <w:abstractNumId w:val="1"/>
  </w:num>
  <w:num w:numId="3" w16cid:durableId="293563672">
    <w:abstractNumId w:val="0"/>
  </w:num>
  <w:num w:numId="4" w16cid:durableId="1490172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C1"/>
    <w:rsid w:val="00033B15"/>
    <w:rsid w:val="00041DE5"/>
    <w:rsid w:val="00085390"/>
    <w:rsid w:val="0009772E"/>
    <w:rsid w:val="000C1979"/>
    <w:rsid w:val="000D6B2E"/>
    <w:rsid w:val="000E17ED"/>
    <w:rsid w:val="000F6AC4"/>
    <w:rsid w:val="001175D3"/>
    <w:rsid w:val="00122569"/>
    <w:rsid w:val="00132678"/>
    <w:rsid w:val="00160C31"/>
    <w:rsid w:val="00163E37"/>
    <w:rsid w:val="0016610E"/>
    <w:rsid w:val="00196C52"/>
    <w:rsid w:val="001978E2"/>
    <w:rsid w:val="001A5955"/>
    <w:rsid w:val="001C0BCB"/>
    <w:rsid w:val="001F1301"/>
    <w:rsid w:val="00216C00"/>
    <w:rsid w:val="00217C59"/>
    <w:rsid w:val="002204A2"/>
    <w:rsid w:val="002321C7"/>
    <w:rsid w:val="00272753"/>
    <w:rsid w:val="0028545A"/>
    <w:rsid w:val="002A4C70"/>
    <w:rsid w:val="002B7A20"/>
    <w:rsid w:val="0031637B"/>
    <w:rsid w:val="0033271D"/>
    <w:rsid w:val="00356CAE"/>
    <w:rsid w:val="00392C0C"/>
    <w:rsid w:val="00395A69"/>
    <w:rsid w:val="003A7F58"/>
    <w:rsid w:val="003B0543"/>
    <w:rsid w:val="003D4C76"/>
    <w:rsid w:val="003E117F"/>
    <w:rsid w:val="003E15D3"/>
    <w:rsid w:val="00454CEA"/>
    <w:rsid w:val="004760D8"/>
    <w:rsid w:val="00484FD1"/>
    <w:rsid w:val="0049238F"/>
    <w:rsid w:val="004A54B6"/>
    <w:rsid w:val="004A639D"/>
    <w:rsid w:val="004C2362"/>
    <w:rsid w:val="004F5AC4"/>
    <w:rsid w:val="00511528"/>
    <w:rsid w:val="0053256F"/>
    <w:rsid w:val="005408D1"/>
    <w:rsid w:val="005425FB"/>
    <w:rsid w:val="00594B53"/>
    <w:rsid w:val="005A7E83"/>
    <w:rsid w:val="005B1891"/>
    <w:rsid w:val="005F6749"/>
    <w:rsid w:val="0062114A"/>
    <w:rsid w:val="00655FA7"/>
    <w:rsid w:val="00674249"/>
    <w:rsid w:val="00687E2A"/>
    <w:rsid w:val="006A7F6A"/>
    <w:rsid w:val="006B053A"/>
    <w:rsid w:val="006B46FC"/>
    <w:rsid w:val="006D1595"/>
    <w:rsid w:val="0073785B"/>
    <w:rsid w:val="00752C29"/>
    <w:rsid w:val="00783890"/>
    <w:rsid w:val="0078673F"/>
    <w:rsid w:val="0079306F"/>
    <w:rsid w:val="007C0F86"/>
    <w:rsid w:val="007D083E"/>
    <w:rsid w:val="007E3F28"/>
    <w:rsid w:val="00807594"/>
    <w:rsid w:val="0082681F"/>
    <w:rsid w:val="00831166"/>
    <w:rsid w:val="0086146D"/>
    <w:rsid w:val="00882ADB"/>
    <w:rsid w:val="00885FF3"/>
    <w:rsid w:val="00887E07"/>
    <w:rsid w:val="008969A3"/>
    <w:rsid w:val="008B6A13"/>
    <w:rsid w:val="008B7CBA"/>
    <w:rsid w:val="008C35F2"/>
    <w:rsid w:val="008D3839"/>
    <w:rsid w:val="008E5C63"/>
    <w:rsid w:val="008F4CCB"/>
    <w:rsid w:val="00911C92"/>
    <w:rsid w:val="009215EF"/>
    <w:rsid w:val="0093578B"/>
    <w:rsid w:val="00944C9D"/>
    <w:rsid w:val="00950A36"/>
    <w:rsid w:val="00963068"/>
    <w:rsid w:val="009B3BF5"/>
    <w:rsid w:val="009C2B6D"/>
    <w:rsid w:val="009D13C5"/>
    <w:rsid w:val="009D483C"/>
    <w:rsid w:val="00A05A42"/>
    <w:rsid w:val="00A10805"/>
    <w:rsid w:val="00AC03CC"/>
    <w:rsid w:val="00AF66EF"/>
    <w:rsid w:val="00B00671"/>
    <w:rsid w:val="00B055C1"/>
    <w:rsid w:val="00B441FF"/>
    <w:rsid w:val="00BB0F71"/>
    <w:rsid w:val="00BB3DAE"/>
    <w:rsid w:val="00C56A88"/>
    <w:rsid w:val="00C70E7E"/>
    <w:rsid w:val="00C80577"/>
    <w:rsid w:val="00CA6A75"/>
    <w:rsid w:val="00CB62E7"/>
    <w:rsid w:val="00CD75E2"/>
    <w:rsid w:val="00D44259"/>
    <w:rsid w:val="00D70BD5"/>
    <w:rsid w:val="00DA1B8A"/>
    <w:rsid w:val="00DD2181"/>
    <w:rsid w:val="00DE2F77"/>
    <w:rsid w:val="00DE34CC"/>
    <w:rsid w:val="00DE77E1"/>
    <w:rsid w:val="00E04BF7"/>
    <w:rsid w:val="00E147F4"/>
    <w:rsid w:val="00E267E5"/>
    <w:rsid w:val="00E624FB"/>
    <w:rsid w:val="00E62D93"/>
    <w:rsid w:val="00E81C69"/>
    <w:rsid w:val="00ED18BC"/>
    <w:rsid w:val="00EE36A2"/>
    <w:rsid w:val="00F12DA5"/>
    <w:rsid w:val="00F60848"/>
    <w:rsid w:val="00F608BD"/>
    <w:rsid w:val="00F65F15"/>
    <w:rsid w:val="00F768AA"/>
    <w:rsid w:val="00FA4C64"/>
    <w:rsid w:val="00FB2578"/>
    <w:rsid w:val="00FB66B1"/>
    <w:rsid w:val="00FD3134"/>
    <w:rsid w:val="00FE22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0A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B15"/>
  </w:style>
  <w:style w:type="paragraph" w:styleId="Footer">
    <w:name w:val="footer"/>
    <w:basedOn w:val="Normal"/>
    <w:link w:val="FooterChar"/>
    <w:uiPriority w:val="99"/>
    <w:unhideWhenUsed/>
    <w:rsid w:val="00033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B15"/>
  </w:style>
  <w:style w:type="character" w:styleId="CommentReference">
    <w:name w:val="annotation reference"/>
    <w:basedOn w:val="DefaultParagraphFont"/>
    <w:uiPriority w:val="99"/>
    <w:semiHidden/>
    <w:unhideWhenUsed/>
    <w:rsid w:val="009D13C5"/>
    <w:rPr>
      <w:sz w:val="16"/>
      <w:szCs w:val="16"/>
    </w:rPr>
  </w:style>
  <w:style w:type="paragraph" w:styleId="CommentText">
    <w:name w:val="annotation text"/>
    <w:basedOn w:val="Normal"/>
    <w:link w:val="CommentTextChar"/>
    <w:uiPriority w:val="99"/>
    <w:unhideWhenUsed/>
    <w:rsid w:val="009D13C5"/>
    <w:pPr>
      <w:spacing w:line="240" w:lineRule="auto"/>
    </w:pPr>
    <w:rPr>
      <w:sz w:val="20"/>
      <w:szCs w:val="20"/>
    </w:rPr>
  </w:style>
  <w:style w:type="character" w:customStyle="1" w:styleId="CommentTextChar">
    <w:name w:val="Comment Text Char"/>
    <w:basedOn w:val="DefaultParagraphFont"/>
    <w:link w:val="CommentText"/>
    <w:uiPriority w:val="99"/>
    <w:rsid w:val="009D13C5"/>
    <w:rPr>
      <w:sz w:val="20"/>
      <w:szCs w:val="20"/>
    </w:rPr>
  </w:style>
  <w:style w:type="paragraph" w:styleId="CommentSubject">
    <w:name w:val="annotation subject"/>
    <w:basedOn w:val="CommentText"/>
    <w:next w:val="CommentText"/>
    <w:link w:val="CommentSubjectChar"/>
    <w:uiPriority w:val="99"/>
    <w:semiHidden/>
    <w:unhideWhenUsed/>
    <w:rsid w:val="009D13C5"/>
    <w:rPr>
      <w:b/>
      <w:bCs/>
    </w:rPr>
  </w:style>
  <w:style w:type="character" w:customStyle="1" w:styleId="CommentSubjectChar">
    <w:name w:val="Comment Subject Char"/>
    <w:basedOn w:val="CommentTextChar"/>
    <w:link w:val="CommentSubject"/>
    <w:uiPriority w:val="99"/>
    <w:semiHidden/>
    <w:rsid w:val="009D13C5"/>
    <w:rPr>
      <w:b/>
      <w:bCs/>
      <w:sz w:val="20"/>
      <w:szCs w:val="20"/>
    </w:rPr>
  </w:style>
  <w:style w:type="paragraph" w:styleId="ListParagraph">
    <w:name w:val="List Paragraph"/>
    <w:basedOn w:val="Normal"/>
    <w:uiPriority w:val="34"/>
    <w:qFormat/>
    <w:rsid w:val="00D70BD5"/>
    <w:pPr>
      <w:ind w:left="720"/>
      <w:contextualSpacing/>
    </w:pPr>
  </w:style>
  <w:style w:type="paragraph" w:styleId="FootnoteText">
    <w:name w:val="footnote text"/>
    <w:basedOn w:val="Normal"/>
    <w:link w:val="FootnoteTextChar"/>
    <w:uiPriority w:val="99"/>
    <w:semiHidden/>
    <w:unhideWhenUsed/>
    <w:rsid w:val="00911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92"/>
    <w:rPr>
      <w:sz w:val="20"/>
      <w:szCs w:val="20"/>
    </w:rPr>
  </w:style>
  <w:style w:type="character" w:styleId="FootnoteReference">
    <w:name w:val="footnote reference"/>
    <w:basedOn w:val="DefaultParagraphFont"/>
    <w:uiPriority w:val="99"/>
    <w:semiHidden/>
    <w:unhideWhenUsed/>
    <w:rsid w:val="00911C92"/>
    <w:rPr>
      <w:vertAlign w:val="superscript"/>
    </w:rPr>
  </w:style>
  <w:style w:type="character" w:styleId="Hyperlink">
    <w:name w:val="Hyperlink"/>
    <w:basedOn w:val="DefaultParagraphFont"/>
    <w:uiPriority w:val="99"/>
    <w:unhideWhenUsed/>
    <w:rsid w:val="00783890"/>
    <w:rPr>
      <w:color w:val="0563C1" w:themeColor="hyperlink"/>
      <w:u w:val="single"/>
    </w:rPr>
  </w:style>
  <w:style w:type="character" w:styleId="UnresolvedMention">
    <w:name w:val="Unresolved Mention"/>
    <w:basedOn w:val="DefaultParagraphFont"/>
    <w:uiPriority w:val="99"/>
    <w:semiHidden/>
    <w:unhideWhenUsed/>
    <w:rsid w:val="00783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ac.ca/assets-knowledge-centre/NWAC-Interim-Report-UNDRIP-Nov-2022.pdf" TargetMode="External"/><Relationship Id="rId13" Type="http://schemas.openxmlformats.org/officeDocument/2006/relationships/hyperlink" Target="https://canlii.ca/t/jw9z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ncanada.ca/Content/Sen/Committee/441/LCJC/briefs/2023-10-05_LCJC_S-13_Brief_NWAC_e.pdf" TargetMode="External"/><Relationship Id="rId17" Type="http://schemas.openxmlformats.org/officeDocument/2006/relationships/hyperlink" Target="file:///C:\Users\rodriguez\AppData\Local\Microsoft\Windows\INetCache\Content.Outlook\14NXX8C4\Supreme%20Court%20of%20Canada," TargetMode="External"/><Relationship Id="rId2" Type="http://schemas.openxmlformats.org/officeDocument/2006/relationships/numbering" Target="numbering.xml"/><Relationship Id="rId16" Type="http://schemas.openxmlformats.org/officeDocument/2006/relationships/hyperlink" Target="https://laws.justice.gc.ca/eng/acts/i-2.75/FullTex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gc.ca/eng/declaration/ap-pa/index.html"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laws-lois.justice.gc.ca/eng/acts/F-11.73/FullText.html" TargetMode="External"/><Relationship Id="rId23" Type="http://schemas.openxmlformats.org/officeDocument/2006/relationships/customXml" Target="../customXml/item3.xml"/><Relationship Id="rId10" Type="http://schemas.openxmlformats.org/officeDocument/2006/relationships/hyperlink" Target="https://nwac.ca/media/nwac-canadas-undrip-action-plan-ignores-the-vital-role-of-indigenous-people-in-regaining-their-own-power-and-pla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wac.ca/assets-knowledge-centre/NWAC-UNDRIP-Final-Report-English.pdf" TargetMode="External"/><Relationship Id="rId14" Type="http://schemas.openxmlformats.org/officeDocument/2006/relationships/hyperlink" Target="https://nwac.ca/assets-documents/FEDERAL_ANNUAL_SCORECARD_ACTIONPLAN_2022-23_2023-06-01-030405_kxwx.pdf"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laws-lois.justice.gc.ca/eng/acts/u-2.2/FullTex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56601604-90AC-4BE4-8208-FF094585A5A3}">
  <ds:schemaRefs>
    <ds:schemaRef ds:uri="http://schemas.openxmlformats.org/officeDocument/2006/bibliography"/>
  </ds:schemaRefs>
</ds:datastoreItem>
</file>

<file path=customXml/itemProps2.xml><?xml version="1.0" encoding="utf-8"?>
<ds:datastoreItem xmlns:ds="http://schemas.openxmlformats.org/officeDocument/2006/customXml" ds:itemID="{E97D7056-675A-429B-8A9A-006B92D7A2EA}"/>
</file>

<file path=customXml/itemProps3.xml><?xml version="1.0" encoding="utf-8"?>
<ds:datastoreItem xmlns:ds="http://schemas.openxmlformats.org/officeDocument/2006/customXml" ds:itemID="{34B3D895-99FB-4422-8AFA-572109368056}"/>
</file>

<file path=customXml/itemProps4.xml><?xml version="1.0" encoding="utf-8"?>
<ds:datastoreItem xmlns:ds="http://schemas.openxmlformats.org/officeDocument/2006/customXml" ds:itemID="{911DA8AE-8E48-4B70-9564-DCB0D8F73E9B}"/>
</file>

<file path=docProps/app.xml><?xml version="1.0" encoding="utf-8"?>
<Properties xmlns="http://schemas.openxmlformats.org/officeDocument/2006/extended-properties" xmlns:vt="http://schemas.openxmlformats.org/officeDocument/2006/docPropsVTypes">
  <Template>Normal.dotm</Template>
  <TotalTime>0</TotalTime>
  <Pages>3</Pages>
  <Words>1903</Words>
  <Characters>10852</Characters>
  <Application>Microsoft Office Word</Application>
  <DocSecurity>4</DocSecurity>
  <Lines>90</Lines>
  <Paragraphs>25</Paragraphs>
  <ScaleCrop>false</ScaleCrop>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2024-02-01T08:24:00Z</dcterms:created>
  <dcterms:modified xsi:type="dcterms:W3CDTF">2024-02-01T08:24:00Z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