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AAE9C" w14:textId="77777777" w:rsidR="00B44D8A" w:rsidRPr="00DD1C13" w:rsidRDefault="00B44D8A" w:rsidP="003C1F10">
      <w:pPr>
        <w:spacing w:line="276" w:lineRule="auto"/>
        <w:jc w:val="both"/>
        <w:rPr>
          <w:rFonts w:ascii="Arial Narrow" w:hAnsi="Arial Narrow" w:cs="Times New Roman"/>
          <w:sz w:val="24"/>
          <w:szCs w:val="24"/>
          <w:lang w:val="es-GT"/>
        </w:rPr>
      </w:pPr>
    </w:p>
    <w:p w14:paraId="11D8FFBE" w14:textId="0D66C184" w:rsidR="003C1F10" w:rsidRPr="00DD1C13" w:rsidRDefault="00B44D8A" w:rsidP="002813B5">
      <w:pPr>
        <w:spacing w:line="276" w:lineRule="auto"/>
        <w:jc w:val="center"/>
        <w:rPr>
          <w:rFonts w:ascii="Arial Narrow" w:hAnsi="Arial Narrow" w:cs="Times New Roman"/>
          <w:b/>
          <w:bCs/>
          <w:sz w:val="24"/>
          <w:szCs w:val="24"/>
          <w:lang w:val="es-GT"/>
        </w:rPr>
      </w:pPr>
      <w:r w:rsidRPr="00DD1C13">
        <w:rPr>
          <w:rFonts w:ascii="Arial Narrow" w:hAnsi="Arial Narrow" w:cs="Times New Roman"/>
          <w:b/>
          <w:bCs/>
          <w:sz w:val="24"/>
          <w:szCs w:val="24"/>
          <w:lang w:val="es-GT"/>
        </w:rPr>
        <w:t>CASO DE GUATEMALA, CENTRO AMERICA</w:t>
      </w:r>
    </w:p>
    <w:p w14:paraId="67A2647F" w14:textId="69C111E6" w:rsidR="002D40AC" w:rsidRPr="00DD1C13" w:rsidRDefault="004128CF" w:rsidP="004128CF">
      <w:pPr>
        <w:spacing w:line="276" w:lineRule="auto"/>
        <w:jc w:val="both"/>
        <w:rPr>
          <w:rFonts w:ascii="Arial Narrow" w:eastAsia="Times New Roman" w:hAnsi="Arial Narrow" w:cs="Times New Roman"/>
          <w:color w:val="000000"/>
          <w:sz w:val="24"/>
          <w:szCs w:val="24"/>
          <w:lang w:val="es-GT" w:eastAsia="es-GT"/>
        </w:rPr>
      </w:pPr>
      <w:r w:rsidRPr="00DD1C13">
        <w:rPr>
          <w:rFonts w:ascii="Arial Narrow" w:hAnsi="Arial Narrow" w:cs="Times New Roman"/>
          <w:sz w:val="24"/>
          <w:szCs w:val="24"/>
          <w:lang w:val="es-GT"/>
        </w:rPr>
        <w:t xml:space="preserve">Aporte de la oficina en Guatemala del Consejo Internacional de Tratados Indios -CITI- al estudio a cargo del EMRIP titulado: </w:t>
      </w:r>
      <w:r w:rsidR="002D40AC" w:rsidRPr="00DD1C13">
        <w:rPr>
          <w:rFonts w:ascii="Arial Narrow" w:eastAsia="Times New Roman" w:hAnsi="Arial Narrow" w:cs="Times New Roman"/>
          <w:color w:val="000000"/>
          <w:sz w:val="24"/>
          <w:szCs w:val="24"/>
          <w:lang w:val="es-GT" w:eastAsia="es-GT"/>
        </w:rPr>
        <w:t>"Leyes, legislación, políticas, constituciones, decisiones judiciales y otros mecanismos en los que los Estados hayan adoptado medidas para alcanzar los fines de la Declaración de las Naciones Unidas sobre los Derechos de los Pueblos Indígenas, de conformidad con el artículo 38 de la Declaración".</w:t>
      </w:r>
    </w:p>
    <w:p w14:paraId="5B2FCDD2" w14:textId="531EE014" w:rsidR="00CD492D" w:rsidRPr="00DD1C13" w:rsidRDefault="00CD492D" w:rsidP="003C1F10">
      <w:pPr>
        <w:spacing w:line="276" w:lineRule="auto"/>
        <w:jc w:val="both"/>
        <w:rPr>
          <w:rFonts w:ascii="Arial Narrow" w:hAnsi="Arial Narrow" w:cs="Times New Roman"/>
          <w:sz w:val="24"/>
          <w:szCs w:val="24"/>
          <w:lang w:val="es-GT"/>
        </w:rPr>
      </w:pPr>
      <w:r w:rsidRPr="00DD1C13">
        <w:rPr>
          <w:rFonts w:ascii="Arial Narrow" w:hAnsi="Arial Narrow" w:cs="Times New Roman"/>
          <w:spacing w:val="4"/>
          <w:sz w:val="24"/>
          <w:szCs w:val="24"/>
          <w:lang w:val="es-GT"/>
        </w:rPr>
        <w:t xml:space="preserve">La Declaración de las Naciones Unidas sobre los Derechos de los Pueblos Indígenas adoptada el 13 de septiembre de 2007 por la Asamblea General de las Naciones Unidas constituye la norma mínima </w:t>
      </w:r>
      <w:r w:rsidR="00CD3754" w:rsidRPr="00DD1C13">
        <w:rPr>
          <w:rFonts w:ascii="Arial Narrow" w:hAnsi="Arial Narrow" w:cs="Times New Roman"/>
          <w:sz w:val="24"/>
          <w:szCs w:val="24"/>
          <w:lang w:val="es-GT"/>
        </w:rPr>
        <w:t xml:space="preserve">para </w:t>
      </w:r>
      <w:r w:rsidR="00E27058" w:rsidRPr="00DD1C13">
        <w:rPr>
          <w:rFonts w:ascii="Arial Narrow" w:hAnsi="Arial Narrow" w:cs="Times New Roman"/>
          <w:sz w:val="24"/>
          <w:szCs w:val="24"/>
          <w:lang w:val="es-GT"/>
        </w:rPr>
        <w:t>garantizar los derechos de los Pueblos Indígenas, así como su</w:t>
      </w:r>
      <w:r w:rsidR="00CD3754" w:rsidRPr="00DD1C13">
        <w:rPr>
          <w:rFonts w:ascii="Arial Narrow" w:hAnsi="Arial Narrow" w:cs="Times New Roman"/>
          <w:sz w:val="24"/>
          <w:szCs w:val="24"/>
          <w:lang w:val="es-GT"/>
        </w:rPr>
        <w:t xml:space="preserve"> supervivencia, dignidad y</w:t>
      </w:r>
      <w:r w:rsidR="00E27058" w:rsidRPr="00DD1C13">
        <w:rPr>
          <w:rFonts w:ascii="Arial Narrow" w:hAnsi="Arial Narrow" w:cs="Times New Roman"/>
          <w:sz w:val="24"/>
          <w:szCs w:val="24"/>
          <w:lang w:val="es-GT"/>
        </w:rPr>
        <w:t xml:space="preserve"> su </w:t>
      </w:r>
      <w:r w:rsidR="00CD3754" w:rsidRPr="00DD1C13">
        <w:rPr>
          <w:rFonts w:ascii="Arial Narrow" w:hAnsi="Arial Narrow" w:cs="Times New Roman"/>
          <w:sz w:val="24"/>
          <w:szCs w:val="24"/>
          <w:lang w:val="es-GT"/>
        </w:rPr>
        <w:t>bienestar</w:t>
      </w:r>
      <w:r w:rsidR="00E27058" w:rsidRPr="00DD1C13">
        <w:rPr>
          <w:rFonts w:ascii="Arial Narrow" w:hAnsi="Arial Narrow" w:cs="Times New Roman"/>
          <w:sz w:val="24"/>
          <w:szCs w:val="24"/>
          <w:lang w:val="es-GT"/>
        </w:rPr>
        <w:t xml:space="preserve">. </w:t>
      </w:r>
      <w:r w:rsidR="00CD3754" w:rsidRPr="00DD1C13">
        <w:rPr>
          <w:rFonts w:ascii="Arial Narrow" w:hAnsi="Arial Narrow" w:cs="Times New Roman"/>
          <w:sz w:val="24"/>
          <w:szCs w:val="24"/>
          <w:lang w:val="es-GT"/>
        </w:rPr>
        <w:t>(art. 43</w:t>
      </w:r>
      <w:r w:rsidR="000567DD" w:rsidRPr="00DD1C13">
        <w:rPr>
          <w:rFonts w:ascii="Arial Narrow" w:hAnsi="Arial Narrow" w:cs="Times New Roman"/>
          <w:sz w:val="24"/>
          <w:szCs w:val="24"/>
          <w:lang w:val="es-GT"/>
        </w:rPr>
        <w:t xml:space="preserve"> de la Declaración</w:t>
      </w:r>
      <w:r w:rsidR="00CD3754" w:rsidRPr="00DD1C13">
        <w:rPr>
          <w:rFonts w:ascii="Arial Narrow" w:hAnsi="Arial Narrow" w:cs="Times New Roman"/>
          <w:sz w:val="24"/>
          <w:szCs w:val="24"/>
          <w:lang w:val="es-GT"/>
        </w:rPr>
        <w:t>).</w:t>
      </w:r>
    </w:p>
    <w:p w14:paraId="7A80DD23" w14:textId="6181E270" w:rsidR="00197D3C" w:rsidRPr="00DD1C13" w:rsidRDefault="00197D3C" w:rsidP="003C1F10">
      <w:pPr>
        <w:spacing w:line="276" w:lineRule="auto"/>
        <w:jc w:val="both"/>
        <w:rPr>
          <w:rFonts w:ascii="Arial Narrow" w:hAnsi="Arial Narrow" w:cs="Times New Roman"/>
          <w:sz w:val="24"/>
          <w:szCs w:val="24"/>
          <w:lang w:val="es-GT"/>
        </w:rPr>
      </w:pPr>
      <w:r w:rsidRPr="00DD1C13">
        <w:rPr>
          <w:rFonts w:ascii="Arial Narrow" w:hAnsi="Arial Narrow" w:cs="Times New Roman"/>
          <w:sz w:val="24"/>
          <w:szCs w:val="24"/>
          <w:lang w:val="es-GT"/>
        </w:rPr>
        <w:t>Es importante resaltar que Guatemala ha sido uno de los Estados que contribuyó en gran medida con la negociación de textos, la redacción y aprobación de la Declaraci</w:t>
      </w:r>
      <w:r w:rsidR="00B51806" w:rsidRPr="00DD1C13">
        <w:rPr>
          <w:rFonts w:ascii="Arial Narrow" w:hAnsi="Arial Narrow" w:cs="Times New Roman"/>
          <w:sz w:val="24"/>
          <w:szCs w:val="24"/>
          <w:lang w:val="es-GT"/>
        </w:rPr>
        <w:t>ón</w:t>
      </w:r>
      <w:r w:rsidRPr="00DD1C13">
        <w:rPr>
          <w:rFonts w:ascii="Arial Narrow" w:hAnsi="Arial Narrow" w:cs="Times New Roman"/>
          <w:sz w:val="24"/>
          <w:szCs w:val="24"/>
          <w:lang w:val="es-GT"/>
        </w:rPr>
        <w:t>. Hasta la fecha es uno de los países miembros de la ONU que apoya fuertemente las iniciativas que se presentan sobre los derechos de los Pueblos Indígenas.</w:t>
      </w:r>
    </w:p>
    <w:p w14:paraId="40385700" w14:textId="4E962F1D" w:rsidR="00B51806" w:rsidRPr="00DD1C13" w:rsidRDefault="00B51806" w:rsidP="003C1F10">
      <w:pPr>
        <w:spacing w:line="276" w:lineRule="auto"/>
        <w:jc w:val="both"/>
        <w:rPr>
          <w:rFonts w:ascii="Arial Narrow" w:hAnsi="Arial Narrow" w:cs="Times New Roman"/>
          <w:spacing w:val="4"/>
          <w:sz w:val="24"/>
          <w:szCs w:val="24"/>
          <w:lang w:val="es-GT"/>
        </w:rPr>
      </w:pPr>
      <w:r w:rsidRPr="00DD1C13">
        <w:rPr>
          <w:rFonts w:ascii="Arial Narrow" w:hAnsi="Arial Narrow" w:cs="Times New Roman"/>
          <w:spacing w:val="4"/>
          <w:sz w:val="24"/>
          <w:szCs w:val="24"/>
          <w:lang w:val="es-GT"/>
        </w:rPr>
        <w:t>Sin embargo, la política exterior con relación a derechos de los Pueblos Indígenas no es coherente con las prácticas internas.</w:t>
      </w:r>
    </w:p>
    <w:p w14:paraId="37E5083A" w14:textId="1B0620B6" w:rsidR="00B07D63" w:rsidRPr="00DD1C13" w:rsidRDefault="000567DD" w:rsidP="00686A73">
      <w:pPr>
        <w:spacing w:line="276" w:lineRule="auto"/>
        <w:jc w:val="both"/>
        <w:rPr>
          <w:rFonts w:ascii="Arial Narrow" w:hAnsi="Arial Narrow" w:cs="Times New Roman"/>
          <w:spacing w:val="4"/>
          <w:sz w:val="24"/>
          <w:szCs w:val="24"/>
          <w:lang w:val="es-GT"/>
        </w:rPr>
      </w:pPr>
      <w:r w:rsidRPr="00DD1C13">
        <w:rPr>
          <w:rFonts w:ascii="Arial Narrow" w:hAnsi="Arial Narrow" w:cs="Times New Roman"/>
          <w:spacing w:val="4"/>
          <w:sz w:val="24"/>
          <w:szCs w:val="24"/>
          <w:lang w:val="es-GT"/>
        </w:rPr>
        <w:t xml:space="preserve">Tras </w:t>
      </w:r>
      <w:r w:rsidR="00AA1BFD" w:rsidRPr="00DD1C13">
        <w:rPr>
          <w:rFonts w:ascii="Arial Narrow" w:hAnsi="Arial Narrow" w:cs="Times New Roman"/>
          <w:spacing w:val="4"/>
          <w:sz w:val="24"/>
          <w:szCs w:val="24"/>
          <w:lang w:val="es-GT"/>
        </w:rPr>
        <w:t xml:space="preserve">17 años de </w:t>
      </w:r>
      <w:r w:rsidR="00B44D8A" w:rsidRPr="00DD1C13">
        <w:rPr>
          <w:rFonts w:ascii="Arial Narrow" w:hAnsi="Arial Narrow" w:cs="Times New Roman"/>
          <w:spacing w:val="4"/>
          <w:sz w:val="24"/>
          <w:szCs w:val="24"/>
          <w:lang w:val="es-GT"/>
        </w:rPr>
        <w:t xml:space="preserve">existencia </w:t>
      </w:r>
      <w:r w:rsidR="00AA1BFD" w:rsidRPr="00DD1C13">
        <w:rPr>
          <w:rFonts w:ascii="Arial Narrow" w:hAnsi="Arial Narrow" w:cs="Times New Roman"/>
          <w:spacing w:val="4"/>
          <w:sz w:val="24"/>
          <w:szCs w:val="24"/>
          <w:lang w:val="es-GT"/>
        </w:rPr>
        <w:t>de la Declaración</w:t>
      </w:r>
      <w:r w:rsidRPr="00DD1C13">
        <w:rPr>
          <w:rFonts w:ascii="Arial Narrow" w:hAnsi="Arial Narrow" w:cs="Times New Roman"/>
          <w:spacing w:val="4"/>
          <w:sz w:val="24"/>
          <w:szCs w:val="24"/>
          <w:lang w:val="es-GT"/>
        </w:rPr>
        <w:t>,</w:t>
      </w:r>
      <w:r w:rsidR="00AA1BFD" w:rsidRPr="00DD1C13">
        <w:rPr>
          <w:rFonts w:ascii="Arial Narrow" w:hAnsi="Arial Narrow" w:cs="Times New Roman"/>
          <w:spacing w:val="4"/>
          <w:sz w:val="24"/>
          <w:szCs w:val="24"/>
          <w:lang w:val="es-GT"/>
        </w:rPr>
        <w:t xml:space="preserve"> el </w:t>
      </w:r>
      <w:r w:rsidR="00B07D63" w:rsidRPr="00DD1C13">
        <w:rPr>
          <w:rFonts w:ascii="Arial Narrow" w:hAnsi="Arial Narrow" w:cs="Times New Roman"/>
          <w:spacing w:val="4"/>
          <w:sz w:val="24"/>
          <w:szCs w:val="24"/>
          <w:lang w:val="es-GT"/>
        </w:rPr>
        <w:t xml:space="preserve">Estado de Guatemala </w:t>
      </w:r>
      <w:r w:rsidR="00B51806" w:rsidRPr="00DD1C13">
        <w:rPr>
          <w:rFonts w:ascii="Arial Narrow" w:hAnsi="Arial Narrow" w:cs="Times New Roman"/>
          <w:spacing w:val="4"/>
          <w:sz w:val="24"/>
          <w:szCs w:val="24"/>
          <w:lang w:val="es-GT"/>
        </w:rPr>
        <w:t xml:space="preserve">no ha implementado </w:t>
      </w:r>
      <w:r w:rsidR="00E27058" w:rsidRPr="00DD1C13">
        <w:rPr>
          <w:rFonts w:ascii="Arial Narrow" w:hAnsi="Arial Narrow" w:cs="Times New Roman"/>
          <w:spacing w:val="4"/>
          <w:sz w:val="24"/>
          <w:szCs w:val="24"/>
          <w:lang w:val="es-GT"/>
        </w:rPr>
        <w:t>en su práctica política, legislativa y jurídica, puesto que n</w:t>
      </w:r>
      <w:r w:rsidR="00AA1BFD" w:rsidRPr="00DD1C13">
        <w:rPr>
          <w:rFonts w:ascii="Arial Narrow" w:hAnsi="Arial Narrow" w:cs="Times New Roman"/>
          <w:spacing w:val="4"/>
          <w:sz w:val="24"/>
          <w:szCs w:val="24"/>
          <w:lang w:val="es-GT"/>
        </w:rPr>
        <w:t>i</w:t>
      </w:r>
      <w:r w:rsidR="00B07D63" w:rsidRPr="00DD1C13">
        <w:rPr>
          <w:rFonts w:ascii="Arial Narrow" w:hAnsi="Arial Narrow" w:cs="Times New Roman"/>
          <w:spacing w:val="4"/>
          <w:sz w:val="24"/>
          <w:szCs w:val="24"/>
          <w:lang w:val="es-GT"/>
        </w:rPr>
        <w:t>nguna ley</w:t>
      </w:r>
      <w:r w:rsidR="003972AA" w:rsidRPr="00DD1C13">
        <w:rPr>
          <w:rFonts w:ascii="Arial Narrow" w:hAnsi="Arial Narrow" w:cs="Times New Roman"/>
          <w:spacing w:val="4"/>
          <w:sz w:val="24"/>
          <w:szCs w:val="24"/>
          <w:lang w:val="es-GT"/>
        </w:rPr>
        <w:t xml:space="preserve"> </w:t>
      </w:r>
      <w:r w:rsidR="003541E9" w:rsidRPr="00DD1C13">
        <w:rPr>
          <w:rFonts w:ascii="Arial Narrow" w:hAnsi="Arial Narrow" w:cs="Times New Roman"/>
          <w:spacing w:val="4"/>
          <w:sz w:val="24"/>
          <w:szCs w:val="24"/>
          <w:lang w:val="es-GT"/>
        </w:rPr>
        <w:t>o institución</w:t>
      </w:r>
      <w:r w:rsidR="00B07D63" w:rsidRPr="00DD1C13">
        <w:rPr>
          <w:rFonts w:ascii="Arial Narrow" w:hAnsi="Arial Narrow" w:cs="Times New Roman"/>
          <w:spacing w:val="4"/>
          <w:sz w:val="24"/>
          <w:szCs w:val="24"/>
          <w:lang w:val="es-GT"/>
        </w:rPr>
        <w:t xml:space="preserve"> ha sido inspirado en este instrumento.</w:t>
      </w:r>
    </w:p>
    <w:p w14:paraId="6331AA0D" w14:textId="0DF6D9FC" w:rsidR="00F7014C" w:rsidRPr="00DD1C13" w:rsidRDefault="003541E9" w:rsidP="00686A73">
      <w:pPr>
        <w:jc w:val="both"/>
        <w:rPr>
          <w:rFonts w:ascii="Arial Narrow" w:hAnsi="Arial Narrow" w:cs="Times New Roman"/>
          <w:sz w:val="24"/>
          <w:szCs w:val="24"/>
          <w:lang w:val="es-GT"/>
        </w:rPr>
      </w:pPr>
      <w:r w:rsidRPr="00DD1C13">
        <w:rPr>
          <w:rFonts w:ascii="Arial Narrow" w:hAnsi="Arial Narrow" w:cs="Times New Roman"/>
          <w:sz w:val="24"/>
          <w:szCs w:val="24"/>
          <w:lang w:val="es-GT"/>
        </w:rPr>
        <w:t>El Estado de Guatemala es un estado racista</w:t>
      </w:r>
      <w:r w:rsidR="00F7014C" w:rsidRPr="00DD1C13">
        <w:rPr>
          <w:rFonts w:ascii="Arial Narrow" w:hAnsi="Arial Narrow" w:cs="Times New Roman"/>
          <w:sz w:val="24"/>
          <w:szCs w:val="24"/>
          <w:lang w:val="es-GT"/>
        </w:rPr>
        <w:t>, discriminador, excluyente y clasista.</w:t>
      </w:r>
      <w:r w:rsidRPr="00DD1C13">
        <w:rPr>
          <w:rFonts w:ascii="Arial Narrow" w:hAnsi="Arial Narrow" w:cs="Times New Roman"/>
          <w:sz w:val="24"/>
          <w:szCs w:val="24"/>
          <w:lang w:val="es-GT"/>
        </w:rPr>
        <w:t xml:space="preserve"> La Constitución Política no reconoce la existencia de los Pueblos Indígenas</w:t>
      </w:r>
      <w:r w:rsidR="00F7014C" w:rsidRPr="00DD1C13">
        <w:rPr>
          <w:rFonts w:ascii="Arial Narrow" w:hAnsi="Arial Narrow" w:cs="Times New Roman"/>
          <w:sz w:val="24"/>
          <w:szCs w:val="24"/>
          <w:lang w:val="es-GT"/>
        </w:rPr>
        <w:t xml:space="preserve">, no obstante que el Pueblo Maya representa el 70% de la población; </w:t>
      </w:r>
      <w:r w:rsidRPr="00DD1C13">
        <w:rPr>
          <w:rFonts w:ascii="Arial Narrow" w:hAnsi="Arial Narrow" w:cs="Times New Roman"/>
          <w:sz w:val="24"/>
          <w:szCs w:val="24"/>
          <w:lang w:val="es-GT"/>
        </w:rPr>
        <w:t xml:space="preserve">como consecuencia de ello, no se desarrollan políticas públicas, ni leyes, normas o cualquier otra medida para el </w:t>
      </w:r>
      <w:r w:rsidR="00F7014C" w:rsidRPr="00DD1C13">
        <w:rPr>
          <w:rFonts w:ascii="Arial Narrow" w:hAnsi="Arial Narrow" w:cs="Times New Roman"/>
          <w:sz w:val="24"/>
          <w:szCs w:val="24"/>
          <w:lang w:val="es-GT"/>
        </w:rPr>
        <w:t xml:space="preserve">reconocimiento y respeto pleno a </w:t>
      </w:r>
      <w:r w:rsidRPr="00DD1C13">
        <w:rPr>
          <w:rFonts w:ascii="Arial Narrow" w:hAnsi="Arial Narrow" w:cs="Times New Roman"/>
          <w:sz w:val="24"/>
          <w:szCs w:val="24"/>
          <w:lang w:val="es-GT"/>
        </w:rPr>
        <w:t xml:space="preserve">los derechos del </w:t>
      </w:r>
      <w:r w:rsidR="00F7014C" w:rsidRPr="00DD1C13">
        <w:rPr>
          <w:rFonts w:ascii="Arial Narrow" w:hAnsi="Arial Narrow" w:cs="Times New Roman"/>
          <w:sz w:val="24"/>
          <w:szCs w:val="24"/>
          <w:lang w:val="es-GT"/>
        </w:rPr>
        <w:t>P</w:t>
      </w:r>
      <w:r w:rsidRPr="00DD1C13">
        <w:rPr>
          <w:rFonts w:ascii="Arial Narrow" w:hAnsi="Arial Narrow" w:cs="Times New Roman"/>
          <w:sz w:val="24"/>
          <w:szCs w:val="24"/>
          <w:lang w:val="es-GT"/>
        </w:rPr>
        <w:t xml:space="preserve">ueblo </w:t>
      </w:r>
      <w:r w:rsidR="00F7014C" w:rsidRPr="00DD1C13">
        <w:rPr>
          <w:rFonts w:ascii="Arial Narrow" w:hAnsi="Arial Narrow" w:cs="Times New Roman"/>
          <w:sz w:val="24"/>
          <w:szCs w:val="24"/>
          <w:lang w:val="es-GT"/>
        </w:rPr>
        <w:t>M</w:t>
      </w:r>
      <w:r w:rsidRPr="00DD1C13">
        <w:rPr>
          <w:rFonts w:ascii="Arial Narrow" w:hAnsi="Arial Narrow" w:cs="Times New Roman"/>
          <w:sz w:val="24"/>
          <w:szCs w:val="24"/>
          <w:lang w:val="es-GT"/>
        </w:rPr>
        <w:t>aya</w:t>
      </w:r>
      <w:r w:rsidR="00F7014C" w:rsidRPr="00DD1C13">
        <w:rPr>
          <w:rFonts w:ascii="Arial Narrow" w:hAnsi="Arial Narrow" w:cs="Times New Roman"/>
          <w:sz w:val="24"/>
          <w:szCs w:val="24"/>
          <w:lang w:val="es-GT"/>
        </w:rPr>
        <w:t>,</w:t>
      </w:r>
      <w:r w:rsidRPr="00DD1C13">
        <w:rPr>
          <w:rFonts w:ascii="Arial Narrow" w:hAnsi="Arial Narrow" w:cs="Times New Roman"/>
          <w:sz w:val="24"/>
          <w:szCs w:val="24"/>
          <w:lang w:val="es-GT"/>
        </w:rPr>
        <w:t xml:space="preserve"> </w:t>
      </w:r>
      <w:r w:rsidR="00F7014C" w:rsidRPr="00DD1C13">
        <w:rPr>
          <w:rFonts w:ascii="Arial Narrow" w:hAnsi="Arial Narrow" w:cs="Times New Roman"/>
          <w:sz w:val="24"/>
          <w:szCs w:val="24"/>
          <w:lang w:val="es-GT"/>
        </w:rPr>
        <w:t>G</w:t>
      </w:r>
      <w:r w:rsidRPr="00DD1C13">
        <w:rPr>
          <w:rFonts w:ascii="Arial Narrow" w:hAnsi="Arial Narrow" w:cs="Times New Roman"/>
          <w:sz w:val="24"/>
          <w:szCs w:val="24"/>
          <w:lang w:val="es-GT"/>
        </w:rPr>
        <w:t xml:space="preserve">arífuna y </w:t>
      </w:r>
      <w:r w:rsidR="00F7014C" w:rsidRPr="00DD1C13">
        <w:rPr>
          <w:rFonts w:ascii="Arial Narrow" w:hAnsi="Arial Narrow" w:cs="Times New Roman"/>
          <w:sz w:val="24"/>
          <w:szCs w:val="24"/>
          <w:lang w:val="es-GT"/>
        </w:rPr>
        <w:t>X</w:t>
      </w:r>
      <w:r w:rsidRPr="00DD1C13">
        <w:rPr>
          <w:rFonts w:ascii="Arial Narrow" w:hAnsi="Arial Narrow" w:cs="Times New Roman"/>
          <w:sz w:val="24"/>
          <w:szCs w:val="24"/>
          <w:lang w:val="es-GT"/>
        </w:rPr>
        <w:t>in</w:t>
      </w:r>
      <w:r w:rsidR="004B0DDD">
        <w:rPr>
          <w:rFonts w:ascii="Arial Narrow" w:hAnsi="Arial Narrow" w:cs="Times New Roman"/>
          <w:sz w:val="24"/>
          <w:szCs w:val="24"/>
          <w:lang w:val="es-GT"/>
        </w:rPr>
        <w:t>k</w:t>
      </w:r>
      <w:r w:rsidRPr="00DD1C13">
        <w:rPr>
          <w:rFonts w:ascii="Arial Narrow" w:hAnsi="Arial Narrow" w:cs="Times New Roman"/>
          <w:sz w:val="24"/>
          <w:szCs w:val="24"/>
          <w:lang w:val="es-GT"/>
        </w:rPr>
        <w:t>a</w:t>
      </w:r>
      <w:r w:rsidR="00F7014C" w:rsidRPr="00DD1C13">
        <w:rPr>
          <w:rFonts w:ascii="Arial Narrow" w:hAnsi="Arial Narrow" w:cs="Times New Roman"/>
          <w:sz w:val="24"/>
          <w:szCs w:val="24"/>
          <w:lang w:val="es-GT"/>
        </w:rPr>
        <w:t>.</w:t>
      </w:r>
    </w:p>
    <w:p w14:paraId="47639E92" w14:textId="62C39A10" w:rsidR="00F7014C" w:rsidRPr="00DD1C13" w:rsidRDefault="00F7014C" w:rsidP="00686A73">
      <w:pPr>
        <w:jc w:val="both"/>
        <w:rPr>
          <w:rFonts w:ascii="Arial Narrow" w:hAnsi="Arial Narrow" w:cs="Times New Roman"/>
          <w:sz w:val="24"/>
          <w:szCs w:val="24"/>
          <w:lang w:val="es-GT"/>
        </w:rPr>
      </w:pPr>
      <w:r w:rsidRPr="00DD1C13">
        <w:rPr>
          <w:rFonts w:ascii="Arial Narrow" w:hAnsi="Arial Narrow" w:cs="Times New Roman"/>
          <w:sz w:val="24"/>
          <w:szCs w:val="24"/>
          <w:lang w:val="es-GT"/>
        </w:rPr>
        <w:t>A</w:t>
      </w:r>
      <w:r w:rsidR="003541E9" w:rsidRPr="00DD1C13">
        <w:rPr>
          <w:rFonts w:ascii="Arial Narrow" w:hAnsi="Arial Narrow" w:cs="Times New Roman"/>
          <w:sz w:val="24"/>
          <w:szCs w:val="24"/>
          <w:lang w:val="es-GT"/>
        </w:rPr>
        <w:t xml:space="preserve"> partir del año 2007</w:t>
      </w:r>
      <w:r w:rsidRPr="00DD1C13">
        <w:rPr>
          <w:rFonts w:ascii="Arial Narrow" w:hAnsi="Arial Narrow" w:cs="Times New Roman"/>
          <w:sz w:val="24"/>
          <w:szCs w:val="24"/>
          <w:lang w:val="es-GT"/>
        </w:rPr>
        <w:t xml:space="preserve"> a la fecha,</w:t>
      </w:r>
      <w:r w:rsidR="003541E9" w:rsidRPr="00DD1C13">
        <w:rPr>
          <w:rFonts w:ascii="Arial Narrow" w:hAnsi="Arial Narrow" w:cs="Times New Roman"/>
          <w:sz w:val="24"/>
          <w:szCs w:val="24"/>
          <w:lang w:val="es-GT"/>
        </w:rPr>
        <w:t xml:space="preserve"> se esperaba que se hicieran reformas profundas </w:t>
      </w:r>
      <w:r w:rsidRPr="00DD1C13">
        <w:rPr>
          <w:rFonts w:ascii="Arial Narrow" w:hAnsi="Arial Narrow" w:cs="Times New Roman"/>
          <w:sz w:val="24"/>
          <w:szCs w:val="24"/>
          <w:lang w:val="es-GT"/>
        </w:rPr>
        <w:t>al Estado y se crearan políticas públicas en materia de Derechos de los Pueblos Indígenas en los 3 orga</w:t>
      </w:r>
      <w:r w:rsidR="00314D0D">
        <w:rPr>
          <w:rFonts w:ascii="Arial Narrow" w:hAnsi="Arial Narrow" w:cs="Times New Roman"/>
          <w:sz w:val="24"/>
          <w:szCs w:val="24"/>
          <w:lang w:val="es-GT"/>
        </w:rPr>
        <w:t>ni</w:t>
      </w:r>
      <w:r w:rsidRPr="00DD1C13">
        <w:rPr>
          <w:rFonts w:ascii="Arial Narrow" w:hAnsi="Arial Narrow" w:cs="Times New Roman"/>
          <w:sz w:val="24"/>
          <w:szCs w:val="24"/>
          <w:lang w:val="es-GT"/>
        </w:rPr>
        <w:t>smos del Estado, pero esto no ha ocurrido.</w:t>
      </w:r>
    </w:p>
    <w:p w14:paraId="22EF79BB" w14:textId="69FB8569" w:rsidR="008337C0" w:rsidRPr="00DD1C13" w:rsidRDefault="00F7014C" w:rsidP="00686A73">
      <w:pPr>
        <w:jc w:val="both"/>
        <w:rPr>
          <w:rFonts w:ascii="Arial Narrow" w:hAnsi="Arial Narrow" w:cs="Times New Roman"/>
          <w:sz w:val="24"/>
          <w:szCs w:val="24"/>
          <w:lang w:val="es-GT"/>
        </w:rPr>
      </w:pPr>
      <w:r w:rsidRPr="00DD1C13">
        <w:rPr>
          <w:rFonts w:ascii="Arial Narrow" w:hAnsi="Arial Narrow" w:cs="Times New Roman"/>
          <w:sz w:val="24"/>
          <w:szCs w:val="24"/>
          <w:lang w:val="es-GT"/>
        </w:rPr>
        <w:t>L</w:t>
      </w:r>
      <w:r w:rsidR="003541E9" w:rsidRPr="00DD1C13">
        <w:rPr>
          <w:rFonts w:ascii="Arial Narrow" w:hAnsi="Arial Narrow" w:cs="Times New Roman"/>
          <w:sz w:val="24"/>
          <w:szCs w:val="24"/>
          <w:lang w:val="es-GT"/>
        </w:rPr>
        <w:t>o que se ha logrado implementa</w:t>
      </w:r>
      <w:r w:rsidRPr="00DD1C13">
        <w:rPr>
          <w:rFonts w:ascii="Arial Narrow" w:hAnsi="Arial Narrow" w:cs="Times New Roman"/>
          <w:sz w:val="24"/>
          <w:szCs w:val="24"/>
          <w:lang w:val="es-GT"/>
        </w:rPr>
        <w:t>r</w:t>
      </w:r>
      <w:r w:rsidR="003541E9" w:rsidRPr="00DD1C13">
        <w:rPr>
          <w:rFonts w:ascii="Arial Narrow" w:hAnsi="Arial Narrow" w:cs="Times New Roman"/>
          <w:sz w:val="24"/>
          <w:szCs w:val="24"/>
          <w:lang w:val="es-GT"/>
        </w:rPr>
        <w:t xml:space="preserve"> de </w:t>
      </w:r>
      <w:r w:rsidRPr="00DD1C13">
        <w:rPr>
          <w:rFonts w:ascii="Arial Narrow" w:hAnsi="Arial Narrow" w:cs="Times New Roman"/>
          <w:sz w:val="24"/>
          <w:szCs w:val="24"/>
          <w:lang w:val="es-GT"/>
        </w:rPr>
        <w:t>la</w:t>
      </w:r>
      <w:r w:rsidR="003541E9" w:rsidRPr="00DD1C13">
        <w:rPr>
          <w:rFonts w:ascii="Arial Narrow" w:hAnsi="Arial Narrow" w:cs="Times New Roman"/>
          <w:sz w:val="24"/>
          <w:szCs w:val="24"/>
          <w:lang w:val="es-GT"/>
        </w:rPr>
        <w:t xml:space="preserve"> declaración</w:t>
      </w:r>
      <w:r w:rsidRPr="00DD1C13">
        <w:rPr>
          <w:rFonts w:ascii="Arial Narrow" w:hAnsi="Arial Narrow" w:cs="Times New Roman"/>
          <w:sz w:val="24"/>
          <w:szCs w:val="24"/>
          <w:lang w:val="es-GT"/>
        </w:rPr>
        <w:t>,</w:t>
      </w:r>
      <w:r w:rsidR="003541E9" w:rsidRPr="00DD1C13">
        <w:rPr>
          <w:rFonts w:ascii="Arial Narrow" w:hAnsi="Arial Narrow" w:cs="Times New Roman"/>
          <w:sz w:val="24"/>
          <w:szCs w:val="24"/>
          <w:lang w:val="es-GT"/>
        </w:rPr>
        <w:t xml:space="preserve"> es desde la práctica </w:t>
      </w:r>
      <w:r w:rsidRPr="00DD1C13">
        <w:rPr>
          <w:rFonts w:ascii="Arial Narrow" w:hAnsi="Arial Narrow" w:cs="Times New Roman"/>
          <w:sz w:val="24"/>
          <w:szCs w:val="24"/>
          <w:lang w:val="es-GT"/>
        </w:rPr>
        <w:t>d</w:t>
      </w:r>
      <w:r w:rsidR="003541E9" w:rsidRPr="00DD1C13">
        <w:rPr>
          <w:rFonts w:ascii="Arial Narrow" w:hAnsi="Arial Narrow" w:cs="Times New Roman"/>
          <w:sz w:val="24"/>
          <w:szCs w:val="24"/>
          <w:lang w:val="es-GT"/>
        </w:rPr>
        <w:t xml:space="preserve">e lucha de los propios </w:t>
      </w:r>
      <w:r w:rsidRPr="00DD1C13">
        <w:rPr>
          <w:rFonts w:ascii="Arial Narrow" w:hAnsi="Arial Narrow" w:cs="Times New Roman"/>
          <w:sz w:val="24"/>
          <w:szCs w:val="24"/>
          <w:lang w:val="es-GT"/>
        </w:rPr>
        <w:t>P</w:t>
      </w:r>
      <w:r w:rsidR="003541E9" w:rsidRPr="00DD1C13">
        <w:rPr>
          <w:rFonts w:ascii="Arial Narrow" w:hAnsi="Arial Narrow" w:cs="Times New Roman"/>
          <w:sz w:val="24"/>
          <w:szCs w:val="24"/>
          <w:lang w:val="es-GT"/>
        </w:rPr>
        <w:t xml:space="preserve">ueblos </w:t>
      </w:r>
      <w:r w:rsidRPr="00DD1C13">
        <w:rPr>
          <w:rFonts w:ascii="Arial Narrow" w:hAnsi="Arial Narrow" w:cs="Times New Roman"/>
          <w:sz w:val="24"/>
          <w:szCs w:val="24"/>
          <w:lang w:val="es-GT"/>
        </w:rPr>
        <w:t>I</w:t>
      </w:r>
      <w:r w:rsidR="003541E9" w:rsidRPr="00DD1C13">
        <w:rPr>
          <w:rFonts w:ascii="Arial Narrow" w:hAnsi="Arial Narrow" w:cs="Times New Roman"/>
          <w:sz w:val="24"/>
          <w:szCs w:val="24"/>
          <w:lang w:val="es-GT"/>
        </w:rPr>
        <w:t>ndígenas</w:t>
      </w:r>
      <w:r w:rsidRPr="00DD1C13">
        <w:rPr>
          <w:rFonts w:ascii="Arial Narrow" w:hAnsi="Arial Narrow" w:cs="Times New Roman"/>
          <w:sz w:val="24"/>
          <w:szCs w:val="24"/>
          <w:lang w:val="es-GT"/>
        </w:rPr>
        <w:t xml:space="preserve">, como </w:t>
      </w:r>
      <w:r w:rsidR="003541E9" w:rsidRPr="00DD1C13">
        <w:rPr>
          <w:rFonts w:ascii="Arial Narrow" w:hAnsi="Arial Narrow" w:cs="Times New Roman"/>
          <w:sz w:val="24"/>
          <w:szCs w:val="24"/>
          <w:lang w:val="es-GT"/>
        </w:rPr>
        <w:t>utiliza</w:t>
      </w:r>
      <w:r w:rsidRPr="00DD1C13">
        <w:rPr>
          <w:rFonts w:ascii="Arial Narrow" w:hAnsi="Arial Narrow" w:cs="Times New Roman"/>
          <w:sz w:val="24"/>
          <w:szCs w:val="24"/>
          <w:lang w:val="es-GT"/>
        </w:rPr>
        <w:t>r los</w:t>
      </w:r>
      <w:r w:rsidR="003541E9" w:rsidRPr="00DD1C13">
        <w:rPr>
          <w:rFonts w:ascii="Arial Narrow" w:hAnsi="Arial Narrow" w:cs="Times New Roman"/>
          <w:sz w:val="24"/>
          <w:szCs w:val="24"/>
          <w:lang w:val="es-GT"/>
        </w:rPr>
        <w:t xml:space="preserve"> artículos de la declaración para la defensa de la tenencia de la Tierra</w:t>
      </w:r>
      <w:r w:rsidRPr="00DD1C13">
        <w:rPr>
          <w:rFonts w:ascii="Arial Narrow" w:hAnsi="Arial Narrow" w:cs="Times New Roman"/>
          <w:sz w:val="24"/>
          <w:szCs w:val="24"/>
          <w:lang w:val="es-GT"/>
        </w:rPr>
        <w:t>,</w:t>
      </w:r>
      <w:r w:rsidR="003541E9" w:rsidRPr="00DD1C13">
        <w:rPr>
          <w:rFonts w:ascii="Arial Narrow" w:hAnsi="Arial Narrow" w:cs="Times New Roman"/>
          <w:sz w:val="24"/>
          <w:szCs w:val="24"/>
          <w:lang w:val="es-GT"/>
        </w:rPr>
        <w:t xml:space="preserve"> </w:t>
      </w:r>
      <w:r w:rsidRPr="00DD1C13">
        <w:rPr>
          <w:rFonts w:ascii="Arial Narrow" w:hAnsi="Arial Narrow" w:cs="Times New Roman"/>
          <w:sz w:val="24"/>
          <w:szCs w:val="24"/>
          <w:lang w:val="es-GT"/>
        </w:rPr>
        <w:t>T</w:t>
      </w:r>
      <w:r w:rsidR="003541E9" w:rsidRPr="00DD1C13">
        <w:rPr>
          <w:rFonts w:ascii="Arial Narrow" w:hAnsi="Arial Narrow" w:cs="Times New Roman"/>
          <w:sz w:val="24"/>
          <w:szCs w:val="24"/>
          <w:lang w:val="es-GT"/>
        </w:rPr>
        <w:t xml:space="preserve">erritorios y </w:t>
      </w:r>
      <w:r w:rsidRPr="00DD1C13">
        <w:rPr>
          <w:rFonts w:ascii="Arial Narrow" w:hAnsi="Arial Narrow" w:cs="Times New Roman"/>
          <w:sz w:val="24"/>
          <w:szCs w:val="24"/>
          <w:lang w:val="es-GT"/>
        </w:rPr>
        <w:t>R</w:t>
      </w:r>
      <w:r w:rsidR="003541E9" w:rsidRPr="00DD1C13">
        <w:rPr>
          <w:rFonts w:ascii="Arial Narrow" w:hAnsi="Arial Narrow" w:cs="Times New Roman"/>
          <w:sz w:val="24"/>
          <w:szCs w:val="24"/>
          <w:lang w:val="es-GT"/>
        </w:rPr>
        <w:t xml:space="preserve">ecursos </w:t>
      </w:r>
      <w:r w:rsidRPr="00DD1C13">
        <w:rPr>
          <w:rFonts w:ascii="Arial Narrow" w:hAnsi="Arial Narrow" w:cs="Times New Roman"/>
          <w:sz w:val="24"/>
          <w:szCs w:val="24"/>
          <w:lang w:val="es-GT"/>
        </w:rPr>
        <w:t>N</w:t>
      </w:r>
      <w:r w:rsidR="003541E9" w:rsidRPr="00DD1C13">
        <w:rPr>
          <w:rFonts w:ascii="Arial Narrow" w:hAnsi="Arial Narrow" w:cs="Times New Roman"/>
          <w:sz w:val="24"/>
          <w:szCs w:val="24"/>
          <w:lang w:val="es-GT"/>
        </w:rPr>
        <w:t>aturales</w:t>
      </w:r>
      <w:r w:rsidRPr="00DD1C13">
        <w:rPr>
          <w:rFonts w:ascii="Arial Narrow" w:hAnsi="Arial Narrow" w:cs="Times New Roman"/>
          <w:sz w:val="24"/>
          <w:szCs w:val="24"/>
          <w:lang w:val="es-GT"/>
        </w:rPr>
        <w:t>; también se</w:t>
      </w:r>
      <w:r w:rsidR="00A03C67">
        <w:rPr>
          <w:rFonts w:ascii="Arial Narrow" w:hAnsi="Arial Narrow" w:cs="Times New Roman"/>
          <w:sz w:val="24"/>
          <w:szCs w:val="24"/>
          <w:lang w:val="es-GT"/>
        </w:rPr>
        <w:t xml:space="preserve"> ha </w:t>
      </w:r>
      <w:r w:rsidR="003541E9" w:rsidRPr="00DD1C13">
        <w:rPr>
          <w:rFonts w:ascii="Arial Narrow" w:hAnsi="Arial Narrow" w:cs="Times New Roman"/>
          <w:sz w:val="24"/>
          <w:szCs w:val="24"/>
          <w:lang w:val="es-GT"/>
        </w:rPr>
        <w:t>implementado el</w:t>
      </w:r>
      <w:r w:rsidRPr="00DD1C13">
        <w:rPr>
          <w:rFonts w:ascii="Arial Narrow" w:hAnsi="Arial Narrow" w:cs="Times New Roman"/>
          <w:sz w:val="24"/>
          <w:szCs w:val="24"/>
          <w:lang w:val="es-GT"/>
        </w:rPr>
        <w:t xml:space="preserve"> derecho al </w:t>
      </w:r>
      <w:r w:rsidR="003541E9" w:rsidRPr="00DD1C13">
        <w:rPr>
          <w:rFonts w:ascii="Arial Narrow" w:hAnsi="Arial Narrow" w:cs="Times New Roman"/>
          <w:sz w:val="24"/>
          <w:szCs w:val="24"/>
          <w:lang w:val="es-GT"/>
        </w:rPr>
        <w:t xml:space="preserve"> consentimiento</w:t>
      </w:r>
      <w:r w:rsidRPr="00DD1C13">
        <w:rPr>
          <w:rFonts w:ascii="Arial Narrow" w:hAnsi="Arial Narrow" w:cs="Times New Roman"/>
          <w:sz w:val="24"/>
          <w:szCs w:val="24"/>
          <w:lang w:val="es-GT"/>
        </w:rPr>
        <w:t>,</w:t>
      </w:r>
      <w:r w:rsidR="003541E9" w:rsidRPr="00DD1C13">
        <w:rPr>
          <w:rFonts w:ascii="Arial Narrow" w:hAnsi="Arial Narrow" w:cs="Times New Roman"/>
          <w:sz w:val="24"/>
          <w:szCs w:val="24"/>
          <w:lang w:val="es-GT"/>
        </w:rPr>
        <w:t xml:space="preserve"> previo</w:t>
      </w:r>
      <w:r w:rsidRPr="00DD1C13">
        <w:rPr>
          <w:rFonts w:ascii="Arial Narrow" w:hAnsi="Arial Narrow" w:cs="Times New Roman"/>
          <w:sz w:val="24"/>
          <w:szCs w:val="24"/>
          <w:lang w:val="es-GT"/>
        </w:rPr>
        <w:t>,</w:t>
      </w:r>
      <w:r w:rsidR="003541E9" w:rsidRPr="00DD1C13">
        <w:rPr>
          <w:rFonts w:ascii="Arial Narrow" w:hAnsi="Arial Narrow" w:cs="Times New Roman"/>
          <w:sz w:val="24"/>
          <w:szCs w:val="24"/>
          <w:lang w:val="es-GT"/>
        </w:rPr>
        <w:t xml:space="preserve"> libre e informado por parte de las comunidades afectados por las políticas administra</w:t>
      </w:r>
      <w:r w:rsidRPr="00DD1C13">
        <w:rPr>
          <w:rFonts w:ascii="Arial Narrow" w:hAnsi="Arial Narrow" w:cs="Times New Roman"/>
          <w:sz w:val="24"/>
          <w:szCs w:val="24"/>
          <w:lang w:val="es-GT"/>
        </w:rPr>
        <w:t>ti</w:t>
      </w:r>
      <w:r w:rsidR="003541E9" w:rsidRPr="00DD1C13">
        <w:rPr>
          <w:rFonts w:ascii="Arial Narrow" w:hAnsi="Arial Narrow" w:cs="Times New Roman"/>
          <w:sz w:val="24"/>
          <w:szCs w:val="24"/>
          <w:lang w:val="es-GT"/>
        </w:rPr>
        <w:t>vas</w:t>
      </w:r>
      <w:r w:rsidRPr="00DD1C13">
        <w:rPr>
          <w:rFonts w:ascii="Arial Narrow" w:hAnsi="Arial Narrow" w:cs="Times New Roman"/>
          <w:sz w:val="24"/>
          <w:szCs w:val="24"/>
          <w:lang w:val="es-GT"/>
        </w:rPr>
        <w:t xml:space="preserve">, como por ejemplo, la </w:t>
      </w:r>
      <w:r w:rsidR="003541E9" w:rsidRPr="00DD1C13">
        <w:rPr>
          <w:rFonts w:ascii="Arial Narrow" w:hAnsi="Arial Narrow" w:cs="Times New Roman"/>
          <w:sz w:val="24"/>
          <w:szCs w:val="24"/>
          <w:lang w:val="es-GT"/>
        </w:rPr>
        <w:t>imp</w:t>
      </w:r>
      <w:r w:rsidRPr="00DD1C13">
        <w:rPr>
          <w:rFonts w:ascii="Arial Narrow" w:hAnsi="Arial Narrow" w:cs="Times New Roman"/>
          <w:sz w:val="24"/>
          <w:szCs w:val="24"/>
          <w:lang w:val="es-GT"/>
        </w:rPr>
        <w:t>osi</w:t>
      </w:r>
      <w:r w:rsidR="003541E9" w:rsidRPr="00DD1C13">
        <w:rPr>
          <w:rFonts w:ascii="Arial Narrow" w:hAnsi="Arial Narrow" w:cs="Times New Roman"/>
          <w:sz w:val="24"/>
          <w:szCs w:val="24"/>
          <w:lang w:val="es-GT"/>
        </w:rPr>
        <w:t xml:space="preserve">ción de minerías y grandes producciones de monocultivos que afectan la vida de los </w:t>
      </w:r>
      <w:r w:rsidRPr="00DD1C13">
        <w:rPr>
          <w:rFonts w:ascii="Arial Narrow" w:hAnsi="Arial Narrow" w:cs="Times New Roman"/>
          <w:sz w:val="24"/>
          <w:szCs w:val="24"/>
          <w:lang w:val="es-GT"/>
        </w:rPr>
        <w:t>P</w:t>
      </w:r>
      <w:r w:rsidR="003541E9" w:rsidRPr="00DD1C13">
        <w:rPr>
          <w:rFonts w:ascii="Arial Narrow" w:hAnsi="Arial Narrow" w:cs="Times New Roman"/>
          <w:sz w:val="24"/>
          <w:szCs w:val="24"/>
          <w:lang w:val="es-GT"/>
        </w:rPr>
        <w:t xml:space="preserve">ueblos </w:t>
      </w:r>
      <w:r w:rsidRPr="00DD1C13">
        <w:rPr>
          <w:rFonts w:ascii="Arial Narrow" w:hAnsi="Arial Narrow" w:cs="Times New Roman"/>
          <w:sz w:val="24"/>
          <w:szCs w:val="24"/>
          <w:lang w:val="es-GT"/>
        </w:rPr>
        <w:t>I</w:t>
      </w:r>
      <w:r w:rsidR="003541E9" w:rsidRPr="00DD1C13">
        <w:rPr>
          <w:rFonts w:ascii="Arial Narrow" w:hAnsi="Arial Narrow" w:cs="Times New Roman"/>
          <w:sz w:val="24"/>
          <w:szCs w:val="24"/>
          <w:lang w:val="es-GT"/>
        </w:rPr>
        <w:t>ndígenas</w:t>
      </w:r>
      <w:r w:rsidR="008337C0" w:rsidRPr="00DD1C13">
        <w:rPr>
          <w:rFonts w:ascii="Arial Narrow" w:hAnsi="Arial Narrow" w:cs="Times New Roman"/>
          <w:sz w:val="24"/>
          <w:szCs w:val="24"/>
          <w:lang w:val="es-GT"/>
        </w:rPr>
        <w:t>.</w:t>
      </w:r>
      <w:r w:rsidR="003541E9" w:rsidRPr="00DD1C13">
        <w:rPr>
          <w:rFonts w:ascii="Arial Narrow" w:hAnsi="Arial Narrow" w:cs="Times New Roman"/>
          <w:sz w:val="24"/>
          <w:szCs w:val="24"/>
          <w:lang w:val="es-GT"/>
        </w:rPr>
        <w:t xml:space="preserve"> </w:t>
      </w:r>
    </w:p>
    <w:p w14:paraId="6C9D4342" w14:textId="77777777" w:rsidR="008337C0" w:rsidRPr="00DD1C13" w:rsidRDefault="008337C0" w:rsidP="00686A73">
      <w:pPr>
        <w:jc w:val="both"/>
        <w:rPr>
          <w:rFonts w:ascii="Arial Narrow" w:hAnsi="Arial Narrow" w:cs="Times New Roman"/>
          <w:sz w:val="24"/>
          <w:szCs w:val="24"/>
          <w:lang w:val="es-GT"/>
        </w:rPr>
      </w:pPr>
      <w:r w:rsidRPr="00DD1C13">
        <w:rPr>
          <w:rFonts w:ascii="Arial Narrow" w:hAnsi="Arial Narrow" w:cs="Times New Roman"/>
          <w:sz w:val="24"/>
          <w:szCs w:val="24"/>
          <w:lang w:val="es-GT"/>
        </w:rPr>
        <w:t>T</w:t>
      </w:r>
      <w:r w:rsidR="003541E9" w:rsidRPr="00DD1C13">
        <w:rPr>
          <w:rFonts w:ascii="Arial Narrow" w:hAnsi="Arial Narrow" w:cs="Times New Roman"/>
          <w:sz w:val="24"/>
          <w:szCs w:val="24"/>
          <w:lang w:val="es-GT"/>
        </w:rPr>
        <w:t xml:space="preserve">ambién las propias autoridades y organizaciones del </w:t>
      </w:r>
      <w:r w:rsidRPr="00DD1C13">
        <w:rPr>
          <w:rFonts w:ascii="Arial Narrow" w:hAnsi="Arial Narrow" w:cs="Times New Roman"/>
          <w:sz w:val="24"/>
          <w:szCs w:val="24"/>
          <w:lang w:val="es-GT"/>
        </w:rPr>
        <w:t>P</w:t>
      </w:r>
      <w:r w:rsidR="003541E9" w:rsidRPr="00DD1C13">
        <w:rPr>
          <w:rFonts w:ascii="Arial Narrow" w:hAnsi="Arial Narrow" w:cs="Times New Roman"/>
          <w:sz w:val="24"/>
          <w:szCs w:val="24"/>
          <w:lang w:val="es-GT"/>
        </w:rPr>
        <w:t xml:space="preserve">ueblo </w:t>
      </w:r>
      <w:r w:rsidRPr="00DD1C13">
        <w:rPr>
          <w:rFonts w:ascii="Arial Narrow" w:hAnsi="Arial Narrow" w:cs="Times New Roman"/>
          <w:sz w:val="24"/>
          <w:szCs w:val="24"/>
          <w:lang w:val="es-GT"/>
        </w:rPr>
        <w:t>M</w:t>
      </w:r>
      <w:r w:rsidR="003541E9" w:rsidRPr="00DD1C13">
        <w:rPr>
          <w:rFonts w:ascii="Arial Narrow" w:hAnsi="Arial Narrow" w:cs="Times New Roman"/>
          <w:sz w:val="24"/>
          <w:szCs w:val="24"/>
          <w:lang w:val="es-GT"/>
        </w:rPr>
        <w:t>aya ha</w:t>
      </w:r>
      <w:r w:rsidRPr="00DD1C13">
        <w:rPr>
          <w:rFonts w:ascii="Arial Narrow" w:hAnsi="Arial Narrow" w:cs="Times New Roman"/>
          <w:sz w:val="24"/>
          <w:szCs w:val="24"/>
          <w:lang w:val="es-GT"/>
        </w:rPr>
        <w:t>n</w:t>
      </w:r>
      <w:r w:rsidR="003541E9" w:rsidRPr="00DD1C13">
        <w:rPr>
          <w:rFonts w:ascii="Arial Narrow" w:hAnsi="Arial Narrow" w:cs="Times New Roman"/>
          <w:sz w:val="24"/>
          <w:szCs w:val="24"/>
          <w:lang w:val="es-GT"/>
        </w:rPr>
        <w:t xml:space="preserve"> puesto en práctica el sistema jurídico maya</w:t>
      </w:r>
      <w:r w:rsidRPr="00DD1C13">
        <w:rPr>
          <w:rFonts w:ascii="Arial Narrow" w:hAnsi="Arial Narrow" w:cs="Times New Roman"/>
          <w:sz w:val="24"/>
          <w:szCs w:val="24"/>
          <w:lang w:val="es-GT"/>
        </w:rPr>
        <w:t>,</w:t>
      </w:r>
      <w:r w:rsidR="003541E9" w:rsidRPr="00DD1C13">
        <w:rPr>
          <w:rFonts w:ascii="Arial Narrow" w:hAnsi="Arial Narrow" w:cs="Times New Roman"/>
          <w:sz w:val="24"/>
          <w:szCs w:val="24"/>
          <w:lang w:val="es-GT"/>
        </w:rPr>
        <w:t xml:space="preserve"> han creado su propia norma y procedimientos de educación</w:t>
      </w:r>
      <w:r w:rsidRPr="00DD1C13">
        <w:rPr>
          <w:rFonts w:ascii="Arial Narrow" w:hAnsi="Arial Narrow" w:cs="Times New Roman"/>
          <w:sz w:val="24"/>
          <w:szCs w:val="24"/>
          <w:lang w:val="es-GT"/>
        </w:rPr>
        <w:t>,</w:t>
      </w:r>
      <w:r w:rsidR="003541E9" w:rsidRPr="00DD1C13">
        <w:rPr>
          <w:rFonts w:ascii="Arial Narrow" w:hAnsi="Arial Narrow" w:cs="Times New Roman"/>
          <w:sz w:val="24"/>
          <w:szCs w:val="24"/>
          <w:lang w:val="es-GT"/>
        </w:rPr>
        <w:t xml:space="preserve"> ha</w:t>
      </w:r>
      <w:r w:rsidRPr="00DD1C13">
        <w:rPr>
          <w:rFonts w:ascii="Arial Narrow" w:hAnsi="Arial Narrow" w:cs="Times New Roman"/>
          <w:sz w:val="24"/>
          <w:szCs w:val="24"/>
          <w:lang w:val="es-GT"/>
        </w:rPr>
        <w:t>n</w:t>
      </w:r>
      <w:r w:rsidR="003541E9" w:rsidRPr="00DD1C13">
        <w:rPr>
          <w:rFonts w:ascii="Arial Narrow" w:hAnsi="Arial Narrow" w:cs="Times New Roman"/>
          <w:sz w:val="24"/>
          <w:szCs w:val="24"/>
          <w:lang w:val="es-GT"/>
        </w:rPr>
        <w:t xml:space="preserve"> recuperado la red de autoridades </w:t>
      </w:r>
      <w:r w:rsidRPr="00DD1C13">
        <w:rPr>
          <w:rFonts w:ascii="Arial Narrow" w:hAnsi="Arial Narrow" w:cs="Times New Roman"/>
          <w:sz w:val="24"/>
          <w:szCs w:val="24"/>
          <w:lang w:val="es-GT"/>
        </w:rPr>
        <w:t xml:space="preserve">y gobiernos </w:t>
      </w:r>
      <w:r w:rsidR="003541E9" w:rsidRPr="00DD1C13">
        <w:rPr>
          <w:rFonts w:ascii="Arial Narrow" w:hAnsi="Arial Narrow" w:cs="Times New Roman"/>
          <w:sz w:val="24"/>
          <w:szCs w:val="24"/>
          <w:lang w:val="es-GT"/>
        </w:rPr>
        <w:t>en diferentes comunidades</w:t>
      </w:r>
      <w:r w:rsidRPr="00DD1C13">
        <w:rPr>
          <w:rFonts w:ascii="Arial Narrow" w:hAnsi="Arial Narrow" w:cs="Times New Roman"/>
          <w:sz w:val="24"/>
          <w:szCs w:val="24"/>
          <w:lang w:val="es-GT"/>
        </w:rPr>
        <w:t xml:space="preserve">. Se ha exigido el respeto a la Libre determinación, el autogobierno, la autonomía </w:t>
      </w:r>
      <w:r w:rsidR="003541E9" w:rsidRPr="00DD1C13">
        <w:rPr>
          <w:rFonts w:ascii="Arial Narrow" w:hAnsi="Arial Narrow" w:cs="Times New Roman"/>
          <w:sz w:val="24"/>
          <w:szCs w:val="24"/>
          <w:lang w:val="es-GT"/>
        </w:rPr>
        <w:t xml:space="preserve">del </w:t>
      </w:r>
      <w:r w:rsidRPr="00DD1C13">
        <w:rPr>
          <w:rFonts w:ascii="Arial Narrow" w:hAnsi="Arial Narrow" w:cs="Times New Roman"/>
          <w:sz w:val="24"/>
          <w:szCs w:val="24"/>
          <w:lang w:val="es-GT"/>
        </w:rPr>
        <w:t>P</w:t>
      </w:r>
      <w:r w:rsidR="003541E9" w:rsidRPr="00DD1C13">
        <w:rPr>
          <w:rFonts w:ascii="Arial Narrow" w:hAnsi="Arial Narrow" w:cs="Times New Roman"/>
          <w:sz w:val="24"/>
          <w:szCs w:val="24"/>
          <w:lang w:val="es-GT"/>
        </w:rPr>
        <w:t xml:space="preserve">ueblo </w:t>
      </w:r>
      <w:r w:rsidRPr="00DD1C13">
        <w:rPr>
          <w:rFonts w:ascii="Arial Narrow" w:hAnsi="Arial Narrow" w:cs="Times New Roman"/>
          <w:sz w:val="24"/>
          <w:szCs w:val="24"/>
          <w:lang w:val="es-GT"/>
        </w:rPr>
        <w:t>M</w:t>
      </w:r>
      <w:r w:rsidR="003541E9" w:rsidRPr="00DD1C13">
        <w:rPr>
          <w:rFonts w:ascii="Arial Narrow" w:hAnsi="Arial Narrow" w:cs="Times New Roman"/>
          <w:sz w:val="24"/>
          <w:szCs w:val="24"/>
          <w:lang w:val="es-GT"/>
        </w:rPr>
        <w:t>aya</w:t>
      </w:r>
      <w:r w:rsidRPr="00DD1C13">
        <w:rPr>
          <w:rFonts w:ascii="Arial Narrow" w:hAnsi="Arial Narrow" w:cs="Times New Roman"/>
          <w:sz w:val="24"/>
          <w:szCs w:val="24"/>
          <w:lang w:val="es-GT"/>
        </w:rPr>
        <w:t>.</w:t>
      </w:r>
    </w:p>
    <w:p w14:paraId="1A6BD814" w14:textId="2ACF897B" w:rsidR="003541E9" w:rsidRPr="00DD1C13" w:rsidRDefault="003541E9" w:rsidP="008337C0">
      <w:pPr>
        <w:rPr>
          <w:rFonts w:ascii="Arial Narrow" w:hAnsi="Arial Narrow" w:cs="Times New Roman"/>
          <w:color w:val="FF0000"/>
          <w:spacing w:val="4"/>
          <w:sz w:val="24"/>
          <w:szCs w:val="24"/>
          <w:lang w:val="es-GT"/>
        </w:rPr>
      </w:pPr>
      <w:r w:rsidRPr="00DD1C13">
        <w:rPr>
          <w:rFonts w:ascii="Arial Narrow" w:hAnsi="Arial Narrow" w:cs="Times New Roman"/>
          <w:sz w:val="24"/>
          <w:szCs w:val="24"/>
          <w:lang w:val="es-GT"/>
        </w:rPr>
        <w:lastRenderedPageBreak/>
        <w:t xml:space="preserve"> </w:t>
      </w:r>
      <w:r w:rsidR="008337C0" w:rsidRPr="00DD1C13">
        <w:rPr>
          <w:rFonts w:ascii="Arial Narrow" w:hAnsi="Arial Narrow" w:cs="Times New Roman"/>
          <w:sz w:val="24"/>
          <w:szCs w:val="24"/>
          <w:lang w:val="es-GT"/>
        </w:rPr>
        <w:t>S</w:t>
      </w:r>
      <w:r w:rsidRPr="00DD1C13">
        <w:rPr>
          <w:rFonts w:ascii="Arial Narrow" w:hAnsi="Arial Narrow" w:cs="Times New Roman"/>
          <w:sz w:val="24"/>
          <w:szCs w:val="24"/>
          <w:lang w:val="es-GT"/>
        </w:rPr>
        <w:t>e ha estado</w:t>
      </w:r>
      <w:r w:rsidR="008337C0" w:rsidRPr="00DD1C13">
        <w:rPr>
          <w:rFonts w:ascii="Arial Narrow" w:hAnsi="Arial Narrow" w:cs="Times New Roman"/>
          <w:sz w:val="24"/>
          <w:szCs w:val="24"/>
          <w:lang w:val="es-GT"/>
        </w:rPr>
        <w:t xml:space="preserve"> defendiendo los</w:t>
      </w:r>
      <w:r w:rsidRPr="00DD1C13">
        <w:rPr>
          <w:rFonts w:ascii="Arial Narrow" w:hAnsi="Arial Narrow" w:cs="Times New Roman"/>
          <w:sz w:val="24"/>
          <w:szCs w:val="24"/>
          <w:lang w:val="es-GT"/>
        </w:rPr>
        <w:t xml:space="preserve"> derechos desde la </w:t>
      </w:r>
      <w:r w:rsidR="008337C0" w:rsidRPr="00DD1C13">
        <w:rPr>
          <w:rFonts w:ascii="Arial Narrow" w:hAnsi="Arial Narrow" w:cs="Times New Roman"/>
          <w:sz w:val="24"/>
          <w:szCs w:val="24"/>
          <w:lang w:val="es-GT"/>
        </w:rPr>
        <w:t>c</w:t>
      </w:r>
      <w:r w:rsidRPr="00DD1C13">
        <w:rPr>
          <w:rFonts w:ascii="Arial Narrow" w:hAnsi="Arial Narrow" w:cs="Times New Roman"/>
          <w:sz w:val="24"/>
          <w:szCs w:val="24"/>
          <w:lang w:val="es-GT"/>
        </w:rPr>
        <w:t xml:space="preserve">oncepción de los articulados de la </w:t>
      </w:r>
      <w:r w:rsidR="008337C0" w:rsidRPr="00DD1C13">
        <w:rPr>
          <w:rFonts w:ascii="Arial Narrow" w:hAnsi="Arial Narrow" w:cs="Times New Roman"/>
          <w:sz w:val="24"/>
          <w:szCs w:val="24"/>
          <w:lang w:val="es-GT"/>
        </w:rPr>
        <w:t xml:space="preserve">Declaración, </w:t>
      </w:r>
      <w:r w:rsidRPr="00DD1C13">
        <w:rPr>
          <w:rFonts w:ascii="Arial Narrow" w:hAnsi="Arial Narrow" w:cs="Times New Roman"/>
          <w:sz w:val="24"/>
          <w:szCs w:val="24"/>
          <w:lang w:val="es-GT"/>
        </w:rPr>
        <w:t>toda vez que el</w:t>
      </w:r>
      <w:r w:rsidR="008337C0" w:rsidRPr="00DD1C13">
        <w:rPr>
          <w:rFonts w:ascii="Arial Narrow" w:hAnsi="Arial Narrow" w:cs="Times New Roman"/>
          <w:sz w:val="24"/>
          <w:szCs w:val="24"/>
          <w:lang w:val="es-GT"/>
        </w:rPr>
        <w:t xml:space="preserve"> Organismo Legislativo </w:t>
      </w:r>
      <w:r w:rsidRPr="00DD1C13">
        <w:rPr>
          <w:rFonts w:ascii="Arial Narrow" w:hAnsi="Arial Narrow" w:cs="Times New Roman"/>
          <w:sz w:val="24"/>
          <w:szCs w:val="24"/>
          <w:lang w:val="es-GT"/>
        </w:rPr>
        <w:t>ha estado intentando</w:t>
      </w:r>
      <w:r w:rsidR="008337C0" w:rsidRPr="00DD1C13">
        <w:rPr>
          <w:rFonts w:ascii="Arial Narrow" w:hAnsi="Arial Narrow" w:cs="Times New Roman"/>
          <w:sz w:val="24"/>
          <w:szCs w:val="24"/>
          <w:lang w:val="es-GT"/>
        </w:rPr>
        <w:t xml:space="preserve"> </w:t>
      </w:r>
      <w:r w:rsidRPr="00DD1C13">
        <w:rPr>
          <w:rFonts w:ascii="Arial Narrow" w:hAnsi="Arial Narrow" w:cs="Times New Roman"/>
          <w:sz w:val="24"/>
          <w:szCs w:val="24"/>
          <w:lang w:val="es-GT"/>
        </w:rPr>
        <w:t>emitir leyes que son desfavorables al pueblo maya</w:t>
      </w:r>
      <w:r w:rsidR="008337C0" w:rsidRPr="00DD1C13">
        <w:rPr>
          <w:rFonts w:ascii="Arial Narrow" w:hAnsi="Arial Narrow" w:cs="Times New Roman"/>
          <w:sz w:val="24"/>
          <w:szCs w:val="24"/>
          <w:lang w:val="es-GT"/>
        </w:rPr>
        <w:t xml:space="preserve"> y violatorio a sus derechos. Estas iniciativas de Ley atentan contra el espíritu y letra de la Declaración.</w:t>
      </w:r>
    </w:p>
    <w:p w14:paraId="778FEA0C" w14:textId="0C48D033" w:rsidR="00B07D63" w:rsidRPr="00DD1C13" w:rsidRDefault="00C550E7" w:rsidP="00631FF5">
      <w:pPr>
        <w:spacing w:line="276" w:lineRule="auto"/>
        <w:jc w:val="both"/>
        <w:rPr>
          <w:rFonts w:ascii="Arial Narrow" w:hAnsi="Arial Narrow" w:cs="Times New Roman"/>
          <w:spacing w:val="4"/>
          <w:sz w:val="24"/>
          <w:szCs w:val="24"/>
          <w:lang w:val="es-GT"/>
        </w:rPr>
      </w:pPr>
      <w:r w:rsidRPr="00DD1C13">
        <w:rPr>
          <w:rFonts w:ascii="Arial Narrow" w:hAnsi="Arial Narrow" w:cs="Times New Roman"/>
          <w:spacing w:val="4"/>
          <w:sz w:val="24"/>
          <w:szCs w:val="24"/>
          <w:lang w:val="es-GT"/>
        </w:rPr>
        <w:t xml:space="preserve">A </w:t>
      </w:r>
      <w:r w:rsidR="002B49B7" w:rsidRPr="00DD1C13">
        <w:rPr>
          <w:rFonts w:ascii="Arial Narrow" w:hAnsi="Arial Narrow" w:cs="Times New Roman"/>
          <w:spacing w:val="4"/>
          <w:sz w:val="24"/>
          <w:szCs w:val="24"/>
          <w:lang w:val="es-GT"/>
        </w:rPr>
        <w:t>continuación,</w:t>
      </w:r>
      <w:r w:rsidRPr="00DD1C13">
        <w:rPr>
          <w:rFonts w:ascii="Arial Narrow" w:hAnsi="Arial Narrow" w:cs="Times New Roman"/>
          <w:spacing w:val="4"/>
          <w:sz w:val="24"/>
          <w:szCs w:val="24"/>
          <w:lang w:val="es-GT"/>
        </w:rPr>
        <w:t xml:space="preserve"> se presentan algunos ejemplos de lo actuado por el </w:t>
      </w:r>
      <w:r w:rsidR="00B07D63" w:rsidRPr="00DD1C13">
        <w:rPr>
          <w:rFonts w:ascii="Arial Narrow" w:hAnsi="Arial Narrow" w:cs="Times New Roman"/>
          <w:spacing w:val="4"/>
          <w:sz w:val="24"/>
          <w:szCs w:val="24"/>
          <w:lang w:val="es-GT"/>
        </w:rPr>
        <w:t xml:space="preserve">Congreso de la </w:t>
      </w:r>
      <w:proofErr w:type="spellStart"/>
      <w:r w:rsidR="00B07D63" w:rsidRPr="00DD1C13">
        <w:rPr>
          <w:rFonts w:ascii="Arial Narrow" w:hAnsi="Arial Narrow" w:cs="Times New Roman"/>
          <w:spacing w:val="4"/>
          <w:sz w:val="24"/>
          <w:szCs w:val="24"/>
          <w:lang w:val="es-GT"/>
        </w:rPr>
        <w:t>Republica</w:t>
      </w:r>
      <w:proofErr w:type="spellEnd"/>
      <w:r w:rsidRPr="00DD1C13">
        <w:rPr>
          <w:rFonts w:ascii="Arial Narrow" w:hAnsi="Arial Narrow" w:cs="Times New Roman"/>
          <w:spacing w:val="4"/>
          <w:sz w:val="24"/>
          <w:szCs w:val="24"/>
          <w:lang w:val="es-GT"/>
        </w:rPr>
        <w:t xml:space="preserve">, </w:t>
      </w:r>
      <w:r w:rsidR="00B07D63" w:rsidRPr="00DD1C13">
        <w:rPr>
          <w:rFonts w:ascii="Arial Narrow" w:hAnsi="Arial Narrow" w:cs="Times New Roman"/>
          <w:spacing w:val="4"/>
          <w:sz w:val="24"/>
          <w:szCs w:val="24"/>
          <w:lang w:val="es-GT"/>
        </w:rPr>
        <w:t xml:space="preserve">dominado en su mayoría por élites racistas </w:t>
      </w:r>
      <w:r w:rsidRPr="00DD1C13">
        <w:rPr>
          <w:rFonts w:ascii="Arial Narrow" w:hAnsi="Arial Narrow" w:cs="Times New Roman"/>
          <w:spacing w:val="4"/>
          <w:sz w:val="24"/>
          <w:szCs w:val="24"/>
          <w:lang w:val="es-GT"/>
        </w:rPr>
        <w:t xml:space="preserve">que </w:t>
      </w:r>
      <w:r w:rsidR="00B07D63" w:rsidRPr="00DD1C13">
        <w:rPr>
          <w:rFonts w:ascii="Arial Narrow" w:hAnsi="Arial Narrow" w:cs="Times New Roman"/>
          <w:spacing w:val="4"/>
          <w:sz w:val="24"/>
          <w:szCs w:val="24"/>
          <w:lang w:val="es-GT"/>
        </w:rPr>
        <w:t>han tratado de impulsar leyes que atenta</w:t>
      </w:r>
      <w:r w:rsidR="00960460" w:rsidRPr="00DD1C13">
        <w:rPr>
          <w:rFonts w:ascii="Arial Narrow" w:hAnsi="Arial Narrow" w:cs="Times New Roman"/>
          <w:spacing w:val="4"/>
          <w:sz w:val="24"/>
          <w:szCs w:val="24"/>
          <w:lang w:val="es-GT"/>
        </w:rPr>
        <w:t>n</w:t>
      </w:r>
      <w:r w:rsidR="00B07D63" w:rsidRPr="00DD1C13">
        <w:rPr>
          <w:rFonts w:ascii="Arial Narrow" w:hAnsi="Arial Narrow" w:cs="Times New Roman"/>
          <w:spacing w:val="4"/>
          <w:sz w:val="24"/>
          <w:szCs w:val="24"/>
          <w:lang w:val="es-GT"/>
        </w:rPr>
        <w:t xml:space="preserve"> contra la vida y los derechos de los Pueblos Indígenas</w:t>
      </w:r>
      <w:r w:rsidRPr="00DD1C13">
        <w:rPr>
          <w:rFonts w:ascii="Arial Narrow" w:hAnsi="Arial Narrow" w:cs="Times New Roman"/>
          <w:spacing w:val="4"/>
          <w:sz w:val="24"/>
          <w:szCs w:val="24"/>
          <w:lang w:val="es-GT"/>
        </w:rPr>
        <w:t>:</w:t>
      </w:r>
      <w:r w:rsidR="007B7E39" w:rsidRPr="00DD1C13">
        <w:rPr>
          <w:rFonts w:ascii="Arial Narrow" w:hAnsi="Arial Narrow" w:cs="Times New Roman"/>
          <w:spacing w:val="4"/>
          <w:sz w:val="24"/>
          <w:szCs w:val="24"/>
          <w:lang w:val="es-GT"/>
        </w:rPr>
        <w:t xml:space="preserve"> </w:t>
      </w:r>
    </w:p>
    <w:p w14:paraId="183D8875" w14:textId="148BF0B9" w:rsidR="00907607" w:rsidRPr="00DD1C13" w:rsidRDefault="00907607" w:rsidP="00BF161D">
      <w:pPr>
        <w:pStyle w:val="ListParagraph"/>
        <w:numPr>
          <w:ilvl w:val="0"/>
          <w:numId w:val="22"/>
        </w:numPr>
        <w:spacing w:line="276" w:lineRule="auto"/>
        <w:jc w:val="both"/>
        <w:rPr>
          <w:rFonts w:ascii="Arial Narrow" w:hAnsi="Arial Narrow" w:cs="Times New Roman"/>
          <w:spacing w:val="4"/>
          <w:sz w:val="24"/>
          <w:szCs w:val="24"/>
        </w:rPr>
      </w:pPr>
      <w:r w:rsidRPr="00DD1C13">
        <w:rPr>
          <w:rFonts w:ascii="Arial Narrow" w:hAnsi="Arial Narrow" w:cs="Times New Roman"/>
          <w:spacing w:val="4"/>
          <w:sz w:val="24"/>
          <w:szCs w:val="24"/>
        </w:rPr>
        <w:t>El 13 de septiembre de 2023, el pleno del Congreso de la República</w:t>
      </w:r>
      <w:r w:rsidR="00795426" w:rsidRPr="00DD1C13">
        <w:rPr>
          <w:rFonts w:ascii="Arial Narrow" w:hAnsi="Arial Narrow" w:cs="Times New Roman"/>
          <w:spacing w:val="4"/>
          <w:sz w:val="24"/>
          <w:szCs w:val="24"/>
        </w:rPr>
        <w:t xml:space="preserve"> </w:t>
      </w:r>
      <w:r w:rsidR="0054152A" w:rsidRPr="00DD1C13">
        <w:rPr>
          <w:rFonts w:ascii="Arial Narrow" w:hAnsi="Arial Narrow" w:cs="Times New Roman"/>
          <w:spacing w:val="4"/>
          <w:sz w:val="24"/>
          <w:szCs w:val="24"/>
        </w:rPr>
        <w:t xml:space="preserve">conoció la iniciativa número </w:t>
      </w:r>
      <w:r w:rsidR="0054152A" w:rsidRPr="00DD1C13">
        <w:rPr>
          <w:rFonts w:ascii="Arial Narrow" w:hAnsi="Arial Narrow" w:cs="Times New Roman"/>
          <w:sz w:val="24"/>
          <w:szCs w:val="24"/>
        </w:rPr>
        <w:t>6283 denominado Ley para la protección de obtenciones vegetales</w:t>
      </w:r>
      <w:r w:rsidR="0054152A" w:rsidRPr="00DD1C13">
        <w:rPr>
          <w:rStyle w:val="FootnoteReference"/>
          <w:rFonts w:ascii="Arial Narrow" w:hAnsi="Arial Narrow" w:cs="Times New Roman"/>
          <w:sz w:val="24"/>
          <w:szCs w:val="24"/>
        </w:rPr>
        <w:footnoteReference w:id="1"/>
      </w:r>
      <w:r w:rsidR="0054152A" w:rsidRPr="00DD1C13">
        <w:rPr>
          <w:rFonts w:ascii="Arial Narrow" w:hAnsi="Arial Narrow" w:cs="Times New Roman"/>
          <w:sz w:val="24"/>
          <w:szCs w:val="24"/>
        </w:rPr>
        <w:t xml:space="preserve"> con el pro</w:t>
      </w:r>
      <w:r w:rsidR="00795426" w:rsidRPr="00DD1C13">
        <w:rPr>
          <w:rFonts w:ascii="Arial Narrow" w:hAnsi="Arial Narrow" w:cs="Times New Roman"/>
          <w:spacing w:val="4"/>
          <w:sz w:val="24"/>
          <w:szCs w:val="24"/>
        </w:rPr>
        <w:t>pósito de converti</w:t>
      </w:r>
      <w:r w:rsidR="0054152A" w:rsidRPr="00DD1C13">
        <w:rPr>
          <w:rFonts w:ascii="Arial Narrow" w:hAnsi="Arial Narrow" w:cs="Times New Roman"/>
          <w:spacing w:val="4"/>
          <w:sz w:val="24"/>
          <w:szCs w:val="24"/>
        </w:rPr>
        <w:t>rla en ley</w:t>
      </w:r>
      <w:r w:rsidR="004A2137" w:rsidRPr="00DD1C13">
        <w:rPr>
          <w:rFonts w:ascii="Arial Narrow" w:hAnsi="Arial Narrow" w:cs="Times New Roman"/>
          <w:spacing w:val="4"/>
          <w:sz w:val="24"/>
          <w:szCs w:val="24"/>
        </w:rPr>
        <w:t xml:space="preserve"> </w:t>
      </w:r>
      <w:r w:rsidR="00215CF3" w:rsidRPr="00DD1C13">
        <w:rPr>
          <w:rFonts w:ascii="Arial Narrow" w:hAnsi="Arial Narrow" w:cs="Times New Roman"/>
          <w:spacing w:val="4"/>
          <w:sz w:val="24"/>
          <w:szCs w:val="24"/>
        </w:rPr>
        <w:t xml:space="preserve">influenciado por intereses </w:t>
      </w:r>
      <w:r w:rsidRPr="00DD1C13">
        <w:rPr>
          <w:rFonts w:ascii="Arial Narrow" w:hAnsi="Arial Narrow" w:cs="Times New Roman"/>
          <w:spacing w:val="4"/>
          <w:sz w:val="24"/>
          <w:szCs w:val="24"/>
        </w:rPr>
        <w:t>empresa</w:t>
      </w:r>
      <w:r w:rsidR="00215CF3" w:rsidRPr="00DD1C13">
        <w:rPr>
          <w:rFonts w:ascii="Arial Narrow" w:hAnsi="Arial Narrow" w:cs="Times New Roman"/>
          <w:spacing w:val="4"/>
          <w:sz w:val="24"/>
          <w:szCs w:val="24"/>
        </w:rPr>
        <w:t>riales</w:t>
      </w:r>
      <w:r w:rsidR="007512A9" w:rsidRPr="00DD1C13">
        <w:rPr>
          <w:rFonts w:ascii="Arial Narrow" w:hAnsi="Arial Narrow" w:cs="Times New Roman"/>
          <w:spacing w:val="4"/>
          <w:sz w:val="24"/>
          <w:szCs w:val="24"/>
        </w:rPr>
        <w:t xml:space="preserve"> y cuya esencia es transformar las semillas de alimentos del Pueblo Maya en transgénicos.</w:t>
      </w:r>
    </w:p>
    <w:p w14:paraId="30A644A8" w14:textId="6947643E" w:rsidR="00883D7D" w:rsidRPr="00DD1C13" w:rsidRDefault="007B7E39" w:rsidP="00F45128">
      <w:pPr>
        <w:spacing w:line="276" w:lineRule="auto"/>
        <w:ind w:left="360"/>
        <w:jc w:val="both"/>
        <w:rPr>
          <w:rFonts w:ascii="Arial Narrow" w:hAnsi="Arial Narrow" w:cs="Times New Roman"/>
          <w:spacing w:val="4"/>
          <w:sz w:val="24"/>
          <w:szCs w:val="24"/>
          <w:lang w:val="es-GT"/>
        </w:rPr>
      </w:pPr>
      <w:r w:rsidRPr="00DD1C13">
        <w:rPr>
          <w:rFonts w:ascii="Arial Narrow" w:hAnsi="Arial Narrow" w:cs="Times New Roman"/>
          <w:spacing w:val="4"/>
          <w:sz w:val="24"/>
          <w:szCs w:val="24"/>
          <w:lang w:val="es-GT"/>
        </w:rPr>
        <w:t xml:space="preserve">En la práctica esta </w:t>
      </w:r>
      <w:r w:rsidR="007512A9" w:rsidRPr="00DD1C13">
        <w:rPr>
          <w:rFonts w:ascii="Arial Narrow" w:hAnsi="Arial Narrow" w:cs="Times New Roman"/>
          <w:spacing w:val="4"/>
          <w:sz w:val="24"/>
          <w:szCs w:val="24"/>
          <w:lang w:val="es-GT"/>
        </w:rPr>
        <w:t xml:space="preserve">iniciativa de </w:t>
      </w:r>
      <w:r w:rsidRPr="00DD1C13">
        <w:rPr>
          <w:rFonts w:ascii="Arial Narrow" w:hAnsi="Arial Narrow" w:cs="Times New Roman"/>
          <w:spacing w:val="4"/>
          <w:sz w:val="24"/>
          <w:szCs w:val="24"/>
          <w:lang w:val="es-GT"/>
        </w:rPr>
        <w:t xml:space="preserve">ley pretende privatizar el maíz junto a otros granos de gran importancia para la vida de los </w:t>
      </w:r>
      <w:r w:rsidR="00907607" w:rsidRPr="00DD1C13">
        <w:rPr>
          <w:rFonts w:ascii="Arial Narrow" w:hAnsi="Arial Narrow" w:cs="Times New Roman"/>
          <w:spacing w:val="4"/>
          <w:sz w:val="24"/>
          <w:szCs w:val="24"/>
          <w:lang w:val="es-GT"/>
        </w:rPr>
        <w:t>P</w:t>
      </w:r>
      <w:r w:rsidRPr="00DD1C13">
        <w:rPr>
          <w:rFonts w:ascii="Arial Narrow" w:hAnsi="Arial Narrow" w:cs="Times New Roman"/>
          <w:spacing w:val="4"/>
          <w:sz w:val="24"/>
          <w:szCs w:val="24"/>
          <w:lang w:val="es-GT"/>
        </w:rPr>
        <w:t xml:space="preserve">ueblos </w:t>
      </w:r>
      <w:r w:rsidR="00907607" w:rsidRPr="00DD1C13">
        <w:rPr>
          <w:rFonts w:ascii="Arial Narrow" w:hAnsi="Arial Narrow" w:cs="Times New Roman"/>
          <w:spacing w:val="4"/>
          <w:sz w:val="24"/>
          <w:szCs w:val="24"/>
          <w:lang w:val="es-GT"/>
        </w:rPr>
        <w:t>I</w:t>
      </w:r>
      <w:r w:rsidRPr="00DD1C13">
        <w:rPr>
          <w:rFonts w:ascii="Arial Narrow" w:hAnsi="Arial Narrow" w:cs="Times New Roman"/>
          <w:spacing w:val="4"/>
          <w:sz w:val="24"/>
          <w:szCs w:val="24"/>
          <w:lang w:val="es-GT"/>
        </w:rPr>
        <w:t>ndígena</w:t>
      </w:r>
      <w:r w:rsidR="0058490A" w:rsidRPr="00DD1C13">
        <w:rPr>
          <w:rFonts w:ascii="Arial Narrow" w:hAnsi="Arial Narrow" w:cs="Times New Roman"/>
          <w:spacing w:val="4"/>
          <w:sz w:val="24"/>
          <w:szCs w:val="24"/>
          <w:lang w:val="es-GT"/>
        </w:rPr>
        <w:t>s.</w:t>
      </w:r>
      <w:r w:rsidR="00855CCB" w:rsidRPr="00DD1C13">
        <w:rPr>
          <w:rFonts w:ascii="Arial Narrow" w:hAnsi="Arial Narrow" w:cs="Times New Roman"/>
          <w:spacing w:val="4"/>
          <w:sz w:val="24"/>
          <w:szCs w:val="24"/>
          <w:lang w:val="es-GT"/>
        </w:rPr>
        <w:t xml:space="preserve"> </w:t>
      </w:r>
      <w:r w:rsidR="00EB14B2" w:rsidRPr="00DD1C13">
        <w:rPr>
          <w:rFonts w:ascii="Arial Narrow" w:hAnsi="Arial Narrow" w:cs="Times New Roman"/>
          <w:spacing w:val="4"/>
          <w:sz w:val="24"/>
          <w:szCs w:val="24"/>
          <w:lang w:val="es-GT"/>
        </w:rPr>
        <w:t xml:space="preserve">Las </w:t>
      </w:r>
      <w:r w:rsidR="00ED4D43" w:rsidRPr="00DD1C13">
        <w:rPr>
          <w:rFonts w:ascii="Arial Narrow" w:hAnsi="Arial Narrow" w:cs="Times New Roman"/>
          <w:spacing w:val="4"/>
          <w:sz w:val="24"/>
          <w:szCs w:val="24"/>
          <w:lang w:val="es-GT"/>
        </w:rPr>
        <w:t>industrias tom</w:t>
      </w:r>
      <w:r w:rsidR="00EB14B2" w:rsidRPr="00DD1C13">
        <w:rPr>
          <w:rFonts w:ascii="Arial Narrow" w:hAnsi="Arial Narrow" w:cs="Times New Roman"/>
          <w:spacing w:val="4"/>
          <w:sz w:val="24"/>
          <w:szCs w:val="24"/>
          <w:lang w:val="es-GT"/>
        </w:rPr>
        <w:t xml:space="preserve">arían </w:t>
      </w:r>
      <w:r w:rsidR="00ED4D43" w:rsidRPr="00DD1C13">
        <w:rPr>
          <w:rFonts w:ascii="Arial Narrow" w:hAnsi="Arial Narrow" w:cs="Times New Roman"/>
          <w:spacing w:val="4"/>
          <w:sz w:val="24"/>
          <w:szCs w:val="24"/>
          <w:lang w:val="es-GT"/>
        </w:rPr>
        <w:t>el control sobre nuevas variedades</w:t>
      </w:r>
      <w:r w:rsidR="007512A9" w:rsidRPr="00DD1C13">
        <w:rPr>
          <w:rFonts w:ascii="Arial Narrow" w:hAnsi="Arial Narrow" w:cs="Times New Roman"/>
          <w:spacing w:val="4"/>
          <w:sz w:val="24"/>
          <w:szCs w:val="24"/>
          <w:lang w:val="es-GT"/>
        </w:rPr>
        <w:t>,</w:t>
      </w:r>
      <w:r w:rsidR="00ED4D43" w:rsidRPr="00DD1C13">
        <w:rPr>
          <w:rFonts w:ascii="Arial Narrow" w:hAnsi="Arial Narrow" w:cs="Times New Roman"/>
          <w:spacing w:val="4"/>
          <w:sz w:val="24"/>
          <w:szCs w:val="24"/>
          <w:lang w:val="es-GT"/>
        </w:rPr>
        <w:t xml:space="preserve"> lo que representa un peligro a largo plaz</w:t>
      </w:r>
      <w:r w:rsidR="007512A9" w:rsidRPr="00DD1C13">
        <w:rPr>
          <w:rFonts w:ascii="Arial Narrow" w:hAnsi="Arial Narrow" w:cs="Times New Roman"/>
          <w:spacing w:val="4"/>
          <w:sz w:val="24"/>
          <w:szCs w:val="24"/>
          <w:lang w:val="es-GT"/>
        </w:rPr>
        <w:t>o,</w:t>
      </w:r>
      <w:r w:rsidR="00ED4D43" w:rsidRPr="00DD1C13">
        <w:rPr>
          <w:rFonts w:ascii="Arial Narrow" w:hAnsi="Arial Narrow" w:cs="Times New Roman"/>
          <w:spacing w:val="4"/>
          <w:sz w:val="24"/>
          <w:szCs w:val="24"/>
          <w:lang w:val="es-GT"/>
        </w:rPr>
        <w:t xml:space="preserve"> pues para usarla tendrían que pedir permiso y pagar por sus propias semillas. </w:t>
      </w:r>
      <w:r w:rsidR="00855CCB" w:rsidRPr="00DD1C13">
        <w:rPr>
          <w:rFonts w:ascii="Arial Narrow" w:hAnsi="Arial Narrow" w:cs="Times New Roman"/>
          <w:spacing w:val="4"/>
          <w:sz w:val="24"/>
          <w:szCs w:val="24"/>
          <w:lang w:val="es-GT"/>
        </w:rPr>
        <w:t xml:space="preserve">Sin considerar que el </w:t>
      </w:r>
      <w:r w:rsidR="00BA3850" w:rsidRPr="00DD1C13">
        <w:rPr>
          <w:rFonts w:ascii="Arial Narrow" w:hAnsi="Arial Narrow" w:cs="Times New Roman"/>
          <w:spacing w:val="4"/>
          <w:sz w:val="24"/>
          <w:szCs w:val="24"/>
          <w:lang w:val="es-GT"/>
        </w:rPr>
        <w:t xml:space="preserve">maíz </w:t>
      </w:r>
      <w:r w:rsidR="00855CCB" w:rsidRPr="00DD1C13">
        <w:rPr>
          <w:rFonts w:ascii="Arial Narrow" w:hAnsi="Arial Narrow" w:cs="Times New Roman"/>
          <w:spacing w:val="4"/>
          <w:sz w:val="24"/>
          <w:szCs w:val="24"/>
          <w:lang w:val="es-GT"/>
        </w:rPr>
        <w:t xml:space="preserve">es un </w:t>
      </w:r>
      <w:r w:rsidR="00BA3850" w:rsidRPr="00DD1C13">
        <w:rPr>
          <w:rFonts w:ascii="Arial Narrow" w:hAnsi="Arial Narrow" w:cs="Times New Roman"/>
          <w:spacing w:val="4"/>
          <w:sz w:val="24"/>
          <w:szCs w:val="24"/>
          <w:lang w:val="es-GT"/>
        </w:rPr>
        <w:t xml:space="preserve">bien de propiedad colectiva, </w:t>
      </w:r>
      <w:r w:rsidR="00855CCB" w:rsidRPr="00DD1C13">
        <w:rPr>
          <w:rFonts w:ascii="Arial Narrow" w:hAnsi="Arial Narrow" w:cs="Times New Roman"/>
          <w:spacing w:val="4"/>
          <w:sz w:val="24"/>
          <w:szCs w:val="24"/>
          <w:lang w:val="es-GT"/>
        </w:rPr>
        <w:t xml:space="preserve">con </w:t>
      </w:r>
      <w:r w:rsidR="00BA3850" w:rsidRPr="00DD1C13">
        <w:rPr>
          <w:rFonts w:ascii="Arial Narrow" w:hAnsi="Arial Narrow" w:cs="Times New Roman"/>
          <w:spacing w:val="4"/>
          <w:sz w:val="24"/>
          <w:szCs w:val="24"/>
          <w:lang w:val="es-GT"/>
        </w:rPr>
        <w:t>connotaciones espirituales, sociales, económicas</w:t>
      </w:r>
      <w:r w:rsidR="00855CCB" w:rsidRPr="00DD1C13">
        <w:rPr>
          <w:rFonts w:ascii="Arial Narrow" w:hAnsi="Arial Narrow" w:cs="Times New Roman"/>
          <w:spacing w:val="4"/>
          <w:sz w:val="24"/>
          <w:szCs w:val="24"/>
          <w:lang w:val="es-GT"/>
        </w:rPr>
        <w:t xml:space="preserve"> y </w:t>
      </w:r>
      <w:r w:rsidR="00BA3850" w:rsidRPr="00DD1C13">
        <w:rPr>
          <w:rFonts w:ascii="Arial Narrow" w:hAnsi="Arial Narrow" w:cs="Times New Roman"/>
          <w:spacing w:val="4"/>
          <w:sz w:val="24"/>
          <w:szCs w:val="24"/>
          <w:lang w:val="es-GT"/>
        </w:rPr>
        <w:t>alimentaria</w:t>
      </w:r>
      <w:r w:rsidR="00855CCB" w:rsidRPr="00DD1C13">
        <w:rPr>
          <w:rFonts w:ascii="Arial Narrow" w:hAnsi="Arial Narrow" w:cs="Times New Roman"/>
          <w:spacing w:val="4"/>
          <w:sz w:val="24"/>
          <w:szCs w:val="24"/>
          <w:lang w:val="es-GT"/>
        </w:rPr>
        <w:t xml:space="preserve"> para los </w:t>
      </w:r>
      <w:r w:rsidR="00BA3850" w:rsidRPr="00DD1C13">
        <w:rPr>
          <w:rFonts w:ascii="Arial Narrow" w:hAnsi="Arial Narrow" w:cs="Times New Roman"/>
          <w:spacing w:val="4"/>
          <w:sz w:val="24"/>
          <w:szCs w:val="24"/>
          <w:lang w:val="es-GT"/>
        </w:rPr>
        <w:t>Pueblos Indígenas</w:t>
      </w:r>
      <w:r w:rsidR="00855CCB" w:rsidRPr="00DD1C13">
        <w:rPr>
          <w:rFonts w:ascii="Arial Narrow" w:hAnsi="Arial Narrow" w:cs="Times New Roman"/>
          <w:spacing w:val="4"/>
          <w:sz w:val="24"/>
          <w:szCs w:val="24"/>
          <w:lang w:val="es-GT"/>
        </w:rPr>
        <w:t xml:space="preserve">. </w:t>
      </w:r>
      <w:r w:rsidR="00F14752" w:rsidRPr="00DD1C13">
        <w:rPr>
          <w:rFonts w:ascii="Arial Narrow" w:hAnsi="Arial Narrow" w:cs="Times New Roman"/>
          <w:spacing w:val="4"/>
          <w:sz w:val="24"/>
          <w:szCs w:val="24"/>
          <w:lang w:val="es-GT"/>
        </w:rPr>
        <w:t xml:space="preserve"> </w:t>
      </w:r>
      <w:r w:rsidR="00BA3850" w:rsidRPr="00DD1C13">
        <w:rPr>
          <w:rFonts w:ascii="Arial Narrow" w:hAnsi="Arial Narrow" w:cs="Times New Roman"/>
          <w:spacing w:val="4"/>
          <w:sz w:val="24"/>
          <w:szCs w:val="24"/>
          <w:lang w:val="es-GT"/>
        </w:rPr>
        <w:t xml:space="preserve"> </w:t>
      </w:r>
    </w:p>
    <w:p w14:paraId="14FE1EAF" w14:textId="38EEC606" w:rsidR="00921209" w:rsidRPr="00DD1C13" w:rsidRDefault="004A2137" w:rsidP="00BF161D">
      <w:pPr>
        <w:pStyle w:val="ListParagraph"/>
        <w:numPr>
          <w:ilvl w:val="0"/>
          <w:numId w:val="22"/>
        </w:numPr>
        <w:spacing w:line="276" w:lineRule="auto"/>
        <w:jc w:val="both"/>
        <w:rPr>
          <w:rFonts w:ascii="Arial Narrow" w:hAnsi="Arial Narrow" w:cs="Times New Roman"/>
          <w:sz w:val="24"/>
          <w:szCs w:val="24"/>
        </w:rPr>
      </w:pPr>
      <w:r w:rsidRPr="00DD1C13">
        <w:rPr>
          <w:rFonts w:ascii="Arial Narrow" w:hAnsi="Arial Narrow" w:cs="Times New Roman"/>
          <w:spacing w:val="4"/>
          <w:sz w:val="24"/>
          <w:szCs w:val="24"/>
        </w:rPr>
        <w:t xml:space="preserve">El 06 de octubre de 2021 el pleno del Congreso de la República conoció la iniciativa </w:t>
      </w:r>
      <w:r w:rsidRPr="00DD1C13">
        <w:rPr>
          <w:rFonts w:ascii="Arial Narrow" w:hAnsi="Arial Narrow" w:cs="Times New Roman"/>
          <w:sz w:val="24"/>
          <w:szCs w:val="24"/>
        </w:rPr>
        <w:t>No. 5923 denominado Ley para el Rescate del Patrimonio Prehispánico</w:t>
      </w:r>
      <w:r w:rsidRPr="00DD1C13">
        <w:rPr>
          <w:rStyle w:val="FootnoteReference"/>
          <w:rFonts w:ascii="Arial Narrow" w:hAnsi="Arial Narrow" w:cs="Times New Roman"/>
          <w:sz w:val="24"/>
          <w:szCs w:val="24"/>
        </w:rPr>
        <w:footnoteReference w:id="2"/>
      </w:r>
      <w:r w:rsidRPr="00DD1C13">
        <w:rPr>
          <w:rFonts w:ascii="Arial Narrow" w:hAnsi="Arial Narrow" w:cs="Times New Roman"/>
          <w:sz w:val="24"/>
          <w:szCs w:val="24"/>
        </w:rPr>
        <w:t xml:space="preserve"> con el objetivo de </w:t>
      </w:r>
      <w:r w:rsidR="009C2ACC" w:rsidRPr="00DD1C13">
        <w:rPr>
          <w:rFonts w:ascii="Arial Narrow" w:hAnsi="Arial Narrow" w:cs="Times New Roman"/>
          <w:sz w:val="24"/>
          <w:szCs w:val="24"/>
        </w:rPr>
        <w:t xml:space="preserve">privatizar las áreas donde se encuentran las edificaciones y centros </w:t>
      </w:r>
      <w:r w:rsidR="007512A9" w:rsidRPr="00DD1C13">
        <w:rPr>
          <w:rFonts w:ascii="Arial Narrow" w:hAnsi="Arial Narrow" w:cs="Times New Roman"/>
          <w:sz w:val="24"/>
          <w:szCs w:val="24"/>
        </w:rPr>
        <w:t>ceremoniales y otros bienes del Pueblo Maya.</w:t>
      </w:r>
      <w:r w:rsidR="009C2ACC" w:rsidRPr="00DD1C13">
        <w:rPr>
          <w:rFonts w:ascii="Arial Narrow" w:hAnsi="Arial Narrow" w:cs="Times New Roman"/>
          <w:sz w:val="24"/>
          <w:szCs w:val="24"/>
        </w:rPr>
        <w:t xml:space="preserve"> Ante lo violento que representa la iniciativa para las Pueblos Indígenas, el Comité CERD mediante documento REFERENCE: CERD/EWUAP//2022/MJ/CS/ks en el marco de su procedimiento de alerta temprana y acción urgente solicitó</w:t>
      </w:r>
      <w:r w:rsidR="00EB14B2" w:rsidRPr="00DD1C13">
        <w:rPr>
          <w:rFonts w:ascii="Arial Narrow" w:hAnsi="Arial Narrow" w:cs="Times New Roman"/>
          <w:sz w:val="24"/>
          <w:szCs w:val="24"/>
        </w:rPr>
        <w:t xml:space="preserve"> información al Estado de Guatemala sobre las cuestiones señaladas antes del 15 de julio de 2022. </w:t>
      </w:r>
    </w:p>
    <w:p w14:paraId="1842F0E8" w14:textId="111F5EC9" w:rsidR="003D65D8" w:rsidRPr="00DD1C13" w:rsidRDefault="004A2137" w:rsidP="00BF161D">
      <w:pPr>
        <w:spacing w:line="276" w:lineRule="auto"/>
        <w:jc w:val="both"/>
        <w:rPr>
          <w:rFonts w:ascii="Arial Narrow" w:hAnsi="Arial Narrow" w:cs="Times New Roman"/>
          <w:sz w:val="24"/>
          <w:szCs w:val="24"/>
          <w:lang w:val="es-GT"/>
        </w:rPr>
      </w:pPr>
      <w:r w:rsidRPr="00DD1C13">
        <w:rPr>
          <w:rFonts w:ascii="Arial Narrow" w:hAnsi="Arial Narrow" w:cs="Times New Roman"/>
          <w:sz w:val="24"/>
          <w:szCs w:val="24"/>
          <w:lang w:val="es-GT"/>
        </w:rPr>
        <w:t xml:space="preserve">En el Congreso de República se encuentran una serie de iniciativas de ley que viene a desarrollar los derechos de los Pueblos Indígenas, pero </w:t>
      </w:r>
      <w:r w:rsidR="003D65D8" w:rsidRPr="00DD1C13">
        <w:rPr>
          <w:rFonts w:ascii="Arial Narrow" w:hAnsi="Arial Narrow" w:cs="Times New Roman"/>
          <w:sz w:val="24"/>
          <w:szCs w:val="24"/>
          <w:lang w:val="es-GT"/>
        </w:rPr>
        <w:t>por fa</w:t>
      </w:r>
      <w:r w:rsidR="00136D67" w:rsidRPr="00DD1C13">
        <w:rPr>
          <w:rFonts w:ascii="Arial Narrow" w:hAnsi="Arial Narrow" w:cs="Times New Roman"/>
          <w:sz w:val="24"/>
          <w:szCs w:val="24"/>
          <w:lang w:val="es-GT"/>
        </w:rPr>
        <w:t>l</w:t>
      </w:r>
      <w:r w:rsidR="003D65D8" w:rsidRPr="00DD1C13">
        <w:rPr>
          <w:rFonts w:ascii="Arial Narrow" w:hAnsi="Arial Narrow" w:cs="Times New Roman"/>
          <w:sz w:val="24"/>
          <w:szCs w:val="24"/>
          <w:lang w:val="es-GT"/>
        </w:rPr>
        <w:t xml:space="preserve">ta de </w:t>
      </w:r>
      <w:r w:rsidRPr="00DD1C13">
        <w:rPr>
          <w:rFonts w:ascii="Arial Narrow" w:hAnsi="Arial Narrow" w:cs="Times New Roman"/>
          <w:sz w:val="24"/>
          <w:szCs w:val="24"/>
          <w:lang w:val="es-GT"/>
        </w:rPr>
        <w:t>voluntad política de los partidos políticos</w:t>
      </w:r>
      <w:r w:rsidR="0060694B" w:rsidRPr="00DD1C13">
        <w:rPr>
          <w:rFonts w:ascii="Arial Narrow" w:hAnsi="Arial Narrow" w:cs="Times New Roman"/>
          <w:sz w:val="24"/>
          <w:szCs w:val="24"/>
          <w:lang w:val="es-GT"/>
        </w:rPr>
        <w:t xml:space="preserve">, </w:t>
      </w:r>
      <w:r w:rsidR="003D65D8" w:rsidRPr="00DD1C13">
        <w:rPr>
          <w:rFonts w:ascii="Arial Narrow" w:hAnsi="Arial Narrow" w:cs="Times New Roman"/>
          <w:sz w:val="24"/>
          <w:szCs w:val="24"/>
          <w:lang w:val="es-GT"/>
        </w:rPr>
        <w:t>aunado a las prácticas</w:t>
      </w:r>
      <w:r w:rsidRPr="00DD1C13">
        <w:rPr>
          <w:rFonts w:ascii="Arial Narrow" w:hAnsi="Arial Narrow" w:cs="Times New Roman"/>
          <w:sz w:val="24"/>
          <w:szCs w:val="24"/>
          <w:lang w:val="es-GT"/>
        </w:rPr>
        <w:t xml:space="preserve"> de racismo y discriminación racial</w:t>
      </w:r>
      <w:r w:rsidR="00136D67" w:rsidRPr="00DD1C13">
        <w:rPr>
          <w:rFonts w:ascii="Arial Narrow" w:hAnsi="Arial Narrow" w:cs="Times New Roman"/>
          <w:sz w:val="24"/>
          <w:szCs w:val="24"/>
          <w:lang w:val="es-GT"/>
        </w:rPr>
        <w:t xml:space="preserve"> </w:t>
      </w:r>
      <w:r w:rsidR="003D65D8" w:rsidRPr="00DD1C13">
        <w:rPr>
          <w:rFonts w:ascii="Arial Narrow" w:hAnsi="Arial Narrow" w:cs="Times New Roman"/>
          <w:sz w:val="24"/>
          <w:szCs w:val="24"/>
          <w:lang w:val="es-GT"/>
        </w:rPr>
        <w:t>no ha sido posible convertirlas en ley</w:t>
      </w:r>
      <w:r w:rsidR="0060694B" w:rsidRPr="00DD1C13">
        <w:rPr>
          <w:rFonts w:ascii="Arial Narrow" w:hAnsi="Arial Narrow" w:cs="Times New Roman"/>
          <w:sz w:val="24"/>
          <w:szCs w:val="24"/>
          <w:lang w:val="es-GT"/>
        </w:rPr>
        <w:t>, entre estas</w:t>
      </w:r>
      <w:r w:rsidR="00F06C1C" w:rsidRPr="00DD1C13">
        <w:rPr>
          <w:rFonts w:ascii="Arial Narrow" w:hAnsi="Arial Narrow" w:cs="Times New Roman"/>
          <w:sz w:val="24"/>
          <w:szCs w:val="24"/>
          <w:lang w:val="es-GT"/>
        </w:rPr>
        <w:t xml:space="preserve">: </w:t>
      </w:r>
      <w:r w:rsidR="00F06C1C" w:rsidRPr="00DD1C13">
        <w:rPr>
          <w:rFonts w:ascii="Arial Narrow" w:hAnsi="Arial Narrow" w:cs="Times New Roman"/>
          <w:sz w:val="24"/>
          <w:szCs w:val="24"/>
          <w:shd w:val="clear" w:color="auto" w:fill="FFFFFF"/>
          <w:lang w:val="es-GT"/>
        </w:rPr>
        <w:t>Ley de Consulta a los Pueblos Indígenas</w:t>
      </w:r>
      <w:r w:rsidR="00136D67" w:rsidRPr="00DD1C13">
        <w:rPr>
          <w:rStyle w:val="FootnoteReference"/>
          <w:rFonts w:ascii="Arial Narrow" w:hAnsi="Arial Narrow" w:cs="Times New Roman"/>
          <w:sz w:val="24"/>
          <w:szCs w:val="24"/>
          <w:shd w:val="clear" w:color="auto" w:fill="FFFFFF"/>
        </w:rPr>
        <w:footnoteReference w:id="3"/>
      </w:r>
      <w:r w:rsidR="00F06C1C" w:rsidRPr="00DD1C13">
        <w:rPr>
          <w:rFonts w:ascii="Arial Narrow" w:hAnsi="Arial Narrow" w:cs="Times New Roman"/>
          <w:sz w:val="24"/>
          <w:szCs w:val="24"/>
          <w:shd w:val="clear" w:color="auto" w:fill="FFFFFF"/>
          <w:lang w:val="es-GT"/>
        </w:rPr>
        <w:t xml:space="preserve"> </w:t>
      </w:r>
      <w:r w:rsidR="00F06C1C" w:rsidRPr="00DD1C13">
        <w:rPr>
          <w:rFonts w:ascii="Arial Narrow" w:hAnsi="Arial Narrow" w:cs="Times New Roman"/>
          <w:sz w:val="24"/>
          <w:szCs w:val="24"/>
          <w:lang w:val="es-GT"/>
        </w:rPr>
        <w:t xml:space="preserve">(iniciativa 4051), </w:t>
      </w:r>
      <w:r w:rsidR="00F06C1C" w:rsidRPr="00DD1C13">
        <w:rPr>
          <w:rFonts w:ascii="Arial Narrow" w:hAnsi="Arial Narrow" w:cs="Times New Roman"/>
          <w:sz w:val="24"/>
          <w:szCs w:val="24"/>
          <w:shd w:val="clear" w:color="auto" w:fill="FFFFFF"/>
          <w:lang w:val="es-GT"/>
        </w:rPr>
        <w:t> Ley del Sistema Nacional del Desarrollo Rural Integral</w:t>
      </w:r>
      <w:r w:rsidR="00136D67" w:rsidRPr="00DD1C13">
        <w:rPr>
          <w:rStyle w:val="FootnoteReference"/>
          <w:rFonts w:ascii="Arial Narrow" w:hAnsi="Arial Narrow" w:cs="Times New Roman"/>
          <w:sz w:val="24"/>
          <w:szCs w:val="24"/>
          <w:shd w:val="clear" w:color="auto" w:fill="FFFFFF"/>
        </w:rPr>
        <w:footnoteReference w:id="4"/>
      </w:r>
      <w:r w:rsidR="00F06C1C" w:rsidRPr="00DD1C13">
        <w:rPr>
          <w:rFonts w:ascii="Arial Narrow" w:hAnsi="Arial Narrow" w:cs="Times New Roman"/>
          <w:sz w:val="24"/>
          <w:szCs w:val="24"/>
          <w:shd w:val="clear" w:color="auto" w:fill="FFFFFF"/>
          <w:lang w:val="es-GT"/>
        </w:rPr>
        <w:t xml:space="preserve"> </w:t>
      </w:r>
      <w:r w:rsidR="00F06C1C" w:rsidRPr="00DD1C13">
        <w:rPr>
          <w:rFonts w:ascii="Arial Narrow" w:hAnsi="Arial Narrow" w:cs="Times New Roman"/>
          <w:sz w:val="24"/>
          <w:szCs w:val="24"/>
          <w:lang w:val="es-GT"/>
        </w:rPr>
        <w:t xml:space="preserve">(iniciativa 4084), </w:t>
      </w:r>
      <w:r w:rsidR="00F06C1C" w:rsidRPr="00DD1C13">
        <w:rPr>
          <w:rFonts w:ascii="Arial Narrow" w:hAnsi="Arial Narrow" w:cs="Times New Roman"/>
          <w:sz w:val="24"/>
          <w:szCs w:val="24"/>
          <w:shd w:val="clear" w:color="auto" w:fill="FFFFFF"/>
          <w:lang w:val="es-GT"/>
        </w:rPr>
        <w:t>Ley de Lugares Sagrados de los Pueblos Indígenas</w:t>
      </w:r>
      <w:r w:rsidR="00136D67" w:rsidRPr="00DD1C13">
        <w:rPr>
          <w:rStyle w:val="FootnoteReference"/>
          <w:rFonts w:ascii="Arial Narrow" w:hAnsi="Arial Narrow" w:cs="Times New Roman"/>
          <w:sz w:val="24"/>
          <w:szCs w:val="24"/>
          <w:shd w:val="clear" w:color="auto" w:fill="FFFFFF"/>
        </w:rPr>
        <w:footnoteReference w:id="5"/>
      </w:r>
      <w:r w:rsidR="00F06C1C" w:rsidRPr="00DD1C13">
        <w:rPr>
          <w:rFonts w:ascii="Arial Narrow" w:hAnsi="Arial Narrow" w:cs="Times New Roman"/>
          <w:sz w:val="24"/>
          <w:szCs w:val="24"/>
          <w:shd w:val="clear" w:color="auto" w:fill="FFFFFF"/>
          <w:lang w:val="es-GT"/>
        </w:rPr>
        <w:t xml:space="preserve"> </w:t>
      </w:r>
      <w:r w:rsidR="00F06C1C" w:rsidRPr="00DD1C13">
        <w:rPr>
          <w:rFonts w:ascii="Arial Narrow" w:hAnsi="Arial Narrow" w:cs="Times New Roman"/>
          <w:sz w:val="24"/>
          <w:szCs w:val="24"/>
          <w:lang w:val="es-GT"/>
        </w:rPr>
        <w:t xml:space="preserve">(iniciativa 3835), </w:t>
      </w:r>
      <w:r w:rsidR="00F06C1C" w:rsidRPr="00DD1C13">
        <w:rPr>
          <w:rFonts w:ascii="Arial Narrow" w:hAnsi="Arial Narrow" w:cs="Times New Roman"/>
          <w:sz w:val="24"/>
          <w:szCs w:val="24"/>
          <w:shd w:val="clear" w:color="auto" w:fill="FFFFFF"/>
          <w:lang w:val="es-GT"/>
        </w:rPr>
        <w:t>Ley de Generalización de Educación Bilingüe Multicultural e Intercultural</w:t>
      </w:r>
      <w:r w:rsidR="00136D67" w:rsidRPr="00DD1C13">
        <w:rPr>
          <w:rStyle w:val="FootnoteReference"/>
          <w:rFonts w:ascii="Arial Narrow" w:hAnsi="Arial Narrow" w:cs="Times New Roman"/>
          <w:sz w:val="24"/>
          <w:szCs w:val="24"/>
          <w:shd w:val="clear" w:color="auto" w:fill="FFFFFF"/>
        </w:rPr>
        <w:footnoteReference w:id="6"/>
      </w:r>
      <w:r w:rsidR="00F06C1C" w:rsidRPr="00DD1C13">
        <w:rPr>
          <w:rFonts w:ascii="Arial Narrow" w:hAnsi="Arial Narrow" w:cs="Times New Roman"/>
          <w:sz w:val="24"/>
          <w:szCs w:val="24"/>
          <w:shd w:val="clear" w:color="auto" w:fill="FFFFFF"/>
          <w:lang w:val="es-GT"/>
        </w:rPr>
        <w:t xml:space="preserve"> </w:t>
      </w:r>
      <w:r w:rsidR="00F06C1C" w:rsidRPr="00DD1C13">
        <w:rPr>
          <w:rFonts w:ascii="Arial Narrow" w:hAnsi="Arial Narrow" w:cs="Times New Roman"/>
          <w:sz w:val="24"/>
          <w:szCs w:val="24"/>
          <w:lang w:val="es-GT"/>
        </w:rPr>
        <w:t xml:space="preserve">(iniciativa 3913), </w:t>
      </w:r>
      <w:r w:rsidR="00F06C1C" w:rsidRPr="00DD1C13">
        <w:rPr>
          <w:rFonts w:ascii="Arial Narrow" w:hAnsi="Arial Narrow" w:cs="Times New Roman"/>
          <w:sz w:val="24"/>
          <w:szCs w:val="24"/>
          <w:shd w:val="clear" w:color="auto" w:fill="FFFFFF"/>
          <w:lang w:val="es-GT"/>
        </w:rPr>
        <w:t>Ley de Medios de Comunicación Comunitaria</w:t>
      </w:r>
      <w:r w:rsidR="00136D67" w:rsidRPr="00DD1C13">
        <w:rPr>
          <w:rStyle w:val="FootnoteReference"/>
          <w:rFonts w:ascii="Arial Narrow" w:hAnsi="Arial Narrow" w:cs="Times New Roman"/>
          <w:sz w:val="24"/>
          <w:szCs w:val="24"/>
          <w:shd w:val="clear" w:color="auto" w:fill="FFFFFF"/>
        </w:rPr>
        <w:footnoteReference w:id="7"/>
      </w:r>
      <w:r w:rsidR="00F06C1C" w:rsidRPr="00DD1C13">
        <w:rPr>
          <w:rFonts w:ascii="Arial Narrow" w:hAnsi="Arial Narrow" w:cs="Times New Roman"/>
          <w:sz w:val="24"/>
          <w:szCs w:val="24"/>
          <w:shd w:val="clear" w:color="auto" w:fill="FFFFFF"/>
          <w:lang w:val="es-GT"/>
        </w:rPr>
        <w:t xml:space="preserve"> </w:t>
      </w:r>
      <w:r w:rsidR="00F06C1C" w:rsidRPr="00DD1C13">
        <w:rPr>
          <w:rFonts w:ascii="Arial Narrow" w:hAnsi="Arial Narrow" w:cs="Times New Roman"/>
          <w:sz w:val="24"/>
          <w:szCs w:val="24"/>
          <w:lang w:val="es-GT"/>
        </w:rPr>
        <w:t xml:space="preserve">(iniciativa 4087), </w:t>
      </w:r>
      <w:r w:rsidR="00F06C1C" w:rsidRPr="00DD1C13">
        <w:rPr>
          <w:rFonts w:ascii="Arial Narrow" w:hAnsi="Arial Narrow" w:cs="Times New Roman"/>
          <w:sz w:val="24"/>
          <w:szCs w:val="24"/>
          <w:shd w:val="clear" w:color="auto" w:fill="FFFFFF"/>
          <w:lang w:val="es-GT"/>
        </w:rPr>
        <w:t>Ley del Programa Nacional de Resarcimiento</w:t>
      </w:r>
      <w:r w:rsidR="008A5442" w:rsidRPr="00DD1C13">
        <w:rPr>
          <w:rStyle w:val="FootnoteReference"/>
          <w:rFonts w:ascii="Arial Narrow" w:hAnsi="Arial Narrow" w:cs="Times New Roman"/>
          <w:sz w:val="24"/>
          <w:szCs w:val="24"/>
          <w:shd w:val="clear" w:color="auto" w:fill="FFFFFF"/>
        </w:rPr>
        <w:footnoteReference w:id="8"/>
      </w:r>
      <w:r w:rsidR="00F06C1C" w:rsidRPr="00DD1C13">
        <w:rPr>
          <w:rFonts w:ascii="Arial Narrow" w:hAnsi="Arial Narrow" w:cs="Times New Roman"/>
          <w:sz w:val="24"/>
          <w:szCs w:val="24"/>
          <w:shd w:val="clear" w:color="auto" w:fill="FFFFFF"/>
          <w:lang w:val="es-GT"/>
        </w:rPr>
        <w:t xml:space="preserve"> </w:t>
      </w:r>
      <w:r w:rsidR="00F06C1C" w:rsidRPr="00DD1C13">
        <w:rPr>
          <w:rFonts w:ascii="Arial Narrow" w:hAnsi="Arial Narrow" w:cs="Times New Roman"/>
          <w:sz w:val="24"/>
          <w:szCs w:val="24"/>
          <w:lang w:val="es-GT"/>
        </w:rPr>
        <w:t>(iniciativa 3551),</w:t>
      </w:r>
      <w:r w:rsidR="00136D67" w:rsidRPr="00DD1C13">
        <w:rPr>
          <w:rFonts w:ascii="Arial Narrow" w:hAnsi="Arial Narrow" w:cs="Times New Roman"/>
          <w:sz w:val="24"/>
          <w:szCs w:val="24"/>
          <w:lang w:val="es-GT"/>
        </w:rPr>
        <w:t xml:space="preserve"> </w:t>
      </w:r>
      <w:r w:rsidR="00136D67" w:rsidRPr="00DD1C13">
        <w:rPr>
          <w:rFonts w:ascii="Arial Narrow" w:hAnsi="Arial Narrow" w:cs="Times New Roman"/>
          <w:sz w:val="24"/>
          <w:szCs w:val="24"/>
          <w:shd w:val="clear" w:color="auto" w:fill="FFFFFF"/>
          <w:lang w:val="es-GT"/>
        </w:rPr>
        <w:t xml:space="preserve">Reforma al Decreto Número 1-85 de la Asamblea Nacional Constituyente, Ley Electoral y de Partidos </w:t>
      </w:r>
      <w:r w:rsidR="00136D67" w:rsidRPr="00DD1C13">
        <w:rPr>
          <w:rFonts w:ascii="Arial Narrow" w:hAnsi="Arial Narrow" w:cs="Times New Roman"/>
          <w:sz w:val="24"/>
          <w:szCs w:val="24"/>
          <w:shd w:val="clear" w:color="auto" w:fill="FFFFFF"/>
          <w:lang w:val="es-GT"/>
        </w:rPr>
        <w:lastRenderedPageBreak/>
        <w:t xml:space="preserve">Políticos </w:t>
      </w:r>
      <w:r w:rsidR="00136D67" w:rsidRPr="00DD1C13">
        <w:rPr>
          <w:rFonts w:ascii="Arial Narrow" w:hAnsi="Arial Narrow" w:cs="Times New Roman"/>
          <w:sz w:val="24"/>
          <w:szCs w:val="24"/>
          <w:lang w:val="es-GT"/>
        </w:rPr>
        <w:t xml:space="preserve">(iniciativa 4783) e </w:t>
      </w:r>
      <w:r w:rsidR="00136D67" w:rsidRPr="00DD1C13">
        <w:rPr>
          <w:rFonts w:ascii="Arial Narrow" w:hAnsi="Arial Narrow" w:cs="Times New Roman"/>
          <w:sz w:val="24"/>
          <w:szCs w:val="24"/>
          <w:shd w:val="clear" w:color="auto" w:fill="FFFFFF"/>
          <w:lang w:val="es-GT"/>
        </w:rPr>
        <w:t>Iniciativa que dispone aprobar reforma al decreto número 48-97 del Congreso de la República, Ley de Minería. Reforma art. 63 porcentaje de regalías</w:t>
      </w:r>
      <w:r w:rsidR="00B91BB6" w:rsidRPr="00DD1C13">
        <w:rPr>
          <w:rStyle w:val="FootnoteReference"/>
          <w:rFonts w:ascii="Arial Narrow" w:hAnsi="Arial Narrow" w:cs="Times New Roman"/>
          <w:sz w:val="24"/>
          <w:szCs w:val="24"/>
          <w:shd w:val="clear" w:color="auto" w:fill="FFFFFF"/>
        </w:rPr>
        <w:footnoteReference w:id="9"/>
      </w:r>
      <w:r w:rsidR="00136D67" w:rsidRPr="00DD1C13">
        <w:rPr>
          <w:rFonts w:ascii="Arial Narrow" w:hAnsi="Arial Narrow" w:cs="Times New Roman"/>
          <w:sz w:val="24"/>
          <w:szCs w:val="24"/>
          <w:shd w:val="clear" w:color="auto" w:fill="FFFFFF"/>
          <w:lang w:val="es-GT"/>
        </w:rPr>
        <w:t xml:space="preserve"> </w:t>
      </w:r>
      <w:r w:rsidR="00136D67" w:rsidRPr="00DD1C13">
        <w:rPr>
          <w:rFonts w:ascii="Arial Narrow" w:hAnsi="Arial Narrow" w:cs="Times New Roman"/>
          <w:sz w:val="24"/>
          <w:szCs w:val="24"/>
          <w:lang w:val="es-GT"/>
        </w:rPr>
        <w:t>(iniciativa 4945).</w:t>
      </w:r>
    </w:p>
    <w:p w14:paraId="14383E33" w14:textId="6A20C1C6" w:rsidR="006F4DB3" w:rsidRPr="00DD1C13" w:rsidRDefault="002B6B64" w:rsidP="009F17A3">
      <w:pPr>
        <w:spacing w:line="276" w:lineRule="auto"/>
        <w:jc w:val="both"/>
        <w:rPr>
          <w:rFonts w:ascii="Arial Narrow" w:hAnsi="Arial Narrow" w:cs="Times New Roman"/>
          <w:sz w:val="24"/>
          <w:szCs w:val="24"/>
          <w:lang w:val="es-GT"/>
        </w:rPr>
      </w:pPr>
      <w:r w:rsidRPr="00DD1C13">
        <w:rPr>
          <w:rFonts w:ascii="Arial Narrow" w:hAnsi="Arial Narrow" w:cs="Times New Roman"/>
          <w:sz w:val="24"/>
          <w:szCs w:val="24"/>
          <w:lang w:val="es-GT"/>
        </w:rPr>
        <w:t>En el año 2016</w:t>
      </w:r>
      <w:r w:rsidR="008B014D" w:rsidRPr="00DD1C13">
        <w:rPr>
          <w:rFonts w:ascii="Arial Narrow" w:hAnsi="Arial Narrow" w:cs="Times New Roman"/>
          <w:sz w:val="24"/>
          <w:szCs w:val="24"/>
          <w:lang w:val="es-GT"/>
        </w:rPr>
        <w:t xml:space="preserve"> los tres Organismos del Estado </w:t>
      </w:r>
      <w:r w:rsidR="00BF7192" w:rsidRPr="00DD1C13">
        <w:rPr>
          <w:rFonts w:ascii="Arial Narrow" w:hAnsi="Arial Narrow" w:cs="Times New Roman"/>
          <w:sz w:val="24"/>
          <w:szCs w:val="24"/>
          <w:lang w:val="es-GT"/>
        </w:rPr>
        <w:t>impuls</w:t>
      </w:r>
      <w:r w:rsidR="008B014D" w:rsidRPr="00DD1C13">
        <w:rPr>
          <w:rFonts w:ascii="Arial Narrow" w:hAnsi="Arial Narrow" w:cs="Times New Roman"/>
          <w:sz w:val="24"/>
          <w:szCs w:val="24"/>
          <w:lang w:val="es-GT"/>
        </w:rPr>
        <w:t xml:space="preserve">aron </w:t>
      </w:r>
      <w:r w:rsidR="00104BD1" w:rsidRPr="00DD1C13">
        <w:rPr>
          <w:rFonts w:ascii="Arial Narrow" w:hAnsi="Arial Narrow" w:cs="Times New Roman"/>
          <w:sz w:val="24"/>
          <w:szCs w:val="24"/>
          <w:lang w:val="es-GT"/>
        </w:rPr>
        <w:t xml:space="preserve">la </w:t>
      </w:r>
      <w:r w:rsidR="00104BD1" w:rsidRPr="00DD1C13">
        <w:rPr>
          <w:rFonts w:ascii="Arial Narrow" w:hAnsi="Arial Narrow" w:cs="Times New Roman"/>
          <w:sz w:val="24"/>
          <w:szCs w:val="24"/>
          <w:shd w:val="clear" w:color="auto" w:fill="FFFFFF"/>
          <w:lang w:val="es-GT"/>
        </w:rPr>
        <w:t xml:space="preserve">iniciativa </w:t>
      </w:r>
      <w:r w:rsidR="006F4DB3" w:rsidRPr="00DD1C13">
        <w:rPr>
          <w:rFonts w:ascii="Arial Narrow" w:hAnsi="Arial Narrow" w:cs="Times New Roman"/>
          <w:sz w:val="24"/>
          <w:szCs w:val="24"/>
          <w:shd w:val="clear" w:color="auto" w:fill="FFFFFF"/>
          <w:lang w:val="es-GT"/>
        </w:rPr>
        <w:t xml:space="preserve">número </w:t>
      </w:r>
      <w:r w:rsidR="006F4DB3" w:rsidRPr="00DD1C13">
        <w:rPr>
          <w:rFonts w:ascii="Arial Narrow" w:hAnsi="Arial Narrow" w:cs="Times New Roman"/>
          <w:sz w:val="24"/>
          <w:szCs w:val="24"/>
          <w:lang w:val="es-GT"/>
        </w:rPr>
        <w:t xml:space="preserve">5179 </w:t>
      </w:r>
      <w:r w:rsidR="00104BD1" w:rsidRPr="00DD1C13">
        <w:rPr>
          <w:rFonts w:ascii="Arial Narrow" w:hAnsi="Arial Narrow" w:cs="Times New Roman"/>
          <w:sz w:val="24"/>
          <w:szCs w:val="24"/>
          <w:shd w:val="clear" w:color="auto" w:fill="FFFFFF"/>
          <w:lang w:val="es-GT"/>
        </w:rPr>
        <w:t>que dispon</w:t>
      </w:r>
      <w:r w:rsidR="006F4DB3" w:rsidRPr="00DD1C13">
        <w:rPr>
          <w:rFonts w:ascii="Arial Narrow" w:hAnsi="Arial Narrow" w:cs="Times New Roman"/>
          <w:sz w:val="24"/>
          <w:szCs w:val="24"/>
          <w:shd w:val="clear" w:color="auto" w:fill="FFFFFF"/>
          <w:lang w:val="es-GT"/>
        </w:rPr>
        <w:t xml:space="preserve">ía </w:t>
      </w:r>
      <w:r w:rsidR="00104BD1" w:rsidRPr="00DD1C13">
        <w:rPr>
          <w:rFonts w:ascii="Arial Narrow" w:hAnsi="Arial Narrow" w:cs="Times New Roman"/>
          <w:sz w:val="24"/>
          <w:szCs w:val="24"/>
          <w:shd w:val="clear" w:color="auto" w:fill="FFFFFF"/>
          <w:lang w:val="es-GT"/>
        </w:rPr>
        <w:t>aprobar reformas a la Constitución Política de la República de Guatemala en Materia del Sector Justicia</w:t>
      </w:r>
      <w:r w:rsidR="00104BD1" w:rsidRPr="00DD1C13">
        <w:rPr>
          <w:rStyle w:val="FootnoteReference"/>
          <w:rFonts w:ascii="Arial Narrow" w:hAnsi="Arial Narrow" w:cs="Times New Roman"/>
          <w:sz w:val="24"/>
          <w:szCs w:val="24"/>
          <w:shd w:val="clear" w:color="auto" w:fill="FFFFFF"/>
        </w:rPr>
        <w:footnoteReference w:id="10"/>
      </w:r>
      <w:r w:rsidR="006F4DB3" w:rsidRPr="00DD1C13">
        <w:rPr>
          <w:rFonts w:ascii="Arial Narrow" w:hAnsi="Arial Narrow" w:cs="Times New Roman"/>
          <w:sz w:val="24"/>
          <w:szCs w:val="24"/>
          <w:shd w:val="clear" w:color="auto" w:fill="FFFFFF"/>
          <w:lang w:val="es-GT"/>
        </w:rPr>
        <w:t>-</w:t>
      </w:r>
      <w:r w:rsidR="006F4DB3" w:rsidRPr="00DD1C13">
        <w:rPr>
          <w:rStyle w:val="FootnoteReference"/>
          <w:rFonts w:ascii="Arial Narrow" w:hAnsi="Arial Narrow" w:cs="Times New Roman"/>
          <w:sz w:val="24"/>
          <w:szCs w:val="24"/>
          <w:shd w:val="clear" w:color="auto" w:fill="FFFFFF"/>
        </w:rPr>
        <w:footnoteReference w:id="11"/>
      </w:r>
      <w:r w:rsidR="007F2ECE" w:rsidRPr="00DD1C13">
        <w:rPr>
          <w:rFonts w:ascii="Arial Narrow" w:hAnsi="Arial Narrow" w:cs="Times New Roman"/>
          <w:sz w:val="24"/>
          <w:szCs w:val="24"/>
          <w:lang w:val="es-GT"/>
        </w:rPr>
        <w:t xml:space="preserve">. </w:t>
      </w:r>
    </w:p>
    <w:p w14:paraId="296BEE51" w14:textId="3F64FAB7" w:rsidR="007F2ECE" w:rsidRPr="00DD1C13" w:rsidRDefault="007F2ECE" w:rsidP="0060694B">
      <w:pPr>
        <w:spacing w:line="276" w:lineRule="auto"/>
        <w:jc w:val="both"/>
        <w:rPr>
          <w:rFonts w:ascii="Arial Narrow" w:hAnsi="Arial Narrow" w:cs="Times New Roman"/>
          <w:sz w:val="24"/>
          <w:szCs w:val="24"/>
          <w:lang w:val="es-GT"/>
        </w:rPr>
      </w:pPr>
      <w:r w:rsidRPr="00DD1C13">
        <w:rPr>
          <w:rFonts w:ascii="Arial Narrow" w:hAnsi="Arial Narrow" w:cs="Times New Roman"/>
          <w:sz w:val="24"/>
          <w:szCs w:val="24"/>
          <w:lang w:val="es-GT"/>
        </w:rPr>
        <w:t xml:space="preserve">Si bien la iniciativa tuvo tres debates legislativos, </w:t>
      </w:r>
      <w:r w:rsidR="00E46D21" w:rsidRPr="00DD1C13">
        <w:rPr>
          <w:rFonts w:ascii="Arial Narrow" w:hAnsi="Arial Narrow" w:cs="Times New Roman"/>
          <w:sz w:val="24"/>
          <w:szCs w:val="24"/>
          <w:lang w:val="es-GT"/>
        </w:rPr>
        <w:t xml:space="preserve">el mismo </w:t>
      </w:r>
      <w:r w:rsidRPr="00DD1C13">
        <w:rPr>
          <w:rFonts w:ascii="Arial Narrow" w:hAnsi="Arial Narrow" w:cs="Times New Roman"/>
          <w:sz w:val="24"/>
          <w:szCs w:val="24"/>
          <w:lang w:val="es-GT"/>
        </w:rPr>
        <w:t xml:space="preserve">quedó pendiente </w:t>
      </w:r>
      <w:r w:rsidR="00E46D21" w:rsidRPr="00DD1C13">
        <w:rPr>
          <w:rFonts w:ascii="Arial Narrow" w:hAnsi="Arial Narrow" w:cs="Times New Roman"/>
          <w:sz w:val="24"/>
          <w:szCs w:val="24"/>
          <w:lang w:val="es-GT"/>
        </w:rPr>
        <w:t xml:space="preserve">de </w:t>
      </w:r>
      <w:r w:rsidRPr="00DD1C13">
        <w:rPr>
          <w:rFonts w:ascii="Arial Narrow" w:hAnsi="Arial Narrow" w:cs="Times New Roman"/>
          <w:sz w:val="24"/>
          <w:szCs w:val="24"/>
          <w:lang w:val="es-GT"/>
        </w:rPr>
        <w:t>su lectura por artículo y redacción final, debido a que los diputados al Congreso de la República decidieron retirar su apoy</w:t>
      </w:r>
      <w:r w:rsidR="00954CDC" w:rsidRPr="00DD1C13">
        <w:rPr>
          <w:rFonts w:ascii="Arial Narrow" w:hAnsi="Arial Narrow" w:cs="Times New Roman"/>
          <w:sz w:val="24"/>
          <w:szCs w:val="24"/>
          <w:lang w:val="es-GT"/>
        </w:rPr>
        <w:t xml:space="preserve">o </w:t>
      </w:r>
      <w:r w:rsidR="00E46D21" w:rsidRPr="00DD1C13">
        <w:rPr>
          <w:rFonts w:ascii="Arial Narrow" w:hAnsi="Arial Narrow" w:cs="Times New Roman"/>
          <w:sz w:val="24"/>
          <w:szCs w:val="24"/>
          <w:lang w:val="es-GT"/>
        </w:rPr>
        <w:t>luego que sectores racistas y conservadoras impulsaran una campaña de desprestigio cont</w:t>
      </w:r>
      <w:r w:rsidR="00954CDC" w:rsidRPr="00DD1C13">
        <w:rPr>
          <w:rFonts w:ascii="Arial Narrow" w:hAnsi="Arial Narrow" w:cs="Times New Roman"/>
          <w:sz w:val="24"/>
          <w:szCs w:val="24"/>
          <w:lang w:val="es-GT"/>
        </w:rPr>
        <w:t>r</w:t>
      </w:r>
      <w:r w:rsidR="00E46D21" w:rsidRPr="00DD1C13">
        <w:rPr>
          <w:rFonts w:ascii="Arial Narrow" w:hAnsi="Arial Narrow" w:cs="Times New Roman"/>
          <w:sz w:val="24"/>
          <w:szCs w:val="24"/>
          <w:lang w:val="es-GT"/>
        </w:rPr>
        <w:t xml:space="preserve">a </w:t>
      </w:r>
      <w:r w:rsidR="001007DE" w:rsidRPr="00DD1C13">
        <w:rPr>
          <w:rFonts w:ascii="Arial Narrow" w:hAnsi="Arial Narrow" w:cs="Times New Roman"/>
          <w:sz w:val="24"/>
          <w:szCs w:val="24"/>
          <w:lang w:val="es-GT"/>
        </w:rPr>
        <w:t xml:space="preserve">la </w:t>
      </w:r>
      <w:r w:rsidR="00954CDC" w:rsidRPr="00DD1C13">
        <w:rPr>
          <w:rFonts w:ascii="Arial Narrow" w:hAnsi="Arial Narrow" w:cs="Times New Roman"/>
          <w:sz w:val="24"/>
          <w:szCs w:val="24"/>
          <w:lang w:val="es-GT"/>
        </w:rPr>
        <w:t xml:space="preserve">idea de reconocer de manera constitucional el </w:t>
      </w:r>
      <w:r w:rsidR="00E46D21" w:rsidRPr="00DD1C13">
        <w:rPr>
          <w:rFonts w:ascii="Arial Narrow" w:hAnsi="Arial Narrow" w:cs="Times New Roman"/>
          <w:sz w:val="24"/>
          <w:szCs w:val="24"/>
          <w:lang w:val="es-GT"/>
        </w:rPr>
        <w:t>sistema jurídico indígena</w:t>
      </w:r>
      <w:r w:rsidR="00CD3CE4" w:rsidRPr="00DD1C13">
        <w:rPr>
          <w:rStyle w:val="FootnoteReference"/>
          <w:rFonts w:ascii="Arial Narrow" w:hAnsi="Arial Narrow" w:cs="Times New Roman"/>
          <w:sz w:val="24"/>
          <w:szCs w:val="24"/>
        </w:rPr>
        <w:footnoteReference w:id="12"/>
      </w:r>
      <w:r w:rsidR="00E46D21" w:rsidRPr="00DD1C13">
        <w:rPr>
          <w:rFonts w:ascii="Arial Narrow" w:hAnsi="Arial Narrow" w:cs="Times New Roman"/>
          <w:sz w:val="24"/>
          <w:szCs w:val="24"/>
          <w:lang w:val="es-GT"/>
        </w:rPr>
        <w:t xml:space="preserve">. </w:t>
      </w:r>
    </w:p>
    <w:p w14:paraId="74E0B776" w14:textId="698CCCD0" w:rsidR="001007DE" w:rsidRPr="00DD1C13" w:rsidRDefault="00E229B3" w:rsidP="0060694B">
      <w:pPr>
        <w:spacing w:line="276" w:lineRule="auto"/>
        <w:jc w:val="both"/>
        <w:rPr>
          <w:rFonts w:ascii="Arial Narrow" w:hAnsi="Arial Narrow" w:cs="Times New Roman"/>
          <w:sz w:val="24"/>
          <w:szCs w:val="24"/>
          <w:lang w:val="es-GT"/>
        </w:rPr>
      </w:pPr>
      <w:r w:rsidRPr="00DD1C13">
        <w:rPr>
          <w:rFonts w:ascii="Arial Narrow" w:hAnsi="Arial Narrow" w:cs="Times New Roman"/>
          <w:sz w:val="24"/>
          <w:szCs w:val="24"/>
          <w:lang w:val="es-GT"/>
        </w:rPr>
        <w:t>El artículo 3 de</w:t>
      </w:r>
      <w:r w:rsidR="00F54FA4" w:rsidRPr="00DD1C13">
        <w:rPr>
          <w:rFonts w:ascii="Arial Narrow" w:hAnsi="Arial Narrow" w:cs="Times New Roman"/>
          <w:sz w:val="24"/>
          <w:szCs w:val="24"/>
          <w:lang w:val="es-GT"/>
        </w:rPr>
        <w:t xml:space="preserve"> la iniciativa </w:t>
      </w:r>
      <w:r w:rsidRPr="00DD1C13">
        <w:rPr>
          <w:rFonts w:ascii="Arial Narrow" w:hAnsi="Arial Narrow" w:cs="Times New Roman"/>
          <w:sz w:val="24"/>
          <w:szCs w:val="24"/>
          <w:lang w:val="es-GT"/>
        </w:rPr>
        <w:t>contemplaba que:</w:t>
      </w:r>
    </w:p>
    <w:p w14:paraId="3C6A0E4D" w14:textId="7F15D4B6" w:rsidR="00F54FA4" w:rsidRPr="00DD1C13" w:rsidRDefault="00E229B3" w:rsidP="001007DE">
      <w:pPr>
        <w:pStyle w:val="ListParagraph"/>
        <w:numPr>
          <w:ilvl w:val="0"/>
          <w:numId w:val="17"/>
        </w:numPr>
        <w:spacing w:line="276" w:lineRule="auto"/>
        <w:jc w:val="both"/>
        <w:rPr>
          <w:rFonts w:ascii="Arial Narrow" w:hAnsi="Arial Narrow" w:cs="Times New Roman"/>
          <w:sz w:val="24"/>
          <w:szCs w:val="24"/>
        </w:rPr>
      </w:pPr>
      <w:r w:rsidRPr="00DD1C13">
        <w:rPr>
          <w:rFonts w:ascii="Arial Narrow" w:hAnsi="Arial Narrow" w:cs="Times New Roman"/>
          <w:sz w:val="24"/>
          <w:szCs w:val="24"/>
        </w:rPr>
        <w:t>Las autoridades indígenas ancestrales ejer</w:t>
      </w:r>
      <w:r w:rsidR="008B014D" w:rsidRPr="00DD1C13">
        <w:rPr>
          <w:rFonts w:ascii="Arial Narrow" w:hAnsi="Arial Narrow" w:cs="Times New Roman"/>
          <w:sz w:val="24"/>
          <w:szCs w:val="24"/>
        </w:rPr>
        <w:t xml:space="preserve">zan </w:t>
      </w:r>
      <w:r w:rsidRPr="00DD1C13">
        <w:rPr>
          <w:rFonts w:ascii="Arial Narrow" w:hAnsi="Arial Narrow" w:cs="Times New Roman"/>
          <w:sz w:val="24"/>
          <w:szCs w:val="24"/>
        </w:rPr>
        <w:t>funciones jurisdiccionales de conformidad con sus propias instituciones, normas, procedimientos y costumbres siempre que no sean contrarios a los derechos consagrados dentro de la Constitución y a los derechos humanos internacionalmente</w:t>
      </w:r>
      <w:r w:rsidR="00F54FA4" w:rsidRPr="00DD1C13">
        <w:rPr>
          <w:rFonts w:ascii="Arial Narrow" w:hAnsi="Arial Narrow" w:cs="Times New Roman"/>
          <w:sz w:val="24"/>
          <w:szCs w:val="24"/>
        </w:rPr>
        <w:t xml:space="preserve"> </w:t>
      </w:r>
      <w:r w:rsidRPr="00DD1C13">
        <w:rPr>
          <w:rFonts w:ascii="Arial Narrow" w:hAnsi="Arial Narrow" w:cs="Times New Roman"/>
          <w:sz w:val="24"/>
          <w:szCs w:val="24"/>
        </w:rPr>
        <w:t>reconocidos.</w:t>
      </w:r>
    </w:p>
    <w:p w14:paraId="15313A24" w14:textId="77777777" w:rsidR="00AB5446" w:rsidRPr="00DD1C13" w:rsidRDefault="00F54FA4" w:rsidP="001007DE">
      <w:pPr>
        <w:pStyle w:val="ListParagraph"/>
        <w:numPr>
          <w:ilvl w:val="0"/>
          <w:numId w:val="17"/>
        </w:numPr>
        <w:spacing w:line="276" w:lineRule="auto"/>
        <w:jc w:val="both"/>
        <w:rPr>
          <w:rFonts w:ascii="Arial Narrow" w:hAnsi="Arial Narrow" w:cs="Times New Roman"/>
          <w:sz w:val="24"/>
          <w:szCs w:val="24"/>
        </w:rPr>
      </w:pPr>
      <w:r w:rsidRPr="00DD1C13">
        <w:rPr>
          <w:rFonts w:ascii="Arial Narrow" w:hAnsi="Arial Narrow" w:cs="Times New Roman"/>
          <w:sz w:val="24"/>
          <w:szCs w:val="24"/>
        </w:rPr>
        <w:t xml:space="preserve">Que las </w:t>
      </w:r>
      <w:r w:rsidR="00E229B3" w:rsidRPr="00DD1C13">
        <w:rPr>
          <w:rFonts w:ascii="Arial Narrow" w:hAnsi="Arial Narrow" w:cs="Times New Roman"/>
          <w:sz w:val="24"/>
          <w:szCs w:val="24"/>
        </w:rPr>
        <w:t xml:space="preserve">decisiones de las autoridades indígenas ancestrales están sujetas al control de constitucionalidad. </w:t>
      </w:r>
      <w:r w:rsidRPr="00DD1C13">
        <w:rPr>
          <w:rFonts w:ascii="Arial Narrow" w:hAnsi="Arial Narrow" w:cs="Times New Roman"/>
          <w:sz w:val="24"/>
          <w:szCs w:val="24"/>
        </w:rPr>
        <w:t>Además,</w:t>
      </w:r>
    </w:p>
    <w:p w14:paraId="1466EE04" w14:textId="20D56CF6" w:rsidR="00E229B3" w:rsidRPr="00DD1C13" w:rsidRDefault="00AB5446" w:rsidP="001007DE">
      <w:pPr>
        <w:pStyle w:val="ListParagraph"/>
        <w:numPr>
          <w:ilvl w:val="0"/>
          <w:numId w:val="17"/>
        </w:numPr>
        <w:spacing w:line="276" w:lineRule="auto"/>
        <w:jc w:val="both"/>
        <w:rPr>
          <w:rFonts w:ascii="Arial Narrow" w:hAnsi="Arial Narrow" w:cs="Times New Roman"/>
          <w:sz w:val="24"/>
          <w:szCs w:val="24"/>
        </w:rPr>
      </w:pPr>
      <w:r w:rsidRPr="00DD1C13">
        <w:rPr>
          <w:rFonts w:ascii="Arial Narrow" w:hAnsi="Arial Narrow" w:cs="Times New Roman"/>
          <w:sz w:val="24"/>
          <w:szCs w:val="24"/>
        </w:rPr>
        <w:t>D</w:t>
      </w:r>
      <w:r w:rsidR="00F54FA4" w:rsidRPr="00DD1C13">
        <w:rPr>
          <w:rFonts w:ascii="Arial Narrow" w:hAnsi="Arial Narrow" w:cs="Times New Roman"/>
          <w:sz w:val="24"/>
          <w:szCs w:val="24"/>
        </w:rPr>
        <w:t xml:space="preserve">ebe </w:t>
      </w:r>
      <w:r w:rsidR="00E229B3" w:rsidRPr="00DD1C13">
        <w:rPr>
          <w:rFonts w:ascii="Arial Narrow" w:hAnsi="Arial Narrow" w:cs="Times New Roman"/>
          <w:sz w:val="24"/>
          <w:szCs w:val="24"/>
        </w:rPr>
        <w:t>desarrollarse las coordinaciones y cooperaciones necesarias entre el sistema jurídico ordinario y el sistema jurídico de los pueblos indígenas o en caso de existir conflictos de competencia, el Tribunal de Conflictos de Jurisdicción resolverá lo pertinente, conforme a la ley.</w:t>
      </w:r>
    </w:p>
    <w:p w14:paraId="42117230" w14:textId="2E1B4DB9" w:rsidR="00F54FA4" w:rsidRPr="00DD1C13" w:rsidRDefault="00E46D21" w:rsidP="00435D14">
      <w:pPr>
        <w:spacing w:line="276" w:lineRule="auto"/>
        <w:jc w:val="both"/>
        <w:rPr>
          <w:rFonts w:ascii="Arial Narrow" w:hAnsi="Arial Narrow" w:cs="Times New Roman"/>
          <w:sz w:val="24"/>
          <w:szCs w:val="24"/>
          <w:lang w:val="es-GT"/>
        </w:rPr>
      </w:pPr>
      <w:r w:rsidRPr="00DD1C13">
        <w:rPr>
          <w:rFonts w:ascii="Arial Narrow" w:hAnsi="Arial Narrow" w:cs="Times New Roman"/>
          <w:sz w:val="24"/>
          <w:szCs w:val="24"/>
          <w:lang w:val="es-GT"/>
        </w:rPr>
        <w:t>Debido a la magnitud de los ataques racistas que se dieron en contra los Pueblos Indígenas</w:t>
      </w:r>
      <w:r w:rsidR="00DF1D88">
        <w:rPr>
          <w:rFonts w:ascii="Arial Narrow" w:hAnsi="Arial Narrow" w:cs="Times New Roman"/>
          <w:sz w:val="24"/>
          <w:szCs w:val="24"/>
          <w:lang w:val="es-GT"/>
        </w:rPr>
        <w:t xml:space="preserve"> por el contenido de la reforma descrita</w:t>
      </w:r>
      <w:r w:rsidRPr="00DD1C13">
        <w:rPr>
          <w:rFonts w:ascii="Arial Narrow" w:hAnsi="Arial Narrow" w:cs="Times New Roman"/>
          <w:sz w:val="24"/>
          <w:szCs w:val="24"/>
          <w:lang w:val="es-GT"/>
        </w:rPr>
        <w:t xml:space="preserve">, sus autoridades decidieron que se retira el texto en controversia en la </w:t>
      </w:r>
      <w:r w:rsidR="001224C2" w:rsidRPr="00DD1C13">
        <w:rPr>
          <w:rFonts w:ascii="Arial Narrow" w:hAnsi="Arial Narrow" w:cs="Times New Roman"/>
          <w:sz w:val="24"/>
          <w:szCs w:val="24"/>
          <w:lang w:val="es-GT"/>
        </w:rPr>
        <w:t xml:space="preserve">globalidad de </w:t>
      </w:r>
      <w:r w:rsidRPr="00DD1C13">
        <w:rPr>
          <w:rFonts w:ascii="Arial Narrow" w:hAnsi="Arial Narrow" w:cs="Times New Roman"/>
          <w:sz w:val="24"/>
          <w:szCs w:val="24"/>
          <w:lang w:val="es-GT"/>
        </w:rPr>
        <w:t xml:space="preserve">iniciativa de reforma </w:t>
      </w:r>
      <w:r w:rsidR="00F54FA4" w:rsidRPr="00DD1C13">
        <w:rPr>
          <w:rFonts w:ascii="Arial Narrow" w:hAnsi="Arial Narrow" w:cs="Times New Roman"/>
          <w:sz w:val="24"/>
          <w:szCs w:val="24"/>
          <w:lang w:val="es-GT"/>
        </w:rPr>
        <w:t>con el fin</w:t>
      </w:r>
      <w:r w:rsidR="001224C2" w:rsidRPr="00DD1C13">
        <w:rPr>
          <w:rFonts w:ascii="Arial Narrow" w:hAnsi="Arial Narrow" w:cs="Times New Roman"/>
          <w:sz w:val="24"/>
          <w:szCs w:val="24"/>
          <w:lang w:val="es-GT"/>
        </w:rPr>
        <w:t xml:space="preserve"> de que </w:t>
      </w:r>
      <w:r w:rsidR="00576DBF" w:rsidRPr="00DD1C13">
        <w:rPr>
          <w:rFonts w:ascii="Arial Narrow" w:hAnsi="Arial Narrow" w:cs="Times New Roman"/>
          <w:sz w:val="24"/>
          <w:szCs w:val="24"/>
          <w:lang w:val="es-GT"/>
        </w:rPr>
        <w:t>prosperara</w:t>
      </w:r>
      <w:r w:rsidR="005F091F">
        <w:rPr>
          <w:rFonts w:ascii="Arial Narrow" w:hAnsi="Arial Narrow" w:cs="Times New Roman"/>
          <w:sz w:val="24"/>
          <w:szCs w:val="24"/>
          <w:lang w:val="es-GT"/>
        </w:rPr>
        <w:t>n</w:t>
      </w:r>
      <w:r w:rsidR="00576DBF" w:rsidRPr="00DD1C13">
        <w:rPr>
          <w:rFonts w:ascii="Arial Narrow" w:hAnsi="Arial Narrow" w:cs="Times New Roman"/>
          <w:sz w:val="24"/>
          <w:szCs w:val="24"/>
          <w:lang w:val="es-GT"/>
        </w:rPr>
        <w:t xml:space="preserve"> los </w:t>
      </w:r>
      <w:r w:rsidR="00045357" w:rsidRPr="00DD1C13">
        <w:rPr>
          <w:rFonts w:ascii="Arial Narrow" w:hAnsi="Arial Narrow" w:cs="Times New Roman"/>
          <w:sz w:val="24"/>
          <w:szCs w:val="24"/>
          <w:lang w:val="es-GT"/>
        </w:rPr>
        <w:t xml:space="preserve">demás </w:t>
      </w:r>
      <w:r w:rsidR="00576DBF" w:rsidRPr="00DD1C13">
        <w:rPr>
          <w:rFonts w:ascii="Arial Narrow" w:hAnsi="Arial Narrow" w:cs="Times New Roman"/>
          <w:sz w:val="24"/>
          <w:szCs w:val="24"/>
          <w:lang w:val="es-GT"/>
        </w:rPr>
        <w:t>aspectos</w:t>
      </w:r>
      <w:r w:rsidR="003737FA" w:rsidRPr="00DD1C13">
        <w:rPr>
          <w:rFonts w:ascii="Arial Narrow" w:hAnsi="Arial Narrow" w:cs="Times New Roman"/>
          <w:sz w:val="24"/>
          <w:szCs w:val="24"/>
          <w:lang w:val="es-GT"/>
        </w:rPr>
        <w:t xml:space="preserve">; </w:t>
      </w:r>
      <w:r w:rsidR="00F54FA4" w:rsidRPr="00DD1C13">
        <w:rPr>
          <w:rFonts w:ascii="Arial Narrow" w:hAnsi="Arial Narrow" w:cs="Times New Roman"/>
          <w:sz w:val="24"/>
          <w:szCs w:val="24"/>
          <w:lang w:val="es-GT"/>
        </w:rPr>
        <w:t>asunto que no fue así</w:t>
      </w:r>
      <w:r w:rsidR="0038454E" w:rsidRPr="00DD1C13">
        <w:rPr>
          <w:rFonts w:ascii="Arial Narrow" w:hAnsi="Arial Narrow" w:cs="Times New Roman"/>
          <w:sz w:val="24"/>
          <w:szCs w:val="24"/>
          <w:lang w:val="es-GT"/>
        </w:rPr>
        <w:t xml:space="preserve">, pues la reforma </w:t>
      </w:r>
      <w:r w:rsidR="003737FA" w:rsidRPr="00DD1C13">
        <w:rPr>
          <w:rFonts w:ascii="Arial Narrow" w:hAnsi="Arial Narrow" w:cs="Times New Roman"/>
          <w:sz w:val="24"/>
          <w:szCs w:val="24"/>
          <w:lang w:val="es-GT"/>
        </w:rPr>
        <w:t xml:space="preserve">como tal </w:t>
      </w:r>
      <w:r w:rsidR="0038454E" w:rsidRPr="00DD1C13">
        <w:rPr>
          <w:rFonts w:ascii="Arial Narrow" w:hAnsi="Arial Narrow" w:cs="Times New Roman"/>
          <w:sz w:val="24"/>
          <w:szCs w:val="24"/>
          <w:lang w:val="es-GT"/>
        </w:rPr>
        <w:t xml:space="preserve">quedó estancada. </w:t>
      </w:r>
    </w:p>
    <w:p w14:paraId="42BAEFEF" w14:textId="732256BB" w:rsidR="00D61B50" w:rsidRPr="00DD1C13" w:rsidRDefault="00644264" w:rsidP="009F17A3">
      <w:pPr>
        <w:spacing w:line="276" w:lineRule="auto"/>
        <w:jc w:val="both"/>
        <w:rPr>
          <w:rFonts w:ascii="Arial Narrow" w:hAnsi="Arial Narrow" w:cs="Times New Roman"/>
          <w:sz w:val="24"/>
          <w:szCs w:val="24"/>
          <w:shd w:val="clear" w:color="auto" w:fill="FFFFFF"/>
          <w:lang w:val="es-GT"/>
        </w:rPr>
      </w:pPr>
      <w:r w:rsidRPr="00DD1C13">
        <w:rPr>
          <w:rFonts w:ascii="Arial Narrow" w:hAnsi="Arial Narrow" w:cs="Times New Roman"/>
          <w:sz w:val="24"/>
          <w:szCs w:val="24"/>
          <w:shd w:val="clear" w:color="auto" w:fill="FFFFFF"/>
          <w:lang w:val="es-GT"/>
        </w:rPr>
        <w:t xml:space="preserve">En cuanto al derecho de los Pueblos Indígenas de </w:t>
      </w:r>
      <w:r w:rsidRPr="00DD1C13">
        <w:rPr>
          <w:rFonts w:ascii="Arial Narrow" w:hAnsi="Arial Narrow" w:cs="Times New Roman"/>
          <w:sz w:val="24"/>
          <w:szCs w:val="24"/>
          <w:lang w:val="es-GT"/>
        </w:rPr>
        <w:t xml:space="preserve">establecer sus propios medios de información en sus propios idiomas (art. 16 de la Declaración) en Guatemala </w:t>
      </w:r>
      <w:r w:rsidR="00B26884" w:rsidRPr="00DD1C13">
        <w:rPr>
          <w:rFonts w:ascii="Arial Narrow" w:hAnsi="Arial Narrow" w:cs="Times New Roman"/>
          <w:sz w:val="24"/>
          <w:szCs w:val="24"/>
          <w:lang w:val="es-GT"/>
        </w:rPr>
        <w:t xml:space="preserve">ante la ausencia de </w:t>
      </w:r>
      <w:r w:rsidRPr="00DD1C13">
        <w:rPr>
          <w:rFonts w:ascii="Arial Narrow" w:hAnsi="Arial Narrow" w:cs="Times New Roman"/>
          <w:sz w:val="24"/>
          <w:szCs w:val="24"/>
          <w:lang w:val="es-GT"/>
        </w:rPr>
        <w:t xml:space="preserve">un marco regulatorio, </w:t>
      </w:r>
      <w:r w:rsidR="00D61B50" w:rsidRPr="00DD1C13">
        <w:rPr>
          <w:rFonts w:ascii="Arial Narrow" w:hAnsi="Arial Narrow" w:cs="Times New Roman"/>
          <w:sz w:val="24"/>
          <w:szCs w:val="24"/>
          <w:shd w:val="clear" w:color="auto" w:fill="FFFFFF"/>
          <w:lang w:val="es-GT"/>
        </w:rPr>
        <w:t>los Pueblos Indígenas hicieron funcionar sus propios medios de comunicación</w:t>
      </w:r>
      <w:r w:rsidR="00B26884" w:rsidRPr="00DD1C13">
        <w:rPr>
          <w:rFonts w:ascii="Arial Narrow" w:hAnsi="Arial Narrow" w:cs="Times New Roman"/>
          <w:sz w:val="24"/>
          <w:szCs w:val="24"/>
          <w:shd w:val="clear" w:color="auto" w:fill="FFFFFF"/>
          <w:lang w:val="es-GT"/>
        </w:rPr>
        <w:t xml:space="preserve">; </w:t>
      </w:r>
      <w:r w:rsidRPr="00DD1C13">
        <w:rPr>
          <w:rFonts w:ascii="Arial Narrow" w:hAnsi="Arial Narrow" w:cs="Times New Roman"/>
          <w:sz w:val="24"/>
          <w:szCs w:val="24"/>
          <w:shd w:val="clear" w:color="auto" w:fill="FFFFFF"/>
          <w:lang w:val="es-GT"/>
        </w:rPr>
        <w:t>medida que no fue</w:t>
      </w:r>
      <w:r w:rsidR="00B26884" w:rsidRPr="00DD1C13">
        <w:rPr>
          <w:rFonts w:ascii="Arial Narrow" w:hAnsi="Arial Narrow" w:cs="Times New Roman"/>
          <w:sz w:val="24"/>
          <w:szCs w:val="24"/>
          <w:shd w:val="clear" w:color="auto" w:fill="FFFFFF"/>
          <w:lang w:val="es-GT"/>
        </w:rPr>
        <w:t xml:space="preserve"> </w:t>
      </w:r>
      <w:r w:rsidR="00D61B50" w:rsidRPr="00DD1C13">
        <w:rPr>
          <w:rFonts w:ascii="Arial Narrow" w:hAnsi="Arial Narrow" w:cs="Times New Roman"/>
          <w:sz w:val="24"/>
          <w:szCs w:val="24"/>
          <w:shd w:val="clear" w:color="auto" w:fill="FFFFFF"/>
          <w:lang w:val="es-GT"/>
        </w:rPr>
        <w:t>del agrado de las cámaras empresariales de comunicación comercial</w:t>
      </w:r>
      <w:r w:rsidR="00B26884" w:rsidRPr="00DD1C13">
        <w:rPr>
          <w:rFonts w:ascii="Arial Narrow" w:hAnsi="Arial Narrow" w:cs="Times New Roman"/>
          <w:sz w:val="24"/>
          <w:szCs w:val="24"/>
          <w:shd w:val="clear" w:color="auto" w:fill="FFFFFF"/>
          <w:lang w:val="es-GT"/>
        </w:rPr>
        <w:t>,</w:t>
      </w:r>
      <w:r w:rsidR="00D61B50" w:rsidRPr="00DD1C13">
        <w:rPr>
          <w:rFonts w:ascii="Arial Narrow" w:hAnsi="Arial Narrow" w:cs="Times New Roman"/>
          <w:sz w:val="24"/>
          <w:szCs w:val="24"/>
          <w:shd w:val="clear" w:color="auto" w:fill="FFFFFF"/>
          <w:lang w:val="es-GT"/>
        </w:rPr>
        <w:t xml:space="preserve"> </w:t>
      </w:r>
      <w:r w:rsidR="00B26884" w:rsidRPr="00DD1C13">
        <w:rPr>
          <w:rFonts w:ascii="Arial Narrow" w:hAnsi="Arial Narrow" w:cs="Times New Roman"/>
          <w:sz w:val="24"/>
          <w:szCs w:val="24"/>
          <w:shd w:val="clear" w:color="auto" w:fill="FFFFFF"/>
          <w:lang w:val="es-GT"/>
        </w:rPr>
        <w:t xml:space="preserve">quienes utilizaron al Estado por medio del Ministerio Público para criminalizar el funcionamiento de los medios de comunicación comunitaria. </w:t>
      </w:r>
    </w:p>
    <w:p w14:paraId="7FE8BEA3" w14:textId="615379DA" w:rsidR="00B26884" w:rsidRPr="00DD1C13" w:rsidRDefault="00B26884" w:rsidP="009F17A3">
      <w:pPr>
        <w:spacing w:line="276" w:lineRule="auto"/>
        <w:jc w:val="both"/>
        <w:rPr>
          <w:rFonts w:ascii="Arial Narrow" w:hAnsi="Arial Narrow" w:cs="Times New Roman"/>
          <w:sz w:val="24"/>
          <w:szCs w:val="24"/>
          <w:shd w:val="clear" w:color="auto" w:fill="FFFFFF"/>
          <w:lang w:val="es-GT"/>
        </w:rPr>
      </w:pPr>
      <w:r w:rsidRPr="00DD1C13">
        <w:rPr>
          <w:rFonts w:ascii="Arial Narrow" w:hAnsi="Arial Narrow" w:cs="Times New Roman"/>
          <w:sz w:val="24"/>
          <w:szCs w:val="24"/>
          <w:shd w:val="clear" w:color="auto" w:fill="FFFFFF"/>
          <w:lang w:val="es-GT"/>
        </w:rPr>
        <w:t xml:space="preserve">Varios comunicadores sociales indígenas fueron capturados, las estaciones de radios clausuradas y los equipos secuestrados por parte del Ministerio Público. </w:t>
      </w:r>
    </w:p>
    <w:p w14:paraId="30E2F417" w14:textId="11CAACF1" w:rsidR="007512A9" w:rsidRPr="00DD1C13" w:rsidRDefault="004A4EAB" w:rsidP="00D61B50">
      <w:pPr>
        <w:spacing w:line="276" w:lineRule="auto"/>
        <w:jc w:val="both"/>
        <w:rPr>
          <w:rFonts w:ascii="Arial Narrow" w:hAnsi="Arial Narrow" w:cs="Times New Roman"/>
          <w:sz w:val="24"/>
          <w:szCs w:val="24"/>
          <w:lang w:val="es-GT"/>
        </w:rPr>
      </w:pPr>
      <w:r w:rsidRPr="00DD1C13">
        <w:rPr>
          <w:rFonts w:ascii="Arial Narrow" w:hAnsi="Arial Narrow" w:cs="Times New Roman"/>
          <w:sz w:val="24"/>
          <w:szCs w:val="24"/>
          <w:shd w:val="clear" w:color="auto" w:fill="FFFFFF"/>
          <w:lang w:val="es-GT"/>
        </w:rPr>
        <w:t xml:space="preserve">Ante esta criminalización los Pueblos Indígenas afectados acudieron a la </w:t>
      </w:r>
      <w:r w:rsidR="00D61B50" w:rsidRPr="00DD1C13">
        <w:rPr>
          <w:rFonts w:ascii="Arial Narrow" w:hAnsi="Arial Narrow" w:cs="Times New Roman"/>
          <w:sz w:val="24"/>
          <w:szCs w:val="24"/>
          <w:shd w:val="clear" w:color="auto" w:fill="FFFFFF"/>
          <w:lang w:val="es-GT"/>
        </w:rPr>
        <w:t xml:space="preserve">Corte Interamericana de Derechos Humanos </w:t>
      </w:r>
      <w:r w:rsidR="003737FA" w:rsidRPr="00DD1C13">
        <w:rPr>
          <w:rFonts w:ascii="Arial Narrow" w:hAnsi="Arial Narrow" w:cs="Times New Roman"/>
          <w:sz w:val="24"/>
          <w:szCs w:val="24"/>
          <w:shd w:val="clear" w:color="auto" w:fill="FFFFFF"/>
          <w:lang w:val="es-GT"/>
        </w:rPr>
        <w:t xml:space="preserve">(CIDH) </w:t>
      </w:r>
      <w:r w:rsidRPr="00DD1C13">
        <w:rPr>
          <w:rFonts w:ascii="Arial Narrow" w:hAnsi="Arial Narrow" w:cs="Times New Roman"/>
          <w:sz w:val="24"/>
          <w:szCs w:val="24"/>
          <w:shd w:val="clear" w:color="auto" w:fill="FFFFFF"/>
          <w:lang w:val="es-GT"/>
        </w:rPr>
        <w:t xml:space="preserve">quien </w:t>
      </w:r>
      <w:r w:rsidR="00D61B50" w:rsidRPr="00DD1C13">
        <w:rPr>
          <w:rFonts w:ascii="Arial Narrow" w:hAnsi="Arial Narrow" w:cs="Times New Roman"/>
          <w:sz w:val="24"/>
          <w:szCs w:val="24"/>
          <w:shd w:val="clear" w:color="auto" w:fill="FFFFFF"/>
          <w:lang w:val="es-GT"/>
        </w:rPr>
        <w:t xml:space="preserve">emitió sentencia en contra del Estado de Guatemala en el </w:t>
      </w:r>
      <w:r w:rsidR="00D61B50" w:rsidRPr="00DD1C13">
        <w:rPr>
          <w:rFonts w:ascii="Arial Narrow" w:hAnsi="Arial Narrow" w:cs="Times New Roman"/>
          <w:sz w:val="24"/>
          <w:szCs w:val="24"/>
          <w:lang w:val="es-GT"/>
        </w:rPr>
        <w:t>Caso Pueblos Indígenas Maya Kaqchikel de Sumpango y otros Vs. Guatemala</w:t>
      </w:r>
      <w:r w:rsidR="0082566B">
        <w:rPr>
          <w:rStyle w:val="FootnoteReference"/>
          <w:rFonts w:ascii="Arial Narrow" w:hAnsi="Arial Narrow" w:cs="Times New Roman"/>
          <w:sz w:val="24"/>
          <w:szCs w:val="24"/>
          <w:lang w:val="es-GT"/>
        </w:rPr>
        <w:footnoteReference w:id="13"/>
      </w:r>
      <w:r w:rsidR="003737FA" w:rsidRPr="00DD1C13">
        <w:rPr>
          <w:rFonts w:ascii="Arial Narrow" w:hAnsi="Arial Narrow" w:cs="Times New Roman"/>
          <w:sz w:val="24"/>
          <w:szCs w:val="24"/>
          <w:lang w:val="es-GT"/>
        </w:rPr>
        <w:t xml:space="preserve">. </w:t>
      </w:r>
    </w:p>
    <w:p w14:paraId="60985EC9" w14:textId="3B2FB942" w:rsidR="00D61B50" w:rsidRPr="00DD1C13" w:rsidRDefault="003737FA" w:rsidP="00D61B50">
      <w:pPr>
        <w:spacing w:line="276" w:lineRule="auto"/>
        <w:jc w:val="both"/>
        <w:rPr>
          <w:rFonts w:ascii="Arial Narrow" w:hAnsi="Arial Narrow" w:cs="Times New Roman"/>
          <w:sz w:val="24"/>
          <w:szCs w:val="24"/>
          <w:lang w:val="es-GT"/>
        </w:rPr>
      </w:pPr>
      <w:r w:rsidRPr="00DD1C13">
        <w:rPr>
          <w:rFonts w:ascii="Arial Narrow" w:hAnsi="Arial Narrow" w:cs="Times New Roman"/>
          <w:sz w:val="24"/>
          <w:szCs w:val="24"/>
          <w:lang w:val="es-GT"/>
        </w:rPr>
        <w:t xml:space="preserve">La Corte </w:t>
      </w:r>
      <w:r w:rsidR="00D61B50" w:rsidRPr="00DD1C13">
        <w:rPr>
          <w:rFonts w:ascii="Arial Narrow" w:hAnsi="Arial Narrow" w:cs="Times New Roman"/>
          <w:sz w:val="24"/>
          <w:szCs w:val="24"/>
          <w:lang w:val="es-GT"/>
        </w:rPr>
        <w:t xml:space="preserve">encontró al Estado de Guatemala responsable internacionalmente por la violación de los derechos a la libertad de expresión, la igualdad ante la ley y a participar en la vida cultural, en perjuicio de los pueblos indígenas Maya Kaqchikel de Sumpango, Maya </w:t>
      </w:r>
      <w:proofErr w:type="spellStart"/>
      <w:r w:rsidR="00D61B50" w:rsidRPr="00DD1C13">
        <w:rPr>
          <w:rFonts w:ascii="Arial Narrow" w:hAnsi="Arial Narrow" w:cs="Times New Roman"/>
          <w:sz w:val="24"/>
          <w:szCs w:val="24"/>
          <w:lang w:val="es-GT"/>
        </w:rPr>
        <w:t>Ach</w:t>
      </w:r>
      <w:r w:rsidR="00E83C64" w:rsidRPr="00DD1C13">
        <w:rPr>
          <w:rFonts w:ascii="Arial Narrow" w:hAnsi="Arial Narrow" w:cs="Times New Roman"/>
          <w:sz w:val="24"/>
          <w:szCs w:val="24"/>
          <w:lang w:val="es-GT"/>
        </w:rPr>
        <w:t>i</w:t>
      </w:r>
      <w:proofErr w:type="spellEnd"/>
      <w:r w:rsidR="00D61B50" w:rsidRPr="00DD1C13">
        <w:rPr>
          <w:rFonts w:ascii="Arial Narrow" w:hAnsi="Arial Narrow" w:cs="Times New Roman"/>
          <w:sz w:val="24"/>
          <w:szCs w:val="24"/>
          <w:lang w:val="es-GT"/>
        </w:rPr>
        <w:t xml:space="preserve"> de San Miguel Chicaj, Maya </w:t>
      </w:r>
      <w:proofErr w:type="spellStart"/>
      <w:r w:rsidR="00D61B50" w:rsidRPr="00DD1C13">
        <w:rPr>
          <w:rFonts w:ascii="Arial Narrow" w:hAnsi="Arial Narrow" w:cs="Times New Roman"/>
          <w:sz w:val="24"/>
          <w:szCs w:val="24"/>
          <w:lang w:val="es-GT"/>
        </w:rPr>
        <w:t>Mam</w:t>
      </w:r>
      <w:proofErr w:type="spellEnd"/>
      <w:r w:rsidR="00D61B50" w:rsidRPr="00DD1C13">
        <w:rPr>
          <w:rFonts w:ascii="Arial Narrow" w:hAnsi="Arial Narrow" w:cs="Times New Roman"/>
          <w:sz w:val="24"/>
          <w:szCs w:val="24"/>
          <w:lang w:val="es-GT"/>
        </w:rPr>
        <w:t xml:space="preserve"> de </w:t>
      </w:r>
      <w:proofErr w:type="spellStart"/>
      <w:r w:rsidR="00D61B50" w:rsidRPr="00DD1C13">
        <w:rPr>
          <w:rFonts w:ascii="Arial Narrow" w:hAnsi="Arial Narrow" w:cs="Times New Roman"/>
          <w:sz w:val="24"/>
          <w:szCs w:val="24"/>
          <w:lang w:val="es-GT"/>
        </w:rPr>
        <w:t>Cajolá</w:t>
      </w:r>
      <w:proofErr w:type="spellEnd"/>
      <w:r w:rsidR="00D61B50" w:rsidRPr="00DD1C13">
        <w:rPr>
          <w:rFonts w:ascii="Arial Narrow" w:hAnsi="Arial Narrow" w:cs="Times New Roman"/>
          <w:sz w:val="24"/>
          <w:szCs w:val="24"/>
          <w:lang w:val="es-GT"/>
        </w:rPr>
        <w:t xml:space="preserve"> y Maya </w:t>
      </w:r>
      <w:proofErr w:type="spellStart"/>
      <w:r w:rsidR="00D61B50" w:rsidRPr="00DD1C13">
        <w:rPr>
          <w:rFonts w:ascii="Arial Narrow" w:hAnsi="Arial Narrow" w:cs="Times New Roman"/>
          <w:sz w:val="24"/>
          <w:szCs w:val="24"/>
          <w:lang w:val="es-GT"/>
        </w:rPr>
        <w:t>Mam</w:t>
      </w:r>
      <w:proofErr w:type="spellEnd"/>
      <w:r w:rsidR="00D61B50" w:rsidRPr="00DD1C13">
        <w:rPr>
          <w:rFonts w:ascii="Arial Narrow" w:hAnsi="Arial Narrow" w:cs="Times New Roman"/>
          <w:sz w:val="24"/>
          <w:szCs w:val="24"/>
          <w:lang w:val="es-GT"/>
        </w:rPr>
        <w:t xml:space="preserve"> de Todos Santos </w:t>
      </w:r>
      <w:proofErr w:type="spellStart"/>
      <w:r w:rsidR="00D61B50" w:rsidRPr="00DD1C13">
        <w:rPr>
          <w:rFonts w:ascii="Arial Narrow" w:hAnsi="Arial Narrow" w:cs="Times New Roman"/>
          <w:sz w:val="24"/>
          <w:szCs w:val="24"/>
          <w:lang w:val="es-GT"/>
        </w:rPr>
        <w:t>Cuchumatán</w:t>
      </w:r>
      <w:proofErr w:type="spellEnd"/>
      <w:r w:rsidR="00D61B50" w:rsidRPr="00DD1C13">
        <w:rPr>
          <w:rFonts w:ascii="Arial Narrow" w:hAnsi="Arial Narrow" w:cs="Times New Roman"/>
          <w:sz w:val="24"/>
          <w:szCs w:val="24"/>
          <w:lang w:val="es-GT"/>
        </w:rPr>
        <w:t>. Tales violaciones ocurrieron principalmente porque el marco regulatorio concerniente a la radiodifusión en Guatemala, particularmente, la Ley General de Telecomunicaciones (LGT) impidió, en la práctica, que estas comunidades indígenas pudieran operar legalmente sus radios comunitarias.</w:t>
      </w:r>
    </w:p>
    <w:p w14:paraId="64C3324A" w14:textId="747ABE88" w:rsidR="00DF0ACD" w:rsidRPr="00DD1C13" w:rsidRDefault="00DF0ACD" w:rsidP="00DF0ACD">
      <w:pPr>
        <w:spacing w:line="276" w:lineRule="auto"/>
        <w:jc w:val="both"/>
        <w:rPr>
          <w:rFonts w:ascii="Arial Narrow" w:hAnsi="Arial Narrow" w:cs="Times New Roman"/>
          <w:spacing w:val="4"/>
          <w:sz w:val="24"/>
          <w:szCs w:val="24"/>
          <w:lang w:val="es-GT"/>
        </w:rPr>
      </w:pPr>
      <w:r w:rsidRPr="00DD1C13">
        <w:rPr>
          <w:rFonts w:ascii="Arial Narrow" w:hAnsi="Arial Narrow" w:cs="Times New Roman"/>
          <w:spacing w:val="4"/>
          <w:sz w:val="24"/>
          <w:szCs w:val="24"/>
          <w:lang w:val="es-GT"/>
        </w:rPr>
        <w:t xml:space="preserve">El 14 de noviembre de 2023, el gobierno emitió el Acuerdo Gubernativo No. 251-2023 por medio del cual se crea el puesto de Viceministro de Interculturalidad en el Ministerio de Cultura y Deportes. Los Pueblos Indígenas desconocen la finalidad de esta creación pues en ningún momento fueron informados ni consultados.  </w:t>
      </w:r>
    </w:p>
    <w:p w14:paraId="2BF96ACD" w14:textId="77777777" w:rsidR="00AA3175" w:rsidRPr="00DD1C13" w:rsidRDefault="00B52810" w:rsidP="00D61B50">
      <w:pPr>
        <w:spacing w:line="276" w:lineRule="auto"/>
        <w:jc w:val="both"/>
        <w:rPr>
          <w:rFonts w:ascii="Arial Narrow" w:hAnsi="Arial Narrow" w:cs="Times New Roman"/>
          <w:sz w:val="24"/>
          <w:szCs w:val="24"/>
          <w:lang w:val="es-GT"/>
        </w:rPr>
      </w:pPr>
      <w:r w:rsidRPr="00DD1C13">
        <w:rPr>
          <w:rFonts w:ascii="Arial Narrow" w:hAnsi="Arial Narrow" w:cs="Times New Roman"/>
          <w:spacing w:val="4"/>
          <w:sz w:val="24"/>
          <w:szCs w:val="24"/>
          <w:lang w:val="es-GT"/>
        </w:rPr>
        <w:t xml:space="preserve">La Corte de Constitucionalidad ha emitido </w:t>
      </w:r>
      <w:r w:rsidR="00B9266F" w:rsidRPr="00DD1C13">
        <w:rPr>
          <w:rFonts w:ascii="Arial Narrow" w:hAnsi="Arial Narrow" w:cs="Times New Roman"/>
          <w:spacing w:val="4"/>
          <w:sz w:val="24"/>
          <w:szCs w:val="24"/>
          <w:lang w:val="es-GT"/>
        </w:rPr>
        <w:t xml:space="preserve">con lugar </w:t>
      </w:r>
      <w:r w:rsidRPr="00DD1C13">
        <w:rPr>
          <w:rFonts w:ascii="Arial Narrow" w:hAnsi="Arial Narrow" w:cs="Times New Roman"/>
          <w:spacing w:val="4"/>
          <w:sz w:val="24"/>
          <w:szCs w:val="24"/>
          <w:lang w:val="es-GT"/>
        </w:rPr>
        <w:t xml:space="preserve">las siguientes </w:t>
      </w:r>
      <w:r w:rsidRPr="00DD1C13">
        <w:rPr>
          <w:rFonts w:ascii="Arial Narrow" w:hAnsi="Arial Narrow" w:cs="Times New Roman"/>
          <w:sz w:val="24"/>
          <w:szCs w:val="24"/>
          <w:lang w:val="es-GT"/>
        </w:rPr>
        <w:t xml:space="preserve">sentencias en acciones constitucionales de amparo por la omisión de efectuar la consulta previa, libre e informada a </w:t>
      </w:r>
      <w:r w:rsidR="00CC3D03" w:rsidRPr="00DD1C13">
        <w:rPr>
          <w:rFonts w:ascii="Arial Narrow" w:hAnsi="Arial Narrow" w:cs="Times New Roman"/>
          <w:sz w:val="24"/>
          <w:szCs w:val="24"/>
          <w:lang w:val="es-GT"/>
        </w:rPr>
        <w:t>P</w:t>
      </w:r>
      <w:r w:rsidRPr="00DD1C13">
        <w:rPr>
          <w:rFonts w:ascii="Arial Narrow" w:hAnsi="Arial Narrow" w:cs="Times New Roman"/>
          <w:sz w:val="24"/>
          <w:szCs w:val="24"/>
          <w:lang w:val="es-GT"/>
        </w:rPr>
        <w:t xml:space="preserve">ueblos </w:t>
      </w:r>
      <w:r w:rsidR="00CC3D03" w:rsidRPr="00DD1C13">
        <w:rPr>
          <w:rFonts w:ascii="Arial Narrow" w:hAnsi="Arial Narrow" w:cs="Times New Roman"/>
          <w:sz w:val="24"/>
          <w:szCs w:val="24"/>
          <w:lang w:val="es-GT"/>
        </w:rPr>
        <w:t>I</w:t>
      </w:r>
      <w:r w:rsidRPr="00DD1C13">
        <w:rPr>
          <w:rFonts w:ascii="Arial Narrow" w:hAnsi="Arial Narrow" w:cs="Times New Roman"/>
          <w:sz w:val="24"/>
          <w:szCs w:val="24"/>
          <w:lang w:val="es-GT"/>
        </w:rPr>
        <w:t>ndígenas</w:t>
      </w:r>
      <w:r w:rsidR="00AA3175" w:rsidRPr="00DD1C13">
        <w:rPr>
          <w:rFonts w:ascii="Arial Narrow" w:hAnsi="Arial Narrow" w:cs="Times New Roman"/>
          <w:sz w:val="24"/>
          <w:szCs w:val="24"/>
          <w:lang w:val="es-GT"/>
        </w:rPr>
        <w:t xml:space="preserve">, en los siguientes temas: </w:t>
      </w:r>
    </w:p>
    <w:p w14:paraId="2ED4F396" w14:textId="331A3AD6" w:rsidR="00AA3175" w:rsidRPr="00DD1C13" w:rsidRDefault="00AA3175" w:rsidP="00AA3175">
      <w:pPr>
        <w:pStyle w:val="ListParagraph"/>
        <w:numPr>
          <w:ilvl w:val="0"/>
          <w:numId w:val="21"/>
        </w:numPr>
        <w:spacing w:line="276" w:lineRule="auto"/>
        <w:jc w:val="both"/>
        <w:rPr>
          <w:rFonts w:ascii="Arial Narrow" w:hAnsi="Arial Narrow" w:cs="Times New Roman"/>
          <w:sz w:val="24"/>
          <w:szCs w:val="24"/>
        </w:rPr>
      </w:pPr>
      <w:r w:rsidRPr="00DD1C13">
        <w:rPr>
          <w:rFonts w:ascii="Arial Narrow" w:hAnsi="Arial Narrow" w:cs="Times New Roman"/>
          <w:sz w:val="24"/>
          <w:szCs w:val="24"/>
        </w:rPr>
        <w:t>Hidroeléctrica en expedientes</w:t>
      </w:r>
      <w:r w:rsidR="00726229" w:rsidRPr="00DD1C13">
        <w:rPr>
          <w:rFonts w:ascii="Arial Narrow" w:hAnsi="Arial Narrow" w:cs="Times New Roman"/>
          <w:sz w:val="24"/>
          <w:szCs w:val="24"/>
        </w:rPr>
        <w:t xml:space="preserve">: </w:t>
      </w:r>
      <w:r w:rsidRPr="00DD1C13">
        <w:rPr>
          <w:rFonts w:ascii="Arial Narrow" w:hAnsi="Arial Narrow" w:cs="Times New Roman"/>
          <w:sz w:val="24"/>
          <w:szCs w:val="24"/>
        </w:rPr>
        <w:t xml:space="preserve"> 1149-2012 (10/09/2015) y 4957-2012 y 4958- 2012 (14/09/2015);</w:t>
      </w:r>
    </w:p>
    <w:p w14:paraId="4349DCD3" w14:textId="4B0781B8" w:rsidR="00AA3175" w:rsidRPr="00DD1C13" w:rsidRDefault="00AA3175" w:rsidP="00AA3175">
      <w:pPr>
        <w:pStyle w:val="ListParagraph"/>
        <w:numPr>
          <w:ilvl w:val="0"/>
          <w:numId w:val="21"/>
        </w:numPr>
        <w:spacing w:line="276" w:lineRule="auto"/>
        <w:jc w:val="both"/>
        <w:rPr>
          <w:rFonts w:ascii="Arial Narrow" w:hAnsi="Arial Narrow" w:cs="Times New Roman"/>
          <w:sz w:val="24"/>
          <w:szCs w:val="24"/>
        </w:rPr>
      </w:pPr>
      <w:r w:rsidRPr="00DD1C13">
        <w:rPr>
          <w:rFonts w:ascii="Arial Narrow" w:hAnsi="Arial Narrow" w:cs="Times New Roman"/>
          <w:sz w:val="24"/>
          <w:szCs w:val="24"/>
        </w:rPr>
        <w:t>Minería en expedientes</w:t>
      </w:r>
      <w:r w:rsidR="00726229" w:rsidRPr="00DD1C13">
        <w:rPr>
          <w:rFonts w:ascii="Arial Narrow" w:hAnsi="Arial Narrow" w:cs="Times New Roman"/>
          <w:sz w:val="24"/>
          <w:szCs w:val="24"/>
        </w:rPr>
        <w:t xml:space="preserve">: </w:t>
      </w:r>
      <w:r w:rsidRPr="00DD1C13">
        <w:rPr>
          <w:rFonts w:ascii="Arial Narrow" w:hAnsi="Arial Narrow" w:cs="Times New Roman"/>
          <w:sz w:val="24"/>
          <w:szCs w:val="24"/>
        </w:rPr>
        <w:t xml:space="preserve"> 406-2014 (23/11/2015), 5712-2013 (23/11/2015), 411-2014 (12/01/2016), 5705-2013 y 5713- 2013 (12/01/2016), 3753-2014 (13/01/2016)</w:t>
      </w:r>
      <w:r w:rsidR="00726229" w:rsidRPr="00DD1C13">
        <w:rPr>
          <w:rFonts w:ascii="Arial Narrow" w:hAnsi="Arial Narrow" w:cs="Times New Roman"/>
          <w:sz w:val="24"/>
          <w:szCs w:val="24"/>
        </w:rPr>
        <w:t xml:space="preserve">, </w:t>
      </w:r>
      <w:r w:rsidRPr="00DD1C13">
        <w:rPr>
          <w:rFonts w:ascii="Arial Narrow" w:hAnsi="Arial Narrow" w:cs="Times New Roman"/>
          <w:sz w:val="24"/>
          <w:szCs w:val="24"/>
        </w:rPr>
        <w:t>2567-2015 (31/03/2016)</w:t>
      </w:r>
      <w:r w:rsidR="00726229" w:rsidRPr="00DD1C13">
        <w:rPr>
          <w:rFonts w:ascii="Arial Narrow" w:hAnsi="Arial Narrow" w:cs="Times New Roman"/>
          <w:sz w:val="24"/>
          <w:szCs w:val="24"/>
        </w:rPr>
        <w:t xml:space="preserve"> y 1076-2017 (08/09/2017); y </w:t>
      </w:r>
    </w:p>
    <w:p w14:paraId="3FAFFFCF" w14:textId="261DE872" w:rsidR="00AA3175" w:rsidRPr="00DD1C13" w:rsidRDefault="00AA3175" w:rsidP="00AA3175">
      <w:pPr>
        <w:pStyle w:val="ListParagraph"/>
        <w:numPr>
          <w:ilvl w:val="0"/>
          <w:numId w:val="21"/>
        </w:numPr>
        <w:spacing w:line="276" w:lineRule="auto"/>
        <w:jc w:val="both"/>
        <w:rPr>
          <w:rFonts w:ascii="Arial Narrow" w:hAnsi="Arial Narrow" w:cs="Times New Roman"/>
          <w:sz w:val="24"/>
          <w:szCs w:val="24"/>
        </w:rPr>
      </w:pPr>
      <w:r w:rsidRPr="00DD1C13">
        <w:rPr>
          <w:rFonts w:ascii="Arial Narrow" w:hAnsi="Arial Narrow" w:cs="Times New Roman"/>
          <w:sz w:val="24"/>
          <w:szCs w:val="24"/>
        </w:rPr>
        <w:t xml:space="preserve">Conducción de energía eléctrica en </w:t>
      </w:r>
      <w:r w:rsidR="00726229" w:rsidRPr="00DD1C13">
        <w:rPr>
          <w:rFonts w:ascii="Arial Narrow" w:hAnsi="Arial Narrow" w:cs="Times New Roman"/>
          <w:sz w:val="24"/>
          <w:szCs w:val="24"/>
        </w:rPr>
        <w:t>expedientes: 5711-2013 (07/07/2016); 1798-2015 (16/01/2017), 90-2017, 91-2017 y 92-2017 (26/05/2017)</w:t>
      </w:r>
      <w:r w:rsidR="00B83D52" w:rsidRPr="00DD1C13">
        <w:rPr>
          <w:rFonts w:ascii="Arial Narrow" w:hAnsi="Arial Narrow" w:cs="Times New Roman"/>
          <w:sz w:val="24"/>
          <w:szCs w:val="24"/>
        </w:rPr>
        <w:t xml:space="preserve">. </w:t>
      </w:r>
    </w:p>
    <w:p w14:paraId="2ED6D362" w14:textId="425E27B5" w:rsidR="00186EC2" w:rsidRPr="00DD1C13" w:rsidRDefault="00186EC2" w:rsidP="00703D87">
      <w:pPr>
        <w:spacing w:line="276" w:lineRule="auto"/>
        <w:jc w:val="both"/>
        <w:rPr>
          <w:rFonts w:ascii="Arial Narrow" w:hAnsi="Arial Narrow" w:cs="Times New Roman"/>
          <w:sz w:val="24"/>
          <w:szCs w:val="24"/>
          <w:lang w:val="es-GT"/>
        </w:rPr>
      </w:pPr>
      <w:r w:rsidRPr="00DD1C13">
        <w:rPr>
          <w:rFonts w:ascii="Arial Narrow" w:hAnsi="Arial Narrow" w:cs="Times New Roman"/>
          <w:spacing w:val="4"/>
          <w:sz w:val="24"/>
          <w:szCs w:val="24"/>
          <w:lang w:val="es-GT"/>
        </w:rPr>
        <w:t xml:space="preserve">Otras sentencias de la </w:t>
      </w:r>
      <w:r w:rsidRPr="00DD1C13">
        <w:rPr>
          <w:rFonts w:ascii="Arial Narrow" w:hAnsi="Arial Narrow" w:cs="Times New Roman"/>
          <w:sz w:val="24"/>
          <w:szCs w:val="24"/>
          <w:lang w:val="es-GT"/>
        </w:rPr>
        <w:t>Corte de Constitucionalidad en aplicación del control de convencionalidad s</w:t>
      </w:r>
      <w:r w:rsidR="0098105E" w:rsidRPr="00DD1C13">
        <w:rPr>
          <w:rFonts w:ascii="Arial Narrow" w:hAnsi="Arial Narrow" w:cs="Times New Roman"/>
          <w:sz w:val="24"/>
          <w:szCs w:val="24"/>
          <w:lang w:val="es-GT"/>
        </w:rPr>
        <w:t xml:space="preserve">on las </w:t>
      </w:r>
      <w:r w:rsidRPr="00DD1C13">
        <w:rPr>
          <w:rFonts w:ascii="Arial Narrow" w:hAnsi="Arial Narrow" w:cs="Times New Roman"/>
          <w:sz w:val="24"/>
          <w:szCs w:val="24"/>
          <w:lang w:val="es-GT"/>
        </w:rPr>
        <w:t>siguientes</w:t>
      </w:r>
      <w:r w:rsidR="00703D87" w:rsidRPr="00DD1C13">
        <w:rPr>
          <w:rFonts w:ascii="Arial Narrow" w:hAnsi="Arial Narrow" w:cs="Times New Roman"/>
          <w:sz w:val="24"/>
          <w:szCs w:val="24"/>
          <w:lang w:val="es-GT"/>
        </w:rPr>
        <w:t xml:space="preserve">: </w:t>
      </w:r>
    </w:p>
    <w:p w14:paraId="7EABCD06" w14:textId="77777777" w:rsidR="00186EC2" w:rsidRPr="00DD1C13" w:rsidRDefault="00703D87" w:rsidP="00186EC2">
      <w:pPr>
        <w:pStyle w:val="ListParagraph"/>
        <w:numPr>
          <w:ilvl w:val="0"/>
          <w:numId w:val="20"/>
        </w:numPr>
        <w:spacing w:line="276" w:lineRule="auto"/>
        <w:jc w:val="both"/>
        <w:rPr>
          <w:rFonts w:ascii="Arial Narrow" w:hAnsi="Arial Narrow" w:cs="Times New Roman"/>
          <w:sz w:val="24"/>
          <w:szCs w:val="24"/>
        </w:rPr>
      </w:pPr>
      <w:r w:rsidRPr="00DD1C13">
        <w:rPr>
          <w:rFonts w:ascii="Arial Narrow" w:hAnsi="Arial Narrow" w:cs="Times New Roman"/>
          <w:sz w:val="24"/>
          <w:szCs w:val="24"/>
        </w:rPr>
        <w:t>Expediente 4656-2012 y 862-20138 que se refiere a la obligación del Registro Nacional de las Personas de respetar los modos de conformación de nombres propios de las personas pertenecientes a los Pueblos Indígenas, según los usos y las costumbres de estos;</w:t>
      </w:r>
    </w:p>
    <w:p w14:paraId="3D1BC943" w14:textId="27E6227E" w:rsidR="00186EC2" w:rsidRPr="00DD1C13" w:rsidRDefault="00703D87" w:rsidP="00186EC2">
      <w:pPr>
        <w:pStyle w:val="ListParagraph"/>
        <w:numPr>
          <w:ilvl w:val="0"/>
          <w:numId w:val="20"/>
        </w:numPr>
        <w:spacing w:line="276" w:lineRule="auto"/>
        <w:jc w:val="both"/>
        <w:rPr>
          <w:rFonts w:ascii="Arial Narrow" w:hAnsi="Arial Narrow" w:cs="Times New Roman"/>
          <w:sz w:val="24"/>
          <w:szCs w:val="24"/>
        </w:rPr>
      </w:pPr>
      <w:r w:rsidRPr="00DD1C13">
        <w:rPr>
          <w:rFonts w:ascii="Arial Narrow" w:hAnsi="Arial Narrow" w:cs="Times New Roman"/>
          <w:sz w:val="24"/>
          <w:szCs w:val="24"/>
        </w:rPr>
        <w:t xml:space="preserve">Expediente 3067-20159 sobre el derecho de los Pueblos Indígenas a autodefinirse, organizarse y elegir a sus autoridades representativas, </w:t>
      </w:r>
      <w:r w:rsidR="00D42A42" w:rsidRPr="00DD1C13">
        <w:rPr>
          <w:rFonts w:ascii="Arial Narrow" w:hAnsi="Arial Narrow" w:cs="Times New Roman"/>
          <w:sz w:val="24"/>
          <w:szCs w:val="24"/>
        </w:rPr>
        <w:t>de acuerdo con</w:t>
      </w:r>
      <w:r w:rsidRPr="00DD1C13">
        <w:rPr>
          <w:rFonts w:ascii="Arial Narrow" w:hAnsi="Arial Narrow" w:cs="Times New Roman"/>
          <w:sz w:val="24"/>
          <w:szCs w:val="24"/>
        </w:rPr>
        <w:t xml:space="preserve"> sus usos y costumbres</w:t>
      </w:r>
      <w:r w:rsidR="00AA1B03" w:rsidRPr="00DD1C13">
        <w:rPr>
          <w:rFonts w:ascii="Arial Narrow" w:hAnsi="Arial Narrow" w:cs="Times New Roman"/>
          <w:sz w:val="24"/>
          <w:szCs w:val="24"/>
        </w:rPr>
        <w:t xml:space="preserve">; </w:t>
      </w:r>
    </w:p>
    <w:p w14:paraId="7322CFA2" w14:textId="1B2D459F" w:rsidR="00703D87" w:rsidRPr="00DD1C13" w:rsidRDefault="00703D87" w:rsidP="00186EC2">
      <w:pPr>
        <w:pStyle w:val="ListParagraph"/>
        <w:numPr>
          <w:ilvl w:val="0"/>
          <w:numId w:val="20"/>
        </w:numPr>
        <w:spacing w:line="276" w:lineRule="auto"/>
        <w:jc w:val="both"/>
        <w:rPr>
          <w:rFonts w:ascii="Arial Narrow" w:hAnsi="Arial Narrow" w:cs="Times New Roman"/>
          <w:sz w:val="24"/>
          <w:szCs w:val="24"/>
        </w:rPr>
      </w:pPr>
      <w:r w:rsidRPr="00DD1C13">
        <w:rPr>
          <w:rFonts w:ascii="Arial Narrow" w:hAnsi="Arial Narrow" w:cs="Times New Roman"/>
          <w:sz w:val="24"/>
          <w:szCs w:val="24"/>
        </w:rPr>
        <w:t>Expediente 5888-201310 sobre el reconocimiento de las asambleas comunitarias como expresión cultural de raíces ancestrales y sana práctica democrática, siempre que sean llevadas a cabo en armonía con derechos y principios fundamentales resguardados en el bloque de constitucionalidad</w:t>
      </w:r>
      <w:r w:rsidR="00AA1B03" w:rsidRPr="00DD1C13">
        <w:rPr>
          <w:rFonts w:ascii="Arial Narrow" w:hAnsi="Arial Narrow" w:cs="Times New Roman"/>
          <w:sz w:val="24"/>
          <w:szCs w:val="24"/>
        </w:rPr>
        <w:t xml:space="preserve">; </w:t>
      </w:r>
    </w:p>
    <w:p w14:paraId="344F2192" w14:textId="6511107C" w:rsidR="00186EC2" w:rsidRPr="00DD1C13" w:rsidRDefault="00186EC2" w:rsidP="00703D87">
      <w:pPr>
        <w:pStyle w:val="ListParagraph"/>
        <w:numPr>
          <w:ilvl w:val="0"/>
          <w:numId w:val="20"/>
        </w:numPr>
        <w:spacing w:line="276" w:lineRule="auto"/>
        <w:jc w:val="both"/>
        <w:rPr>
          <w:rFonts w:ascii="Arial Narrow" w:hAnsi="Arial Narrow" w:cs="Times New Roman"/>
          <w:sz w:val="24"/>
          <w:szCs w:val="24"/>
        </w:rPr>
      </w:pPr>
      <w:r w:rsidRPr="00DD1C13">
        <w:rPr>
          <w:rFonts w:ascii="Arial Narrow" w:hAnsi="Arial Narrow" w:cs="Times New Roman"/>
          <w:sz w:val="24"/>
          <w:szCs w:val="24"/>
        </w:rPr>
        <w:t>Expedientes acumulados 156-2013 y 159-2013 referente: al derecho de los pueblos indígenas a acudir a plantear amparo por medio de sus autoridades representativas;</w:t>
      </w:r>
    </w:p>
    <w:p w14:paraId="708F951A" w14:textId="0813C21E" w:rsidR="00186EC2" w:rsidRPr="00DD1C13" w:rsidRDefault="00186EC2" w:rsidP="00186EC2">
      <w:pPr>
        <w:pStyle w:val="ListParagraph"/>
        <w:numPr>
          <w:ilvl w:val="0"/>
          <w:numId w:val="20"/>
        </w:numPr>
        <w:spacing w:line="276" w:lineRule="auto"/>
        <w:jc w:val="both"/>
        <w:rPr>
          <w:rFonts w:ascii="Arial Narrow" w:hAnsi="Arial Narrow" w:cs="Times New Roman"/>
          <w:sz w:val="24"/>
          <w:szCs w:val="24"/>
        </w:rPr>
      </w:pPr>
      <w:r w:rsidRPr="00DD1C13">
        <w:rPr>
          <w:rFonts w:ascii="Arial Narrow" w:hAnsi="Arial Narrow" w:cs="Times New Roman"/>
          <w:sz w:val="24"/>
          <w:szCs w:val="24"/>
        </w:rPr>
        <w:t>Expediente 1467-2014 sobre la aplicación de normas de derecho indígena en la viabilidad de la persecución penal del sistema oficial, cuando se trate de miembros de los Pueblos Indígenas</w:t>
      </w:r>
      <w:r w:rsidR="00AA1B03" w:rsidRPr="00DD1C13">
        <w:rPr>
          <w:rFonts w:ascii="Arial Narrow" w:hAnsi="Arial Narrow" w:cs="Times New Roman"/>
          <w:sz w:val="24"/>
          <w:szCs w:val="24"/>
        </w:rPr>
        <w:t xml:space="preserve">; </w:t>
      </w:r>
    </w:p>
    <w:p w14:paraId="75B2773A" w14:textId="61FDAE3D" w:rsidR="00AA1B03" w:rsidRPr="00DD1C13" w:rsidRDefault="00AA1B03" w:rsidP="00D2174A">
      <w:pPr>
        <w:pStyle w:val="ListParagraph"/>
        <w:numPr>
          <w:ilvl w:val="0"/>
          <w:numId w:val="20"/>
        </w:numPr>
        <w:spacing w:line="276" w:lineRule="auto"/>
        <w:jc w:val="both"/>
        <w:rPr>
          <w:rFonts w:ascii="Arial Narrow" w:hAnsi="Arial Narrow" w:cs="Times New Roman"/>
          <w:sz w:val="24"/>
          <w:szCs w:val="24"/>
        </w:rPr>
      </w:pPr>
      <w:r w:rsidRPr="00DD1C13">
        <w:rPr>
          <w:rFonts w:ascii="Arial Narrow" w:hAnsi="Arial Narrow" w:cs="Times New Roman"/>
          <w:sz w:val="24"/>
          <w:szCs w:val="24"/>
        </w:rPr>
        <w:t>El expediente 5352-2013, se refiere a la viabilidad y urgencia de implementar medidas especiales o de acción afirmativa a favor de los Pueblos Indígenas con el propósito de garantizar el igual ejercicio de los derechos y libertades fundamentales, configurando estrategias dirigidas a asegurar la igualdad de oportunidades por medio de instrumentos que remedien o reparen prácticas o estructuras de la sociedad que escudan verdaderos resultados discriminatorios</w:t>
      </w:r>
      <w:r w:rsidR="004B11A5" w:rsidRPr="00DD1C13">
        <w:rPr>
          <w:rFonts w:ascii="Arial Narrow" w:hAnsi="Arial Narrow" w:cs="Times New Roman"/>
          <w:sz w:val="24"/>
          <w:szCs w:val="24"/>
        </w:rPr>
        <w:t xml:space="preserve">;  </w:t>
      </w:r>
    </w:p>
    <w:p w14:paraId="4C39791D" w14:textId="2A54C450" w:rsidR="004B11A5" w:rsidRPr="00DD1C13" w:rsidRDefault="004B11A5" w:rsidP="0052621D">
      <w:pPr>
        <w:pStyle w:val="ListParagraph"/>
        <w:numPr>
          <w:ilvl w:val="0"/>
          <w:numId w:val="20"/>
        </w:numPr>
        <w:spacing w:line="276" w:lineRule="auto"/>
        <w:jc w:val="both"/>
        <w:rPr>
          <w:rFonts w:ascii="Arial Narrow" w:hAnsi="Arial Narrow" w:cs="Times New Roman"/>
          <w:sz w:val="24"/>
          <w:szCs w:val="24"/>
        </w:rPr>
      </w:pPr>
      <w:r w:rsidRPr="00DD1C13">
        <w:rPr>
          <w:rFonts w:ascii="Arial Narrow" w:hAnsi="Arial Narrow" w:cs="Times New Roman"/>
          <w:sz w:val="24"/>
          <w:szCs w:val="24"/>
        </w:rPr>
        <w:t>Expediente 5955-2013, respecto al Derecho de propiedad o posesión ancestral y comunal que asiste a los pueblos indígenas, contra acciones u omisiones de la administración pública que se consideren lesivas de esos derechos</w:t>
      </w:r>
      <w:r w:rsidR="00872FD3" w:rsidRPr="00DD1C13">
        <w:rPr>
          <w:rFonts w:ascii="Arial Narrow" w:hAnsi="Arial Narrow" w:cs="Times New Roman"/>
          <w:sz w:val="24"/>
          <w:szCs w:val="24"/>
        </w:rPr>
        <w:t xml:space="preserve">; y </w:t>
      </w:r>
    </w:p>
    <w:p w14:paraId="04E84C03" w14:textId="11790FAB" w:rsidR="00872FD3" w:rsidRPr="00DD1C13" w:rsidRDefault="00872FD3" w:rsidP="00631FF5">
      <w:pPr>
        <w:pStyle w:val="ListParagraph"/>
        <w:numPr>
          <w:ilvl w:val="0"/>
          <w:numId w:val="20"/>
        </w:numPr>
        <w:spacing w:line="276" w:lineRule="auto"/>
        <w:jc w:val="both"/>
        <w:rPr>
          <w:rFonts w:ascii="Arial Narrow" w:hAnsi="Arial Narrow" w:cs="Times New Roman"/>
          <w:sz w:val="24"/>
          <w:szCs w:val="24"/>
        </w:rPr>
      </w:pPr>
      <w:r w:rsidRPr="00DD1C13">
        <w:rPr>
          <w:rFonts w:ascii="Arial Narrow" w:hAnsi="Arial Narrow" w:cs="Times New Roman"/>
          <w:sz w:val="24"/>
          <w:szCs w:val="24"/>
        </w:rPr>
        <w:t xml:space="preserve">Expedientes acumulados 4783-2013, 4812-2013 y 4813-201373, respecto al derecho a la educación bilingüe de las niñas, niños y jóvenes de las comunidades educativas indígenas, en la que insta al Ministerio de Educación: i) de velar por la igualdad material de los educandos en dignidad y derechos; </w:t>
      </w:r>
      <w:proofErr w:type="spellStart"/>
      <w:r w:rsidRPr="00DD1C13">
        <w:rPr>
          <w:rFonts w:ascii="Arial Narrow" w:hAnsi="Arial Narrow" w:cs="Times New Roman"/>
          <w:sz w:val="24"/>
          <w:szCs w:val="24"/>
        </w:rPr>
        <w:t>ii</w:t>
      </w:r>
      <w:proofErr w:type="spellEnd"/>
      <w:r w:rsidRPr="00DD1C13">
        <w:rPr>
          <w:rFonts w:ascii="Arial Narrow" w:hAnsi="Arial Narrow" w:cs="Times New Roman"/>
          <w:sz w:val="24"/>
          <w:szCs w:val="24"/>
        </w:rPr>
        <w:t xml:space="preserve">) de proteger la identidad cultural y la lengua materna de los educandos, por elemental aplicación de los principios de interdependencia e indivisibilidad de los derechos humanos; </w:t>
      </w:r>
      <w:proofErr w:type="spellStart"/>
      <w:r w:rsidRPr="00DD1C13">
        <w:rPr>
          <w:rFonts w:ascii="Arial Narrow" w:hAnsi="Arial Narrow" w:cs="Times New Roman"/>
          <w:sz w:val="24"/>
          <w:szCs w:val="24"/>
        </w:rPr>
        <w:t>iii</w:t>
      </w:r>
      <w:proofErr w:type="spellEnd"/>
      <w:r w:rsidRPr="00DD1C13">
        <w:rPr>
          <w:rFonts w:ascii="Arial Narrow" w:hAnsi="Arial Narrow" w:cs="Times New Roman"/>
          <w:sz w:val="24"/>
          <w:szCs w:val="24"/>
        </w:rPr>
        <w:t xml:space="preserve">) de formar ciudadanos que, individual y colectivamente, guarden conducta fraternal entre sí y convivan de modo natural, respetuoso y solidario con otros que se identifican con culturas diferentes y </w:t>
      </w:r>
      <w:proofErr w:type="spellStart"/>
      <w:r w:rsidRPr="00DD1C13">
        <w:rPr>
          <w:rFonts w:ascii="Arial Narrow" w:hAnsi="Arial Narrow" w:cs="Times New Roman"/>
          <w:sz w:val="24"/>
          <w:szCs w:val="24"/>
        </w:rPr>
        <w:t>iv</w:t>
      </w:r>
      <w:proofErr w:type="spellEnd"/>
      <w:r w:rsidRPr="00DD1C13">
        <w:rPr>
          <w:rFonts w:ascii="Arial Narrow" w:hAnsi="Arial Narrow" w:cs="Times New Roman"/>
          <w:sz w:val="24"/>
          <w:szCs w:val="24"/>
        </w:rPr>
        <w:t>) de generar condiciones estructurales que favorezcan la inclusión y desarrollo de los pueblos Maya, Garífuna y Xinka.</w:t>
      </w:r>
    </w:p>
    <w:p w14:paraId="7B17B013" w14:textId="64EFF444" w:rsidR="00DF0ACD" w:rsidRPr="00DD1C13" w:rsidRDefault="00CC3D03" w:rsidP="00D61B50">
      <w:pPr>
        <w:spacing w:line="276" w:lineRule="auto"/>
        <w:jc w:val="both"/>
        <w:rPr>
          <w:rFonts w:ascii="Arial Narrow" w:hAnsi="Arial Narrow" w:cs="Times New Roman"/>
          <w:spacing w:val="4"/>
          <w:sz w:val="24"/>
          <w:szCs w:val="24"/>
          <w:lang w:val="es-GT"/>
        </w:rPr>
      </w:pPr>
      <w:r w:rsidRPr="00DD1C13">
        <w:rPr>
          <w:rFonts w:ascii="Arial Narrow" w:hAnsi="Arial Narrow" w:cs="Times New Roman"/>
          <w:spacing w:val="4"/>
          <w:sz w:val="24"/>
          <w:szCs w:val="24"/>
          <w:lang w:val="es-GT"/>
        </w:rPr>
        <w:t xml:space="preserve">Si bien la Corte de Constitucionalidad ha emitido </w:t>
      </w:r>
      <w:r w:rsidR="00703D87" w:rsidRPr="00DD1C13">
        <w:rPr>
          <w:rFonts w:ascii="Arial Narrow" w:hAnsi="Arial Narrow" w:cs="Times New Roman"/>
          <w:spacing w:val="4"/>
          <w:sz w:val="24"/>
          <w:szCs w:val="24"/>
          <w:lang w:val="es-GT"/>
        </w:rPr>
        <w:t>las resoluciones descritas</w:t>
      </w:r>
      <w:r w:rsidR="007655DE">
        <w:rPr>
          <w:rFonts w:ascii="Arial Narrow" w:hAnsi="Arial Narrow" w:cs="Times New Roman"/>
          <w:spacing w:val="4"/>
          <w:sz w:val="24"/>
          <w:szCs w:val="24"/>
          <w:lang w:val="es-GT"/>
        </w:rPr>
        <w:t xml:space="preserve">, </w:t>
      </w:r>
      <w:r w:rsidR="00703D87" w:rsidRPr="00DD1C13">
        <w:rPr>
          <w:rFonts w:ascii="Arial Narrow" w:hAnsi="Arial Narrow" w:cs="Times New Roman"/>
          <w:spacing w:val="4"/>
          <w:sz w:val="24"/>
          <w:szCs w:val="24"/>
          <w:lang w:val="es-GT"/>
        </w:rPr>
        <w:t xml:space="preserve">las mismas siguen siendo </w:t>
      </w:r>
      <w:r w:rsidR="00186EC2" w:rsidRPr="00DD1C13">
        <w:rPr>
          <w:rFonts w:ascii="Arial Narrow" w:hAnsi="Arial Narrow" w:cs="Times New Roman"/>
          <w:spacing w:val="4"/>
          <w:sz w:val="24"/>
          <w:szCs w:val="24"/>
          <w:lang w:val="es-GT"/>
        </w:rPr>
        <w:t>arbi</w:t>
      </w:r>
      <w:r w:rsidRPr="00DD1C13">
        <w:rPr>
          <w:rFonts w:ascii="Arial Narrow" w:hAnsi="Arial Narrow" w:cs="Times New Roman"/>
          <w:spacing w:val="4"/>
          <w:sz w:val="24"/>
          <w:szCs w:val="24"/>
          <w:lang w:val="es-GT"/>
        </w:rPr>
        <w:t>trarias y discrecional a merced de criterios de</w:t>
      </w:r>
      <w:r w:rsidR="00186EC2" w:rsidRPr="00DD1C13">
        <w:rPr>
          <w:rFonts w:ascii="Arial Narrow" w:hAnsi="Arial Narrow" w:cs="Times New Roman"/>
          <w:spacing w:val="4"/>
          <w:sz w:val="24"/>
          <w:szCs w:val="24"/>
          <w:lang w:val="es-GT"/>
        </w:rPr>
        <w:t xml:space="preserve"> los </w:t>
      </w:r>
      <w:r w:rsidRPr="00DD1C13">
        <w:rPr>
          <w:rFonts w:ascii="Arial Narrow" w:hAnsi="Arial Narrow" w:cs="Times New Roman"/>
          <w:spacing w:val="4"/>
          <w:sz w:val="24"/>
          <w:szCs w:val="24"/>
          <w:lang w:val="es-GT"/>
        </w:rPr>
        <w:t>funcionario</w:t>
      </w:r>
      <w:r w:rsidR="00186EC2" w:rsidRPr="00DD1C13">
        <w:rPr>
          <w:rFonts w:ascii="Arial Narrow" w:hAnsi="Arial Narrow" w:cs="Times New Roman"/>
          <w:spacing w:val="4"/>
          <w:sz w:val="24"/>
          <w:szCs w:val="24"/>
          <w:lang w:val="es-GT"/>
        </w:rPr>
        <w:t>s</w:t>
      </w:r>
      <w:r w:rsidRPr="00DD1C13">
        <w:rPr>
          <w:rFonts w:ascii="Arial Narrow" w:hAnsi="Arial Narrow" w:cs="Times New Roman"/>
          <w:spacing w:val="4"/>
          <w:sz w:val="24"/>
          <w:szCs w:val="24"/>
          <w:lang w:val="es-GT"/>
        </w:rPr>
        <w:t>,</w:t>
      </w:r>
      <w:r w:rsidR="00186EC2" w:rsidRPr="00DD1C13">
        <w:rPr>
          <w:rFonts w:ascii="Arial Narrow" w:hAnsi="Arial Narrow" w:cs="Times New Roman"/>
          <w:spacing w:val="4"/>
          <w:sz w:val="24"/>
          <w:szCs w:val="24"/>
          <w:lang w:val="es-GT"/>
        </w:rPr>
        <w:t xml:space="preserve"> pues hasta ahora </w:t>
      </w:r>
      <w:r w:rsidRPr="00DD1C13">
        <w:rPr>
          <w:rFonts w:ascii="Arial Narrow" w:hAnsi="Arial Narrow" w:cs="Times New Roman"/>
          <w:spacing w:val="4"/>
          <w:sz w:val="24"/>
          <w:szCs w:val="24"/>
          <w:lang w:val="es-GT"/>
        </w:rPr>
        <w:t xml:space="preserve">no responde a una política de Estado de garantizar derechos. </w:t>
      </w:r>
    </w:p>
    <w:p w14:paraId="38231AF9" w14:textId="77777777" w:rsidR="00045357" w:rsidRPr="00DD1C13" w:rsidRDefault="00045357" w:rsidP="00045357">
      <w:pPr>
        <w:spacing w:line="276" w:lineRule="auto"/>
        <w:jc w:val="both"/>
        <w:rPr>
          <w:rFonts w:ascii="Arial Narrow" w:hAnsi="Arial Narrow" w:cs="Times New Roman"/>
          <w:spacing w:val="4"/>
          <w:sz w:val="24"/>
          <w:szCs w:val="24"/>
          <w:lang w:val="es-GT"/>
        </w:rPr>
      </w:pPr>
      <w:r w:rsidRPr="00DD1C13">
        <w:rPr>
          <w:rFonts w:ascii="Arial Narrow" w:hAnsi="Arial Narrow" w:cs="Times New Roman"/>
          <w:spacing w:val="4"/>
          <w:sz w:val="24"/>
          <w:szCs w:val="24"/>
          <w:lang w:val="es-GT"/>
        </w:rPr>
        <w:t xml:space="preserve">La formación de funcionarios y empleados públicos en derechos de los Pueblos Indígenas es nula, ninguna institución toma en cuenta los contenidos de la Declaración en los procesos de inducción de su personal. Es más, son reacios al tema. </w:t>
      </w:r>
    </w:p>
    <w:p w14:paraId="35CE951B" w14:textId="77777777" w:rsidR="00045357" w:rsidRPr="00DD1C13" w:rsidRDefault="00045357" w:rsidP="00045357">
      <w:pPr>
        <w:spacing w:line="276" w:lineRule="auto"/>
        <w:jc w:val="both"/>
        <w:rPr>
          <w:rFonts w:ascii="Arial Narrow" w:hAnsi="Arial Narrow" w:cs="Times New Roman"/>
          <w:spacing w:val="4"/>
          <w:sz w:val="24"/>
          <w:szCs w:val="24"/>
          <w:lang w:val="es-GT"/>
        </w:rPr>
      </w:pPr>
      <w:r w:rsidRPr="00DD1C13">
        <w:rPr>
          <w:rFonts w:ascii="Arial Narrow" w:hAnsi="Arial Narrow" w:cs="Times New Roman"/>
          <w:spacing w:val="4"/>
          <w:sz w:val="24"/>
          <w:szCs w:val="24"/>
          <w:lang w:val="es-GT"/>
        </w:rPr>
        <w:t>Con los ejemplos descritos se ilustra que el Estado no considera ninguno de los derechos establecidos en la Declaración en sus actuaciones.</w:t>
      </w:r>
    </w:p>
    <w:p w14:paraId="513AEDB2" w14:textId="77777777" w:rsidR="00045357" w:rsidRPr="00DD1C13" w:rsidRDefault="00045357" w:rsidP="00045357">
      <w:pPr>
        <w:spacing w:line="276" w:lineRule="auto"/>
        <w:jc w:val="both"/>
        <w:rPr>
          <w:rFonts w:ascii="Arial Narrow" w:hAnsi="Arial Narrow" w:cs="Times New Roman"/>
          <w:spacing w:val="4"/>
          <w:sz w:val="24"/>
          <w:szCs w:val="24"/>
          <w:lang w:val="es-GT"/>
        </w:rPr>
      </w:pPr>
      <w:r w:rsidRPr="00DD1C13">
        <w:rPr>
          <w:rFonts w:ascii="Arial Narrow" w:hAnsi="Arial Narrow" w:cs="Times New Roman"/>
          <w:spacing w:val="4"/>
          <w:sz w:val="24"/>
          <w:szCs w:val="24"/>
          <w:lang w:val="es-GT"/>
        </w:rPr>
        <w:t xml:space="preserve">El Estado no cuenta con un plan nacional de divulgación, estudio y aplicación de los contenidos de la Declaración. </w:t>
      </w:r>
    </w:p>
    <w:p w14:paraId="0145E218" w14:textId="7CD7330B" w:rsidR="004A4EAB" w:rsidRPr="00DD1C13" w:rsidRDefault="004A4EAB" w:rsidP="004A4EAB">
      <w:pPr>
        <w:spacing w:line="276" w:lineRule="auto"/>
        <w:jc w:val="both"/>
        <w:rPr>
          <w:rFonts w:ascii="Arial Narrow" w:hAnsi="Arial Narrow" w:cs="Times New Roman"/>
          <w:b/>
          <w:bCs/>
          <w:sz w:val="24"/>
          <w:szCs w:val="24"/>
          <w:lang w:val="es-GT"/>
        </w:rPr>
      </w:pPr>
      <w:r w:rsidRPr="00DD1C13">
        <w:rPr>
          <w:rFonts w:ascii="Arial Narrow" w:hAnsi="Arial Narrow" w:cs="Times New Roman"/>
          <w:b/>
          <w:bCs/>
          <w:sz w:val="24"/>
          <w:szCs w:val="24"/>
          <w:lang w:val="es-GT"/>
        </w:rPr>
        <w:t xml:space="preserve">RECOMENDACIONES: </w:t>
      </w:r>
    </w:p>
    <w:p w14:paraId="438BBBD2" w14:textId="576DA38C" w:rsidR="00D61B50" w:rsidRPr="00DD1C13" w:rsidRDefault="004E016B" w:rsidP="00311A82">
      <w:pPr>
        <w:pStyle w:val="ListParagraph"/>
        <w:numPr>
          <w:ilvl w:val="0"/>
          <w:numId w:val="18"/>
        </w:numPr>
        <w:spacing w:line="276" w:lineRule="auto"/>
        <w:ind w:left="720"/>
        <w:jc w:val="both"/>
        <w:rPr>
          <w:rFonts w:ascii="Arial Narrow" w:hAnsi="Arial Narrow" w:cs="Times New Roman"/>
          <w:sz w:val="24"/>
          <w:szCs w:val="24"/>
        </w:rPr>
      </w:pPr>
      <w:r w:rsidRPr="00DD1C13">
        <w:rPr>
          <w:rFonts w:ascii="Arial Narrow" w:hAnsi="Arial Narrow" w:cs="Times New Roman"/>
          <w:sz w:val="24"/>
          <w:szCs w:val="24"/>
        </w:rPr>
        <w:t>Que los Estados con el apoyo de la ACNUDH elaboren planes nacionales de divulgación</w:t>
      </w:r>
      <w:r w:rsidR="003F6588" w:rsidRPr="00DD1C13">
        <w:rPr>
          <w:rFonts w:ascii="Arial Narrow" w:hAnsi="Arial Narrow" w:cs="Times New Roman"/>
          <w:sz w:val="24"/>
          <w:szCs w:val="24"/>
        </w:rPr>
        <w:t xml:space="preserve">, </w:t>
      </w:r>
      <w:r w:rsidRPr="00DD1C13">
        <w:rPr>
          <w:rFonts w:ascii="Arial Narrow" w:hAnsi="Arial Narrow" w:cs="Times New Roman"/>
          <w:sz w:val="24"/>
          <w:szCs w:val="24"/>
        </w:rPr>
        <w:t>estudio</w:t>
      </w:r>
      <w:r w:rsidR="003F6588" w:rsidRPr="00DD1C13">
        <w:rPr>
          <w:rFonts w:ascii="Arial Narrow" w:hAnsi="Arial Narrow" w:cs="Times New Roman"/>
          <w:sz w:val="24"/>
          <w:szCs w:val="24"/>
        </w:rPr>
        <w:t xml:space="preserve"> y cumplimiento </w:t>
      </w:r>
      <w:r w:rsidRPr="00DD1C13">
        <w:rPr>
          <w:rFonts w:ascii="Arial Narrow" w:hAnsi="Arial Narrow" w:cs="Times New Roman"/>
          <w:sz w:val="24"/>
          <w:szCs w:val="24"/>
        </w:rPr>
        <w:t>de la Declaración de las Naciones</w:t>
      </w:r>
      <w:r w:rsidR="00AF036F" w:rsidRPr="00DD1C13">
        <w:rPr>
          <w:rFonts w:ascii="Arial Narrow" w:hAnsi="Arial Narrow" w:cs="Times New Roman"/>
          <w:sz w:val="24"/>
          <w:szCs w:val="24"/>
        </w:rPr>
        <w:t xml:space="preserve"> </w:t>
      </w:r>
      <w:r w:rsidRPr="00DD1C13">
        <w:rPr>
          <w:rFonts w:ascii="Arial Narrow" w:hAnsi="Arial Narrow" w:cs="Times New Roman"/>
          <w:sz w:val="24"/>
          <w:szCs w:val="24"/>
        </w:rPr>
        <w:t>Unidas sobre los Derechos de los Pueblos Indígenas.</w:t>
      </w:r>
    </w:p>
    <w:p w14:paraId="0E6679BD" w14:textId="0B631827" w:rsidR="004E016B" w:rsidRPr="00DD1C13" w:rsidRDefault="008034B1" w:rsidP="006B6356">
      <w:pPr>
        <w:pStyle w:val="ListParagraph"/>
        <w:numPr>
          <w:ilvl w:val="0"/>
          <w:numId w:val="18"/>
        </w:numPr>
        <w:spacing w:line="276" w:lineRule="auto"/>
        <w:ind w:left="720"/>
        <w:jc w:val="both"/>
        <w:rPr>
          <w:rFonts w:ascii="Arial Narrow" w:hAnsi="Arial Narrow" w:cs="Times New Roman"/>
          <w:sz w:val="24"/>
          <w:szCs w:val="24"/>
        </w:rPr>
      </w:pPr>
      <w:r w:rsidRPr="00DD1C13">
        <w:rPr>
          <w:rFonts w:ascii="Arial Narrow" w:hAnsi="Arial Narrow" w:cs="Times New Roman"/>
          <w:sz w:val="24"/>
          <w:szCs w:val="24"/>
        </w:rPr>
        <w:t xml:space="preserve">Que la </w:t>
      </w:r>
      <w:r w:rsidR="006E4278" w:rsidRPr="00DD1C13">
        <w:rPr>
          <w:rFonts w:ascii="Arial Narrow" w:hAnsi="Arial Narrow" w:cs="Times New Roman"/>
          <w:sz w:val="24"/>
          <w:szCs w:val="24"/>
        </w:rPr>
        <w:t>Conferencia Mundial sobre los Pueblos Indígenas Más 10</w:t>
      </w:r>
      <w:r w:rsidRPr="00DD1C13">
        <w:rPr>
          <w:rFonts w:ascii="Arial Narrow" w:hAnsi="Arial Narrow" w:cs="Times New Roman"/>
          <w:sz w:val="24"/>
          <w:szCs w:val="24"/>
        </w:rPr>
        <w:t xml:space="preserve"> a celebrarse en el año 2025 sea también una ocasión para subrayar la importancia </w:t>
      </w:r>
      <w:r w:rsidR="00435D14" w:rsidRPr="00DD1C13">
        <w:rPr>
          <w:rFonts w:ascii="Arial Narrow" w:hAnsi="Arial Narrow" w:cs="Times New Roman"/>
          <w:sz w:val="24"/>
          <w:szCs w:val="24"/>
        </w:rPr>
        <w:t xml:space="preserve">que los Estados asuman el </w:t>
      </w:r>
      <w:r w:rsidR="006E4278" w:rsidRPr="00DD1C13">
        <w:rPr>
          <w:rFonts w:ascii="Arial Narrow" w:hAnsi="Arial Narrow" w:cs="Times New Roman"/>
          <w:sz w:val="24"/>
          <w:szCs w:val="24"/>
        </w:rPr>
        <w:t>compromiso</w:t>
      </w:r>
      <w:r w:rsidR="00435D14" w:rsidRPr="00DD1C13">
        <w:rPr>
          <w:rFonts w:ascii="Arial Narrow" w:hAnsi="Arial Narrow" w:cs="Times New Roman"/>
          <w:sz w:val="24"/>
          <w:szCs w:val="24"/>
        </w:rPr>
        <w:t xml:space="preserve"> de evaluar los compromisos asumidos en la Declaración. </w:t>
      </w:r>
      <w:r w:rsidR="006E4278" w:rsidRPr="00DD1C13">
        <w:rPr>
          <w:rFonts w:ascii="Arial Narrow" w:hAnsi="Arial Narrow" w:cs="Times New Roman"/>
          <w:sz w:val="24"/>
          <w:szCs w:val="24"/>
        </w:rPr>
        <w:t xml:space="preserve"> </w:t>
      </w:r>
    </w:p>
    <w:p w14:paraId="7A19BD71" w14:textId="5C333A17" w:rsidR="00DE7829" w:rsidRPr="00DD1C13" w:rsidRDefault="00DE7829" w:rsidP="006B6356">
      <w:pPr>
        <w:pStyle w:val="ListParagraph"/>
        <w:numPr>
          <w:ilvl w:val="0"/>
          <w:numId w:val="18"/>
        </w:numPr>
        <w:spacing w:line="276" w:lineRule="auto"/>
        <w:ind w:left="720"/>
        <w:jc w:val="both"/>
        <w:rPr>
          <w:rFonts w:ascii="Arial Narrow" w:hAnsi="Arial Narrow" w:cs="Times New Roman"/>
          <w:sz w:val="24"/>
          <w:szCs w:val="24"/>
        </w:rPr>
      </w:pPr>
      <w:r w:rsidRPr="00DD1C13">
        <w:rPr>
          <w:rFonts w:ascii="Arial Narrow" w:hAnsi="Arial Narrow" w:cs="Times New Roman"/>
          <w:sz w:val="24"/>
          <w:szCs w:val="24"/>
        </w:rPr>
        <w:t xml:space="preserve">Que los Estados divulguen la Declaración en los idiomas propios de los Pueblos Indígenas. </w:t>
      </w:r>
    </w:p>
    <w:p w14:paraId="43B888E1" w14:textId="39EED176" w:rsidR="0012549C" w:rsidRPr="00DD1C13" w:rsidRDefault="0012549C" w:rsidP="006B6356">
      <w:pPr>
        <w:pStyle w:val="ListParagraph"/>
        <w:numPr>
          <w:ilvl w:val="0"/>
          <w:numId w:val="18"/>
        </w:numPr>
        <w:spacing w:line="276" w:lineRule="auto"/>
        <w:ind w:left="720"/>
        <w:jc w:val="both"/>
        <w:rPr>
          <w:rFonts w:ascii="Arial Narrow" w:hAnsi="Arial Narrow" w:cs="Times New Roman"/>
          <w:sz w:val="24"/>
          <w:szCs w:val="24"/>
        </w:rPr>
      </w:pPr>
      <w:r w:rsidRPr="00DD1C13">
        <w:rPr>
          <w:rFonts w:ascii="Arial Narrow" w:hAnsi="Arial Narrow" w:cs="Times New Roman"/>
          <w:sz w:val="24"/>
          <w:szCs w:val="24"/>
        </w:rPr>
        <w:t xml:space="preserve">Que los Estados promuevan mecanismos nacionales de revisión de cumplimiento de la Declaración. </w:t>
      </w:r>
    </w:p>
    <w:p w14:paraId="17765333" w14:textId="55DE4B3C" w:rsidR="00D3740E" w:rsidRPr="00D3740E" w:rsidRDefault="0012549C" w:rsidP="00D3740E">
      <w:pPr>
        <w:pStyle w:val="ListParagraph"/>
        <w:numPr>
          <w:ilvl w:val="0"/>
          <w:numId w:val="18"/>
        </w:numPr>
        <w:spacing w:line="276" w:lineRule="auto"/>
        <w:ind w:left="720"/>
        <w:jc w:val="both"/>
        <w:rPr>
          <w:rFonts w:ascii="Arial Narrow" w:hAnsi="Arial Narrow" w:cs="Times New Roman"/>
          <w:sz w:val="24"/>
          <w:szCs w:val="24"/>
        </w:rPr>
      </w:pPr>
      <w:r w:rsidRPr="00DD1C13">
        <w:rPr>
          <w:rFonts w:ascii="Arial Narrow" w:hAnsi="Arial Narrow" w:cs="Times New Roman"/>
          <w:sz w:val="24"/>
          <w:szCs w:val="24"/>
        </w:rPr>
        <w:t xml:space="preserve">Que los </w:t>
      </w:r>
      <w:r w:rsidR="00ED22AF" w:rsidRPr="00DD1C13">
        <w:rPr>
          <w:rFonts w:ascii="Arial Narrow" w:hAnsi="Arial Narrow" w:cs="Times New Roman"/>
          <w:sz w:val="24"/>
          <w:szCs w:val="24"/>
        </w:rPr>
        <w:t>Ó</w:t>
      </w:r>
      <w:r w:rsidRPr="00DD1C13">
        <w:rPr>
          <w:rFonts w:ascii="Arial Narrow" w:hAnsi="Arial Narrow" w:cs="Times New Roman"/>
          <w:sz w:val="24"/>
          <w:szCs w:val="24"/>
        </w:rPr>
        <w:t xml:space="preserve">rganos de </w:t>
      </w:r>
      <w:r w:rsidR="00ED22AF" w:rsidRPr="00DD1C13">
        <w:rPr>
          <w:rFonts w:ascii="Arial Narrow" w:hAnsi="Arial Narrow" w:cs="Times New Roman"/>
          <w:sz w:val="24"/>
          <w:szCs w:val="24"/>
        </w:rPr>
        <w:t>T</w:t>
      </w:r>
      <w:r w:rsidRPr="00DD1C13">
        <w:rPr>
          <w:rFonts w:ascii="Arial Narrow" w:hAnsi="Arial Narrow" w:cs="Times New Roman"/>
          <w:sz w:val="24"/>
          <w:szCs w:val="24"/>
        </w:rPr>
        <w:t xml:space="preserve">ratados al evaluar a los Estados sobre sus compromisos internacionales en materia de derechos </w:t>
      </w:r>
      <w:r w:rsidR="00872FD3" w:rsidRPr="00DD1C13">
        <w:rPr>
          <w:rFonts w:ascii="Arial Narrow" w:hAnsi="Arial Narrow" w:cs="Times New Roman"/>
          <w:sz w:val="24"/>
          <w:szCs w:val="24"/>
        </w:rPr>
        <w:t>humanos</w:t>
      </w:r>
      <w:r w:rsidRPr="00DD1C13">
        <w:rPr>
          <w:rFonts w:ascii="Arial Narrow" w:hAnsi="Arial Narrow" w:cs="Times New Roman"/>
          <w:sz w:val="24"/>
          <w:szCs w:val="24"/>
        </w:rPr>
        <w:t xml:space="preserve"> también verifiquen el cumplimiento de la Declaración</w:t>
      </w:r>
      <w:r w:rsidR="00ED22AF" w:rsidRPr="00DD1C13">
        <w:rPr>
          <w:rFonts w:ascii="Arial Narrow" w:hAnsi="Arial Narrow" w:cs="Times New Roman"/>
          <w:sz w:val="24"/>
          <w:szCs w:val="24"/>
        </w:rPr>
        <w:t xml:space="preserve">. </w:t>
      </w:r>
    </w:p>
    <w:p w14:paraId="0D344490" w14:textId="77777777" w:rsidR="006B23BB" w:rsidRDefault="006B23BB" w:rsidP="005C7AFF">
      <w:pPr>
        <w:pStyle w:val="ListParagraph"/>
        <w:spacing w:line="276" w:lineRule="auto"/>
        <w:ind w:left="360"/>
        <w:jc w:val="right"/>
        <w:rPr>
          <w:rFonts w:ascii="Arial Narrow" w:hAnsi="Arial Narrow" w:cs="Times New Roman"/>
          <w:sz w:val="24"/>
          <w:szCs w:val="24"/>
        </w:rPr>
      </w:pPr>
    </w:p>
    <w:p w14:paraId="4302D8D8" w14:textId="6A06428F" w:rsidR="00D61B50" w:rsidRPr="00DD1C13" w:rsidRDefault="005C7AFF" w:rsidP="005C7AFF">
      <w:pPr>
        <w:pStyle w:val="ListParagraph"/>
        <w:spacing w:line="276" w:lineRule="auto"/>
        <w:ind w:left="360"/>
        <w:jc w:val="right"/>
        <w:rPr>
          <w:rFonts w:ascii="Arial Narrow" w:hAnsi="Arial Narrow" w:cs="Times New Roman"/>
          <w:sz w:val="24"/>
          <w:szCs w:val="24"/>
        </w:rPr>
      </w:pPr>
      <w:r w:rsidRPr="00DD1C13">
        <w:rPr>
          <w:rFonts w:ascii="Arial Narrow" w:hAnsi="Arial Narrow" w:cs="Times New Roman"/>
          <w:sz w:val="24"/>
          <w:szCs w:val="24"/>
        </w:rPr>
        <w:t xml:space="preserve">Guatemala, 30 de </w:t>
      </w:r>
      <w:r w:rsidR="00DD1C13" w:rsidRPr="00DD1C13">
        <w:rPr>
          <w:rFonts w:ascii="Arial Narrow" w:hAnsi="Arial Narrow" w:cs="Times New Roman"/>
          <w:sz w:val="24"/>
          <w:szCs w:val="24"/>
        </w:rPr>
        <w:t>enero</w:t>
      </w:r>
      <w:r w:rsidRPr="00DD1C13">
        <w:rPr>
          <w:rFonts w:ascii="Arial Narrow" w:hAnsi="Arial Narrow" w:cs="Times New Roman"/>
          <w:sz w:val="24"/>
          <w:szCs w:val="24"/>
        </w:rPr>
        <w:t xml:space="preserve"> 2024</w:t>
      </w:r>
    </w:p>
    <w:sectPr w:rsidR="00D61B50" w:rsidRPr="00DD1C13" w:rsidSect="00132B54">
      <w:footerReference w:type="default" r:id="rId13"/>
      <w:headerReference w:type="first" r:id="rId14"/>
      <w:footerReference w:type="first" r:id="rId15"/>
      <w:pgSz w:w="12240" w:h="15840"/>
      <w:pgMar w:top="993" w:right="1440" w:bottom="1440" w:left="1440" w:header="284" w:footer="41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E5505" w14:textId="77777777" w:rsidR="00132B54" w:rsidRDefault="00132B54" w:rsidP="001F6BC8">
      <w:pPr>
        <w:spacing w:after="0" w:line="240" w:lineRule="auto"/>
      </w:pPr>
      <w:r>
        <w:separator/>
      </w:r>
    </w:p>
  </w:endnote>
  <w:endnote w:type="continuationSeparator" w:id="0">
    <w:p w14:paraId="5E9E0C23" w14:textId="77777777" w:rsidR="00132B54" w:rsidRDefault="00132B54" w:rsidP="001F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FC21" w14:textId="31DC5C5C" w:rsidR="00C06AD1" w:rsidRDefault="00C06AD1" w:rsidP="00C06AD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AFFF" w14:textId="49B222C4" w:rsidR="00556A28" w:rsidRDefault="00556A28">
    <w:pPr>
      <w:pStyle w:val="Footer"/>
      <w:jc w:val="center"/>
    </w:pPr>
  </w:p>
  <w:p w14:paraId="0818B2A6" w14:textId="13FB13FE" w:rsidR="000A6097" w:rsidRPr="005538B4" w:rsidRDefault="000A6097" w:rsidP="000A6097">
    <w:pPr>
      <w:pStyle w:val="Footer"/>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8C5EA" w14:textId="77777777" w:rsidR="00132B54" w:rsidRDefault="00132B54" w:rsidP="001F6BC8">
      <w:pPr>
        <w:spacing w:after="0" w:line="240" w:lineRule="auto"/>
      </w:pPr>
      <w:r>
        <w:separator/>
      </w:r>
    </w:p>
  </w:footnote>
  <w:footnote w:type="continuationSeparator" w:id="0">
    <w:p w14:paraId="55AAAE8A" w14:textId="77777777" w:rsidR="00132B54" w:rsidRDefault="00132B54" w:rsidP="001F6BC8">
      <w:pPr>
        <w:spacing w:after="0" w:line="240" w:lineRule="auto"/>
      </w:pPr>
      <w:r>
        <w:continuationSeparator/>
      </w:r>
    </w:p>
  </w:footnote>
  <w:footnote w:id="1">
    <w:p w14:paraId="51BD5515" w14:textId="77777777" w:rsidR="0054152A" w:rsidRDefault="0054152A" w:rsidP="0054152A">
      <w:pPr>
        <w:pStyle w:val="FootnoteText"/>
      </w:pPr>
      <w:r>
        <w:rPr>
          <w:rStyle w:val="FootnoteReference"/>
        </w:rPr>
        <w:footnoteRef/>
      </w:r>
      <w:r>
        <w:t xml:space="preserve"> </w:t>
      </w:r>
      <w:hyperlink r:id="rId1" w:history="1">
        <w:r w:rsidRPr="00EF6E4D">
          <w:rPr>
            <w:rStyle w:val="Hyperlink"/>
          </w:rPr>
          <w:t>https://www.congreso.gob.gt/detalle_pdf/iniciativas/6012</w:t>
        </w:r>
      </w:hyperlink>
      <w:r>
        <w:t xml:space="preserve"> </w:t>
      </w:r>
    </w:p>
  </w:footnote>
  <w:footnote w:id="2">
    <w:p w14:paraId="02DCF0F5" w14:textId="77777777" w:rsidR="004A2137" w:rsidRDefault="004A2137" w:rsidP="004A2137">
      <w:pPr>
        <w:pStyle w:val="FootnoteText"/>
      </w:pPr>
      <w:r>
        <w:rPr>
          <w:rStyle w:val="FootnoteReference"/>
        </w:rPr>
        <w:footnoteRef/>
      </w:r>
      <w:r>
        <w:t xml:space="preserve"> </w:t>
      </w:r>
      <w:hyperlink r:id="rId2" w:history="1">
        <w:r w:rsidRPr="001502D2">
          <w:rPr>
            <w:rStyle w:val="Hyperlink"/>
          </w:rPr>
          <w:t>https://www.congreso.gob.gt/detalle_pdf/iniciativas/5810</w:t>
        </w:r>
      </w:hyperlink>
      <w:r>
        <w:t xml:space="preserve"> </w:t>
      </w:r>
    </w:p>
  </w:footnote>
  <w:footnote w:id="3">
    <w:p w14:paraId="7706F53B" w14:textId="5DA3FD4C" w:rsidR="00136D67" w:rsidRDefault="00136D67">
      <w:pPr>
        <w:pStyle w:val="FootnoteText"/>
      </w:pPr>
      <w:r>
        <w:rPr>
          <w:rStyle w:val="FootnoteReference"/>
        </w:rPr>
        <w:footnoteRef/>
      </w:r>
      <w:r>
        <w:t xml:space="preserve"> Conocido por el pleno el 18 de agosto de 2009. </w:t>
      </w:r>
    </w:p>
  </w:footnote>
  <w:footnote w:id="4">
    <w:p w14:paraId="2B23FC51" w14:textId="57FCF823" w:rsidR="00136D67" w:rsidRDefault="00136D67">
      <w:pPr>
        <w:pStyle w:val="FootnoteText"/>
      </w:pPr>
      <w:r>
        <w:rPr>
          <w:rStyle w:val="FootnoteReference"/>
        </w:rPr>
        <w:footnoteRef/>
      </w:r>
      <w:r>
        <w:t xml:space="preserve"> Conocido por el pleno el 11 de agosto de 2009. </w:t>
      </w:r>
    </w:p>
  </w:footnote>
  <w:footnote w:id="5">
    <w:p w14:paraId="32A729C4" w14:textId="48EDED5F" w:rsidR="00136D67" w:rsidRDefault="00136D67">
      <w:pPr>
        <w:pStyle w:val="FootnoteText"/>
      </w:pPr>
      <w:r>
        <w:rPr>
          <w:rStyle w:val="FootnoteReference"/>
        </w:rPr>
        <w:footnoteRef/>
      </w:r>
      <w:r>
        <w:t xml:space="preserve"> Conocido por el pleno el 17 de junio de 2008. </w:t>
      </w:r>
    </w:p>
  </w:footnote>
  <w:footnote w:id="6">
    <w:p w14:paraId="3AA75255" w14:textId="0BE60A8D" w:rsidR="00136D67" w:rsidRDefault="00136D67">
      <w:pPr>
        <w:pStyle w:val="FootnoteText"/>
      </w:pPr>
      <w:r>
        <w:rPr>
          <w:rStyle w:val="FootnoteReference"/>
        </w:rPr>
        <w:footnoteRef/>
      </w:r>
      <w:r>
        <w:t xml:space="preserve"> Conocido por el pleno el 17 de septiembre de 2008. </w:t>
      </w:r>
    </w:p>
  </w:footnote>
  <w:footnote w:id="7">
    <w:p w14:paraId="15A866AF" w14:textId="45880731" w:rsidR="00136D67" w:rsidRDefault="00136D67">
      <w:pPr>
        <w:pStyle w:val="FootnoteText"/>
      </w:pPr>
      <w:r>
        <w:rPr>
          <w:rStyle w:val="FootnoteReference"/>
        </w:rPr>
        <w:footnoteRef/>
      </w:r>
      <w:r>
        <w:t xml:space="preserve"> Conocido por el pleno el 20 de agosto de 2009. </w:t>
      </w:r>
    </w:p>
  </w:footnote>
  <w:footnote w:id="8">
    <w:p w14:paraId="7EEE8DE6" w14:textId="1FB5F6DD" w:rsidR="008A5442" w:rsidRDefault="008A5442">
      <w:pPr>
        <w:pStyle w:val="FootnoteText"/>
      </w:pPr>
      <w:r>
        <w:rPr>
          <w:rStyle w:val="FootnoteReference"/>
        </w:rPr>
        <w:footnoteRef/>
      </w:r>
      <w:r>
        <w:t xml:space="preserve"> Conocido por el pleno el 09 de noviembre de 2006. </w:t>
      </w:r>
    </w:p>
  </w:footnote>
  <w:footnote w:id="9">
    <w:p w14:paraId="30A46492" w14:textId="520FD498" w:rsidR="00B91BB6" w:rsidRDefault="00B91BB6" w:rsidP="00045357">
      <w:pPr>
        <w:pStyle w:val="FootnoteText"/>
      </w:pPr>
      <w:r>
        <w:rPr>
          <w:rStyle w:val="FootnoteReference"/>
        </w:rPr>
        <w:footnoteRef/>
      </w:r>
      <w:r>
        <w:t xml:space="preserve"> Conocido por el pleno el 04 de </w:t>
      </w:r>
      <w:r w:rsidR="000269C6">
        <w:t xml:space="preserve">febrero de 2016. </w:t>
      </w:r>
    </w:p>
  </w:footnote>
  <w:footnote w:id="10">
    <w:p w14:paraId="297BD0C8" w14:textId="77777777" w:rsidR="00104BD1" w:rsidRDefault="00104BD1" w:rsidP="00045357">
      <w:pPr>
        <w:pStyle w:val="FootnoteText"/>
      </w:pPr>
      <w:r>
        <w:rPr>
          <w:rStyle w:val="FootnoteReference"/>
        </w:rPr>
        <w:footnoteRef/>
      </w:r>
      <w:r>
        <w:t xml:space="preserve"> </w:t>
      </w:r>
      <w:hyperlink r:id="rId3" w:history="1">
        <w:r w:rsidRPr="001502D2">
          <w:rPr>
            <w:rStyle w:val="Hyperlink"/>
          </w:rPr>
          <w:t>https://www.congreso.gob.gt/buscador_iniciativas/5179</w:t>
        </w:r>
      </w:hyperlink>
      <w:r>
        <w:t xml:space="preserve"> </w:t>
      </w:r>
    </w:p>
  </w:footnote>
  <w:footnote w:id="11">
    <w:p w14:paraId="21DBA899" w14:textId="4EF73307" w:rsidR="006F4DB3" w:rsidRPr="00644264" w:rsidRDefault="006F4DB3" w:rsidP="00045357">
      <w:pPr>
        <w:spacing w:line="240" w:lineRule="auto"/>
        <w:jc w:val="both"/>
        <w:rPr>
          <w:lang w:val="es-GT"/>
        </w:rPr>
      </w:pPr>
      <w:r>
        <w:rPr>
          <w:rStyle w:val="FootnoteReference"/>
        </w:rPr>
        <w:footnoteRef/>
      </w:r>
      <w:r w:rsidRPr="006F4DB3">
        <w:rPr>
          <w:lang w:val="es-GT"/>
        </w:rPr>
        <w:t xml:space="preserve"> </w:t>
      </w:r>
      <w:r w:rsidRPr="006F4DB3">
        <w:rPr>
          <w:rFonts w:cstheme="minorHAnsi"/>
          <w:sz w:val="20"/>
          <w:szCs w:val="20"/>
          <w:lang w:val="es-GT"/>
        </w:rPr>
        <w:t>Conocido</w:t>
      </w:r>
      <w:r>
        <w:rPr>
          <w:rFonts w:cstheme="minorHAnsi"/>
          <w:sz w:val="20"/>
          <w:szCs w:val="20"/>
          <w:lang w:val="es-GT"/>
        </w:rPr>
        <w:t xml:space="preserve"> por </w:t>
      </w:r>
      <w:r w:rsidRPr="006F4DB3">
        <w:rPr>
          <w:rFonts w:cstheme="minorHAnsi"/>
          <w:sz w:val="20"/>
          <w:szCs w:val="20"/>
          <w:lang w:val="es-GT"/>
        </w:rPr>
        <w:t xml:space="preserve">el pleno del Congreso de la República el 06 de octubre de 2016. </w:t>
      </w:r>
    </w:p>
  </w:footnote>
  <w:footnote w:id="12">
    <w:p w14:paraId="1FF319E5" w14:textId="176D1624" w:rsidR="00CD3CE4" w:rsidRPr="00644264" w:rsidRDefault="00CD3CE4" w:rsidP="00045357">
      <w:pPr>
        <w:pStyle w:val="FootnoteText"/>
      </w:pPr>
      <w:r>
        <w:rPr>
          <w:rStyle w:val="FootnoteReference"/>
        </w:rPr>
        <w:footnoteRef/>
      </w:r>
      <w:r w:rsidRPr="00644264">
        <w:t xml:space="preserve"> </w:t>
      </w:r>
      <w:hyperlink r:id="rId4" w:anchor="gsc.tab=0" w:history="1">
        <w:r w:rsidRPr="00644264">
          <w:rPr>
            <w:rStyle w:val="Hyperlink"/>
          </w:rPr>
          <w:t>https://www.congreso.gob.gt/detalle_pdf/iniciativas/1312#gsc.tab=0</w:t>
        </w:r>
      </w:hyperlink>
      <w:r w:rsidRPr="00644264">
        <w:t xml:space="preserve"> </w:t>
      </w:r>
    </w:p>
  </w:footnote>
  <w:footnote w:id="13">
    <w:p w14:paraId="275959B1" w14:textId="66B8525E" w:rsidR="0082566B" w:rsidRDefault="0082566B">
      <w:pPr>
        <w:pStyle w:val="FootnoteText"/>
      </w:pPr>
      <w:r>
        <w:rPr>
          <w:rStyle w:val="FootnoteReference"/>
        </w:rPr>
        <w:footnoteRef/>
      </w:r>
      <w:r>
        <w:t xml:space="preserve"> </w:t>
      </w:r>
      <w:hyperlink r:id="rId5" w:history="1">
        <w:r w:rsidRPr="00F43A1E">
          <w:rPr>
            <w:rStyle w:val="Hyperlink"/>
          </w:rPr>
          <w:t>https://www.corteidh.or.cr/docs/comunicados/cp_103_2021.pdf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1AE0" w14:textId="1A3C9191" w:rsidR="00CB3B67" w:rsidRPr="00CB3C34" w:rsidRDefault="00BD0D14" w:rsidP="005538B4">
    <w:pPr>
      <w:pStyle w:val="Header"/>
      <w:ind w:right="-1152"/>
      <w:jc w:val="center"/>
      <w:rPr>
        <w:rFonts w:ascii="Times New Roman" w:hAnsi="Times New Roman" w:cs="Times New Roman"/>
        <w:sz w:val="24"/>
        <w:szCs w:val="24"/>
      </w:rPr>
    </w:pPr>
    <w:r w:rsidRPr="008A0520">
      <w:rPr>
        <w:rFonts w:ascii="Times New Roman" w:hAnsi="Times New Roman" w:cs="Times New Roman"/>
        <w:bCs/>
        <w:sz w:val="28"/>
        <w:szCs w:val="28"/>
        <w:lang w:val="en-US"/>
      </w:rPr>
      <w:t xml:space="preserve">          </w:t>
    </w:r>
    <w:r w:rsidRPr="005538B4">
      <w:rPr>
        <w:rFonts w:ascii="Times New Roman" w:hAnsi="Times New Roman" w:cs="Times New Roman"/>
        <w:b/>
        <w:sz w:val="28"/>
        <w:szCs w:val="28"/>
        <w:lang w:val="en-US"/>
      </w:rPr>
      <w:t>International Indian Treaty Council</w:t>
    </w:r>
    <w:r w:rsidRPr="008A0520">
      <w:rPr>
        <w:rFonts w:ascii="Times New Roman" w:hAnsi="Times New Roman" w:cs="Times New Roman"/>
        <w:noProof/>
        <w:sz w:val="24"/>
        <w:szCs w:val="24"/>
        <w:lang w:val="en-US"/>
      </w:rPr>
      <w:t xml:space="preserve"> </w:t>
    </w:r>
    <w:r w:rsidR="00CB3B67" w:rsidRPr="00CB3C34">
      <w:rPr>
        <w:rFonts w:ascii="Times New Roman" w:hAnsi="Times New Roman" w:cs="Times New Roman"/>
        <w:noProof/>
        <w:sz w:val="24"/>
        <w:szCs w:val="24"/>
      </w:rPr>
      <w:drawing>
        <wp:anchor distT="0" distB="0" distL="114300" distR="114300" simplePos="0" relativeHeight="251661312" behindDoc="1" locked="0" layoutInCell="1" allowOverlap="1" wp14:anchorId="30518809" wp14:editId="6FD8B48A">
          <wp:simplePos x="0" y="0"/>
          <wp:positionH relativeFrom="margin">
            <wp:align>left</wp:align>
          </wp:positionH>
          <wp:positionV relativeFrom="paragraph">
            <wp:posOffset>7620</wp:posOffset>
          </wp:positionV>
          <wp:extent cx="847725" cy="828629"/>
          <wp:effectExtent l="0" t="0" r="0" b="0"/>
          <wp:wrapNone/>
          <wp:docPr id="3026916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tc.jpg"/>
                  <pic:cNvPicPr/>
                </pic:nvPicPr>
                <pic:blipFill>
                  <a:blip r:embed="rId1">
                    <a:extLst>
                      <a:ext uri="{28A0092B-C50C-407E-A947-70E740481C1C}">
                        <a14:useLocalDpi xmlns:a14="http://schemas.microsoft.com/office/drawing/2010/main" val="0"/>
                      </a:ext>
                    </a:extLst>
                  </a:blip>
                  <a:stretch>
                    <a:fillRect/>
                  </a:stretch>
                </pic:blipFill>
                <pic:spPr>
                  <a:xfrm>
                    <a:off x="0" y="0"/>
                    <a:ext cx="847725" cy="828629"/>
                  </a:xfrm>
                  <a:prstGeom prst="rect">
                    <a:avLst/>
                  </a:prstGeom>
                </pic:spPr>
              </pic:pic>
            </a:graphicData>
          </a:graphic>
          <wp14:sizeRelH relativeFrom="margin">
            <wp14:pctWidth>0</wp14:pctWidth>
          </wp14:sizeRelH>
          <wp14:sizeRelV relativeFrom="margin">
            <wp14:pctHeight>0</wp14:pctHeight>
          </wp14:sizeRelV>
        </wp:anchor>
      </w:drawing>
    </w:r>
    <w:r w:rsidR="00CB3B67" w:rsidRPr="008A0520">
      <w:rPr>
        <w:rFonts w:ascii="Times New Roman" w:hAnsi="Times New Roman" w:cs="Times New Roman"/>
        <w:sz w:val="24"/>
        <w:szCs w:val="24"/>
        <w:lang w:val="en-US"/>
      </w:rPr>
      <w:t xml:space="preserve">          </w:t>
    </w:r>
    <w:r w:rsidRPr="008A0520">
      <w:rPr>
        <w:rFonts w:ascii="Times New Roman" w:hAnsi="Times New Roman" w:cs="Times New Roman"/>
        <w:sz w:val="24"/>
        <w:szCs w:val="24"/>
        <w:lang w:val="en-US"/>
      </w:rPr>
      <w:t xml:space="preserve">   </w:t>
    </w:r>
    <w:r w:rsidR="00CB3B67" w:rsidRPr="008A0520">
      <w:rPr>
        <w:rFonts w:ascii="Times New Roman" w:hAnsi="Times New Roman" w:cs="Times New Roman"/>
        <w:sz w:val="24"/>
        <w:szCs w:val="24"/>
        <w:lang w:val="en-US"/>
      </w:rPr>
      <w:t xml:space="preserve"> </w:t>
    </w:r>
    <w:r w:rsidR="00CB3C34" w:rsidRPr="008A0520">
      <w:rPr>
        <w:rFonts w:ascii="Times New Roman" w:hAnsi="Times New Roman" w:cs="Times New Roman"/>
        <w:sz w:val="24"/>
        <w:szCs w:val="24"/>
        <w:lang w:val="en-US"/>
      </w:rPr>
      <w:t xml:space="preserve">8a. </w:t>
    </w:r>
    <w:r w:rsidR="00CB3C34" w:rsidRPr="00CB3C34">
      <w:rPr>
        <w:rFonts w:ascii="Times New Roman" w:hAnsi="Times New Roman" w:cs="Times New Roman"/>
        <w:sz w:val="24"/>
        <w:szCs w:val="24"/>
      </w:rPr>
      <w:t>Avenida 2-29 zona 1</w:t>
    </w:r>
  </w:p>
  <w:p w14:paraId="5B59D80B" w14:textId="69E2DD21" w:rsidR="00CB3B67" w:rsidRPr="00BD0D14" w:rsidRDefault="00BD0D14" w:rsidP="005538B4">
    <w:pPr>
      <w:pStyle w:val="Header"/>
      <w:ind w:right="-1152"/>
      <w:jc w:val="center"/>
      <w:rPr>
        <w:rFonts w:ascii="Times New Roman" w:hAnsi="Times New Roman" w:cs="Times New Roman"/>
        <w:sz w:val="24"/>
        <w:szCs w:val="24"/>
      </w:rPr>
    </w:pPr>
    <w:r>
      <w:rPr>
        <w:rFonts w:ascii="Times New Roman" w:hAnsi="Times New Roman" w:cs="Times New Roman"/>
        <w:i/>
        <w:sz w:val="28"/>
        <w:szCs w:val="28"/>
        <w:lang w:val="es-MX"/>
      </w:rPr>
      <w:t xml:space="preserve">         </w:t>
    </w:r>
    <w:r w:rsidRPr="00323FA1">
      <w:rPr>
        <w:rFonts w:ascii="Times New Roman" w:hAnsi="Times New Roman" w:cs="Times New Roman"/>
        <w:b/>
        <w:bCs/>
        <w:i/>
        <w:sz w:val="28"/>
        <w:szCs w:val="28"/>
        <w:lang w:val="es-MX"/>
      </w:rPr>
      <w:t>Consejo Internacional de Tratados Indios</w:t>
    </w:r>
    <w:r w:rsidR="00CB3B67" w:rsidRPr="00BD0D14">
      <w:rPr>
        <w:rFonts w:ascii="Times New Roman" w:hAnsi="Times New Roman" w:cs="Times New Roman"/>
        <w:sz w:val="24"/>
        <w:szCs w:val="24"/>
      </w:rPr>
      <w:t xml:space="preserve">        </w:t>
    </w:r>
    <w:r>
      <w:rPr>
        <w:rFonts w:ascii="Times New Roman" w:hAnsi="Times New Roman" w:cs="Times New Roman"/>
        <w:sz w:val="24"/>
        <w:szCs w:val="24"/>
      </w:rPr>
      <w:t xml:space="preserve">    </w:t>
    </w:r>
    <w:r w:rsidR="00CB3B67" w:rsidRPr="00BD0D14">
      <w:rPr>
        <w:rFonts w:ascii="Times New Roman" w:hAnsi="Times New Roman" w:cs="Times New Roman"/>
        <w:sz w:val="24"/>
        <w:szCs w:val="24"/>
      </w:rPr>
      <w:t xml:space="preserve">             </w:t>
    </w:r>
    <w:r w:rsidR="00CB3C34" w:rsidRPr="00BD0D14">
      <w:rPr>
        <w:rFonts w:ascii="Times New Roman" w:hAnsi="Times New Roman" w:cs="Times New Roman"/>
        <w:sz w:val="24"/>
        <w:szCs w:val="24"/>
      </w:rPr>
      <w:t xml:space="preserve">    Guatemala</w:t>
    </w:r>
  </w:p>
  <w:p w14:paraId="20C20194" w14:textId="6CCCCE99" w:rsidR="00CB3B67" w:rsidRPr="00BD0D14" w:rsidRDefault="00CB3B67" w:rsidP="005538B4">
    <w:pPr>
      <w:pStyle w:val="Header"/>
      <w:ind w:right="-1152"/>
      <w:rPr>
        <w:rFonts w:ascii="Times New Roman" w:hAnsi="Times New Roman" w:cs="Times New Roman"/>
      </w:rPr>
    </w:pPr>
    <w:r w:rsidRPr="00BD0D14">
      <w:rPr>
        <w:rFonts w:ascii="Times New Roman" w:hAnsi="Times New Roman" w:cs="Times New Roman"/>
      </w:rPr>
      <w:t xml:space="preserve">             </w:t>
    </w:r>
    <w:r w:rsidR="00CB3C34" w:rsidRPr="00BD0D14">
      <w:rPr>
        <w:rFonts w:ascii="Times New Roman" w:hAnsi="Times New Roman" w:cs="Times New Roman"/>
      </w:rPr>
      <w:t xml:space="preserve">             </w:t>
    </w:r>
    <w:r w:rsidRPr="00BD0D14">
      <w:rPr>
        <w:rFonts w:ascii="Times New Roman" w:hAnsi="Times New Roman" w:cs="Times New Roman"/>
      </w:rPr>
      <w:t xml:space="preserve">                     </w:t>
    </w:r>
    <w:r w:rsidR="00BD0D14">
      <w:rPr>
        <w:rFonts w:ascii="Times New Roman" w:hAnsi="Times New Roman" w:cs="Times New Roman"/>
      </w:rPr>
      <w:t xml:space="preserve">                                                                               </w:t>
    </w:r>
    <w:r w:rsidRPr="00BD0D14">
      <w:rPr>
        <w:rFonts w:ascii="Times New Roman" w:hAnsi="Times New Roman" w:cs="Times New Roman"/>
      </w:rPr>
      <w:t xml:space="preserve"> </w:t>
    </w:r>
    <w:r w:rsidR="00CB3C34" w:rsidRPr="00BD0D14">
      <w:rPr>
        <w:rFonts w:ascii="Times New Roman" w:hAnsi="Times New Roman" w:cs="Times New Roman"/>
      </w:rPr>
      <w:t xml:space="preserve">   </w:t>
    </w:r>
    <w:r w:rsidRPr="00BD0D14">
      <w:rPr>
        <w:rFonts w:ascii="Times New Roman" w:hAnsi="Times New Roman" w:cs="Times New Roman"/>
      </w:rPr>
      <w:t xml:space="preserve">     </w:t>
    </w:r>
    <w:r w:rsidR="00CB3C34" w:rsidRPr="00BD0D14">
      <w:rPr>
        <w:rFonts w:ascii="Times New Roman" w:hAnsi="Times New Roman" w:cs="Times New Roman"/>
        <w:sz w:val="24"/>
        <w:szCs w:val="24"/>
      </w:rPr>
      <w:t>Tel</w:t>
    </w:r>
    <w:r w:rsidRPr="00BD0D14">
      <w:rPr>
        <w:rFonts w:ascii="Times New Roman" w:hAnsi="Times New Roman" w:cs="Times New Roman"/>
        <w:sz w:val="24"/>
        <w:szCs w:val="24"/>
      </w:rPr>
      <w:t xml:space="preserve">: </w:t>
    </w:r>
    <w:r w:rsidR="00CB3C34" w:rsidRPr="00BD0D14">
      <w:rPr>
        <w:rFonts w:ascii="Times New Roman" w:hAnsi="Times New Roman" w:cs="Times New Roman"/>
        <w:sz w:val="24"/>
        <w:szCs w:val="24"/>
      </w:rPr>
      <w:t>+502-42102584</w:t>
    </w:r>
  </w:p>
  <w:p w14:paraId="4DC34D9A" w14:textId="4E95819C" w:rsidR="00CB3B67" w:rsidRPr="00CB3C34" w:rsidRDefault="00CB3B67" w:rsidP="005538B4">
    <w:pPr>
      <w:pStyle w:val="Header"/>
      <w:ind w:right="-1152"/>
      <w:rPr>
        <w:rFonts w:ascii="Times New Roman" w:hAnsi="Times New Roman" w:cs="Times New Roman"/>
        <w:lang w:val="es-MX"/>
      </w:rPr>
    </w:pPr>
    <w:r w:rsidRPr="00BD0D14">
      <w:rPr>
        <w:rFonts w:ascii="Times New Roman" w:hAnsi="Times New Roman" w:cs="Times New Roman"/>
      </w:rPr>
      <w:t xml:space="preserve">               </w:t>
    </w:r>
    <w:r w:rsidR="00CB3C34" w:rsidRPr="00BD0D14">
      <w:rPr>
        <w:rFonts w:ascii="Times New Roman" w:hAnsi="Times New Roman" w:cs="Times New Roman"/>
      </w:rPr>
      <w:t xml:space="preserve">           </w:t>
    </w:r>
    <w:r w:rsidRPr="00CB3C34">
      <w:rPr>
        <w:rFonts w:ascii="Times New Roman" w:hAnsi="Times New Roman" w:cs="Times New Roman"/>
        <w:lang w:val="es-MX"/>
      </w:rPr>
      <w:t xml:space="preserve">  </w:t>
    </w:r>
    <w:r w:rsidR="00BD0D14">
      <w:rPr>
        <w:rFonts w:ascii="Times New Roman" w:hAnsi="Times New Roman" w:cs="Times New Roman"/>
        <w:lang w:val="es-MX"/>
      </w:rPr>
      <w:t xml:space="preserve">                                                                                       </w:t>
    </w:r>
    <w:r w:rsidRPr="00CB3C34">
      <w:rPr>
        <w:rFonts w:ascii="Times New Roman" w:hAnsi="Times New Roman" w:cs="Times New Roman"/>
        <w:lang w:val="es-MX"/>
      </w:rPr>
      <w:t xml:space="preserve">         </w:t>
    </w:r>
    <w:r w:rsidR="00323FA1">
      <w:rPr>
        <w:rFonts w:ascii="Times New Roman" w:hAnsi="Times New Roman" w:cs="Times New Roman"/>
        <w:lang w:val="es-MX"/>
      </w:rPr>
      <w:t xml:space="preserve"> </w:t>
    </w:r>
    <w:r w:rsidRPr="00CB3C34">
      <w:rPr>
        <w:rFonts w:ascii="Times New Roman" w:hAnsi="Times New Roman" w:cs="Times New Roman"/>
        <w:lang w:val="es-MX"/>
      </w:rPr>
      <w:t xml:space="preserve"> </w:t>
    </w:r>
    <w:r w:rsidR="00CB3C34" w:rsidRPr="00CB3C34">
      <w:rPr>
        <w:rFonts w:ascii="Times New Roman" w:hAnsi="Times New Roman" w:cs="Times New Roman"/>
        <w:lang w:val="es-MX"/>
      </w:rPr>
      <w:t>juanleon@treatycouncil.org</w:t>
    </w:r>
  </w:p>
  <w:p w14:paraId="246A252A" w14:textId="78E50B4D" w:rsidR="002E5E1C" w:rsidRDefault="00232BFD" w:rsidP="005538B4">
    <w:pPr>
      <w:pStyle w:val="Header"/>
      <w:ind w:right="-1152"/>
      <w:jc w:val="center"/>
    </w:pPr>
    <w:r w:rsidRPr="00CB3C34">
      <w:rPr>
        <w:rFonts w:ascii="Times New Roman" w:hAnsi="Times New Roman" w:cs="Times New Roman"/>
        <w:noProof/>
        <w:color w:val="7B7B7B" w:themeColor="accent3" w:themeShade="BF"/>
        <w:sz w:val="24"/>
        <w:szCs w:val="24"/>
      </w:rPr>
      <mc:AlternateContent>
        <mc:Choice Requires="wps">
          <w:drawing>
            <wp:anchor distT="0" distB="0" distL="114300" distR="114300" simplePos="0" relativeHeight="251662336" behindDoc="0" locked="0" layoutInCell="1" allowOverlap="1" wp14:anchorId="2290C5DB" wp14:editId="29273265">
              <wp:simplePos x="0" y="0"/>
              <wp:positionH relativeFrom="column">
                <wp:posOffset>-676275</wp:posOffset>
              </wp:positionH>
              <wp:positionV relativeFrom="paragraph">
                <wp:posOffset>194744</wp:posOffset>
              </wp:positionV>
              <wp:extent cx="7286625" cy="0"/>
              <wp:effectExtent l="0" t="0" r="0" b="0"/>
              <wp:wrapNone/>
              <wp:docPr id="4" name="Straight Connector 4"/>
              <wp:cNvGraphicFramePr/>
              <a:graphic xmlns:a="http://schemas.openxmlformats.org/drawingml/2006/main">
                <a:graphicData uri="http://schemas.microsoft.com/office/word/2010/wordprocessingShape">
                  <wps:wsp>
                    <wps:cNvCnPr/>
                    <wps:spPr>
                      <a:xfrm flipH="1">
                        <a:off x="0" y="0"/>
                        <a:ext cx="728662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408C82E7"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5.35pt" to="520.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" strokecolor="#c00000" strokeweight="1.5pt">
              <v:stroke joinstyle="miter"/>
            </v:line>
          </w:pict>
        </mc:Fallback>
      </mc:AlternateContent>
    </w:r>
    <w:r w:rsidR="00CB3B67" w:rsidRPr="00CB3C34">
      <w:rPr>
        <w:rFonts w:ascii="Times New Roman" w:hAnsi="Times New Roman" w:cs="Times New Roman"/>
        <w:sz w:val="24"/>
        <w:szCs w:val="24"/>
      </w:rPr>
      <w:t xml:space="preserve">                                                                                                     www.treatycouncil.org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345FC"/>
    <w:multiLevelType w:val="hybridMultilevel"/>
    <w:tmpl w:val="3EF82D90"/>
    <w:lvl w:ilvl="0" w:tplc="220EC5F0">
      <w:start w:val="1"/>
      <w:numFmt w:val="lowerRoman"/>
      <w:lvlText w:val="%1)"/>
      <w:lvlJc w:val="left"/>
      <w:pPr>
        <w:ind w:left="720" w:hanging="72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189B229E"/>
    <w:multiLevelType w:val="hybridMultilevel"/>
    <w:tmpl w:val="F8FA1F84"/>
    <w:lvl w:ilvl="0" w:tplc="CF765DE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8B627AE"/>
    <w:multiLevelType w:val="hybridMultilevel"/>
    <w:tmpl w:val="17B6F4B8"/>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3" w15:restartNumberingAfterBreak="0">
    <w:nsid w:val="1DC25397"/>
    <w:multiLevelType w:val="hybridMultilevel"/>
    <w:tmpl w:val="FDF2D1DC"/>
    <w:lvl w:ilvl="0" w:tplc="100A0019">
      <w:start w:val="1"/>
      <w:numFmt w:val="lowerLetter"/>
      <w:lvlText w:val="%1."/>
      <w:lvlJc w:val="left"/>
      <w:pPr>
        <w:ind w:left="720" w:hanging="360"/>
      </w:pPr>
    </w:lvl>
    <w:lvl w:ilvl="1" w:tplc="100A0019">
      <w:start w:val="1"/>
      <w:numFmt w:val="lowerLetter"/>
      <w:lvlText w:val="%2."/>
      <w:lvlJc w:val="left"/>
      <w:pPr>
        <w:ind w:left="1440" w:hanging="360"/>
      </w:pPr>
    </w:lvl>
    <w:lvl w:ilvl="2" w:tplc="100A001B">
      <w:start w:val="1"/>
      <w:numFmt w:val="lowerRoman"/>
      <w:lvlText w:val="%3."/>
      <w:lvlJc w:val="right"/>
      <w:pPr>
        <w:ind w:left="2160" w:hanging="180"/>
      </w:pPr>
    </w:lvl>
    <w:lvl w:ilvl="3" w:tplc="100A000F">
      <w:start w:val="1"/>
      <w:numFmt w:val="decimal"/>
      <w:lvlText w:val="%4."/>
      <w:lvlJc w:val="left"/>
      <w:pPr>
        <w:ind w:left="2880" w:hanging="360"/>
      </w:pPr>
    </w:lvl>
    <w:lvl w:ilvl="4" w:tplc="100A0019">
      <w:start w:val="1"/>
      <w:numFmt w:val="lowerLetter"/>
      <w:lvlText w:val="%5."/>
      <w:lvlJc w:val="left"/>
      <w:pPr>
        <w:ind w:left="3600" w:hanging="360"/>
      </w:pPr>
    </w:lvl>
    <w:lvl w:ilvl="5" w:tplc="100A001B">
      <w:start w:val="1"/>
      <w:numFmt w:val="lowerRoman"/>
      <w:lvlText w:val="%6."/>
      <w:lvlJc w:val="right"/>
      <w:pPr>
        <w:ind w:left="4320" w:hanging="180"/>
      </w:pPr>
    </w:lvl>
    <w:lvl w:ilvl="6" w:tplc="100A000F">
      <w:start w:val="1"/>
      <w:numFmt w:val="decimal"/>
      <w:lvlText w:val="%7."/>
      <w:lvlJc w:val="left"/>
      <w:pPr>
        <w:ind w:left="5040" w:hanging="360"/>
      </w:pPr>
    </w:lvl>
    <w:lvl w:ilvl="7" w:tplc="100A0019">
      <w:start w:val="1"/>
      <w:numFmt w:val="lowerLetter"/>
      <w:lvlText w:val="%8."/>
      <w:lvlJc w:val="left"/>
      <w:pPr>
        <w:ind w:left="5760" w:hanging="360"/>
      </w:pPr>
    </w:lvl>
    <w:lvl w:ilvl="8" w:tplc="100A001B">
      <w:start w:val="1"/>
      <w:numFmt w:val="lowerRoman"/>
      <w:lvlText w:val="%9."/>
      <w:lvlJc w:val="right"/>
      <w:pPr>
        <w:ind w:left="6480" w:hanging="180"/>
      </w:pPr>
    </w:lvl>
  </w:abstractNum>
  <w:abstractNum w:abstractNumId="4" w15:restartNumberingAfterBreak="0">
    <w:nsid w:val="1F5233C5"/>
    <w:multiLevelType w:val="hybridMultilevel"/>
    <w:tmpl w:val="88EE807E"/>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1BC526D"/>
    <w:multiLevelType w:val="hybridMultilevel"/>
    <w:tmpl w:val="15909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35E5B"/>
    <w:multiLevelType w:val="hybridMultilevel"/>
    <w:tmpl w:val="02DAC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A7075"/>
    <w:multiLevelType w:val="hybridMultilevel"/>
    <w:tmpl w:val="AE4AB7D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31F41"/>
    <w:multiLevelType w:val="hybridMultilevel"/>
    <w:tmpl w:val="A5289A6E"/>
    <w:lvl w:ilvl="0" w:tplc="CD7E18DA">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2BC85B42"/>
    <w:multiLevelType w:val="hybridMultilevel"/>
    <w:tmpl w:val="8CF400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40913568"/>
    <w:multiLevelType w:val="hybridMultilevel"/>
    <w:tmpl w:val="874034B2"/>
    <w:lvl w:ilvl="0" w:tplc="B6B48AC8">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41D13DE2"/>
    <w:multiLevelType w:val="hybridMultilevel"/>
    <w:tmpl w:val="81AE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53B2B"/>
    <w:multiLevelType w:val="hybridMultilevel"/>
    <w:tmpl w:val="A314B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52317"/>
    <w:multiLevelType w:val="hybridMultilevel"/>
    <w:tmpl w:val="A7563E10"/>
    <w:lvl w:ilvl="0" w:tplc="5D04D270">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74A2DE4"/>
    <w:multiLevelType w:val="hybridMultilevel"/>
    <w:tmpl w:val="732A960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4A880F8F"/>
    <w:multiLevelType w:val="hybridMultilevel"/>
    <w:tmpl w:val="1EFE4264"/>
    <w:lvl w:ilvl="0" w:tplc="B928E5BC">
      <w:start w:val="1"/>
      <w:numFmt w:val="lowerRoman"/>
      <w:lvlText w:val="%1."/>
      <w:lvlJc w:val="left"/>
      <w:pPr>
        <w:ind w:left="1440" w:hanging="72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6" w15:restartNumberingAfterBreak="0">
    <w:nsid w:val="4C9F45F1"/>
    <w:multiLevelType w:val="hybridMultilevel"/>
    <w:tmpl w:val="E5CC4B0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EE7489B"/>
    <w:multiLevelType w:val="hybridMultilevel"/>
    <w:tmpl w:val="998AABD0"/>
    <w:lvl w:ilvl="0" w:tplc="EB14F446">
      <w:start w:val="1"/>
      <w:numFmt w:val="lowerRoman"/>
      <w:lvlText w:val="%1."/>
      <w:lvlJc w:val="left"/>
      <w:pPr>
        <w:ind w:left="720" w:hanging="720"/>
      </w:pPr>
      <w:rPr>
        <w:rFonts w:hint="default"/>
        <w:b w:val="0"/>
        <w:bCs w:val="0"/>
        <w:color w:val="auto"/>
      </w:rPr>
    </w:lvl>
    <w:lvl w:ilvl="1" w:tplc="100A0019">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59BE1A57"/>
    <w:multiLevelType w:val="hybridMultilevel"/>
    <w:tmpl w:val="80F22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A904BE"/>
    <w:multiLevelType w:val="hybridMultilevel"/>
    <w:tmpl w:val="023AEA20"/>
    <w:lvl w:ilvl="0" w:tplc="D9AE80AE">
      <w:start w:val="1"/>
      <w:numFmt w:val="lowerRoman"/>
      <w:lvlText w:val="%1."/>
      <w:lvlJc w:val="left"/>
      <w:pPr>
        <w:ind w:left="1440" w:hanging="72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0" w15:restartNumberingAfterBreak="0">
    <w:nsid w:val="6DFF1844"/>
    <w:multiLevelType w:val="hybridMultilevel"/>
    <w:tmpl w:val="CACA22D8"/>
    <w:lvl w:ilvl="0" w:tplc="D2B4C7F6">
      <w:start w:val="1"/>
      <w:numFmt w:val="decimalZero"/>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2027DC7"/>
    <w:multiLevelType w:val="hybridMultilevel"/>
    <w:tmpl w:val="9B52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2C1D"/>
    <w:multiLevelType w:val="hybridMultilevel"/>
    <w:tmpl w:val="9C68DD4A"/>
    <w:lvl w:ilvl="0" w:tplc="100A0019">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16cid:durableId="1435978945">
    <w:abstractNumId w:val="18"/>
  </w:num>
  <w:num w:numId="2" w16cid:durableId="314532719">
    <w:abstractNumId w:val="5"/>
  </w:num>
  <w:num w:numId="3" w16cid:durableId="1326319115">
    <w:abstractNumId w:val="6"/>
  </w:num>
  <w:num w:numId="4" w16cid:durableId="1658654495">
    <w:abstractNumId w:val="7"/>
  </w:num>
  <w:num w:numId="5" w16cid:durableId="114175913">
    <w:abstractNumId w:val="4"/>
  </w:num>
  <w:num w:numId="6" w16cid:durableId="2099594219">
    <w:abstractNumId w:val="22"/>
  </w:num>
  <w:num w:numId="7" w16cid:durableId="2047638468">
    <w:abstractNumId w:val="21"/>
  </w:num>
  <w:num w:numId="8" w16cid:durableId="786855387">
    <w:abstractNumId w:val="12"/>
  </w:num>
  <w:num w:numId="9" w16cid:durableId="668367923">
    <w:abstractNumId w:val="20"/>
  </w:num>
  <w:num w:numId="10" w16cid:durableId="1336805742">
    <w:abstractNumId w:val="1"/>
  </w:num>
  <w:num w:numId="11" w16cid:durableId="1676303241">
    <w:abstractNumId w:val="10"/>
  </w:num>
  <w:num w:numId="12" w16cid:durableId="1565145086">
    <w:abstractNumId w:val="19"/>
  </w:num>
  <w:num w:numId="13" w16cid:durableId="958220687">
    <w:abstractNumId w:val="15"/>
  </w:num>
  <w:num w:numId="14" w16cid:durableId="1893497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8820000">
    <w:abstractNumId w:val="16"/>
  </w:num>
  <w:num w:numId="16" w16cid:durableId="2137095890">
    <w:abstractNumId w:val="17"/>
  </w:num>
  <w:num w:numId="17" w16cid:durableId="121508700">
    <w:abstractNumId w:val="8"/>
  </w:num>
  <w:num w:numId="18" w16cid:durableId="974914540">
    <w:abstractNumId w:val="13"/>
  </w:num>
  <w:num w:numId="19" w16cid:durableId="782773472">
    <w:abstractNumId w:val="14"/>
  </w:num>
  <w:num w:numId="20" w16cid:durableId="1856648308">
    <w:abstractNumId w:val="0"/>
  </w:num>
  <w:num w:numId="21" w16cid:durableId="484131335">
    <w:abstractNumId w:val="9"/>
  </w:num>
  <w:num w:numId="22" w16cid:durableId="818575301">
    <w:abstractNumId w:val="2"/>
  </w:num>
  <w:num w:numId="23" w16cid:durableId="1394669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C8"/>
    <w:rsid w:val="000033BC"/>
    <w:rsid w:val="00005C07"/>
    <w:rsid w:val="000062F7"/>
    <w:rsid w:val="00011D59"/>
    <w:rsid w:val="000269C6"/>
    <w:rsid w:val="000361E4"/>
    <w:rsid w:val="00040DA2"/>
    <w:rsid w:val="00045357"/>
    <w:rsid w:val="0005222D"/>
    <w:rsid w:val="000567DD"/>
    <w:rsid w:val="000737F8"/>
    <w:rsid w:val="000A5EAF"/>
    <w:rsid w:val="000A6097"/>
    <w:rsid w:val="000A7D6F"/>
    <w:rsid w:val="000B30FF"/>
    <w:rsid w:val="000B36E6"/>
    <w:rsid w:val="000B41E5"/>
    <w:rsid w:val="000C110D"/>
    <w:rsid w:val="000C23D9"/>
    <w:rsid w:val="000D79AF"/>
    <w:rsid w:val="000E2236"/>
    <w:rsid w:val="000E6719"/>
    <w:rsid w:val="000F210D"/>
    <w:rsid w:val="001007DE"/>
    <w:rsid w:val="001037ED"/>
    <w:rsid w:val="00104BD1"/>
    <w:rsid w:val="0011323D"/>
    <w:rsid w:val="00117D52"/>
    <w:rsid w:val="001224C2"/>
    <w:rsid w:val="0012549C"/>
    <w:rsid w:val="00130730"/>
    <w:rsid w:val="00132B54"/>
    <w:rsid w:val="001369C6"/>
    <w:rsid w:val="00136D67"/>
    <w:rsid w:val="00137FCF"/>
    <w:rsid w:val="001407E1"/>
    <w:rsid w:val="00143EF6"/>
    <w:rsid w:val="001716A9"/>
    <w:rsid w:val="00174DB8"/>
    <w:rsid w:val="00177E97"/>
    <w:rsid w:val="00186EC2"/>
    <w:rsid w:val="00197D3C"/>
    <w:rsid w:val="001C65CB"/>
    <w:rsid w:val="001C7F4C"/>
    <w:rsid w:val="001E129C"/>
    <w:rsid w:val="001F07EE"/>
    <w:rsid w:val="001F4115"/>
    <w:rsid w:val="001F6BC8"/>
    <w:rsid w:val="002140B1"/>
    <w:rsid w:val="00215BEC"/>
    <w:rsid w:val="00215CF3"/>
    <w:rsid w:val="0022095E"/>
    <w:rsid w:val="002237B5"/>
    <w:rsid w:val="00223A74"/>
    <w:rsid w:val="00225E3E"/>
    <w:rsid w:val="00232BFD"/>
    <w:rsid w:val="00232FA8"/>
    <w:rsid w:val="00235F17"/>
    <w:rsid w:val="00241324"/>
    <w:rsid w:val="0024356C"/>
    <w:rsid w:val="002437DB"/>
    <w:rsid w:val="00256A5C"/>
    <w:rsid w:val="00266BEA"/>
    <w:rsid w:val="002714DB"/>
    <w:rsid w:val="002766DB"/>
    <w:rsid w:val="002813B5"/>
    <w:rsid w:val="00285707"/>
    <w:rsid w:val="00285F41"/>
    <w:rsid w:val="00297E23"/>
    <w:rsid w:val="002A2D64"/>
    <w:rsid w:val="002A4042"/>
    <w:rsid w:val="002A46A4"/>
    <w:rsid w:val="002A46D2"/>
    <w:rsid w:val="002A66CE"/>
    <w:rsid w:val="002B49B7"/>
    <w:rsid w:val="002B6763"/>
    <w:rsid w:val="002B6B64"/>
    <w:rsid w:val="002C2E88"/>
    <w:rsid w:val="002D40AC"/>
    <w:rsid w:val="002E3E6A"/>
    <w:rsid w:val="002E5E1C"/>
    <w:rsid w:val="002E6670"/>
    <w:rsid w:val="00314D0D"/>
    <w:rsid w:val="00317C04"/>
    <w:rsid w:val="00323FA1"/>
    <w:rsid w:val="00325B50"/>
    <w:rsid w:val="003366F6"/>
    <w:rsid w:val="00342106"/>
    <w:rsid w:val="00347CA6"/>
    <w:rsid w:val="003541E9"/>
    <w:rsid w:val="003724A3"/>
    <w:rsid w:val="003737FA"/>
    <w:rsid w:val="00381D92"/>
    <w:rsid w:val="0038454E"/>
    <w:rsid w:val="0039617B"/>
    <w:rsid w:val="003972AA"/>
    <w:rsid w:val="003A180E"/>
    <w:rsid w:val="003B08AF"/>
    <w:rsid w:val="003B22BF"/>
    <w:rsid w:val="003B25EC"/>
    <w:rsid w:val="003B36F2"/>
    <w:rsid w:val="003B4DD1"/>
    <w:rsid w:val="003C1835"/>
    <w:rsid w:val="003C1F10"/>
    <w:rsid w:val="003D00C4"/>
    <w:rsid w:val="003D075E"/>
    <w:rsid w:val="003D1F5A"/>
    <w:rsid w:val="003D5FB7"/>
    <w:rsid w:val="003D65D8"/>
    <w:rsid w:val="003E379E"/>
    <w:rsid w:val="003E7083"/>
    <w:rsid w:val="003E7201"/>
    <w:rsid w:val="003E7281"/>
    <w:rsid w:val="003F077E"/>
    <w:rsid w:val="003F1B29"/>
    <w:rsid w:val="003F6588"/>
    <w:rsid w:val="003F6BC6"/>
    <w:rsid w:val="003F7C54"/>
    <w:rsid w:val="004128CF"/>
    <w:rsid w:val="00414F7B"/>
    <w:rsid w:val="004238BE"/>
    <w:rsid w:val="004322F3"/>
    <w:rsid w:val="00435D14"/>
    <w:rsid w:val="0044299D"/>
    <w:rsid w:val="004437AE"/>
    <w:rsid w:val="00460629"/>
    <w:rsid w:val="004609F0"/>
    <w:rsid w:val="00480181"/>
    <w:rsid w:val="00484084"/>
    <w:rsid w:val="00490B94"/>
    <w:rsid w:val="004A2137"/>
    <w:rsid w:val="004A4EAB"/>
    <w:rsid w:val="004A621D"/>
    <w:rsid w:val="004B0DDD"/>
    <w:rsid w:val="004B11A5"/>
    <w:rsid w:val="004B6040"/>
    <w:rsid w:val="004D43EC"/>
    <w:rsid w:val="004D4771"/>
    <w:rsid w:val="004E016B"/>
    <w:rsid w:val="004E1B1F"/>
    <w:rsid w:val="004E42D5"/>
    <w:rsid w:val="004F51B4"/>
    <w:rsid w:val="0051294D"/>
    <w:rsid w:val="00520502"/>
    <w:rsid w:val="00523ED0"/>
    <w:rsid w:val="00532296"/>
    <w:rsid w:val="0054152A"/>
    <w:rsid w:val="0054452A"/>
    <w:rsid w:val="005463A6"/>
    <w:rsid w:val="0054708E"/>
    <w:rsid w:val="005538B4"/>
    <w:rsid w:val="00556A28"/>
    <w:rsid w:val="005650A3"/>
    <w:rsid w:val="00565411"/>
    <w:rsid w:val="00576DBF"/>
    <w:rsid w:val="00582370"/>
    <w:rsid w:val="00582FA0"/>
    <w:rsid w:val="0058490A"/>
    <w:rsid w:val="005969FC"/>
    <w:rsid w:val="00596D39"/>
    <w:rsid w:val="005C30E5"/>
    <w:rsid w:val="005C7AFF"/>
    <w:rsid w:val="005F091F"/>
    <w:rsid w:val="005F1AA3"/>
    <w:rsid w:val="005F27E4"/>
    <w:rsid w:val="0060694B"/>
    <w:rsid w:val="00631FF5"/>
    <w:rsid w:val="00632CD0"/>
    <w:rsid w:val="00640882"/>
    <w:rsid w:val="00640F8F"/>
    <w:rsid w:val="006419D2"/>
    <w:rsid w:val="00644264"/>
    <w:rsid w:val="006449D4"/>
    <w:rsid w:val="00654934"/>
    <w:rsid w:val="00665D28"/>
    <w:rsid w:val="0067267B"/>
    <w:rsid w:val="00686A73"/>
    <w:rsid w:val="00687F35"/>
    <w:rsid w:val="006B23BB"/>
    <w:rsid w:val="006B6356"/>
    <w:rsid w:val="006B71F3"/>
    <w:rsid w:val="006C188C"/>
    <w:rsid w:val="006D0A45"/>
    <w:rsid w:val="006D1FF3"/>
    <w:rsid w:val="006E3D92"/>
    <w:rsid w:val="006E4278"/>
    <w:rsid w:val="006E485D"/>
    <w:rsid w:val="006E5A89"/>
    <w:rsid w:val="006E679B"/>
    <w:rsid w:val="006F4DB3"/>
    <w:rsid w:val="006F7BA5"/>
    <w:rsid w:val="00702F2E"/>
    <w:rsid w:val="007039EE"/>
    <w:rsid w:val="00703D87"/>
    <w:rsid w:val="007067A8"/>
    <w:rsid w:val="00721270"/>
    <w:rsid w:val="00726229"/>
    <w:rsid w:val="0072731F"/>
    <w:rsid w:val="007412CB"/>
    <w:rsid w:val="007512A9"/>
    <w:rsid w:val="00752D3F"/>
    <w:rsid w:val="0075478D"/>
    <w:rsid w:val="007655DE"/>
    <w:rsid w:val="0077322D"/>
    <w:rsid w:val="00783E48"/>
    <w:rsid w:val="00784BF6"/>
    <w:rsid w:val="0078582E"/>
    <w:rsid w:val="00795426"/>
    <w:rsid w:val="007A0669"/>
    <w:rsid w:val="007B1077"/>
    <w:rsid w:val="007B7E39"/>
    <w:rsid w:val="007D5448"/>
    <w:rsid w:val="007E1EA9"/>
    <w:rsid w:val="007F2ECE"/>
    <w:rsid w:val="008034B1"/>
    <w:rsid w:val="008216CD"/>
    <w:rsid w:val="008229AC"/>
    <w:rsid w:val="0082566B"/>
    <w:rsid w:val="008337C0"/>
    <w:rsid w:val="00837C45"/>
    <w:rsid w:val="00844FEE"/>
    <w:rsid w:val="008526E9"/>
    <w:rsid w:val="008531DB"/>
    <w:rsid w:val="00855CCB"/>
    <w:rsid w:val="00860CAA"/>
    <w:rsid w:val="0086522A"/>
    <w:rsid w:val="008715F3"/>
    <w:rsid w:val="00872FD3"/>
    <w:rsid w:val="00883D7D"/>
    <w:rsid w:val="00884605"/>
    <w:rsid w:val="00890487"/>
    <w:rsid w:val="00890730"/>
    <w:rsid w:val="008A0520"/>
    <w:rsid w:val="008A5442"/>
    <w:rsid w:val="008A798D"/>
    <w:rsid w:val="008B014D"/>
    <w:rsid w:val="008C4671"/>
    <w:rsid w:val="008D71D2"/>
    <w:rsid w:val="0090087B"/>
    <w:rsid w:val="009008A4"/>
    <w:rsid w:val="00902277"/>
    <w:rsid w:val="00907607"/>
    <w:rsid w:val="009108B1"/>
    <w:rsid w:val="00915C52"/>
    <w:rsid w:val="00921209"/>
    <w:rsid w:val="00925ECA"/>
    <w:rsid w:val="00932BD5"/>
    <w:rsid w:val="00933A2F"/>
    <w:rsid w:val="00942371"/>
    <w:rsid w:val="00943288"/>
    <w:rsid w:val="00945826"/>
    <w:rsid w:val="00954004"/>
    <w:rsid w:val="00954CDC"/>
    <w:rsid w:val="00956040"/>
    <w:rsid w:val="00960460"/>
    <w:rsid w:val="0096799B"/>
    <w:rsid w:val="009730B5"/>
    <w:rsid w:val="00976099"/>
    <w:rsid w:val="0098105E"/>
    <w:rsid w:val="00982FD5"/>
    <w:rsid w:val="00983791"/>
    <w:rsid w:val="009911A5"/>
    <w:rsid w:val="0099643D"/>
    <w:rsid w:val="009A0AA6"/>
    <w:rsid w:val="009B0ABD"/>
    <w:rsid w:val="009B2E97"/>
    <w:rsid w:val="009C2ACC"/>
    <w:rsid w:val="009C50B0"/>
    <w:rsid w:val="009D1C79"/>
    <w:rsid w:val="009E225D"/>
    <w:rsid w:val="009F17A3"/>
    <w:rsid w:val="00A03C67"/>
    <w:rsid w:val="00A30D25"/>
    <w:rsid w:val="00A33B93"/>
    <w:rsid w:val="00A45B3A"/>
    <w:rsid w:val="00A46C87"/>
    <w:rsid w:val="00A4768E"/>
    <w:rsid w:val="00A56493"/>
    <w:rsid w:val="00A73D57"/>
    <w:rsid w:val="00A810D9"/>
    <w:rsid w:val="00A911B1"/>
    <w:rsid w:val="00AA1B03"/>
    <w:rsid w:val="00AA1BFD"/>
    <w:rsid w:val="00AA3175"/>
    <w:rsid w:val="00AA4792"/>
    <w:rsid w:val="00AB004A"/>
    <w:rsid w:val="00AB5446"/>
    <w:rsid w:val="00AC1688"/>
    <w:rsid w:val="00AD0C73"/>
    <w:rsid w:val="00AE055D"/>
    <w:rsid w:val="00AE7109"/>
    <w:rsid w:val="00AF01B9"/>
    <w:rsid w:val="00AF036F"/>
    <w:rsid w:val="00AF2065"/>
    <w:rsid w:val="00B01A02"/>
    <w:rsid w:val="00B06479"/>
    <w:rsid w:val="00B07D63"/>
    <w:rsid w:val="00B1173C"/>
    <w:rsid w:val="00B223B1"/>
    <w:rsid w:val="00B2300D"/>
    <w:rsid w:val="00B26884"/>
    <w:rsid w:val="00B31231"/>
    <w:rsid w:val="00B31F93"/>
    <w:rsid w:val="00B44D8A"/>
    <w:rsid w:val="00B450D6"/>
    <w:rsid w:val="00B47457"/>
    <w:rsid w:val="00B51806"/>
    <w:rsid w:val="00B52810"/>
    <w:rsid w:val="00B565AF"/>
    <w:rsid w:val="00B56608"/>
    <w:rsid w:val="00B60552"/>
    <w:rsid w:val="00B77682"/>
    <w:rsid w:val="00B83D52"/>
    <w:rsid w:val="00B862F0"/>
    <w:rsid w:val="00B91BB6"/>
    <w:rsid w:val="00B9266F"/>
    <w:rsid w:val="00B96907"/>
    <w:rsid w:val="00BA2A41"/>
    <w:rsid w:val="00BA3850"/>
    <w:rsid w:val="00BA49DA"/>
    <w:rsid w:val="00BB3EF4"/>
    <w:rsid w:val="00BB56B8"/>
    <w:rsid w:val="00BC2695"/>
    <w:rsid w:val="00BC68B6"/>
    <w:rsid w:val="00BD0D14"/>
    <w:rsid w:val="00BD39B1"/>
    <w:rsid w:val="00BF161D"/>
    <w:rsid w:val="00BF345B"/>
    <w:rsid w:val="00BF7192"/>
    <w:rsid w:val="00C024AD"/>
    <w:rsid w:val="00C03433"/>
    <w:rsid w:val="00C06AD1"/>
    <w:rsid w:val="00C1028A"/>
    <w:rsid w:val="00C10CC6"/>
    <w:rsid w:val="00C16B5B"/>
    <w:rsid w:val="00C245BE"/>
    <w:rsid w:val="00C41490"/>
    <w:rsid w:val="00C516B5"/>
    <w:rsid w:val="00C51887"/>
    <w:rsid w:val="00C54A89"/>
    <w:rsid w:val="00C550E7"/>
    <w:rsid w:val="00C56123"/>
    <w:rsid w:val="00C56F1B"/>
    <w:rsid w:val="00C56FC2"/>
    <w:rsid w:val="00C615B5"/>
    <w:rsid w:val="00C6269F"/>
    <w:rsid w:val="00C76759"/>
    <w:rsid w:val="00C778B1"/>
    <w:rsid w:val="00C8067E"/>
    <w:rsid w:val="00C83AC9"/>
    <w:rsid w:val="00C9588B"/>
    <w:rsid w:val="00C9765E"/>
    <w:rsid w:val="00CA570D"/>
    <w:rsid w:val="00CB3B67"/>
    <w:rsid w:val="00CB3C34"/>
    <w:rsid w:val="00CC3D03"/>
    <w:rsid w:val="00CD041C"/>
    <w:rsid w:val="00CD260E"/>
    <w:rsid w:val="00CD3754"/>
    <w:rsid w:val="00CD3CE4"/>
    <w:rsid w:val="00CD492D"/>
    <w:rsid w:val="00CE05A4"/>
    <w:rsid w:val="00CF52C6"/>
    <w:rsid w:val="00D01A3F"/>
    <w:rsid w:val="00D01AFC"/>
    <w:rsid w:val="00D313A6"/>
    <w:rsid w:val="00D33C37"/>
    <w:rsid w:val="00D3740E"/>
    <w:rsid w:val="00D42A42"/>
    <w:rsid w:val="00D4325A"/>
    <w:rsid w:val="00D4537D"/>
    <w:rsid w:val="00D61B50"/>
    <w:rsid w:val="00D65940"/>
    <w:rsid w:val="00D668DA"/>
    <w:rsid w:val="00D672C8"/>
    <w:rsid w:val="00D85EE4"/>
    <w:rsid w:val="00DB77BE"/>
    <w:rsid w:val="00DC15DA"/>
    <w:rsid w:val="00DC19C7"/>
    <w:rsid w:val="00DC5776"/>
    <w:rsid w:val="00DD1C13"/>
    <w:rsid w:val="00DE6621"/>
    <w:rsid w:val="00DE7829"/>
    <w:rsid w:val="00DF06D5"/>
    <w:rsid w:val="00DF0ACD"/>
    <w:rsid w:val="00DF1D88"/>
    <w:rsid w:val="00DF6763"/>
    <w:rsid w:val="00E1410B"/>
    <w:rsid w:val="00E16516"/>
    <w:rsid w:val="00E21477"/>
    <w:rsid w:val="00E229B3"/>
    <w:rsid w:val="00E245FE"/>
    <w:rsid w:val="00E27058"/>
    <w:rsid w:val="00E27ED9"/>
    <w:rsid w:val="00E30143"/>
    <w:rsid w:val="00E3562D"/>
    <w:rsid w:val="00E44628"/>
    <w:rsid w:val="00E46D21"/>
    <w:rsid w:val="00E47042"/>
    <w:rsid w:val="00E53FAE"/>
    <w:rsid w:val="00E76E52"/>
    <w:rsid w:val="00E82E6C"/>
    <w:rsid w:val="00E83A33"/>
    <w:rsid w:val="00E83C64"/>
    <w:rsid w:val="00E9472E"/>
    <w:rsid w:val="00E95B79"/>
    <w:rsid w:val="00EB14B2"/>
    <w:rsid w:val="00EC277E"/>
    <w:rsid w:val="00ED22AF"/>
    <w:rsid w:val="00ED34C0"/>
    <w:rsid w:val="00ED4317"/>
    <w:rsid w:val="00ED4D43"/>
    <w:rsid w:val="00EE3B52"/>
    <w:rsid w:val="00EE73F1"/>
    <w:rsid w:val="00F01D70"/>
    <w:rsid w:val="00F06C1C"/>
    <w:rsid w:val="00F13923"/>
    <w:rsid w:val="00F14752"/>
    <w:rsid w:val="00F200D4"/>
    <w:rsid w:val="00F22DDE"/>
    <w:rsid w:val="00F257A1"/>
    <w:rsid w:val="00F45128"/>
    <w:rsid w:val="00F54FA4"/>
    <w:rsid w:val="00F62078"/>
    <w:rsid w:val="00F657E9"/>
    <w:rsid w:val="00F7014C"/>
    <w:rsid w:val="00F802D5"/>
    <w:rsid w:val="00F81119"/>
    <w:rsid w:val="00F92A2D"/>
    <w:rsid w:val="00F93589"/>
    <w:rsid w:val="00F96758"/>
    <w:rsid w:val="00FA2915"/>
    <w:rsid w:val="00FB06C9"/>
    <w:rsid w:val="00FB6AFB"/>
    <w:rsid w:val="00FC0317"/>
    <w:rsid w:val="00FC1008"/>
    <w:rsid w:val="00FC39F2"/>
    <w:rsid w:val="00FD2235"/>
    <w:rsid w:val="00FE166E"/>
    <w:rsid w:val="00FF2DE6"/>
    <w:rsid w:val="00FF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9FA5A"/>
  <w15:chartTrackingRefBased/>
  <w15:docId w15:val="{C158386E-4FD9-4EF0-B5C6-3F38B56D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E39"/>
    <w:pPr>
      <w:spacing w:line="256" w:lineRule="auto"/>
    </w:pPr>
  </w:style>
  <w:style w:type="paragraph" w:styleId="Heading1">
    <w:name w:val="heading 1"/>
    <w:basedOn w:val="Normal"/>
    <w:next w:val="Normal"/>
    <w:link w:val="Heading1Char"/>
    <w:uiPriority w:val="9"/>
    <w:qFormat/>
    <w:rsid w:val="0056541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s-GT"/>
    </w:rPr>
  </w:style>
  <w:style w:type="paragraph" w:styleId="Heading2">
    <w:name w:val="heading 2"/>
    <w:basedOn w:val="Normal"/>
    <w:next w:val="Normal"/>
    <w:link w:val="Heading2Char"/>
    <w:uiPriority w:val="9"/>
    <w:semiHidden/>
    <w:unhideWhenUsed/>
    <w:qFormat/>
    <w:rsid w:val="002D40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BC8"/>
    <w:pPr>
      <w:tabs>
        <w:tab w:val="center" w:pos="4680"/>
        <w:tab w:val="right" w:pos="9360"/>
      </w:tabs>
      <w:spacing w:after="0" w:line="240" w:lineRule="auto"/>
    </w:pPr>
    <w:rPr>
      <w:lang w:val="es-GT"/>
    </w:rPr>
  </w:style>
  <w:style w:type="character" w:customStyle="1" w:styleId="HeaderChar">
    <w:name w:val="Header Char"/>
    <w:basedOn w:val="DefaultParagraphFont"/>
    <w:link w:val="Header"/>
    <w:uiPriority w:val="99"/>
    <w:rsid w:val="001F6BC8"/>
  </w:style>
  <w:style w:type="paragraph" w:styleId="Footer">
    <w:name w:val="footer"/>
    <w:basedOn w:val="Normal"/>
    <w:link w:val="FooterChar"/>
    <w:uiPriority w:val="99"/>
    <w:unhideWhenUsed/>
    <w:rsid w:val="001F6BC8"/>
    <w:pPr>
      <w:tabs>
        <w:tab w:val="center" w:pos="4680"/>
        <w:tab w:val="right" w:pos="9360"/>
      </w:tabs>
      <w:spacing w:after="0" w:line="240" w:lineRule="auto"/>
    </w:pPr>
    <w:rPr>
      <w:lang w:val="es-GT"/>
    </w:rPr>
  </w:style>
  <w:style w:type="character" w:customStyle="1" w:styleId="FooterChar">
    <w:name w:val="Footer Char"/>
    <w:basedOn w:val="DefaultParagraphFont"/>
    <w:link w:val="Footer"/>
    <w:uiPriority w:val="99"/>
    <w:rsid w:val="001F6BC8"/>
  </w:style>
  <w:style w:type="paragraph" w:styleId="BalloonText">
    <w:name w:val="Balloon Text"/>
    <w:basedOn w:val="Normal"/>
    <w:link w:val="BalloonTextChar"/>
    <w:uiPriority w:val="99"/>
    <w:semiHidden/>
    <w:unhideWhenUsed/>
    <w:rsid w:val="001F6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BC8"/>
    <w:rPr>
      <w:rFonts w:ascii="Segoe UI" w:hAnsi="Segoe UI" w:cs="Segoe UI"/>
      <w:sz w:val="18"/>
      <w:szCs w:val="18"/>
    </w:rPr>
  </w:style>
  <w:style w:type="character" w:styleId="Hyperlink">
    <w:name w:val="Hyperlink"/>
    <w:basedOn w:val="DefaultParagraphFont"/>
    <w:uiPriority w:val="99"/>
    <w:unhideWhenUsed/>
    <w:rsid w:val="00B96907"/>
    <w:rPr>
      <w:color w:val="0563C1" w:themeColor="hyperlink"/>
      <w:u w:val="single"/>
    </w:rPr>
  </w:style>
  <w:style w:type="character" w:styleId="UnresolvedMention">
    <w:name w:val="Unresolved Mention"/>
    <w:basedOn w:val="DefaultParagraphFont"/>
    <w:uiPriority w:val="99"/>
    <w:semiHidden/>
    <w:unhideWhenUsed/>
    <w:rsid w:val="00B96907"/>
    <w:rPr>
      <w:color w:val="605E5C"/>
      <w:shd w:val="clear" w:color="auto" w:fill="E1DFDD"/>
    </w:rPr>
  </w:style>
  <w:style w:type="paragraph" w:styleId="ListParagraph">
    <w:name w:val="List Paragraph"/>
    <w:basedOn w:val="Normal"/>
    <w:link w:val="ListParagraphChar"/>
    <w:uiPriority w:val="34"/>
    <w:qFormat/>
    <w:rsid w:val="007A0669"/>
    <w:pPr>
      <w:spacing w:line="259" w:lineRule="auto"/>
      <w:ind w:left="720"/>
      <w:contextualSpacing/>
    </w:pPr>
    <w:rPr>
      <w:lang w:val="es-GT"/>
    </w:rPr>
  </w:style>
  <w:style w:type="character" w:customStyle="1" w:styleId="Heading1Char">
    <w:name w:val="Heading 1 Char"/>
    <w:basedOn w:val="DefaultParagraphFont"/>
    <w:link w:val="Heading1"/>
    <w:uiPriority w:val="9"/>
    <w:rsid w:val="00565411"/>
    <w:rPr>
      <w:rFonts w:asciiTheme="majorHAnsi" w:eastAsiaTheme="majorEastAsia" w:hAnsiTheme="majorHAnsi" w:cstheme="majorBidi"/>
      <w:color w:val="2F5496" w:themeColor="accent1" w:themeShade="BF"/>
      <w:sz w:val="32"/>
      <w:szCs w:val="32"/>
      <w:lang w:val="es-GT"/>
    </w:rPr>
  </w:style>
  <w:style w:type="table" w:styleId="TableGrid">
    <w:name w:val="Table Grid"/>
    <w:basedOn w:val="TableNormal"/>
    <w:uiPriority w:val="39"/>
    <w:rsid w:val="00565411"/>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65411"/>
    <w:pPr>
      <w:spacing w:after="0" w:line="240" w:lineRule="auto"/>
    </w:pPr>
    <w:rPr>
      <w:sz w:val="20"/>
      <w:szCs w:val="20"/>
      <w:lang w:val="es-GT"/>
    </w:rPr>
  </w:style>
  <w:style w:type="character" w:customStyle="1" w:styleId="FootnoteTextChar">
    <w:name w:val="Footnote Text Char"/>
    <w:basedOn w:val="DefaultParagraphFont"/>
    <w:link w:val="FootnoteText"/>
    <w:uiPriority w:val="99"/>
    <w:rsid w:val="00565411"/>
    <w:rPr>
      <w:sz w:val="20"/>
      <w:szCs w:val="20"/>
      <w:lang w:val="es-GT"/>
    </w:rPr>
  </w:style>
  <w:style w:type="character" w:styleId="FootnoteReference">
    <w:name w:val="footnote reference"/>
    <w:basedOn w:val="DefaultParagraphFont"/>
    <w:uiPriority w:val="99"/>
    <w:semiHidden/>
    <w:unhideWhenUsed/>
    <w:rsid w:val="00565411"/>
    <w:rPr>
      <w:vertAlign w:val="superscript"/>
    </w:rPr>
  </w:style>
  <w:style w:type="paragraph" w:customStyle="1" w:styleId="Default">
    <w:name w:val="Default"/>
    <w:rsid w:val="00A73D5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32B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2BFD"/>
    <w:rPr>
      <w:b/>
      <w:bCs/>
    </w:rPr>
  </w:style>
  <w:style w:type="paragraph" w:customStyle="1" w:styleId="Standard">
    <w:name w:val="Standard"/>
    <w:rsid w:val="00CD041C"/>
    <w:pPr>
      <w:suppressAutoHyphens/>
      <w:autoSpaceDN w:val="0"/>
      <w:spacing w:line="256" w:lineRule="auto"/>
      <w:textAlignment w:val="baseline"/>
    </w:pPr>
    <w:rPr>
      <w:rFonts w:ascii="Calibri" w:eastAsia="SimSun" w:hAnsi="Calibri" w:cs="F"/>
      <w:kern w:val="3"/>
    </w:rPr>
  </w:style>
  <w:style w:type="character" w:styleId="FollowedHyperlink">
    <w:name w:val="FollowedHyperlink"/>
    <w:basedOn w:val="DefaultParagraphFont"/>
    <w:uiPriority w:val="99"/>
    <w:semiHidden/>
    <w:unhideWhenUsed/>
    <w:rsid w:val="002D40AC"/>
    <w:rPr>
      <w:color w:val="954F72" w:themeColor="followedHyperlink"/>
      <w:u w:val="single"/>
    </w:rPr>
  </w:style>
  <w:style w:type="character" w:customStyle="1" w:styleId="Heading2Char">
    <w:name w:val="Heading 2 Char"/>
    <w:basedOn w:val="DefaultParagraphFont"/>
    <w:link w:val="Heading2"/>
    <w:uiPriority w:val="9"/>
    <w:semiHidden/>
    <w:rsid w:val="002D40AC"/>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basedOn w:val="DefaultParagraphFont"/>
    <w:link w:val="ListParagraph"/>
    <w:uiPriority w:val="34"/>
    <w:locked/>
    <w:rsid w:val="00883D7D"/>
    <w:rPr>
      <w:lang w:val="es-GT"/>
    </w:rPr>
  </w:style>
  <w:style w:type="character" w:styleId="Emphasis">
    <w:name w:val="Emphasis"/>
    <w:basedOn w:val="DefaultParagraphFont"/>
    <w:uiPriority w:val="20"/>
    <w:qFormat/>
    <w:rsid w:val="00883D7D"/>
    <w:rPr>
      <w:i/>
      <w:iCs/>
    </w:rPr>
  </w:style>
  <w:style w:type="paragraph" w:customStyle="1" w:styleId="card-text">
    <w:name w:val="card-text"/>
    <w:basedOn w:val="Normal"/>
    <w:rsid w:val="00136D67"/>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table" w:customStyle="1" w:styleId="TableNormal1">
    <w:name w:val="Table Normal1"/>
    <w:uiPriority w:val="2"/>
    <w:semiHidden/>
    <w:unhideWhenUsed/>
    <w:qFormat/>
    <w:rsid w:val="00B5281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2810"/>
    <w:pPr>
      <w:widowControl w:val="0"/>
      <w:autoSpaceDE w:val="0"/>
      <w:autoSpaceDN w:val="0"/>
      <w:spacing w:after="0" w:line="260" w:lineRule="exact"/>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709">
      <w:bodyDiv w:val="1"/>
      <w:marLeft w:val="0"/>
      <w:marRight w:val="0"/>
      <w:marTop w:val="0"/>
      <w:marBottom w:val="0"/>
      <w:divBdr>
        <w:top w:val="none" w:sz="0" w:space="0" w:color="auto"/>
        <w:left w:val="none" w:sz="0" w:space="0" w:color="auto"/>
        <w:bottom w:val="none" w:sz="0" w:space="0" w:color="auto"/>
        <w:right w:val="none" w:sz="0" w:space="0" w:color="auto"/>
      </w:divBdr>
    </w:div>
    <w:div w:id="54279420">
      <w:bodyDiv w:val="1"/>
      <w:marLeft w:val="0"/>
      <w:marRight w:val="0"/>
      <w:marTop w:val="0"/>
      <w:marBottom w:val="0"/>
      <w:divBdr>
        <w:top w:val="none" w:sz="0" w:space="0" w:color="auto"/>
        <w:left w:val="none" w:sz="0" w:space="0" w:color="auto"/>
        <w:bottom w:val="none" w:sz="0" w:space="0" w:color="auto"/>
        <w:right w:val="none" w:sz="0" w:space="0" w:color="auto"/>
      </w:divBdr>
    </w:div>
    <w:div w:id="87701418">
      <w:bodyDiv w:val="1"/>
      <w:marLeft w:val="0"/>
      <w:marRight w:val="0"/>
      <w:marTop w:val="0"/>
      <w:marBottom w:val="0"/>
      <w:divBdr>
        <w:top w:val="none" w:sz="0" w:space="0" w:color="auto"/>
        <w:left w:val="none" w:sz="0" w:space="0" w:color="auto"/>
        <w:bottom w:val="none" w:sz="0" w:space="0" w:color="auto"/>
        <w:right w:val="none" w:sz="0" w:space="0" w:color="auto"/>
      </w:divBdr>
    </w:div>
    <w:div w:id="170800846">
      <w:bodyDiv w:val="1"/>
      <w:marLeft w:val="0"/>
      <w:marRight w:val="0"/>
      <w:marTop w:val="0"/>
      <w:marBottom w:val="0"/>
      <w:divBdr>
        <w:top w:val="none" w:sz="0" w:space="0" w:color="auto"/>
        <w:left w:val="none" w:sz="0" w:space="0" w:color="auto"/>
        <w:bottom w:val="none" w:sz="0" w:space="0" w:color="auto"/>
        <w:right w:val="none" w:sz="0" w:space="0" w:color="auto"/>
      </w:divBdr>
    </w:div>
    <w:div w:id="173735947">
      <w:bodyDiv w:val="1"/>
      <w:marLeft w:val="0"/>
      <w:marRight w:val="0"/>
      <w:marTop w:val="0"/>
      <w:marBottom w:val="0"/>
      <w:divBdr>
        <w:top w:val="none" w:sz="0" w:space="0" w:color="auto"/>
        <w:left w:val="none" w:sz="0" w:space="0" w:color="auto"/>
        <w:bottom w:val="none" w:sz="0" w:space="0" w:color="auto"/>
        <w:right w:val="none" w:sz="0" w:space="0" w:color="auto"/>
      </w:divBdr>
    </w:div>
    <w:div w:id="461196533">
      <w:bodyDiv w:val="1"/>
      <w:marLeft w:val="0"/>
      <w:marRight w:val="0"/>
      <w:marTop w:val="0"/>
      <w:marBottom w:val="0"/>
      <w:divBdr>
        <w:top w:val="none" w:sz="0" w:space="0" w:color="auto"/>
        <w:left w:val="none" w:sz="0" w:space="0" w:color="auto"/>
        <w:bottom w:val="none" w:sz="0" w:space="0" w:color="auto"/>
        <w:right w:val="none" w:sz="0" w:space="0" w:color="auto"/>
      </w:divBdr>
    </w:div>
    <w:div w:id="567114802">
      <w:bodyDiv w:val="1"/>
      <w:marLeft w:val="0"/>
      <w:marRight w:val="0"/>
      <w:marTop w:val="0"/>
      <w:marBottom w:val="0"/>
      <w:divBdr>
        <w:top w:val="none" w:sz="0" w:space="0" w:color="auto"/>
        <w:left w:val="none" w:sz="0" w:space="0" w:color="auto"/>
        <w:bottom w:val="none" w:sz="0" w:space="0" w:color="auto"/>
        <w:right w:val="none" w:sz="0" w:space="0" w:color="auto"/>
      </w:divBdr>
    </w:div>
    <w:div w:id="706225610">
      <w:bodyDiv w:val="1"/>
      <w:marLeft w:val="0"/>
      <w:marRight w:val="0"/>
      <w:marTop w:val="0"/>
      <w:marBottom w:val="0"/>
      <w:divBdr>
        <w:top w:val="none" w:sz="0" w:space="0" w:color="auto"/>
        <w:left w:val="none" w:sz="0" w:space="0" w:color="auto"/>
        <w:bottom w:val="none" w:sz="0" w:space="0" w:color="auto"/>
        <w:right w:val="none" w:sz="0" w:space="0" w:color="auto"/>
      </w:divBdr>
    </w:div>
    <w:div w:id="714543935">
      <w:bodyDiv w:val="1"/>
      <w:marLeft w:val="0"/>
      <w:marRight w:val="0"/>
      <w:marTop w:val="0"/>
      <w:marBottom w:val="0"/>
      <w:divBdr>
        <w:top w:val="none" w:sz="0" w:space="0" w:color="auto"/>
        <w:left w:val="none" w:sz="0" w:space="0" w:color="auto"/>
        <w:bottom w:val="none" w:sz="0" w:space="0" w:color="auto"/>
        <w:right w:val="none" w:sz="0" w:space="0" w:color="auto"/>
      </w:divBdr>
    </w:div>
    <w:div w:id="903295725">
      <w:bodyDiv w:val="1"/>
      <w:marLeft w:val="0"/>
      <w:marRight w:val="0"/>
      <w:marTop w:val="0"/>
      <w:marBottom w:val="0"/>
      <w:divBdr>
        <w:top w:val="none" w:sz="0" w:space="0" w:color="auto"/>
        <w:left w:val="none" w:sz="0" w:space="0" w:color="auto"/>
        <w:bottom w:val="none" w:sz="0" w:space="0" w:color="auto"/>
        <w:right w:val="none" w:sz="0" w:space="0" w:color="auto"/>
      </w:divBdr>
    </w:div>
    <w:div w:id="915211247">
      <w:bodyDiv w:val="1"/>
      <w:marLeft w:val="0"/>
      <w:marRight w:val="0"/>
      <w:marTop w:val="0"/>
      <w:marBottom w:val="0"/>
      <w:divBdr>
        <w:top w:val="none" w:sz="0" w:space="0" w:color="auto"/>
        <w:left w:val="none" w:sz="0" w:space="0" w:color="auto"/>
        <w:bottom w:val="none" w:sz="0" w:space="0" w:color="auto"/>
        <w:right w:val="none" w:sz="0" w:space="0" w:color="auto"/>
      </w:divBdr>
    </w:div>
    <w:div w:id="1006638069">
      <w:bodyDiv w:val="1"/>
      <w:marLeft w:val="0"/>
      <w:marRight w:val="0"/>
      <w:marTop w:val="0"/>
      <w:marBottom w:val="0"/>
      <w:divBdr>
        <w:top w:val="none" w:sz="0" w:space="0" w:color="auto"/>
        <w:left w:val="none" w:sz="0" w:space="0" w:color="auto"/>
        <w:bottom w:val="none" w:sz="0" w:space="0" w:color="auto"/>
        <w:right w:val="none" w:sz="0" w:space="0" w:color="auto"/>
      </w:divBdr>
    </w:div>
    <w:div w:id="1023941604">
      <w:bodyDiv w:val="1"/>
      <w:marLeft w:val="0"/>
      <w:marRight w:val="0"/>
      <w:marTop w:val="0"/>
      <w:marBottom w:val="0"/>
      <w:divBdr>
        <w:top w:val="none" w:sz="0" w:space="0" w:color="auto"/>
        <w:left w:val="none" w:sz="0" w:space="0" w:color="auto"/>
        <w:bottom w:val="none" w:sz="0" w:space="0" w:color="auto"/>
        <w:right w:val="none" w:sz="0" w:space="0" w:color="auto"/>
      </w:divBdr>
    </w:div>
    <w:div w:id="1054043004">
      <w:bodyDiv w:val="1"/>
      <w:marLeft w:val="0"/>
      <w:marRight w:val="0"/>
      <w:marTop w:val="0"/>
      <w:marBottom w:val="0"/>
      <w:divBdr>
        <w:top w:val="none" w:sz="0" w:space="0" w:color="auto"/>
        <w:left w:val="none" w:sz="0" w:space="0" w:color="auto"/>
        <w:bottom w:val="none" w:sz="0" w:space="0" w:color="auto"/>
        <w:right w:val="none" w:sz="0" w:space="0" w:color="auto"/>
      </w:divBdr>
    </w:div>
    <w:div w:id="1057624405">
      <w:bodyDiv w:val="1"/>
      <w:marLeft w:val="0"/>
      <w:marRight w:val="0"/>
      <w:marTop w:val="0"/>
      <w:marBottom w:val="0"/>
      <w:divBdr>
        <w:top w:val="none" w:sz="0" w:space="0" w:color="auto"/>
        <w:left w:val="none" w:sz="0" w:space="0" w:color="auto"/>
        <w:bottom w:val="none" w:sz="0" w:space="0" w:color="auto"/>
        <w:right w:val="none" w:sz="0" w:space="0" w:color="auto"/>
      </w:divBdr>
    </w:div>
    <w:div w:id="1190216396">
      <w:bodyDiv w:val="1"/>
      <w:marLeft w:val="0"/>
      <w:marRight w:val="0"/>
      <w:marTop w:val="0"/>
      <w:marBottom w:val="0"/>
      <w:divBdr>
        <w:top w:val="none" w:sz="0" w:space="0" w:color="auto"/>
        <w:left w:val="none" w:sz="0" w:space="0" w:color="auto"/>
        <w:bottom w:val="none" w:sz="0" w:space="0" w:color="auto"/>
        <w:right w:val="none" w:sz="0" w:space="0" w:color="auto"/>
      </w:divBdr>
    </w:div>
    <w:div w:id="1195533130">
      <w:bodyDiv w:val="1"/>
      <w:marLeft w:val="0"/>
      <w:marRight w:val="0"/>
      <w:marTop w:val="0"/>
      <w:marBottom w:val="0"/>
      <w:divBdr>
        <w:top w:val="none" w:sz="0" w:space="0" w:color="auto"/>
        <w:left w:val="none" w:sz="0" w:space="0" w:color="auto"/>
        <w:bottom w:val="none" w:sz="0" w:space="0" w:color="auto"/>
        <w:right w:val="none" w:sz="0" w:space="0" w:color="auto"/>
      </w:divBdr>
    </w:div>
    <w:div w:id="1226187874">
      <w:bodyDiv w:val="1"/>
      <w:marLeft w:val="0"/>
      <w:marRight w:val="0"/>
      <w:marTop w:val="0"/>
      <w:marBottom w:val="0"/>
      <w:divBdr>
        <w:top w:val="none" w:sz="0" w:space="0" w:color="auto"/>
        <w:left w:val="none" w:sz="0" w:space="0" w:color="auto"/>
        <w:bottom w:val="none" w:sz="0" w:space="0" w:color="auto"/>
        <w:right w:val="none" w:sz="0" w:space="0" w:color="auto"/>
      </w:divBdr>
    </w:div>
    <w:div w:id="1285111990">
      <w:bodyDiv w:val="1"/>
      <w:marLeft w:val="0"/>
      <w:marRight w:val="0"/>
      <w:marTop w:val="0"/>
      <w:marBottom w:val="0"/>
      <w:divBdr>
        <w:top w:val="none" w:sz="0" w:space="0" w:color="auto"/>
        <w:left w:val="none" w:sz="0" w:space="0" w:color="auto"/>
        <w:bottom w:val="none" w:sz="0" w:space="0" w:color="auto"/>
        <w:right w:val="none" w:sz="0" w:space="0" w:color="auto"/>
      </w:divBdr>
    </w:div>
    <w:div w:id="1384527291">
      <w:bodyDiv w:val="1"/>
      <w:marLeft w:val="0"/>
      <w:marRight w:val="0"/>
      <w:marTop w:val="0"/>
      <w:marBottom w:val="0"/>
      <w:divBdr>
        <w:top w:val="none" w:sz="0" w:space="0" w:color="auto"/>
        <w:left w:val="none" w:sz="0" w:space="0" w:color="auto"/>
        <w:bottom w:val="none" w:sz="0" w:space="0" w:color="auto"/>
        <w:right w:val="none" w:sz="0" w:space="0" w:color="auto"/>
      </w:divBdr>
    </w:div>
    <w:div w:id="1410421144">
      <w:bodyDiv w:val="1"/>
      <w:marLeft w:val="0"/>
      <w:marRight w:val="0"/>
      <w:marTop w:val="0"/>
      <w:marBottom w:val="0"/>
      <w:divBdr>
        <w:top w:val="none" w:sz="0" w:space="0" w:color="auto"/>
        <w:left w:val="none" w:sz="0" w:space="0" w:color="auto"/>
        <w:bottom w:val="none" w:sz="0" w:space="0" w:color="auto"/>
        <w:right w:val="none" w:sz="0" w:space="0" w:color="auto"/>
      </w:divBdr>
    </w:div>
    <w:div w:id="1504273101">
      <w:bodyDiv w:val="1"/>
      <w:marLeft w:val="0"/>
      <w:marRight w:val="0"/>
      <w:marTop w:val="0"/>
      <w:marBottom w:val="0"/>
      <w:divBdr>
        <w:top w:val="none" w:sz="0" w:space="0" w:color="auto"/>
        <w:left w:val="none" w:sz="0" w:space="0" w:color="auto"/>
        <w:bottom w:val="none" w:sz="0" w:space="0" w:color="auto"/>
        <w:right w:val="none" w:sz="0" w:space="0" w:color="auto"/>
      </w:divBdr>
    </w:div>
    <w:div w:id="1533419383">
      <w:bodyDiv w:val="1"/>
      <w:marLeft w:val="0"/>
      <w:marRight w:val="0"/>
      <w:marTop w:val="0"/>
      <w:marBottom w:val="0"/>
      <w:divBdr>
        <w:top w:val="none" w:sz="0" w:space="0" w:color="auto"/>
        <w:left w:val="none" w:sz="0" w:space="0" w:color="auto"/>
        <w:bottom w:val="none" w:sz="0" w:space="0" w:color="auto"/>
        <w:right w:val="none" w:sz="0" w:space="0" w:color="auto"/>
      </w:divBdr>
    </w:div>
    <w:div w:id="1554464786">
      <w:bodyDiv w:val="1"/>
      <w:marLeft w:val="0"/>
      <w:marRight w:val="0"/>
      <w:marTop w:val="0"/>
      <w:marBottom w:val="0"/>
      <w:divBdr>
        <w:top w:val="none" w:sz="0" w:space="0" w:color="auto"/>
        <w:left w:val="none" w:sz="0" w:space="0" w:color="auto"/>
        <w:bottom w:val="none" w:sz="0" w:space="0" w:color="auto"/>
        <w:right w:val="none" w:sz="0" w:space="0" w:color="auto"/>
      </w:divBdr>
    </w:div>
    <w:div w:id="1573858079">
      <w:bodyDiv w:val="1"/>
      <w:marLeft w:val="0"/>
      <w:marRight w:val="0"/>
      <w:marTop w:val="0"/>
      <w:marBottom w:val="0"/>
      <w:divBdr>
        <w:top w:val="none" w:sz="0" w:space="0" w:color="auto"/>
        <w:left w:val="none" w:sz="0" w:space="0" w:color="auto"/>
        <w:bottom w:val="none" w:sz="0" w:space="0" w:color="auto"/>
        <w:right w:val="none" w:sz="0" w:space="0" w:color="auto"/>
      </w:divBdr>
    </w:div>
    <w:div w:id="1609849114">
      <w:bodyDiv w:val="1"/>
      <w:marLeft w:val="0"/>
      <w:marRight w:val="0"/>
      <w:marTop w:val="0"/>
      <w:marBottom w:val="0"/>
      <w:divBdr>
        <w:top w:val="none" w:sz="0" w:space="0" w:color="auto"/>
        <w:left w:val="none" w:sz="0" w:space="0" w:color="auto"/>
        <w:bottom w:val="none" w:sz="0" w:space="0" w:color="auto"/>
        <w:right w:val="none" w:sz="0" w:space="0" w:color="auto"/>
      </w:divBdr>
    </w:div>
    <w:div w:id="1659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ongreso.gob.gt/buscador_iniciativas/5179" TargetMode="External"/><Relationship Id="rId2" Type="http://schemas.openxmlformats.org/officeDocument/2006/relationships/hyperlink" Target="https://www.congreso.gob.gt/detalle_pdf/iniciativas/5810" TargetMode="External"/><Relationship Id="rId1" Type="http://schemas.openxmlformats.org/officeDocument/2006/relationships/hyperlink" Target="https://www.congreso.gob.gt/detalle_pdf/iniciativas/6012" TargetMode="External"/><Relationship Id="rId5" Type="http://schemas.openxmlformats.org/officeDocument/2006/relationships/hyperlink" Target="https://www.corteidh.or.cr/docs/comunicados/cp_103_2021.pdf" TargetMode="External"/><Relationship Id="rId4" Type="http://schemas.openxmlformats.org/officeDocument/2006/relationships/hyperlink" Target="https://www.congreso.gob.gt/detalle_pdf/iniciativas/13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0e4704-0775-4695-8863-0eaf85aa4c88">
      <Terms xmlns="http://schemas.microsoft.com/office/infopath/2007/PartnerControls"/>
    </lcf76f155ced4ddcb4097134ff3c332f>
    <TaxCatchAll xmlns="304475a1-6c54-4015-83e8-a6831e8ab0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p:Policy xmlns:p="office.server.policy" id="" local="true">
  <p:Name>Document</p:Name>
  <p:Description/>
  <p:Statement/>
  <p:PolicyItems>
    <p:PolicyItem featureId="Microsoft.Office.RecordsManagement.PolicyFeatures.Expiration" staticId="0x010100105C63E2966D574BAC7FA29FA1C02BA4" UniqueId="29264d88-eec5-4edd-9710-11fed72b8f65">
      <p:Name>Retention</p:Name>
      <p:Description>Automatic scheduling of content for processing, and performing a retention action on content that has reached its due date.</p:Description>
      <p:CustomData/>
    </p:PolicyItem>
  </p:PolicyItems>
</p:Policy>
</file>

<file path=customXml/itemProps1.xml><?xml version="1.0" encoding="utf-8"?>
<ds:datastoreItem xmlns:ds="http://schemas.openxmlformats.org/officeDocument/2006/customXml" ds:itemID="{7A75D390-0B10-4236-A941-BDEA7DFB51A6}">
  <ds:schemaRefs>
    <ds:schemaRef ds:uri="http://schemas.openxmlformats.org/officeDocument/2006/bibliography"/>
  </ds:schemaRefs>
</ds:datastoreItem>
</file>

<file path=customXml/itemProps2.xml><?xml version="1.0" encoding="utf-8"?>
<ds:datastoreItem xmlns:ds="http://schemas.openxmlformats.org/officeDocument/2006/customXml" ds:itemID="{13FE5601-40EE-4971-B310-476E8F3C57FA}"/>
</file>

<file path=customXml/itemProps3.xml><?xml version="1.0" encoding="utf-8"?>
<ds:datastoreItem xmlns:ds="http://schemas.openxmlformats.org/officeDocument/2006/customXml" ds:itemID="{912F9031-2303-466E-B0D4-0B3857D361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CB070D-5070-48EA-A0FA-B04DB14C86A3}">
  <ds:schemaRefs>
    <ds:schemaRef ds:uri="http://schemas.microsoft.com/sharepoint/v3/contenttype/forms"/>
  </ds:schemaRefs>
</ds:datastoreItem>
</file>

<file path=customXml/itemProps5.xml><?xml version="1.0" encoding="utf-8"?>
<ds:datastoreItem xmlns:ds="http://schemas.openxmlformats.org/officeDocument/2006/customXml" ds:itemID="{F0E8D137-0805-4ADF-88A6-2DD690036A81}">
  <ds:schemaRefs>
    <ds:schemaRef ds:uri="microsoft.office.server.policy.changes"/>
  </ds:schemaRefs>
</ds:datastoreItem>
</file>

<file path=customXml/itemProps6.xml><?xml version="1.0" encoding="utf-8"?>
<ds:datastoreItem xmlns:ds="http://schemas.openxmlformats.org/officeDocument/2006/customXml" ds:itemID="{0903CAA7-E93E-428F-976C-2D5814C3E4C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2160</Words>
  <Characters>12318</Characters>
  <Application>Microsoft Office Word</Application>
  <DocSecurity>4</DocSecurity>
  <Lines>102</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Honahie</dc:creator>
  <cp:keywords/>
  <dc:description/>
  <cp:lastModifiedBy>Belen Rodriguez de Alba Freiria</cp:lastModifiedBy>
  <cp:revision>2</cp:revision>
  <cp:lastPrinted>2023-05-25T14:44:00Z</cp:lastPrinted>
  <dcterms:created xsi:type="dcterms:W3CDTF">2024-01-31T10:03:00Z</dcterms:created>
  <dcterms:modified xsi:type="dcterms:W3CDTF">2024-01-31T10:03:00Z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0x010100105C63E2966D574BAC7FA29FA1C02BA4</vt:lpwstr>
  </property>
  <property fmtid="{D5CDD505-2E9C-101B-9397-08002B2CF9AE}" pid="3" name="ContentTypeId">
    <vt:lpwstr>0x01010012B8405D4127BD44B51716362485B4DD</vt:lpwstr>
  </property>
  <property fmtid="{D5CDD505-2E9C-101B-9397-08002B2CF9AE}" pid="4" name="ItemRetentionFormula">
    <vt:lpwstr/>
  </property>
  <property fmtid="{D5CDD505-2E9C-101B-9397-08002B2CF9AE}" pid="5" name="MediaServiceImageTags">
    <vt:lpwstr/>
  </property>
</Properties>
</file>