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E69B" w14:textId="4BDAE2D5" w:rsidR="001B4ED3" w:rsidRPr="007B73CD" w:rsidRDefault="001B4ED3" w:rsidP="00FC6571">
      <w:pPr>
        <w:pStyle w:val="NoSpacing"/>
      </w:pPr>
      <w:r w:rsidRPr="007B73CD">
        <w:t xml:space="preserve">January </w:t>
      </w:r>
      <w:r w:rsidR="00D35E0C">
        <w:t xml:space="preserve">31, </w:t>
      </w:r>
      <w:r w:rsidRPr="007B73CD">
        <w:t xml:space="preserve">2024 </w:t>
      </w:r>
    </w:p>
    <w:p w14:paraId="2C48F2BE" w14:textId="77777777" w:rsidR="001B4ED3" w:rsidRPr="007B73CD" w:rsidRDefault="001B4ED3" w:rsidP="00FC6571">
      <w:pPr>
        <w:pStyle w:val="NoSpacing"/>
      </w:pPr>
    </w:p>
    <w:p w14:paraId="194C82E9" w14:textId="5A9588EA" w:rsidR="00975728" w:rsidRPr="00353C47" w:rsidRDefault="00975728" w:rsidP="00FC6571">
      <w:pPr>
        <w:pStyle w:val="NoSpacing"/>
        <w:rPr>
          <w:rFonts w:eastAsia="Times New Roman"/>
          <w:lang w:eastAsia="en-CA"/>
        </w:rPr>
      </w:pPr>
      <w:r w:rsidRPr="00353C47">
        <w:rPr>
          <w:rFonts w:eastAsia="Times New Roman"/>
          <w:lang w:eastAsia="en-CA"/>
        </w:rPr>
        <w:t xml:space="preserve">British Columbia Treaty Commission </w:t>
      </w:r>
    </w:p>
    <w:p w14:paraId="233826C4" w14:textId="35FA9D14" w:rsidR="00F96262" w:rsidRPr="00353C47" w:rsidRDefault="00975728" w:rsidP="00FC6571">
      <w:pPr>
        <w:pStyle w:val="NoSpacing"/>
      </w:pPr>
      <w:r w:rsidRPr="00353C47">
        <w:rPr>
          <w:rFonts w:eastAsia="Times New Roman"/>
          <w:lang w:eastAsia="en-CA"/>
        </w:rPr>
        <w:t xml:space="preserve">Submission to the </w:t>
      </w:r>
      <w:r w:rsidRPr="00353C47">
        <w:t xml:space="preserve">United Nations </w:t>
      </w:r>
      <w:r w:rsidR="00F96262" w:rsidRPr="00353C47">
        <w:t>Expert Mechanism on the Rights of Indigenous Peoples</w:t>
      </w:r>
    </w:p>
    <w:p w14:paraId="7E2A0F12" w14:textId="77777777" w:rsidR="008C4A4E" w:rsidRDefault="008C4A4E" w:rsidP="00FC6571">
      <w:pPr>
        <w:pStyle w:val="NoSpacing"/>
        <w:rPr>
          <w:rFonts w:eastAsia="Times New Roman"/>
          <w:lang w:eastAsia="en-CA"/>
        </w:rPr>
      </w:pPr>
    </w:p>
    <w:p w14:paraId="7743B280" w14:textId="520C7015" w:rsidR="008764BF" w:rsidRPr="00353C47" w:rsidRDefault="00975728" w:rsidP="00FC6571">
      <w:pPr>
        <w:pStyle w:val="NoSpacing"/>
        <w:rPr>
          <w:rFonts w:eastAsia="Times New Roman"/>
          <w:b/>
          <w:bCs/>
          <w:lang w:eastAsia="en-CA"/>
        </w:rPr>
      </w:pPr>
      <w:r w:rsidRPr="00353C47">
        <w:rPr>
          <w:rFonts w:eastAsia="Times New Roman"/>
          <w:b/>
          <w:bCs/>
          <w:color w:val="000000"/>
          <w:lang w:eastAsia="en-CA"/>
        </w:rPr>
        <w:t>I</w:t>
      </w:r>
      <w:r w:rsidR="005856D4" w:rsidRPr="00353C47">
        <w:rPr>
          <w:rFonts w:eastAsia="Times New Roman"/>
          <w:b/>
          <w:bCs/>
          <w:color w:val="000000"/>
          <w:lang w:eastAsia="en-CA"/>
        </w:rPr>
        <w:t xml:space="preserve">nput </w:t>
      </w:r>
      <w:r w:rsidR="005737FA" w:rsidRPr="00353C47">
        <w:rPr>
          <w:b/>
          <w:bCs/>
        </w:rPr>
        <w:t>to the</w:t>
      </w:r>
      <w:r w:rsidR="005856D4" w:rsidRPr="00353C47">
        <w:rPr>
          <w:b/>
          <w:bCs/>
        </w:rPr>
        <w:t xml:space="preserve"> </w:t>
      </w:r>
      <w:r w:rsidRPr="00353C47">
        <w:rPr>
          <w:b/>
          <w:bCs/>
        </w:rPr>
        <w:t>s</w:t>
      </w:r>
      <w:r w:rsidR="005856D4" w:rsidRPr="00353C47">
        <w:rPr>
          <w:b/>
          <w:bCs/>
        </w:rPr>
        <w:t xml:space="preserve">tudy </w:t>
      </w:r>
      <w:r w:rsidR="008764BF" w:rsidRPr="00353C47">
        <w:rPr>
          <w:rFonts w:eastAsia="Times New Roman"/>
          <w:b/>
          <w:bCs/>
          <w:lang w:eastAsia="en-CA"/>
        </w:rPr>
        <w:t>on</w:t>
      </w:r>
      <w:r w:rsidR="0014081C" w:rsidRPr="00353C47">
        <w:rPr>
          <w:rFonts w:eastAsia="Times New Roman"/>
          <w:b/>
          <w:bCs/>
          <w:lang w:eastAsia="en-CA"/>
        </w:rPr>
        <w:t>:</w:t>
      </w:r>
      <w:r w:rsidR="005737FA" w:rsidRPr="00353C47">
        <w:rPr>
          <w:rFonts w:eastAsia="Times New Roman"/>
          <w:b/>
          <w:bCs/>
          <w:lang w:eastAsia="en-CA"/>
        </w:rPr>
        <w:t xml:space="preserve"> </w:t>
      </w:r>
      <w:r w:rsidR="008764BF" w:rsidRPr="00353C47">
        <w:rPr>
          <w:rFonts w:eastAsia="Times New Roman"/>
          <w:b/>
          <w:bCs/>
          <w:lang w:eastAsia="en-CA"/>
        </w:rPr>
        <w:t xml:space="preserve">“Laws, legislation, policies, constitutions, judicial decisions and other mechanisms in which States had taken measures to achieve the ends of the United Nations Declaration on the Rights of Indigenous Peoples, in accordance with article 38 of the </w:t>
      </w:r>
      <w:proofErr w:type="gramStart"/>
      <w:r w:rsidR="008764BF" w:rsidRPr="00353C47">
        <w:rPr>
          <w:rFonts w:eastAsia="Times New Roman"/>
          <w:b/>
          <w:bCs/>
          <w:lang w:eastAsia="en-CA"/>
        </w:rPr>
        <w:t>Declaration</w:t>
      </w:r>
      <w:proofErr w:type="gramEnd"/>
      <w:r w:rsidR="008764BF" w:rsidRPr="00353C47">
        <w:rPr>
          <w:rFonts w:eastAsia="Times New Roman"/>
          <w:b/>
          <w:bCs/>
          <w:lang w:eastAsia="en-CA"/>
        </w:rPr>
        <w:t>”</w:t>
      </w:r>
    </w:p>
    <w:p w14:paraId="27D031CB" w14:textId="77777777" w:rsidR="0078162C" w:rsidRPr="007B73CD" w:rsidRDefault="0078162C" w:rsidP="00FC6571">
      <w:pPr>
        <w:pStyle w:val="NoSpacing"/>
        <w:rPr>
          <w:rFonts w:eastAsia="Times New Roman"/>
          <w:lang w:eastAsia="en-CA"/>
        </w:rPr>
      </w:pPr>
    </w:p>
    <w:p w14:paraId="1224FCE0" w14:textId="7B66BD78" w:rsidR="006B2D27" w:rsidRPr="007B73CD" w:rsidRDefault="006B2D27" w:rsidP="00FC6571">
      <w:pPr>
        <w:pStyle w:val="NoSpacing"/>
        <w:rPr>
          <w:rFonts w:eastAsia="Times New Roman"/>
          <w:b/>
          <w:bCs/>
          <w:lang w:eastAsia="en-CA"/>
        </w:rPr>
      </w:pPr>
      <w:r w:rsidRPr="007B73CD">
        <w:rPr>
          <w:rFonts w:eastAsia="Times New Roman"/>
          <w:b/>
          <w:bCs/>
          <w:lang w:eastAsia="en-CA"/>
        </w:rPr>
        <w:t xml:space="preserve">MODERN TREATIES, AGREEMENTS AND OTHER CONSTRUCTIVE ARRANGEMENTS </w:t>
      </w:r>
    </w:p>
    <w:p w14:paraId="2C45E787" w14:textId="77777777" w:rsidR="00FC6571" w:rsidRDefault="00FC6571" w:rsidP="00FC6571">
      <w:pPr>
        <w:pStyle w:val="NoSpacing"/>
        <w:rPr>
          <w:rFonts w:eastAsia="Times New Roman"/>
          <w:color w:val="000000"/>
          <w:lang w:eastAsia="en-CA"/>
        </w:rPr>
      </w:pPr>
    </w:p>
    <w:p w14:paraId="46653AF0" w14:textId="6E570105" w:rsidR="00FA7878" w:rsidRPr="007B73CD" w:rsidRDefault="1318D2DD" w:rsidP="00FA7878">
      <w:pPr>
        <w:pStyle w:val="NoSpacing"/>
        <w:rPr>
          <w:rFonts w:eastAsia="Times New Roman"/>
          <w:color w:val="000000"/>
          <w:lang w:eastAsia="en-CA"/>
        </w:rPr>
      </w:pPr>
      <w:r w:rsidRPr="384BB034">
        <w:rPr>
          <w:rFonts w:eastAsia="Times New Roman"/>
          <w:color w:val="000000" w:themeColor="text1"/>
          <w:lang w:eastAsia="en-CA"/>
        </w:rPr>
        <w:t>T</w:t>
      </w:r>
      <w:r w:rsidR="00FA7878" w:rsidRPr="384BB034">
        <w:rPr>
          <w:rFonts w:eastAsia="Times New Roman"/>
          <w:color w:val="000000" w:themeColor="text1"/>
          <w:lang w:eastAsia="en-CA"/>
        </w:rPr>
        <w:t>he</w:t>
      </w:r>
      <w:r w:rsidR="00FA7878" w:rsidRPr="7397DD10">
        <w:rPr>
          <w:rFonts w:eastAsia="Times New Roman"/>
          <w:color w:val="000000" w:themeColor="text1"/>
          <w:lang w:eastAsia="en-CA"/>
        </w:rPr>
        <w:t xml:space="preserve"> B</w:t>
      </w:r>
      <w:r w:rsidR="00F15545" w:rsidRPr="7397DD10">
        <w:rPr>
          <w:rFonts w:eastAsia="Times New Roman"/>
          <w:color w:val="000000" w:themeColor="text1"/>
          <w:lang w:eastAsia="en-CA"/>
        </w:rPr>
        <w:t xml:space="preserve">ritish </w:t>
      </w:r>
      <w:r w:rsidR="00FA7878" w:rsidRPr="7397DD10">
        <w:rPr>
          <w:rFonts w:eastAsia="Times New Roman"/>
          <w:color w:val="000000" w:themeColor="text1"/>
          <w:lang w:eastAsia="en-CA"/>
        </w:rPr>
        <w:t>C</w:t>
      </w:r>
      <w:r w:rsidR="00F15545" w:rsidRPr="7397DD10">
        <w:rPr>
          <w:rFonts w:eastAsia="Times New Roman"/>
          <w:color w:val="000000" w:themeColor="text1"/>
          <w:lang w:eastAsia="en-CA"/>
        </w:rPr>
        <w:t>olumbia</w:t>
      </w:r>
      <w:r w:rsidR="00FA7878" w:rsidRPr="7397DD10">
        <w:rPr>
          <w:rFonts w:eastAsia="Times New Roman"/>
          <w:color w:val="000000" w:themeColor="text1"/>
          <w:lang w:eastAsia="en-CA"/>
        </w:rPr>
        <w:t xml:space="preserve"> Treaty Commission </w:t>
      </w:r>
      <w:r w:rsidR="00F15545" w:rsidRPr="7397DD10">
        <w:rPr>
          <w:rFonts w:eastAsia="Times New Roman"/>
          <w:color w:val="000000" w:themeColor="text1"/>
          <w:lang w:eastAsia="en-CA"/>
        </w:rPr>
        <w:t xml:space="preserve">(“BC Treaty Commission”) </w:t>
      </w:r>
      <w:r w:rsidR="00FA7878" w:rsidRPr="7397DD10">
        <w:rPr>
          <w:rFonts w:eastAsia="Times New Roman"/>
          <w:color w:val="000000" w:themeColor="text1"/>
          <w:lang w:eastAsia="en-CA"/>
        </w:rPr>
        <w:t xml:space="preserve">and the BC treaty negotiations framework and process were established prior to the achievement of the UN Declaration, </w:t>
      </w:r>
      <w:r w:rsidR="45862779" w:rsidRPr="384BB034">
        <w:rPr>
          <w:rFonts w:eastAsia="Times New Roman"/>
          <w:color w:val="000000" w:themeColor="text1"/>
          <w:lang w:eastAsia="en-CA"/>
        </w:rPr>
        <w:t xml:space="preserve">but reflects the goals and rights established </w:t>
      </w:r>
      <w:r w:rsidR="45862779" w:rsidRPr="22BC0617">
        <w:rPr>
          <w:rFonts w:eastAsia="Times New Roman"/>
          <w:color w:val="000000" w:themeColor="text1"/>
          <w:lang w:eastAsia="en-CA"/>
        </w:rPr>
        <w:t xml:space="preserve">in </w:t>
      </w:r>
      <w:r w:rsidR="45862779" w:rsidRPr="22BC0617">
        <w:rPr>
          <w:rFonts w:eastAsia="Times New Roman"/>
          <w:i/>
          <w:iCs/>
          <w:color w:val="000000" w:themeColor="text1"/>
          <w:lang w:eastAsia="en-CA"/>
        </w:rPr>
        <w:t>United Nations Declaration on the Rights of Indigenous Peoples</w:t>
      </w:r>
      <w:r w:rsidR="45862779" w:rsidRPr="22BC0617">
        <w:rPr>
          <w:rFonts w:eastAsia="Times New Roman"/>
          <w:color w:val="000000" w:themeColor="text1"/>
          <w:lang w:eastAsia="en-CA"/>
        </w:rPr>
        <w:t xml:space="preserve"> (“UN Declaration</w:t>
      </w:r>
      <w:r w:rsidR="0E8C1F11" w:rsidRPr="69A5DAC2">
        <w:rPr>
          <w:rFonts w:eastAsia="Times New Roman"/>
          <w:color w:val="000000" w:themeColor="text1"/>
          <w:lang w:eastAsia="en-CA"/>
        </w:rPr>
        <w:t>”</w:t>
      </w:r>
      <w:r w:rsidR="45862779" w:rsidRPr="69A5DAC2">
        <w:rPr>
          <w:rFonts w:eastAsia="Times New Roman"/>
          <w:color w:val="000000" w:themeColor="text1"/>
          <w:lang w:eastAsia="en-CA"/>
        </w:rPr>
        <w:t>).</w:t>
      </w:r>
      <w:r w:rsidR="45862779" w:rsidRPr="22BC0617">
        <w:rPr>
          <w:rFonts w:eastAsia="Times New Roman"/>
          <w:color w:val="000000" w:themeColor="text1"/>
          <w:lang w:eastAsia="en-CA"/>
        </w:rPr>
        <w:t xml:space="preserve"> T</w:t>
      </w:r>
      <w:r w:rsidR="00FA7878" w:rsidRPr="7397DD10">
        <w:rPr>
          <w:rFonts w:eastAsia="Times New Roman"/>
          <w:color w:val="000000" w:themeColor="text1"/>
          <w:lang w:eastAsia="en-CA"/>
        </w:rPr>
        <w:t xml:space="preserve">he state governments of Canada and British Columbia in consultation and cooperation with First Nations (Indigenous Peoples) and the First Nations Summit, have progressively taken collaborative measures to recognize and promote Indigenous rights, </w:t>
      </w:r>
      <w:r w:rsidR="2E1D3DF0" w:rsidRPr="3CABFDF6">
        <w:rPr>
          <w:rFonts w:eastAsia="Times New Roman"/>
          <w:color w:val="000000" w:themeColor="text1"/>
          <w:lang w:eastAsia="en-CA"/>
        </w:rPr>
        <w:t xml:space="preserve">and make changes to negotiation policies and mandates </w:t>
      </w:r>
      <w:r w:rsidR="33744302" w:rsidRPr="58993F81">
        <w:rPr>
          <w:rFonts w:eastAsia="Times New Roman"/>
          <w:color w:val="000000" w:themeColor="text1"/>
          <w:lang w:eastAsia="en-CA"/>
        </w:rPr>
        <w:t xml:space="preserve">bringing them </w:t>
      </w:r>
      <w:r w:rsidR="00FA7878" w:rsidRPr="58993F81">
        <w:rPr>
          <w:rFonts w:eastAsia="Times New Roman"/>
          <w:color w:val="000000" w:themeColor="text1"/>
          <w:lang w:eastAsia="en-CA"/>
        </w:rPr>
        <w:t>in</w:t>
      </w:r>
      <w:r w:rsidR="00FA7878" w:rsidRPr="7397DD10">
        <w:rPr>
          <w:rFonts w:eastAsia="Times New Roman"/>
          <w:color w:val="000000" w:themeColor="text1"/>
          <w:lang w:eastAsia="en-CA"/>
        </w:rPr>
        <w:t xml:space="preserve"> line with the UN </w:t>
      </w:r>
      <w:r w:rsidR="0B78E12E" w:rsidRPr="4454485E">
        <w:rPr>
          <w:rFonts w:eastAsia="Times New Roman"/>
          <w:color w:val="000000" w:themeColor="text1"/>
          <w:lang w:eastAsia="en-CA"/>
        </w:rPr>
        <w:t>Declaration</w:t>
      </w:r>
      <w:r w:rsidR="00FA7878" w:rsidRPr="4454485E">
        <w:rPr>
          <w:rFonts w:eastAsia="Times New Roman"/>
          <w:color w:val="000000" w:themeColor="text1"/>
          <w:lang w:eastAsia="en-CA"/>
        </w:rPr>
        <w:t>.</w:t>
      </w:r>
      <w:r w:rsidR="00FA7878" w:rsidRPr="7397DD10">
        <w:rPr>
          <w:rFonts w:eastAsia="Times New Roman"/>
          <w:color w:val="000000" w:themeColor="text1"/>
          <w:lang w:eastAsia="en-CA"/>
        </w:rPr>
        <w:t xml:space="preserve"> </w:t>
      </w:r>
    </w:p>
    <w:p w14:paraId="03C5C214" w14:textId="77777777" w:rsidR="00FA7878" w:rsidRDefault="00FA7878" w:rsidP="00FC6571">
      <w:pPr>
        <w:pStyle w:val="NoSpacing"/>
        <w:rPr>
          <w:rFonts w:eastAsia="Times New Roman"/>
          <w:color w:val="000000"/>
          <w:lang w:eastAsia="en-CA"/>
        </w:rPr>
      </w:pPr>
    </w:p>
    <w:p w14:paraId="43DACE4B" w14:textId="042AB9D1" w:rsidR="00FC6571" w:rsidRDefault="00857E0F" w:rsidP="74A1D20D">
      <w:pPr>
        <w:pStyle w:val="NoSpacing"/>
        <w:rPr>
          <w:rFonts w:eastAsia="Times New Roman"/>
          <w:color w:val="000000" w:themeColor="text1"/>
          <w:lang w:eastAsia="en-CA"/>
        </w:rPr>
      </w:pPr>
      <w:r w:rsidRPr="74A1D20D">
        <w:rPr>
          <w:rFonts w:eastAsia="Times New Roman"/>
          <w:color w:val="000000" w:themeColor="text1"/>
          <w:lang w:eastAsia="en-CA"/>
        </w:rPr>
        <w:t>Modern treaties</w:t>
      </w:r>
      <w:r w:rsidR="00B7242E" w:rsidRPr="74A1D20D">
        <w:rPr>
          <w:rFonts w:eastAsia="Times New Roman"/>
          <w:color w:val="000000" w:themeColor="text1"/>
          <w:lang w:eastAsia="en-CA"/>
        </w:rPr>
        <w:t xml:space="preserve">, agreements and other constructive agreements achieved through the BC treaty negotiations process represent </w:t>
      </w:r>
      <w:r w:rsidR="000E669C" w:rsidRPr="74A1D20D">
        <w:rPr>
          <w:rFonts w:eastAsia="Times New Roman"/>
          <w:color w:val="000000" w:themeColor="text1"/>
          <w:lang w:eastAsia="en-CA"/>
        </w:rPr>
        <w:t>comprehensive</w:t>
      </w:r>
      <w:r w:rsidR="00B7242E" w:rsidRPr="74A1D20D">
        <w:rPr>
          <w:rFonts w:eastAsia="Times New Roman"/>
          <w:color w:val="000000" w:themeColor="text1"/>
          <w:lang w:eastAsia="en-CA"/>
        </w:rPr>
        <w:t xml:space="preserve"> </w:t>
      </w:r>
      <w:r w:rsidR="00A96E06" w:rsidRPr="74A1D20D">
        <w:rPr>
          <w:rFonts w:eastAsia="Times New Roman"/>
          <w:color w:val="000000" w:themeColor="text1"/>
          <w:lang w:eastAsia="en-CA"/>
        </w:rPr>
        <w:t xml:space="preserve">and substantive </w:t>
      </w:r>
      <w:r w:rsidR="005F048D" w:rsidRPr="74A1D20D">
        <w:rPr>
          <w:rFonts w:eastAsia="Times New Roman"/>
          <w:color w:val="000000" w:themeColor="text1"/>
          <w:lang w:eastAsia="en-CA"/>
        </w:rPr>
        <w:t>measure</w:t>
      </w:r>
      <w:r w:rsidR="00A96E06" w:rsidRPr="74A1D20D">
        <w:rPr>
          <w:rFonts w:eastAsia="Times New Roman"/>
          <w:color w:val="000000" w:themeColor="text1"/>
          <w:lang w:eastAsia="en-CA"/>
        </w:rPr>
        <w:t>s</w:t>
      </w:r>
      <w:r w:rsidR="005F048D" w:rsidRPr="74A1D20D">
        <w:rPr>
          <w:rFonts w:eastAsia="Times New Roman"/>
          <w:color w:val="000000" w:themeColor="text1"/>
          <w:lang w:eastAsia="en-CA"/>
        </w:rPr>
        <w:t xml:space="preserve"> to </w:t>
      </w:r>
      <w:r w:rsidR="00B7242E" w:rsidRPr="74A1D20D">
        <w:rPr>
          <w:rFonts w:eastAsia="Times New Roman"/>
          <w:color w:val="000000" w:themeColor="text1"/>
          <w:lang w:eastAsia="en-CA"/>
        </w:rPr>
        <w:t xml:space="preserve">implement </w:t>
      </w:r>
      <w:r w:rsidR="00A96E06" w:rsidRPr="74A1D20D">
        <w:rPr>
          <w:rFonts w:eastAsia="Times New Roman"/>
          <w:color w:val="000000" w:themeColor="text1"/>
          <w:lang w:eastAsia="en-CA"/>
        </w:rPr>
        <w:t xml:space="preserve">and achieve </w:t>
      </w:r>
      <w:r w:rsidR="00B7242E" w:rsidRPr="74A1D20D">
        <w:rPr>
          <w:rFonts w:eastAsia="Times New Roman"/>
          <w:color w:val="000000" w:themeColor="text1"/>
          <w:lang w:eastAsia="en-CA"/>
        </w:rPr>
        <w:t>the</w:t>
      </w:r>
      <w:r w:rsidR="00A96E06" w:rsidRPr="74A1D20D">
        <w:rPr>
          <w:rFonts w:eastAsia="Times New Roman"/>
          <w:color w:val="000000" w:themeColor="text1"/>
          <w:lang w:eastAsia="en-CA"/>
        </w:rPr>
        <w:t xml:space="preserve"> means of the</w:t>
      </w:r>
      <w:r w:rsidR="00B7242E" w:rsidRPr="74A1D20D">
        <w:rPr>
          <w:rFonts w:eastAsia="Times New Roman"/>
          <w:color w:val="000000" w:themeColor="text1"/>
          <w:lang w:eastAsia="en-CA"/>
        </w:rPr>
        <w:t xml:space="preserve"> </w:t>
      </w:r>
      <w:r w:rsidR="00014675" w:rsidRPr="74A1D20D">
        <w:rPr>
          <w:rFonts w:eastAsia="Times New Roman"/>
          <w:color w:val="000000" w:themeColor="text1"/>
          <w:lang w:eastAsia="en-CA"/>
        </w:rPr>
        <w:t>UN Declaration</w:t>
      </w:r>
      <w:r w:rsidR="00A96E06" w:rsidRPr="74A1D20D">
        <w:rPr>
          <w:rFonts w:eastAsia="Times New Roman"/>
          <w:color w:val="000000" w:themeColor="text1"/>
          <w:lang w:eastAsia="en-CA"/>
        </w:rPr>
        <w:t>. C</w:t>
      </w:r>
      <w:r w:rsidR="006B2D27" w:rsidRPr="74A1D20D">
        <w:rPr>
          <w:rFonts w:eastAsia="Times New Roman"/>
          <w:color w:val="000000" w:themeColor="text1"/>
          <w:lang w:eastAsia="en-CA"/>
        </w:rPr>
        <w:t xml:space="preserve">onsistent with article 38, </w:t>
      </w:r>
      <w:r w:rsidR="00A96E06" w:rsidRPr="74A1D20D">
        <w:rPr>
          <w:rFonts w:eastAsia="Times New Roman"/>
          <w:color w:val="000000" w:themeColor="text1"/>
          <w:lang w:eastAsia="en-CA"/>
        </w:rPr>
        <w:t xml:space="preserve">these agreements are </w:t>
      </w:r>
      <w:r w:rsidR="008253A8" w:rsidRPr="74A1D20D">
        <w:rPr>
          <w:rFonts w:eastAsia="Times New Roman"/>
          <w:color w:val="000000" w:themeColor="text1"/>
          <w:lang w:eastAsia="en-CA"/>
        </w:rPr>
        <w:t xml:space="preserve">extensively </w:t>
      </w:r>
      <w:r w:rsidR="000E669C" w:rsidRPr="74A1D20D">
        <w:rPr>
          <w:rFonts w:eastAsia="Times New Roman"/>
          <w:color w:val="000000" w:themeColor="text1"/>
          <w:lang w:eastAsia="en-CA"/>
        </w:rPr>
        <w:t xml:space="preserve">codeveloped </w:t>
      </w:r>
      <w:r w:rsidR="008253A8" w:rsidRPr="74A1D20D">
        <w:rPr>
          <w:rFonts w:eastAsia="Times New Roman"/>
          <w:color w:val="000000" w:themeColor="text1"/>
          <w:lang w:eastAsia="en-CA"/>
        </w:rPr>
        <w:t xml:space="preserve">in </w:t>
      </w:r>
      <w:proofErr w:type="gramStart"/>
      <w:r w:rsidR="008253A8" w:rsidRPr="74A1D20D">
        <w:rPr>
          <w:rFonts w:eastAsia="Times New Roman"/>
          <w:color w:val="000000" w:themeColor="text1"/>
          <w:lang w:eastAsia="en-CA"/>
        </w:rPr>
        <w:t>good-faith</w:t>
      </w:r>
      <w:proofErr w:type="gramEnd"/>
      <w:r w:rsidR="008253A8" w:rsidRPr="74A1D20D">
        <w:rPr>
          <w:rFonts w:eastAsia="Times New Roman"/>
          <w:color w:val="000000" w:themeColor="text1"/>
          <w:lang w:eastAsia="en-CA"/>
        </w:rPr>
        <w:t xml:space="preserve"> </w:t>
      </w:r>
      <w:r w:rsidR="000E669C" w:rsidRPr="74A1D20D">
        <w:rPr>
          <w:rFonts w:eastAsia="Times New Roman"/>
          <w:color w:val="000000" w:themeColor="text1"/>
          <w:lang w:eastAsia="en-CA"/>
        </w:rPr>
        <w:t xml:space="preserve">by State governments </w:t>
      </w:r>
      <w:r w:rsidR="00014675" w:rsidRPr="74A1D20D">
        <w:rPr>
          <w:rFonts w:eastAsia="Times New Roman"/>
          <w:color w:val="000000" w:themeColor="text1"/>
          <w:lang w:eastAsia="en-CA"/>
        </w:rPr>
        <w:t xml:space="preserve">(Canada and British Columbia) </w:t>
      </w:r>
      <w:r w:rsidR="000E669C" w:rsidRPr="74A1D20D">
        <w:rPr>
          <w:rFonts w:eastAsia="Times New Roman"/>
          <w:color w:val="000000" w:themeColor="text1"/>
          <w:lang w:eastAsia="en-CA"/>
        </w:rPr>
        <w:t>and Indigenous Peoples</w:t>
      </w:r>
      <w:r w:rsidR="4BB30FF0" w:rsidRPr="47F3398C">
        <w:rPr>
          <w:rFonts w:eastAsia="Times New Roman"/>
          <w:color w:val="000000" w:themeColor="text1"/>
          <w:lang w:eastAsia="en-CA"/>
        </w:rPr>
        <w:t>. Once</w:t>
      </w:r>
      <w:r w:rsidR="00737F54" w:rsidRPr="74A1D20D">
        <w:rPr>
          <w:rFonts w:eastAsia="Times New Roman"/>
          <w:color w:val="000000" w:themeColor="text1"/>
          <w:lang w:eastAsia="en-CA"/>
        </w:rPr>
        <w:t xml:space="preserve"> concluded and ratified m</w:t>
      </w:r>
      <w:r w:rsidR="000474CC" w:rsidRPr="74A1D20D">
        <w:rPr>
          <w:rFonts w:eastAsia="Times New Roman"/>
          <w:color w:val="000000" w:themeColor="text1"/>
          <w:lang w:eastAsia="en-CA"/>
        </w:rPr>
        <w:t xml:space="preserve">odern treaties </w:t>
      </w:r>
      <w:r w:rsidR="00737F54" w:rsidRPr="74A1D20D">
        <w:rPr>
          <w:rFonts w:eastAsia="Times New Roman"/>
          <w:color w:val="000000" w:themeColor="text1"/>
          <w:lang w:eastAsia="en-CA"/>
        </w:rPr>
        <w:t xml:space="preserve">are </w:t>
      </w:r>
      <w:r w:rsidR="000474CC" w:rsidRPr="74A1D20D">
        <w:rPr>
          <w:rFonts w:eastAsia="Times New Roman"/>
          <w:color w:val="000000" w:themeColor="text1"/>
          <w:lang w:eastAsia="en-CA"/>
        </w:rPr>
        <w:t>enact</w:t>
      </w:r>
      <w:r w:rsidR="00737F54" w:rsidRPr="74A1D20D">
        <w:rPr>
          <w:rFonts w:eastAsia="Times New Roman"/>
          <w:color w:val="000000" w:themeColor="text1"/>
          <w:lang w:eastAsia="en-CA"/>
        </w:rPr>
        <w:t>ed</w:t>
      </w:r>
      <w:r w:rsidR="000474CC" w:rsidRPr="74A1D20D">
        <w:rPr>
          <w:rFonts w:eastAsia="Times New Roman"/>
          <w:color w:val="000000" w:themeColor="text1"/>
          <w:lang w:eastAsia="en-CA"/>
        </w:rPr>
        <w:t xml:space="preserve"> into law through settlement legislation </w:t>
      </w:r>
      <w:r w:rsidR="0E649A95" w:rsidRPr="74A1D20D">
        <w:rPr>
          <w:rFonts w:eastAsia="Times New Roman"/>
          <w:color w:val="000000" w:themeColor="text1"/>
          <w:lang w:eastAsia="en-CA"/>
        </w:rPr>
        <w:t xml:space="preserve">and </w:t>
      </w:r>
      <w:r w:rsidR="000474CC" w:rsidRPr="74A1D20D">
        <w:rPr>
          <w:rFonts w:eastAsia="Times New Roman"/>
          <w:color w:val="000000" w:themeColor="text1"/>
          <w:lang w:eastAsia="en-CA"/>
        </w:rPr>
        <w:t>become constitutionally</w:t>
      </w:r>
      <w:r w:rsidR="733F1C71" w:rsidRPr="01E737A6">
        <w:rPr>
          <w:rFonts w:eastAsia="Times New Roman"/>
          <w:color w:val="000000" w:themeColor="text1"/>
          <w:lang w:eastAsia="en-CA"/>
        </w:rPr>
        <w:t xml:space="preserve"> </w:t>
      </w:r>
      <w:proofErr w:type="gramStart"/>
      <w:r w:rsidR="000474CC" w:rsidRPr="74A1D20D">
        <w:rPr>
          <w:rFonts w:eastAsia="Times New Roman"/>
          <w:color w:val="000000" w:themeColor="text1"/>
          <w:lang w:eastAsia="en-CA"/>
        </w:rPr>
        <w:t>protected</w:t>
      </w:r>
      <w:r w:rsidR="74ECBD49" w:rsidRPr="74A1D20D">
        <w:rPr>
          <w:rFonts w:eastAsia="Times New Roman"/>
          <w:color w:val="000000" w:themeColor="text1"/>
          <w:lang w:eastAsia="en-CA"/>
        </w:rPr>
        <w:t xml:space="preserve">, </w:t>
      </w:r>
      <w:r w:rsidR="2DA21764" w:rsidRPr="74A1D20D">
        <w:rPr>
          <w:rFonts w:eastAsia="Times New Roman"/>
          <w:color w:val="000000" w:themeColor="text1"/>
          <w:lang w:eastAsia="en-CA"/>
        </w:rPr>
        <w:t>and</w:t>
      </w:r>
      <w:proofErr w:type="gramEnd"/>
      <w:r w:rsidR="2DA21764" w:rsidRPr="74A1D20D">
        <w:rPr>
          <w:rFonts w:eastAsia="Times New Roman"/>
          <w:color w:val="000000" w:themeColor="text1"/>
          <w:lang w:eastAsia="en-CA"/>
        </w:rPr>
        <w:t xml:space="preserve"> establish a</w:t>
      </w:r>
      <w:r w:rsidR="7427F111" w:rsidRPr="74A1D20D">
        <w:rPr>
          <w:rFonts w:eastAsia="Times New Roman"/>
          <w:color w:val="000000" w:themeColor="text1"/>
          <w:lang w:eastAsia="en-CA"/>
        </w:rPr>
        <w:t xml:space="preserve"> third order of </w:t>
      </w:r>
      <w:r w:rsidR="002E76F6" w:rsidRPr="74A1D20D">
        <w:rPr>
          <w:rFonts w:eastAsia="Times New Roman"/>
          <w:color w:val="000000" w:themeColor="text1"/>
          <w:lang w:eastAsia="en-CA"/>
        </w:rPr>
        <w:t>Indigenous</w:t>
      </w:r>
      <w:r w:rsidR="0DD582B3" w:rsidRPr="74A1D20D">
        <w:rPr>
          <w:rFonts w:eastAsia="Times New Roman"/>
          <w:color w:val="000000" w:themeColor="text1"/>
          <w:lang w:eastAsia="en-CA"/>
        </w:rPr>
        <w:t xml:space="preserve"> </w:t>
      </w:r>
      <w:r w:rsidR="7427F111" w:rsidRPr="74A1D20D">
        <w:rPr>
          <w:rFonts w:eastAsia="Times New Roman"/>
          <w:color w:val="000000" w:themeColor="text1"/>
          <w:lang w:eastAsia="en-CA"/>
        </w:rPr>
        <w:t>government</w:t>
      </w:r>
      <w:r w:rsidR="78883ED3" w:rsidRPr="74A1D20D">
        <w:rPr>
          <w:rFonts w:eastAsia="Times New Roman"/>
          <w:color w:val="000000" w:themeColor="text1"/>
          <w:lang w:eastAsia="en-CA"/>
        </w:rPr>
        <w:t>s</w:t>
      </w:r>
      <w:r w:rsidR="00CD0779">
        <w:rPr>
          <w:rFonts w:eastAsia="Times New Roman"/>
          <w:color w:val="000000" w:themeColor="text1"/>
          <w:lang w:eastAsia="en-CA"/>
        </w:rPr>
        <w:t>.</w:t>
      </w:r>
    </w:p>
    <w:p w14:paraId="13A734A9" w14:textId="01327065" w:rsidR="00FC6571" w:rsidRDefault="00FC6571" w:rsidP="00FC6571">
      <w:pPr>
        <w:pStyle w:val="NoSpacing"/>
        <w:rPr>
          <w:rFonts w:eastAsia="Times New Roman"/>
          <w:color w:val="000000"/>
          <w:lang w:eastAsia="en-CA"/>
        </w:rPr>
      </w:pPr>
    </w:p>
    <w:p w14:paraId="7F95A889" w14:textId="3F0F3CB5" w:rsidR="0080241D" w:rsidRPr="007B73CD" w:rsidRDefault="0080241D" w:rsidP="0080241D">
      <w:pPr>
        <w:pStyle w:val="NoSpacing"/>
        <w:rPr>
          <w:rFonts w:eastAsia="Times New Roman"/>
          <w:color w:val="000000"/>
          <w:lang w:eastAsia="en-CA"/>
        </w:rPr>
      </w:pPr>
      <w:r w:rsidRPr="74A1D20D">
        <w:rPr>
          <w:rFonts w:eastAsia="Times New Roman"/>
          <w:color w:val="000000" w:themeColor="text1"/>
          <w:lang w:eastAsia="en-CA"/>
        </w:rPr>
        <w:t>Treaties, agreements and constructive arrangements are living agreements. Treaties and agreement</w:t>
      </w:r>
      <w:r w:rsidR="78189A67" w:rsidRPr="74A1D20D">
        <w:rPr>
          <w:rFonts w:eastAsia="Times New Roman"/>
          <w:color w:val="000000" w:themeColor="text1"/>
          <w:lang w:eastAsia="en-CA"/>
        </w:rPr>
        <w:t>s</w:t>
      </w:r>
      <w:r w:rsidRPr="74A1D20D">
        <w:rPr>
          <w:rFonts w:eastAsia="Times New Roman"/>
          <w:color w:val="000000" w:themeColor="text1"/>
          <w:lang w:eastAsia="en-CA"/>
        </w:rPr>
        <w:t xml:space="preserve"> include periodic reviews and renewal provisions </w:t>
      </w:r>
      <w:r w:rsidR="00923771">
        <w:rPr>
          <w:rFonts w:eastAsia="Times New Roman"/>
          <w:color w:val="000000" w:themeColor="text1"/>
          <w:lang w:eastAsia="en-CA"/>
        </w:rPr>
        <w:t>to</w:t>
      </w:r>
      <w:r w:rsidRPr="74A1D20D">
        <w:rPr>
          <w:rFonts w:eastAsia="Times New Roman"/>
          <w:color w:val="000000" w:themeColor="text1"/>
          <w:lang w:eastAsia="en-CA"/>
        </w:rPr>
        <w:t xml:space="preserve"> provide a process for the evolution of agreements</w:t>
      </w:r>
      <w:r w:rsidR="51B04545" w:rsidRPr="4ED46F81">
        <w:rPr>
          <w:rFonts w:eastAsia="Times New Roman"/>
          <w:color w:val="000000" w:themeColor="text1"/>
          <w:lang w:eastAsia="en-CA"/>
        </w:rPr>
        <w:t>,</w:t>
      </w:r>
      <w:r w:rsidRPr="74A1D20D">
        <w:rPr>
          <w:rFonts w:eastAsia="Times New Roman"/>
          <w:color w:val="000000" w:themeColor="text1"/>
          <w:lang w:eastAsia="en-CA"/>
        </w:rPr>
        <w:t xml:space="preserve"> and most importantly </w:t>
      </w:r>
      <w:r w:rsidR="301CF71E" w:rsidRPr="0EE9380E">
        <w:rPr>
          <w:rFonts w:eastAsia="Times New Roman"/>
          <w:color w:val="000000" w:themeColor="text1"/>
          <w:lang w:eastAsia="en-CA"/>
        </w:rPr>
        <w:t xml:space="preserve">these reviews are </w:t>
      </w:r>
      <w:r w:rsidRPr="74A1D20D">
        <w:rPr>
          <w:rFonts w:eastAsia="Times New Roman"/>
          <w:color w:val="000000" w:themeColor="text1"/>
          <w:lang w:eastAsia="en-CA"/>
        </w:rPr>
        <w:t xml:space="preserve">done in consultation and cooperation with Indigenous peoples. Every modern treaty includes provisions </w:t>
      </w:r>
      <w:r w:rsidR="00923771">
        <w:rPr>
          <w:rFonts w:eastAsia="Times New Roman"/>
          <w:color w:val="000000" w:themeColor="text1"/>
          <w:lang w:eastAsia="en-CA"/>
        </w:rPr>
        <w:t>for</w:t>
      </w:r>
      <w:r w:rsidRPr="74A1D20D">
        <w:rPr>
          <w:rFonts w:eastAsia="Times New Roman"/>
          <w:color w:val="000000" w:themeColor="text1"/>
          <w:lang w:eastAsia="en-CA"/>
        </w:rPr>
        <w:t xml:space="preserve"> implementation, which formalizes an Implementation Committee consisting </w:t>
      </w:r>
      <w:r w:rsidR="00BB7C18" w:rsidRPr="74A1D20D">
        <w:rPr>
          <w:rFonts w:eastAsia="Times New Roman"/>
          <w:color w:val="000000" w:themeColor="text1"/>
          <w:lang w:eastAsia="en-CA"/>
        </w:rPr>
        <w:t>of representation</w:t>
      </w:r>
      <w:r w:rsidRPr="74A1D20D">
        <w:rPr>
          <w:rFonts w:eastAsia="Times New Roman"/>
          <w:color w:val="000000" w:themeColor="text1"/>
          <w:lang w:eastAsia="en-CA"/>
        </w:rPr>
        <w:t xml:space="preserve"> from each State government and the Indigenous Nation. These measures ensure </w:t>
      </w:r>
      <w:r w:rsidR="0D2985A6" w:rsidRPr="0EE9380E">
        <w:rPr>
          <w:rFonts w:eastAsia="Times New Roman"/>
          <w:color w:val="000000" w:themeColor="text1"/>
          <w:lang w:eastAsia="en-CA"/>
        </w:rPr>
        <w:t xml:space="preserve">an </w:t>
      </w:r>
      <w:r w:rsidRPr="74A1D20D">
        <w:rPr>
          <w:rFonts w:eastAsia="Times New Roman"/>
          <w:color w:val="000000" w:themeColor="text1"/>
          <w:lang w:eastAsia="en-CA"/>
        </w:rPr>
        <w:t>assessment of progress towards achieving agreement provisions</w:t>
      </w:r>
      <w:r w:rsidR="646E3205" w:rsidRPr="74A1D20D">
        <w:rPr>
          <w:rFonts w:eastAsia="Times New Roman"/>
          <w:color w:val="000000" w:themeColor="text1"/>
          <w:lang w:eastAsia="en-CA"/>
        </w:rPr>
        <w:t xml:space="preserve"> and commitments</w:t>
      </w:r>
      <w:r w:rsidRPr="74A1D20D">
        <w:rPr>
          <w:rFonts w:eastAsia="Times New Roman"/>
          <w:color w:val="000000" w:themeColor="text1"/>
          <w:lang w:eastAsia="en-CA"/>
        </w:rPr>
        <w:t xml:space="preserve">, identify broader gaps, including challenges in implementing the UN Declaration. </w:t>
      </w:r>
    </w:p>
    <w:p w14:paraId="4556686B" w14:textId="77777777" w:rsidR="0080241D" w:rsidRDefault="0080241D" w:rsidP="00FC6571">
      <w:pPr>
        <w:pStyle w:val="NoSpacing"/>
        <w:rPr>
          <w:rFonts w:eastAsia="Times New Roman"/>
          <w:color w:val="000000"/>
          <w:lang w:eastAsia="en-CA"/>
        </w:rPr>
      </w:pPr>
    </w:p>
    <w:p w14:paraId="5A962268" w14:textId="3391A0A1" w:rsidR="00EC3960" w:rsidRDefault="000A3C45" w:rsidP="00FC6571">
      <w:pPr>
        <w:pStyle w:val="NoSpacing"/>
        <w:rPr>
          <w:rFonts w:eastAsia="Times New Roman"/>
          <w:color w:val="000000"/>
          <w:lang w:eastAsia="en-CA"/>
        </w:rPr>
      </w:pPr>
      <w:r w:rsidRPr="007B73CD">
        <w:rPr>
          <w:rFonts w:eastAsia="Times New Roman"/>
          <w:color w:val="000000"/>
          <w:lang w:eastAsia="en-CA"/>
        </w:rPr>
        <w:t xml:space="preserve">In 2019, the </w:t>
      </w:r>
      <w:r w:rsidRPr="007B73CD">
        <w:rPr>
          <w:rFonts w:eastAsia="Times New Roman"/>
          <w:i/>
          <w:iCs/>
          <w:color w:val="000000"/>
          <w:lang w:eastAsia="en-CA"/>
        </w:rPr>
        <w:t>Recognition and Reconciliation of Rights Policy for Treaty Negotiations in British Columbia</w:t>
      </w:r>
      <w:r w:rsidRPr="007B73CD">
        <w:rPr>
          <w:rFonts w:eastAsia="Times New Roman"/>
          <w:color w:val="000000"/>
          <w:lang w:eastAsia="en-CA"/>
        </w:rPr>
        <w:t xml:space="preserve"> (“Rights Recognition Policy”) </w:t>
      </w:r>
      <w:r w:rsidR="00567DA1" w:rsidRPr="007B73CD">
        <w:rPr>
          <w:rFonts w:eastAsia="Times New Roman"/>
          <w:color w:val="000000"/>
          <w:lang w:eastAsia="en-CA"/>
        </w:rPr>
        <w:t xml:space="preserve">was a significant shift </w:t>
      </w:r>
      <w:r w:rsidR="00D54947" w:rsidRPr="007B73CD">
        <w:rPr>
          <w:rFonts w:eastAsia="Times New Roman"/>
          <w:color w:val="000000"/>
          <w:lang w:eastAsia="en-CA"/>
        </w:rPr>
        <w:t>“</w:t>
      </w:r>
      <w:r w:rsidR="00567DA1" w:rsidRPr="007B73CD">
        <w:rPr>
          <w:rFonts w:eastAsia="Times New Roman"/>
          <w:color w:val="000000"/>
          <w:lang w:eastAsia="en-CA"/>
        </w:rPr>
        <w:t>moving beyond historic legacies of Crown denial, unilateralism, and the doctrine of discovery to a new nation-to-nation relationship based on the recognition of rights, reconciliation, respect, cooperation and partnership,”</w:t>
      </w:r>
      <w:r w:rsidR="00567DA1" w:rsidRPr="74A1D20D">
        <w:rPr>
          <w:rStyle w:val="FootnoteReference"/>
          <w:rFonts w:eastAsia="Times New Roman" w:cs="Arial"/>
          <w:i/>
          <w:color w:val="000000"/>
          <w:lang w:eastAsia="en-CA"/>
        </w:rPr>
        <w:t xml:space="preserve"> </w:t>
      </w:r>
      <w:r w:rsidR="00567DA1" w:rsidRPr="74A1D20D">
        <w:rPr>
          <w:rStyle w:val="FootnoteReference"/>
          <w:rFonts w:eastAsia="Times New Roman" w:cs="Arial"/>
          <w:i/>
          <w:color w:val="000000"/>
          <w:lang w:eastAsia="en-CA"/>
        </w:rPr>
        <w:footnoteReference w:id="2"/>
      </w:r>
      <w:r w:rsidR="00567DA1" w:rsidRPr="007B73CD">
        <w:rPr>
          <w:rFonts w:eastAsia="Times New Roman"/>
          <w:i/>
          <w:iCs/>
          <w:color w:val="000000"/>
          <w:lang w:eastAsia="en-CA"/>
        </w:rPr>
        <w:t xml:space="preserve"> </w:t>
      </w:r>
      <w:r w:rsidR="00567DA1" w:rsidRPr="007B73CD">
        <w:rPr>
          <w:rFonts w:eastAsia="Times New Roman"/>
          <w:color w:val="000000"/>
          <w:lang w:eastAsia="en-CA"/>
        </w:rPr>
        <w:t xml:space="preserve">and </w:t>
      </w:r>
      <w:r w:rsidR="56E11D2C" w:rsidRPr="007B73CD">
        <w:rPr>
          <w:rFonts w:eastAsia="Times New Roman"/>
          <w:color w:val="000000"/>
          <w:lang w:eastAsia="en-CA"/>
        </w:rPr>
        <w:t xml:space="preserve">explicitly states that the negotiations are to be guided by </w:t>
      </w:r>
      <w:r w:rsidRPr="007B73CD">
        <w:rPr>
          <w:rFonts w:eastAsia="Times New Roman"/>
          <w:color w:val="000000"/>
          <w:lang w:eastAsia="en-CA"/>
        </w:rPr>
        <w:t>the UN Declaration.</w:t>
      </w:r>
      <w:r w:rsidR="00D54947" w:rsidRPr="007B73CD">
        <w:rPr>
          <w:rFonts w:eastAsia="Times New Roman"/>
          <w:color w:val="000000"/>
          <w:lang w:eastAsia="en-CA"/>
        </w:rPr>
        <w:t xml:space="preserve"> This was the first public policy </w:t>
      </w:r>
      <w:r w:rsidR="6B27F46D" w:rsidRPr="007B73CD">
        <w:rPr>
          <w:rFonts w:eastAsia="Times New Roman"/>
          <w:color w:val="000000"/>
          <w:lang w:eastAsia="en-CA"/>
        </w:rPr>
        <w:t>in Canada</w:t>
      </w:r>
      <w:r w:rsidR="00D54947" w:rsidRPr="007B73CD">
        <w:rPr>
          <w:rFonts w:eastAsia="Times New Roman"/>
          <w:color w:val="000000"/>
          <w:lang w:eastAsia="en-CA"/>
        </w:rPr>
        <w:t xml:space="preserve"> </w:t>
      </w:r>
      <w:r w:rsidR="00241767">
        <w:rPr>
          <w:rFonts w:eastAsia="Times New Roman"/>
          <w:color w:val="000000"/>
          <w:lang w:eastAsia="en-CA"/>
        </w:rPr>
        <w:t xml:space="preserve">that </w:t>
      </w:r>
      <w:r w:rsidR="00241767" w:rsidRPr="007B73CD">
        <w:rPr>
          <w:rFonts w:eastAsia="Times New Roman"/>
          <w:color w:val="000000"/>
          <w:lang w:eastAsia="en-CA"/>
        </w:rPr>
        <w:t>was codeveloped</w:t>
      </w:r>
      <w:r w:rsidR="00241767" w:rsidRPr="0EE9380E">
        <w:rPr>
          <w:rFonts w:eastAsia="Times New Roman"/>
          <w:color w:val="000000" w:themeColor="text1"/>
          <w:lang w:eastAsia="en-CA"/>
        </w:rPr>
        <w:t xml:space="preserve"> </w:t>
      </w:r>
      <w:r w:rsidR="00241767" w:rsidRPr="007B73CD">
        <w:rPr>
          <w:rFonts w:eastAsia="Times New Roman"/>
          <w:color w:val="000000"/>
          <w:lang w:eastAsia="en-CA"/>
        </w:rPr>
        <w:t>by the State and Indigenous Peoples</w:t>
      </w:r>
      <w:r w:rsidR="00241767">
        <w:rPr>
          <w:rFonts w:eastAsia="Times New Roman"/>
          <w:color w:val="000000"/>
          <w:lang w:eastAsia="en-CA"/>
        </w:rPr>
        <w:t xml:space="preserve">, </w:t>
      </w:r>
      <w:r w:rsidR="00D54947" w:rsidRPr="007B73CD">
        <w:rPr>
          <w:rFonts w:eastAsia="Times New Roman"/>
          <w:color w:val="000000"/>
          <w:lang w:eastAsia="en-CA"/>
        </w:rPr>
        <w:t xml:space="preserve">with direct </w:t>
      </w:r>
      <w:r w:rsidR="00241767">
        <w:rPr>
          <w:rFonts w:eastAsia="Times New Roman"/>
          <w:color w:val="000000"/>
          <w:lang w:eastAsia="en-CA"/>
        </w:rPr>
        <w:t>link</w:t>
      </w:r>
      <w:r w:rsidR="27F0FED2">
        <w:rPr>
          <w:rFonts w:eastAsia="Times New Roman"/>
          <w:color w:val="000000"/>
          <w:lang w:eastAsia="en-CA"/>
        </w:rPr>
        <w:t>s</w:t>
      </w:r>
      <w:r w:rsidR="00D54947" w:rsidRPr="007B73CD">
        <w:rPr>
          <w:rFonts w:eastAsia="Times New Roman"/>
          <w:color w:val="000000"/>
          <w:lang w:eastAsia="en-CA"/>
        </w:rPr>
        <w:t xml:space="preserve"> to </w:t>
      </w:r>
      <w:r w:rsidR="00241767">
        <w:rPr>
          <w:rFonts w:eastAsia="Times New Roman"/>
          <w:color w:val="000000"/>
          <w:lang w:eastAsia="en-CA"/>
        </w:rPr>
        <w:t xml:space="preserve">support the </w:t>
      </w:r>
      <w:r w:rsidR="00D54947" w:rsidRPr="007B73CD">
        <w:rPr>
          <w:rFonts w:eastAsia="Times New Roman"/>
          <w:color w:val="000000"/>
          <w:lang w:eastAsia="en-CA"/>
        </w:rPr>
        <w:t>implementation of the UN Declaration</w:t>
      </w:r>
      <w:r w:rsidR="00241767">
        <w:rPr>
          <w:rFonts w:eastAsia="Times New Roman"/>
          <w:color w:val="000000"/>
          <w:lang w:eastAsia="en-CA"/>
        </w:rPr>
        <w:t>.</w:t>
      </w:r>
      <w:r w:rsidR="4E41338A">
        <w:rPr>
          <w:rFonts w:eastAsia="Times New Roman"/>
          <w:color w:val="000000"/>
          <w:lang w:eastAsia="en-CA"/>
        </w:rPr>
        <w:t xml:space="preserve"> The </w:t>
      </w:r>
      <w:r w:rsidR="4E41338A" w:rsidRPr="0EE9380E">
        <w:rPr>
          <w:rFonts w:eastAsia="Times New Roman"/>
          <w:color w:val="000000" w:themeColor="text1"/>
          <w:lang w:eastAsia="en-CA"/>
        </w:rPr>
        <w:t xml:space="preserve">Rights Recognition Policy </w:t>
      </w:r>
      <w:r w:rsidR="00BB7C18" w:rsidRPr="0EE9380E">
        <w:rPr>
          <w:rFonts w:eastAsia="Times New Roman"/>
          <w:color w:val="000000" w:themeColor="text1"/>
          <w:lang w:eastAsia="en-CA"/>
        </w:rPr>
        <w:t>includes</w:t>
      </w:r>
      <w:r w:rsidR="4E41338A" w:rsidRPr="0EE9380E">
        <w:rPr>
          <w:rFonts w:eastAsia="Times New Roman"/>
          <w:color w:val="000000" w:themeColor="text1"/>
          <w:lang w:eastAsia="en-CA"/>
        </w:rPr>
        <w:t xml:space="preserve"> a mechanism for </w:t>
      </w:r>
      <w:r w:rsidR="152BCA71" w:rsidRPr="0EE9380E">
        <w:rPr>
          <w:rFonts w:eastAsia="Times New Roman"/>
          <w:color w:val="000000" w:themeColor="text1"/>
          <w:lang w:eastAsia="en-CA"/>
        </w:rPr>
        <w:t>accountability and monitoring through review provisions</w:t>
      </w:r>
      <w:r w:rsidR="256FCE3D" w:rsidRPr="0EE9380E">
        <w:rPr>
          <w:rFonts w:eastAsia="Times New Roman"/>
          <w:color w:val="000000" w:themeColor="text1"/>
          <w:lang w:eastAsia="en-CA"/>
        </w:rPr>
        <w:t>.</w:t>
      </w:r>
    </w:p>
    <w:p w14:paraId="059F5FE4" w14:textId="77777777" w:rsidR="00EC3960" w:rsidRDefault="00EC3960" w:rsidP="00FC6571">
      <w:pPr>
        <w:pStyle w:val="NoSpacing"/>
        <w:rPr>
          <w:rFonts w:eastAsia="Times New Roman"/>
          <w:color w:val="000000"/>
          <w:lang w:eastAsia="en-CA"/>
        </w:rPr>
      </w:pPr>
    </w:p>
    <w:p w14:paraId="2D8DC19E" w14:textId="46121B19" w:rsidR="000D0D9B" w:rsidRPr="007B73CD" w:rsidRDefault="005F6C7C" w:rsidP="00FC6571">
      <w:pPr>
        <w:pStyle w:val="NoSpacing"/>
        <w:rPr>
          <w:rFonts w:eastAsia="Times New Roman"/>
          <w:color w:val="000000"/>
          <w:lang w:eastAsia="en-CA"/>
        </w:rPr>
      </w:pPr>
      <w:r>
        <w:rPr>
          <w:rFonts w:eastAsia="Times New Roman"/>
          <w:color w:val="000000"/>
          <w:lang w:eastAsia="en-CA"/>
        </w:rPr>
        <w:t>Subsequently,</w:t>
      </w:r>
      <w:r w:rsidR="009650DD">
        <w:rPr>
          <w:rFonts w:eastAsia="Times New Roman"/>
          <w:color w:val="000000"/>
          <w:lang w:eastAsia="en-CA"/>
        </w:rPr>
        <w:t xml:space="preserve"> domestic legislation implementing the UN Declaration </w:t>
      </w:r>
      <w:r w:rsidR="0017733A">
        <w:rPr>
          <w:rFonts w:eastAsia="Times New Roman"/>
          <w:color w:val="000000"/>
          <w:lang w:eastAsia="en-CA"/>
        </w:rPr>
        <w:t xml:space="preserve">was </w:t>
      </w:r>
      <w:r w:rsidR="009650DD">
        <w:rPr>
          <w:rFonts w:eastAsia="Times New Roman"/>
          <w:color w:val="000000"/>
          <w:lang w:eastAsia="en-CA"/>
        </w:rPr>
        <w:t xml:space="preserve">enacted; the </w:t>
      </w:r>
      <w:r w:rsidR="009650DD" w:rsidRPr="002138AD">
        <w:rPr>
          <w:rFonts w:eastAsia="Times New Roman"/>
          <w:i/>
          <w:iCs/>
          <w:color w:val="000000"/>
          <w:lang w:eastAsia="en-CA"/>
        </w:rPr>
        <w:t>Declaration on the Rights of Indigenous Peoples Act</w:t>
      </w:r>
      <w:r w:rsidR="009650DD">
        <w:rPr>
          <w:rFonts w:eastAsia="Times New Roman"/>
          <w:color w:val="000000"/>
          <w:lang w:eastAsia="en-CA"/>
        </w:rPr>
        <w:t xml:space="preserve"> (DRIPA)</w:t>
      </w:r>
      <w:r w:rsidR="0017733A" w:rsidRPr="0017733A">
        <w:rPr>
          <w:rFonts w:eastAsia="Times New Roman"/>
          <w:color w:val="000000"/>
          <w:lang w:eastAsia="en-CA"/>
        </w:rPr>
        <w:t xml:space="preserve"> </w:t>
      </w:r>
      <w:r w:rsidR="0017733A">
        <w:rPr>
          <w:rFonts w:eastAsia="Times New Roman"/>
          <w:color w:val="000000"/>
          <w:lang w:eastAsia="en-CA"/>
        </w:rPr>
        <w:t xml:space="preserve">in British Columbia, </w:t>
      </w:r>
      <w:r w:rsidR="00F4358D">
        <w:rPr>
          <w:rFonts w:eastAsia="Times New Roman"/>
          <w:color w:val="000000"/>
          <w:lang w:eastAsia="en-CA"/>
        </w:rPr>
        <w:t xml:space="preserve">and </w:t>
      </w:r>
      <w:r w:rsidR="009650DD">
        <w:rPr>
          <w:rFonts w:eastAsia="Times New Roman"/>
          <w:color w:val="000000"/>
          <w:lang w:eastAsia="en-CA"/>
        </w:rPr>
        <w:t xml:space="preserve">federally, the </w:t>
      </w:r>
      <w:r w:rsidR="009650DD" w:rsidRPr="002138AD">
        <w:rPr>
          <w:rFonts w:eastAsia="Times New Roman"/>
          <w:i/>
          <w:iCs/>
          <w:color w:val="000000"/>
          <w:lang w:eastAsia="en-CA"/>
        </w:rPr>
        <w:t>United Nations Declaration on the Rights of Indigenous Peoples</w:t>
      </w:r>
      <w:r w:rsidR="009650DD">
        <w:rPr>
          <w:rFonts w:eastAsia="Times New Roman"/>
          <w:color w:val="000000"/>
          <w:lang w:eastAsia="en-CA"/>
        </w:rPr>
        <w:t xml:space="preserve"> (UNDRIPA).</w:t>
      </w:r>
      <w:r w:rsidR="008F3161" w:rsidRPr="22BC0617">
        <w:rPr>
          <w:rStyle w:val="FootnoteReference"/>
          <w:rFonts w:eastAsia="Times New Roman" w:cs="Arial"/>
          <w:color w:val="000000"/>
          <w:lang w:eastAsia="en-CA"/>
        </w:rPr>
        <w:footnoteReference w:id="3"/>
      </w:r>
      <w:r w:rsidR="009650DD">
        <w:rPr>
          <w:rFonts w:eastAsia="Times New Roman"/>
          <w:color w:val="000000"/>
          <w:lang w:eastAsia="en-CA"/>
        </w:rPr>
        <w:t xml:space="preserve"> </w:t>
      </w:r>
      <w:r w:rsidR="007243B9">
        <w:rPr>
          <w:rFonts w:eastAsia="Times New Roman"/>
          <w:color w:val="000000"/>
          <w:lang w:eastAsia="en-CA"/>
        </w:rPr>
        <w:t xml:space="preserve">The latest </w:t>
      </w:r>
      <w:r w:rsidR="001266E6">
        <w:rPr>
          <w:rFonts w:eastAsia="Times New Roman"/>
          <w:color w:val="000000"/>
          <w:lang w:eastAsia="en-CA"/>
        </w:rPr>
        <w:t xml:space="preserve">State </w:t>
      </w:r>
      <w:r w:rsidR="007243B9">
        <w:rPr>
          <w:rFonts w:eastAsia="Times New Roman"/>
          <w:color w:val="000000"/>
          <w:lang w:eastAsia="en-CA"/>
        </w:rPr>
        <w:t>policy directive</w:t>
      </w:r>
      <w:r w:rsidR="001266E6">
        <w:rPr>
          <w:rFonts w:eastAsia="Times New Roman"/>
          <w:color w:val="000000"/>
          <w:lang w:eastAsia="en-CA"/>
        </w:rPr>
        <w:t xml:space="preserve">, </w:t>
      </w:r>
      <w:r w:rsidR="000D0D9B" w:rsidRPr="007B73CD">
        <w:rPr>
          <w:rFonts w:eastAsia="Times New Roman"/>
          <w:i/>
          <w:iCs/>
          <w:color w:val="000000"/>
          <w:lang w:eastAsia="en-CA"/>
        </w:rPr>
        <w:t>Canada’s Collaborative Modern Treaty Implementation Policy</w:t>
      </w:r>
      <w:r w:rsidR="00B429A0">
        <w:rPr>
          <w:rFonts w:eastAsia="Times New Roman"/>
          <w:i/>
          <w:iCs/>
          <w:color w:val="000000"/>
          <w:lang w:eastAsia="en-CA"/>
        </w:rPr>
        <w:t>,</w:t>
      </w:r>
      <w:r w:rsidR="000D0D9B" w:rsidRPr="007B73CD">
        <w:rPr>
          <w:rFonts w:eastAsia="Times New Roman"/>
          <w:color w:val="000000"/>
          <w:lang w:eastAsia="en-CA"/>
        </w:rPr>
        <w:t xml:space="preserve"> was </w:t>
      </w:r>
      <w:r w:rsidR="001266E6">
        <w:rPr>
          <w:rFonts w:eastAsia="Times New Roman"/>
          <w:color w:val="000000"/>
          <w:lang w:eastAsia="en-CA"/>
        </w:rPr>
        <w:t xml:space="preserve">also </w:t>
      </w:r>
      <w:r w:rsidR="000D0D9B" w:rsidRPr="007B73CD">
        <w:rPr>
          <w:rFonts w:eastAsia="Times New Roman"/>
          <w:color w:val="000000"/>
          <w:lang w:eastAsia="en-CA"/>
        </w:rPr>
        <w:t>developed</w:t>
      </w:r>
      <w:r w:rsidR="001266E6">
        <w:rPr>
          <w:rFonts w:eastAsia="Times New Roman"/>
          <w:color w:val="000000"/>
          <w:lang w:eastAsia="en-CA"/>
        </w:rPr>
        <w:t xml:space="preserve"> in consultation and cooperation</w:t>
      </w:r>
      <w:r w:rsidR="000D0D9B" w:rsidRPr="007B73CD">
        <w:rPr>
          <w:rFonts w:eastAsia="Times New Roman"/>
          <w:color w:val="000000"/>
          <w:lang w:eastAsia="en-CA"/>
        </w:rPr>
        <w:t xml:space="preserve"> with Indigenous Peoples</w:t>
      </w:r>
      <w:r w:rsidR="001266E6">
        <w:rPr>
          <w:rFonts w:eastAsia="Times New Roman"/>
          <w:color w:val="000000"/>
          <w:lang w:eastAsia="en-CA"/>
        </w:rPr>
        <w:t>,</w:t>
      </w:r>
      <w:r w:rsidR="000D0D9B" w:rsidRPr="007B73CD">
        <w:rPr>
          <w:rFonts w:eastAsia="Times New Roman"/>
          <w:color w:val="000000"/>
          <w:lang w:eastAsia="en-CA"/>
        </w:rPr>
        <w:t xml:space="preserve"> </w:t>
      </w:r>
      <w:r w:rsidR="00B429A0">
        <w:rPr>
          <w:rFonts w:eastAsia="Times New Roman"/>
          <w:color w:val="000000"/>
          <w:lang w:eastAsia="en-CA"/>
        </w:rPr>
        <w:t xml:space="preserve">and </w:t>
      </w:r>
      <w:r w:rsidR="007243B9">
        <w:rPr>
          <w:rFonts w:eastAsia="Times New Roman"/>
          <w:color w:val="000000"/>
          <w:lang w:eastAsia="en-CA"/>
        </w:rPr>
        <w:t xml:space="preserve">directly links to the UN Declaration to guide </w:t>
      </w:r>
      <w:r w:rsidR="001266E6">
        <w:rPr>
          <w:rFonts w:eastAsia="Times New Roman"/>
          <w:color w:val="000000"/>
          <w:lang w:eastAsia="en-CA"/>
        </w:rPr>
        <w:t xml:space="preserve">effective </w:t>
      </w:r>
      <w:r w:rsidR="007243B9">
        <w:rPr>
          <w:rFonts w:eastAsia="Times New Roman"/>
          <w:color w:val="000000"/>
          <w:lang w:eastAsia="en-CA"/>
        </w:rPr>
        <w:t>treaty implementation</w:t>
      </w:r>
      <w:r w:rsidR="000D0D9B" w:rsidRPr="007B73CD">
        <w:rPr>
          <w:rFonts w:eastAsia="Times New Roman"/>
          <w:color w:val="000000"/>
          <w:lang w:eastAsia="en-CA"/>
        </w:rPr>
        <w:t xml:space="preserve"> to ensur</w:t>
      </w:r>
      <w:r w:rsidR="007243B9">
        <w:rPr>
          <w:rFonts w:eastAsia="Times New Roman"/>
          <w:color w:val="000000"/>
          <w:lang w:eastAsia="en-CA"/>
        </w:rPr>
        <w:t>e t</w:t>
      </w:r>
      <w:r w:rsidR="000D0D9B" w:rsidRPr="007B73CD">
        <w:rPr>
          <w:rFonts w:eastAsia="Times New Roman"/>
          <w:color w:val="000000"/>
          <w:lang w:eastAsia="en-CA"/>
        </w:rPr>
        <w:t>hat Indigenous Modern Treaty Partners are able to fully exercise their jurisdictional powers as set out in their agreements.</w:t>
      </w:r>
      <w:r w:rsidR="000D0D9B" w:rsidRPr="007B73CD">
        <w:rPr>
          <w:rFonts w:eastAsia="Times New Roman"/>
          <w:color w:val="000000"/>
          <w:vertAlign w:val="superscript"/>
          <w:lang w:eastAsia="en-CA"/>
        </w:rPr>
        <w:footnoteReference w:id="4"/>
      </w:r>
    </w:p>
    <w:p w14:paraId="62C957BE" w14:textId="77777777" w:rsidR="00FC6571" w:rsidRDefault="00FC6571" w:rsidP="00FC6571">
      <w:pPr>
        <w:pStyle w:val="NoSpacing"/>
        <w:rPr>
          <w:rFonts w:eastAsia="Times New Roman"/>
          <w:i/>
          <w:iCs/>
          <w:color w:val="000000"/>
          <w:lang w:eastAsia="en-CA"/>
        </w:rPr>
      </w:pPr>
    </w:p>
    <w:p w14:paraId="20CBEEF4" w14:textId="0BBEA52D" w:rsidR="00E41C93" w:rsidRPr="007B73CD" w:rsidRDefault="005F60E0" w:rsidP="00FC6571">
      <w:pPr>
        <w:pStyle w:val="NoSpacing"/>
        <w:rPr>
          <w:rFonts w:eastAsia="Times New Roman"/>
          <w:color w:val="000000"/>
          <w:lang w:eastAsia="en-CA"/>
        </w:rPr>
      </w:pPr>
      <w:r>
        <w:rPr>
          <w:rFonts w:eastAsia="Times New Roman"/>
          <w:color w:val="000000" w:themeColor="text1"/>
          <w:lang w:eastAsia="en-CA"/>
        </w:rPr>
        <w:t>The history and the progressive evolution of the BC treaty negotiations process, and</w:t>
      </w:r>
      <w:r w:rsidR="00E41C93" w:rsidRPr="55319640">
        <w:rPr>
          <w:rFonts w:eastAsia="Times New Roman"/>
          <w:color w:val="000000" w:themeColor="text1"/>
          <w:lang w:eastAsia="en-CA"/>
        </w:rPr>
        <w:t xml:space="preserve"> these developments and policy measures </w:t>
      </w:r>
      <w:r>
        <w:rPr>
          <w:rFonts w:eastAsia="Times New Roman"/>
          <w:color w:val="000000" w:themeColor="text1"/>
          <w:lang w:eastAsia="en-CA"/>
        </w:rPr>
        <w:t xml:space="preserve">serve as </w:t>
      </w:r>
      <w:r w:rsidR="005503F3">
        <w:rPr>
          <w:rFonts w:eastAsia="Times New Roman"/>
          <w:color w:val="000000" w:themeColor="text1"/>
          <w:lang w:eastAsia="en-CA"/>
        </w:rPr>
        <w:t>good example</w:t>
      </w:r>
      <w:r w:rsidR="00532215">
        <w:rPr>
          <w:rFonts w:eastAsia="Times New Roman"/>
          <w:color w:val="000000" w:themeColor="text1"/>
          <w:lang w:eastAsia="en-CA"/>
        </w:rPr>
        <w:t>s</w:t>
      </w:r>
      <w:r w:rsidR="005503F3">
        <w:rPr>
          <w:rFonts w:eastAsia="Times New Roman"/>
          <w:color w:val="000000" w:themeColor="text1"/>
          <w:lang w:eastAsia="en-CA"/>
        </w:rPr>
        <w:t xml:space="preserve"> of </w:t>
      </w:r>
      <w:r w:rsidR="00E41C93" w:rsidRPr="55319640">
        <w:rPr>
          <w:rFonts w:eastAsia="Times New Roman"/>
          <w:color w:val="000000" w:themeColor="text1"/>
          <w:lang w:eastAsia="en-CA"/>
        </w:rPr>
        <w:t>State governments working jointly with Indigenous Peoples to protect and promote</w:t>
      </w:r>
      <w:r w:rsidR="005503F3">
        <w:rPr>
          <w:rFonts w:eastAsia="Times New Roman"/>
          <w:color w:val="000000" w:themeColor="text1"/>
          <w:lang w:eastAsia="en-CA"/>
        </w:rPr>
        <w:t xml:space="preserve"> Indigenous</w:t>
      </w:r>
      <w:r w:rsidR="00E41C93" w:rsidRPr="55319640">
        <w:rPr>
          <w:rFonts w:eastAsia="Times New Roman"/>
          <w:color w:val="000000" w:themeColor="text1"/>
          <w:lang w:eastAsia="en-CA"/>
        </w:rPr>
        <w:t xml:space="preserve"> rights to highest standards. </w:t>
      </w:r>
    </w:p>
    <w:p w14:paraId="49EBBBF7" w14:textId="77777777" w:rsidR="00FC6571" w:rsidRDefault="00FC6571" w:rsidP="00FC6571">
      <w:pPr>
        <w:pStyle w:val="NoSpacing"/>
        <w:rPr>
          <w:rFonts w:eastAsia="Times New Roman"/>
          <w:b/>
          <w:bCs/>
          <w:i/>
          <w:iCs/>
          <w:color w:val="000000"/>
          <w:lang w:eastAsia="en-CA"/>
        </w:rPr>
      </w:pPr>
    </w:p>
    <w:p w14:paraId="720880E0" w14:textId="0F79ACED" w:rsidR="007B73CD" w:rsidRPr="007B73CD" w:rsidRDefault="006B2D27" w:rsidP="00FC6571">
      <w:pPr>
        <w:pStyle w:val="NoSpacing"/>
        <w:rPr>
          <w:rFonts w:eastAsia="Times New Roman"/>
          <w:b/>
          <w:bCs/>
          <w:i/>
          <w:iCs/>
          <w:color w:val="000000"/>
          <w:lang w:eastAsia="en-CA"/>
        </w:rPr>
      </w:pPr>
      <w:r w:rsidRPr="007B73CD">
        <w:rPr>
          <w:rFonts w:eastAsia="Times New Roman"/>
          <w:b/>
          <w:bCs/>
          <w:i/>
          <w:iCs/>
          <w:color w:val="000000"/>
          <w:lang w:eastAsia="en-CA"/>
        </w:rPr>
        <w:t xml:space="preserve">Legal recognition and protection of Indigenous Peoples lands, territories and resources </w:t>
      </w:r>
    </w:p>
    <w:p w14:paraId="394327FC" w14:textId="77777777" w:rsidR="00FC6571" w:rsidRDefault="00FC6571" w:rsidP="00FC6571">
      <w:pPr>
        <w:pStyle w:val="NoSpacing"/>
        <w:rPr>
          <w:rFonts w:eastAsia="Times New Roman"/>
          <w:color w:val="000000"/>
          <w:lang w:eastAsia="en-CA"/>
        </w:rPr>
      </w:pPr>
    </w:p>
    <w:p w14:paraId="102250F3" w14:textId="6C173C4B" w:rsidR="008C699B" w:rsidRPr="008C699B" w:rsidRDefault="008C699B" w:rsidP="00FC6571">
      <w:pPr>
        <w:pStyle w:val="NoSpacing"/>
        <w:rPr>
          <w:rFonts w:eastAsia="Times New Roman"/>
          <w:color w:val="000000"/>
          <w:lang w:eastAsia="en-CA"/>
        </w:rPr>
      </w:pPr>
      <w:r w:rsidRPr="0EE9380E">
        <w:rPr>
          <w:rFonts w:eastAsia="Times New Roman"/>
          <w:color w:val="000000" w:themeColor="text1"/>
          <w:lang w:eastAsia="en-CA"/>
        </w:rPr>
        <w:t xml:space="preserve">Articles </w:t>
      </w:r>
      <w:r w:rsidR="00E53DF2" w:rsidRPr="0EE9380E">
        <w:rPr>
          <w:rFonts w:eastAsia="Times New Roman"/>
          <w:color w:val="000000" w:themeColor="text1"/>
          <w:lang w:eastAsia="en-CA"/>
        </w:rPr>
        <w:t>3, 4, and 26</w:t>
      </w:r>
      <w:r w:rsidRPr="0EE9380E">
        <w:rPr>
          <w:rFonts w:eastAsia="Times New Roman"/>
          <w:color w:val="000000" w:themeColor="text1"/>
          <w:lang w:eastAsia="en-CA"/>
        </w:rPr>
        <w:t xml:space="preserve"> of the UN Declaration </w:t>
      </w:r>
      <w:proofErr w:type="gramStart"/>
      <w:r w:rsidRPr="0EE9380E">
        <w:rPr>
          <w:rFonts w:eastAsia="Times New Roman"/>
          <w:color w:val="000000" w:themeColor="text1"/>
          <w:lang w:eastAsia="en-CA"/>
        </w:rPr>
        <w:t>center</w:t>
      </w:r>
      <w:proofErr w:type="gramEnd"/>
      <w:r w:rsidRPr="0EE9380E">
        <w:rPr>
          <w:rFonts w:eastAsia="Times New Roman"/>
          <w:color w:val="000000" w:themeColor="text1"/>
          <w:lang w:eastAsia="en-CA"/>
        </w:rPr>
        <w:t xml:space="preserve"> around land and autonomy rights </w:t>
      </w:r>
      <w:r w:rsidR="005F1E76" w:rsidRPr="0EE9380E">
        <w:rPr>
          <w:rFonts w:eastAsia="Times New Roman"/>
          <w:color w:val="000000" w:themeColor="text1"/>
          <w:lang w:eastAsia="en-CA"/>
        </w:rPr>
        <w:t>to</w:t>
      </w:r>
      <w:r w:rsidRPr="0EE9380E">
        <w:rPr>
          <w:rFonts w:eastAsia="Times New Roman"/>
          <w:color w:val="000000" w:themeColor="text1"/>
          <w:lang w:eastAsia="en-CA"/>
        </w:rPr>
        <w:t xml:space="preserve"> self-determination and self-government </w:t>
      </w:r>
      <w:r w:rsidR="005F63F9" w:rsidRPr="0EE9380E">
        <w:rPr>
          <w:rFonts w:eastAsia="Times New Roman"/>
          <w:color w:val="000000" w:themeColor="text1"/>
          <w:lang w:eastAsia="en-CA"/>
        </w:rPr>
        <w:t>which require</w:t>
      </w:r>
      <w:r w:rsidRPr="0EE9380E">
        <w:rPr>
          <w:rFonts w:eastAsia="Times New Roman"/>
          <w:color w:val="000000" w:themeColor="text1"/>
          <w:lang w:eastAsia="en-CA"/>
        </w:rPr>
        <w:t xml:space="preserve"> States to “give legal recognition and protection to these lands, territories and resources. Such recognition shall be conducted with due respect to the customs, traditions and land tenure systems of the indigenous peoples concerned.”</w:t>
      </w:r>
    </w:p>
    <w:p w14:paraId="1C4CFB1F" w14:textId="77777777" w:rsidR="003A4170" w:rsidRDefault="003A4170" w:rsidP="00FC6571">
      <w:pPr>
        <w:pStyle w:val="NoSpacing"/>
        <w:rPr>
          <w:rFonts w:eastAsia="Times New Roman"/>
          <w:color w:val="000000"/>
          <w:lang w:eastAsia="en-CA"/>
        </w:rPr>
      </w:pPr>
    </w:p>
    <w:p w14:paraId="651DA2F8" w14:textId="522E1CC5" w:rsidR="00E53DF2" w:rsidRPr="007B73CD" w:rsidRDefault="008C699B" w:rsidP="00FC6571">
      <w:pPr>
        <w:pStyle w:val="NoSpacing"/>
        <w:rPr>
          <w:rFonts w:eastAsia="Times New Roman"/>
          <w:b/>
          <w:bCs/>
          <w:i/>
          <w:iCs/>
          <w:color w:val="000000"/>
          <w:lang w:eastAsia="en-CA"/>
        </w:rPr>
      </w:pPr>
      <w:r w:rsidRPr="4D9122BE">
        <w:rPr>
          <w:rFonts w:eastAsia="Times New Roman"/>
          <w:color w:val="000000" w:themeColor="text1"/>
          <w:lang w:eastAsia="en-CA"/>
        </w:rPr>
        <w:t xml:space="preserve">In recent years, </w:t>
      </w:r>
      <w:r w:rsidR="006E3C90" w:rsidRPr="4D9122BE">
        <w:rPr>
          <w:rFonts w:eastAsia="Times New Roman"/>
          <w:color w:val="000000" w:themeColor="text1"/>
          <w:lang w:eastAsia="en-CA"/>
        </w:rPr>
        <w:t xml:space="preserve">building from the Rights Recognition Policy, DRIPA and UNDRIPA, </w:t>
      </w:r>
      <w:r w:rsidRPr="4D9122BE">
        <w:rPr>
          <w:rFonts w:eastAsia="Times New Roman"/>
          <w:color w:val="000000" w:themeColor="text1"/>
          <w:lang w:eastAsia="en-CA"/>
        </w:rPr>
        <w:t xml:space="preserve">the BC treaty negotiations process has supported the </w:t>
      </w:r>
      <w:r w:rsidR="5355CCB8" w:rsidRPr="0EE9380E">
        <w:rPr>
          <w:rFonts w:eastAsia="Times New Roman"/>
          <w:color w:val="000000" w:themeColor="text1"/>
          <w:lang w:eastAsia="en-CA"/>
        </w:rPr>
        <w:t>S</w:t>
      </w:r>
      <w:r w:rsidRPr="0EE9380E">
        <w:rPr>
          <w:rFonts w:eastAsia="Times New Roman"/>
          <w:color w:val="000000" w:themeColor="text1"/>
          <w:lang w:eastAsia="en-CA"/>
        </w:rPr>
        <w:t>tate</w:t>
      </w:r>
      <w:r w:rsidRPr="4D9122BE">
        <w:rPr>
          <w:rFonts w:eastAsia="Times New Roman"/>
          <w:color w:val="000000" w:themeColor="text1"/>
          <w:lang w:eastAsia="en-CA"/>
        </w:rPr>
        <w:t xml:space="preserve"> governments of Canada and British Columbia working in collaboration</w:t>
      </w:r>
      <w:r w:rsidR="006E3C90" w:rsidRPr="4D9122BE">
        <w:rPr>
          <w:rFonts w:eastAsia="Times New Roman"/>
          <w:color w:val="000000" w:themeColor="text1"/>
          <w:lang w:eastAsia="en-CA"/>
        </w:rPr>
        <w:t xml:space="preserve"> with Indigenous Nation to develop new approaches to legal recognition of </w:t>
      </w:r>
      <w:r w:rsidR="275BA57D" w:rsidRPr="4D9122BE">
        <w:rPr>
          <w:rFonts w:eastAsia="Times New Roman"/>
          <w:color w:val="000000" w:themeColor="text1"/>
          <w:lang w:eastAsia="en-CA"/>
        </w:rPr>
        <w:t xml:space="preserve">Indigenous </w:t>
      </w:r>
      <w:r w:rsidR="006E3C90" w:rsidRPr="4D9122BE">
        <w:rPr>
          <w:rFonts w:eastAsia="Times New Roman"/>
          <w:color w:val="000000" w:themeColor="text1"/>
          <w:lang w:eastAsia="en-CA"/>
        </w:rPr>
        <w:t xml:space="preserve">nationhood and </w:t>
      </w:r>
      <w:r w:rsidR="0FF2247C" w:rsidRPr="4D9122BE">
        <w:rPr>
          <w:rFonts w:eastAsia="Times New Roman"/>
          <w:color w:val="000000" w:themeColor="text1"/>
          <w:lang w:eastAsia="en-CA"/>
        </w:rPr>
        <w:t>rights</w:t>
      </w:r>
      <w:r w:rsidR="00E53DF2" w:rsidRPr="4D9122BE">
        <w:rPr>
          <w:rFonts w:eastAsia="Times New Roman"/>
          <w:color w:val="000000" w:themeColor="text1"/>
          <w:lang w:eastAsia="en-CA"/>
        </w:rPr>
        <w:t>.</w:t>
      </w:r>
      <w:r w:rsidRPr="4D9122BE">
        <w:rPr>
          <w:rFonts w:eastAsia="Times New Roman"/>
          <w:color w:val="000000" w:themeColor="text1"/>
          <w:lang w:eastAsia="en-CA"/>
        </w:rPr>
        <w:t xml:space="preserve"> The following</w:t>
      </w:r>
      <w:r w:rsidR="006E3C90" w:rsidRPr="4D9122BE">
        <w:rPr>
          <w:rFonts w:eastAsia="Times New Roman"/>
          <w:color w:val="000000" w:themeColor="text1"/>
          <w:lang w:eastAsia="en-CA"/>
        </w:rPr>
        <w:t xml:space="preserve"> provide examples of incremental steps and alternatives to litigation </w:t>
      </w:r>
      <w:r w:rsidR="005503F3">
        <w:rPr>
          <w:rFonts w:eastAsia="Times New Roman"/>
          <w:color w:val="000000" w:themeColor="text1"/>
          <w:lang w:eastAsia="en-CA"/>
        </w:rPr>
        <w:t>for</w:t>
      </w:r>
      <w:r w:rsidR="006E3C90" w:rsidRPr="4D9122BE">
        <w:rPr>
          <w:rFonts w:eastAsia="Times New Roman"/>
          <w:color w:val="000000" w:themeColor="text1"/>
          <w:lang w:eastAsia="en-CA"/>
        </w:rPr>
        <w:t xml:space="preserve"> States and Indigenous Peoples. </w:t>
      </w:r>
    </w:p>
    <w:p w14:paraId="6438A6DA" w14:textId="77777777" w:rsidR="00904D09" w:rsidRDefault="00904D09" w:rsidP="00FC6571">
      <w:pPr>
        <w:pStyle w:val="NoSpacing"/>
        <w:rPr>
          <w:rFonts w:eastAsia="Times New Roman"/>
          <w:lang w:eastAsia="en-CA"/>
        </w:rPr>
      </w:pPr>
    </w:p>
    <w:p w14:paraId="391E05EB" w14:textId="77777777" w:rsidR="0094335F" w:rsidRDefault="0078162C" w:rsidP="00FC6571">
      <w:pPr>
        <w:pStyle w:val="NoSpacing"/>
        <w:rPr>
          <w:rFonts w:eastAsia="Times New Roman"/>
          <w:lang w:eastAsia="en-CA"/>
        </w:rPr>
      </w:pPr>
      <w:r w:rsidRPr="007B73CD">
        <w:rPr>
          <w:rFonts w:eastAsia="Times New Roman"/>
          <w:lang w:eastAsia="en-CA"/>
        </w:rPr>
        <w:t>In August 2021</w:t>
      </w:r>
      <w:r w:rsidR="004438A1" w:rsidRPr="007B73CD">
        <w:rPr>
          <w:rFonts w:eastAsia="Times New Roman"/>
          <w:lang w:eastAsia="en-CA"/>
        </w:rPr>
        <w:t>,</w:t>
      </w:r>
      <w:r w:rsidRPr="007B73CD">
        <w:rPr>
          <w:rFonts w:eastAsia="Times New Roman"/>
          <w:lang w:eastAsia="en-CA"/>
        </w:rPr>
        <w:t xml:space="preserve"> the Gitanyow Hereditary Chiefs (Nation/Huwilp) and the State governments of Canada and British Columbia signed the </w:t>
      </w:r>
      <w:r w:rsidRPr="007B73CD">
        <w:rPr>
          <w:rFonts w:eastAsia="Times New Roman"/>
          <w:i/>
          <w:iCs/>
          <w:lang w:eastAsia="en-CA"/>
        </w:rPr>
        <w:t>Gitanyow Governance Accord</w:t>
      </w:r>
      <w:r w:rsidRPr="007B73CD">
        <w:rPr>
          <w:rFonts w:eastAsia="Times New Roman"/>
          <w:lang w:eastAsia="en-CA"/>
        </w:rPr>
        <w:t>. The Accord provides a new path forward that will transition Gitanyow away from the</w:t>
      </w:r>
      <w:r w:rsidR="00334BB1" w:rsidRPr="007B73CD">
        <w:rPr>
          <w:rFonts w:eastAsia="Times New Roman"/>
          <w:lang w:eastAsia="en-CA"/>
        </w:rPr>
        <w:t xml:space="preserve"> colonial constructs of the</w:t>
      </w:r>
      <w:r w:rsidRPr="007B73CD">
        <w:rPr>
          <w:rFonts w:eastAsia="Times New Roman"/>
          <w:lang w:eastAsia="en-CA"/>
        </w:rPr>
        <w:t xml:space="preserve"> </w:t>
      </w:r>
      <w:r w:rsidRPr="007B73CD">
        <w:rPr>
          <w:rFonts w:eastAsia="Times New Roman"/>
          <w:i/>
          <w:iCs/>
          <w:lang w:eastAsia="en-CA"/>
        </w:rPr>
        <w:t>Indian Act</w:t>
      </w:r>
      <w:r w:rsidRPr="007B73CD">
        <w:rPr>
          <w:rFonts w:eastAsia="Times New Roman"/>
          <w:lang w:eastAsia="en-CA"/>
        </w:rPr>
        <w:t xml:space="preserve"> by revitalizing and achieving legal recognition of the Gitanyow hereditary governance system of the Huwilp/ Houses.</w:t>
      </w:r>
      <w:r w:rsidR="003C2FD8" w:rsidRPr="007B73CD">
        <w:rPr>
          <w:rStyle w:val="FootnoteReference"/>
          <w:rFonts w:eastAsia="Times New Roman" w:cs="Arial"/>
          <w:szCs w:val="22"/>
          <w:lang w:eastAsia="en-CA"/>
        </w:rPr>
        <w:footnoteReference w:id="5"/>
      </w:r>
      <w:r w:rsidRPr="007B73CD">
        <w:rPr>
          <w:rFonts w:eastAsia="Times New Roman"/>
          <w:lang w:eastAsia="en-CA"/>
        </w:rPr>
        <w:t xml:space="preserve"> </w:t>
      </w:r>
    </w:p>
    <w:p w14:paraId="5B4883CE" w14:textId="77777777" w:rsidR="0094335F" w:rsidRDefault="0094335F" w:rsidP="00FC6571">
      <w:pPr>
        <w:pStyle w:val="NoSpacing"/>
        <w:rPr>
          <w:rFonts w:eastAsia="Times New Roman"/>
          <w:lang w:eastAsia="en-CA"/>
        </w:rPr>
      </w:pPr>
    </w:p>
    <w:p w14:paraId="7ADCE1C5" w14:textId="056DFF4E" w:rsidR="00DD69F9" w:rsidRPr="007B73CD" w:rsidRDefault="00866C69" w:rsidP="00FC6571">
      <w:pPr>
        <w:pStyle w:val="NoSpacing"/>
        <w:rPr>
          <w:rFonts w:eastAsia="Times New Roman"/>
          <w:lang w:eastAsia="en-CA"/>
        </w:rPr>
      </w:pPr>
      <w:r w:rsidRPr="007B73CD">
        <w:rPr>
          <w:rFonts w:eastAsia="Times New Roman"/>
          <w:lang w:eastAsia="en-CA"/>
        </w:rPr>
        <w:t xml:space="preserve">Through the </w:t>
      </w:r>
      <w:r w:rsidR="6A5020CB" w:rsidRPr="0EE9380E">
        <w:rPr>
          <w:rFonts w:eastAsia="Arial" w:cs="Arial"/>
          <w:i/>
          <w:iCs/>
          <w:szCs w:val="22"/>
        </w:rPr>
        <w:t xml:space="preserve">Gitanyow Governance </w:t>
      </w:r>
      <w:r w:rsidR="00DC6727" w:rsidRPr="0EE9380E">
        <w:rPr>
          <w:rFonts w:eastAsia="Arial" w:cs="Arial"/>
          <w:i/>
          <w:iCs/>
          <w:szCs w:val="22"/>
        </w:rPr>
        <w:t>Accord</w:t>
      </w:r>
      <w:r w:rsidR="00DC6727" w:rsidRPr="0EE9380E">
        <w:rPr>
          <w:rFonts w:eastAsia="Times New Roman"/>
          <w:lang w:eastAsia="en-CA"/>
        </w:rPr>
        <w:t>,</w:t>
      </w:r>
      <w:r w:rsidRPr="007B73CD">
        <w:rPr>
          <w:rFonts w:eastAsia="Times New Roman"/>
          <w:lang w:eastAsia="en-CA"/>
        </w:rPr>
        <w:t xml:space="preserve"> </w:t>
      </w:r>
      <w:r w:rsidR="006A05C8" w:rsidRPr="007B73CD">
        <w:rPr>
          <w:rFonts w:eastAsia="Times New Roman"/>
          <w:lang w:eastAsia="en-CA"/>
        </w:rPr>
        <w:t xml:space="preserve">Canada and British Columbia </w:t>
      </w:r>
      <w:r w:rsidR="469135D2" w:rsidRPr="0EE9380E">
        <w:rPr>
          <w:rFonts w:eastAsia="Times New Roman"/>
          <w:lang w:eastAsia="en-CA"/>
        </w:rPr>
        <w:t xml:space="preserve">will </w:t>
      </w:r>
      <w:r w:rsidR="006A05C8" w:rsidRPr="007B73CD">
        <w:rPr>
          <w:rFonts w:eastAsia="Times New Roman"/>
          <w:lang w:eastAsia="en-CA"/>
        </w:rPr>
        <w:t>recogniz</w:t>
      </w:r>
      <w:r w:rsidRPr="007B73CD">
        <w:rPr>
          <w:rFonts w:eastAsia="Times New Roman"/>
          <w:lang w:eastAsia="en-CA"/>
        </w:rPr>
        <w:t>e</w:t>
      </w:r>
      <w:r w:rsidR="006A05C8" w:rsidRPr="007B73CD">
        <w:rPr>
          <w:rFonts w:eastAsia="Times New Roman"/>
          <w:lang w:eastAsia="en-CA"/>
        </w:rPr>
        <w:t xml:space="preserve"> the nature of Gitanyow hereditary governance: rights and title are held by each </w:t>
      </w:r>
      <w:proofErr w:type="spellStart"/>
      <w:r w:rsidR="006A05C8" w:rsidRPr="007B73CD">
        <w:rPr>
          <w:rFonts w:eastAsia="Times New Roman"/>
          <w:lang w:eastAsia="en-CA"/>
        </w:rPr>
        <w:t>Wilp</w:t>
      </w:r>
      <w:proofErr w:type="spellEnd"/>
      <w:r w:rsidR="006A05C8" w:rsidRPr="007B73CD">
        <w:rPr>
          <w:rFonts w:eastAsia="Times New Roman"/>
          <w:lang w:eastAsia="en-CA"/>
        </w:rPr>
        <w:t xml:space="preserve"> (the eight traditional social, political, and governing units of the Gitanyow Nation) </w:t>
      </w:r>
      <w:r w:rsidR="66624152" w:rsidRPr="0EE9380E">
        <w:rPr>
          <w:rFonts w:eastAsia="Times New Roman"/>
          <w:lang w:eastAsia="en-CA"/>
        </w:rPr>
        <w:t xml:space="preserve">and </w:t>
      </w:r>
      <w:r w:rsidR="006A05C8" w:rsidRPr="007B73CD">
        <w:rPr>
          <w:rFonts w:eastAsia="Times New Roman"/>
          <w:lang w:eastAsia="en-CA"/>
        </w:rPr>
        <w:t xml:space="preserve">in that </w:t>
      </w:r>
      <w:proofErr w:type="spellStart"/>
      <w:r w:rsidR="006A05C8" w:rsidRPr="007B73CD">
        <w:rPr>
          <w:rFonts w:eastAsia="Times New Roman"/>
          <w:lang w:eastAsia="en-CA"/>
        </w:rPr>
        <w:t>Wilp’s</w:t>
      </w:r>
      <w:proofErr w:type="spellEnd"/>
      <w:r w:rsidR="006A05C8" w:rsidRPr="007B73CD">
        <w:rPr>
          <w:rFonts w:eastAsia="Times New Roman"/>
          <w:lang w:eastAsia="en-CA"/>
        </w:rPr>
        <w:t xml:space="preserve"> Lax yip (territory) each </w:t>
      </w:r>
      <w:proofErr w:type="spellStart"/>
      <w:r w:rsidR="006A05C8" w:rsidRPr="007B73CD">
        <w:rPr>
          <w:rFonts w:eastAsia="Times New Roman"/>
          <w:lang w:eastAsia="en-CA"/>
        </w:rPr>
        <w:t>Wilp</w:t>
      </w:r>
      <w:proofErr w:type="spellEnd"/>
      <w:r w:rsidR="006A05C8" w:rsidRPr="007B73CD">
        <w:rPr>
          <w:rFonts w:eastAsia="Times New Roman"/>
          <w:lang w:eastAsia="en-CA"/>
        </w:rPr>
        <w:t xml:space="preserve">, through its </w:t>
      </w:r>
      <w:proofErr w:type="spellStart"/>
      <w:r w:rsidR="006A05C8" w:rsidRPr="007B73CD">
        <w:rPr>
          <w:rFonts w:eastAsia="Times New Roman"/>
          <w:lang w:eastAsia="en-CA"/>
        </w:rPr>
        <w:t>Simogyet</w:t>
      </w:r>
      <w:proofErr w:type="spellEnd"/>
      <w:r w:rsidR="006A05C8" w:rsidRPr="007B73CD">
        <w:rPr>
          <w:rFonts w:eastAsia="Times New Roman"/>
          <w:lang w:eastAsia="en-CA"/>
        </w:rPr>
        <w:t xml:space="preserve"> (hereditary Chief), has authorities and responsibilities for that Lax yip in accordance with Gitanyow </w:t>
      </w:r>
      <w:proofErr w:type="spellStart"/>
      <w:r w:rsidR="006A05C8" w:rsidRPr="007B73CD">
        <w:rPr>
          <w:rFonts w:eastAsia="Times New Roman"/>
          <w:lang w:eastAsia="en-CA"/>
        </w:rPr>
        <w:t>Ayookxw</w:t>
      </w:r>
      <w:proofErr w:type="spellEnd"/>
      <w:r w:rsidR="006A05C8" w:rsidRPr="007B73CD">
        <w:rPr>
          <w:rFonts w:eastAsia="Times New Roman"/>
          <w:lang w:eastAsia="en-CA"/>
        </w:rPr>
        <w:t xml:space="preserve"> (law). </w:t>
      </w:r>
      <w:r w:rsidRPr="0EE9380E">
        <w:rPr>
          <w:rFonts w:eastAsia="Times New Roman"/>
          <w:lang w:eastAsia="en-CA"/>
        </w:rPr>
        <w:t xml:space="preserve">The </w:t>
      </w:r>
      <w:r w:rsidR="5E7A829A" w:rsidRPr="0EE9380E">
        <w:rPr>
          <w:rFonts w:eastAsia="Times New Roman"/>
          <w:lang w:eastAsia="en-CA"/>
        </w:rPr>
        <w:t>State governments of Canada and British Columbia and Gitanyow</w:t>
      </w:r>
      <w:r w:rsidRPr="007B73CD">
        <w:rPr>
          <w:rFonts w:eastAsia="Times New Roman"/>
          <w:lang w:eastAsia="en-CA"/>
        </w:rPr>
        <w:t xml:space="preserve"> have committed to key milestones to be reached within five years, including a future Gitanyow Inherent Governance Agreement, </w:t>
      </w:r>
      <w:r w:rsidR="00E53DF2" w:rsidRPr="007B73CD">
        <w:rPr>
          <w:rFonts w:eastAsia="Times New Roman"/>
          <w:lang w:eastAsia="en-CA"/>
        </w:rPr>
        <w:t>which will detail h</w:t>
      </w:r>
      <w:r w:rsidRPr="007B73CD">
        <w:rPr>
          <w:rFonts w:eastAsia="Times New Roman"/>
          <w:lang w:eastAsia="en-CA"/>
        </w:rPr>
        <w:t>ow legal effect to Gitanyow hereditary governance will be recognized and affirmed</w:t>
      </w:r>
      <w:r w:rsidR="00E53DF2" w:rsidRPr="007B73CD">
        <w:rPr>
          <w:rFonts w:eastAsia="Times New Roman"/>
          <w:lang w:eastAsia="en-CA"/>
        </w:rPr>
        <w:t>.</w:t>
      </w:r>
    </w:p>
    <w:p w14:paraId="19A88E95" w14:textId="77777777" w:rsidR="00904D09" w:rsidRDefault="00904D09" w:rsidP="00FC6571">
      <w:pPr>
        <w:pStyle w:val="NoSpacing"/>
        <w:rPr>
          <w:rFonts w:eastAsia="Times New Roman"/>
          <w:lang w:eastAsia="en-CA"/>
        </w:rPr>
      </w:pPr>
    </w:p>
    <w:p w14:paraId="7C42135E" w14:textId="5AAF45D0" w:rsidR="003B2827" w:rsidRDefault="57E71049" w:rsidP="00FC6571">
      <w:pPr>
        <w:pStyle w:val="NoSpacing"/>
        <w:rPr>
          <w:rFonts w:eastAsia="Times New Roman"/>
          <w:lang w:eastAsia="en-CA"/>
        </w:rPr>
      </w:pPr>
      <w:r w:rsidRPr="427D7342">
        <w:rPr>
          <w:rFonts w:eastAsia="Times New Roman"/>
          <w:lang w:eastAsia="en-CA"/>
        </w:rPr>
        <w:t>As well,</w:t>
      </w:r>
      <w:r w:rsidR="00E53DF2" w:rsidRPr="007B73CD">
        <w:rPr>
          <w:rFonts w:eastAsia="Times New Roman"/>
          <w:lang w:eastAsia="en-CA"/>
        </w:rPr>
        <w:t xml:space="preserve"> in August 2021, the Council of the Haida Nation and </w:t>
      </w:r>
      <w:r w:rsidR="6F0C06F5" w:rsidRPr="007B73CD">
        <w:rPr>
          <w:rFonts w:eastAsia="Times New Roman"/>
          <w:lang w:eastAsia="en-CA"/>
        </w:rPr>
        <w:t>the State governments</w:t>
      </w:r>
      <w:r w:rsidR="00E53DF2" w:rsidRPr="007B73CD">
        <w:rPr>
          <w:rFonts w:eastAsia="Times New Roman"/>
          <w:lang w:eastAsia="en-CA"/>
        </w:rPr>
        <w:t xml:space="preserve"> Canada and British Columbia signed the </w:t>
      </w:r>
      <w:proofErr w:type="spellStart"/>
      <w:r w:rsidR="00E53DF2" w:rsidRPr="008173E2">
        <w:rPr>
          <w:rFonts w:eastAsia="Times New Roman"/>
          <w:i/>
          <w:iCs/>
          <w:lang w:eastAsia="en-CA"/>
        </w:rPr>
        <w:t>GayG̱ahlda</w:t>
      </w:r>
      <w:proofErr w:type="spellEnd"/>
      <w:r w:rsidR="00E53DF2" w:rsidRPr="008173E2">
        <w:rPr>
          <w:rFonts w:eastAsia="Times New Roman"/>
          <w:i/>
          <w:iCs/>
          <w:lang w:eastAsia="en-CA"/>
        </w:rPr>
        <w:t xml:space="preserve"> “Changing Tide” </w:t>
      </w:r>
      <w:r w:rsidR="00E90FB4" w:rsidRPr="008173E2">
        <w:rPr>
          <w:rFonts w:eastAsia="Times New Roman"/>
          <w:i/>
          <w:iCs/>
          <w:lang w:eastAsia="en-CA"/>
        </w:rPr>
        <w:t>F</w:t>
      </w:r>
      <w:r w:rsidR="00E53DF2" w:rsidRPr="008173E2">
        <w:rPr>
          <w:rFonts w:eastAsia="Times New Roman"/>
          <w:i/>
          <w:iCs/>
          <w:lang w:eastAsia="en-CA"/>
        </w:rPr>
        <w:t xml:space="preserve">ramework </w:t>
      </w:r>
      <w:r w:rsidR="00E90FB4" w:rsidRPr="008173E2">
        <w:rPr>
          <w:rFonts w:eastAsia="Times New Roman"/>
          <w:i/>
          <w:iCs/>
          <w:lang w:eastAsia="en-CA"/>
        </w:rPr>
        <w:t>A</w:t>
      </w:r>
      <w:r w:rsidR="00E53DF2" w:rsidRPr="008173E2">
        <w:rPr>
          <w:rFonts w:eastAsia="Times New Roman"/>
          <w:i/>
          <w:iCs/>
          <w:lang w:eastAsia="en-CA"/>
        </w:rPr>
        <w:t>greement</w:t>
      </w:r>
      <w:r w:rsidR="004732A9" w:rsidRPr="007B73CD">
        <w:rPr>
          <w:rFonts w:eastAsia="Times New Roman"/>
          <w:lang w:eastAsia="en-CA"/>
        </w:rPr>
        <w:t>. The Agreement sets out the process for the</w:t>
      </w:r>
      <w:r w:rsidR="56739AA1" w:rsidRPr="213F4830">
        <w:rPr>
          <w:rFonts w:eastAsia="Times New Roman"/>
          <w:lang w:eastAsia="en-CA"/>
        </w:rPr>
        <w:t xml:space="preserve"> State governments of Canada and British Columbia and</w:t>
      </w:r>
      <w:r w:rsidR="56739AA1" w:rsidRPr="007B73CD">
        <w:rPr>
          <w:rFonts w:eastAsia="Times New Roman"/>
          <w:lang w:eastAsia="en-CA"/>
        </w:rPr>
        <w:t xml:space="preserve"> </w:t>
      </w:r>
      <w:r w:rsidR="56739AA1" w:rsidRPr="007B73CD">
        <w:rPr>
          <w:rFonts w:eastAsia="Times New Roman"/>
          <w:lang w:eastAsia="en-CA"/>
        </w:rPr>
        <w:lastRenderedPageBreak/>
        <w:t>Haida</w:t>
      </w:r>
      <w:r w:rsidR="004732A9" w:rsidRPr="007B73CD">
        <w:rPr>
          <w:rFonts w:eastAsia="Times New Roman"/>
          <w:lang w:eastAsia="en-CA"/>
        </w:rPr>
        <w:t xml:space="preserve"> to embark on negotiations that, among other things, will reconcile pre-existing Haida sovereignty with assumed Crown sovereignty</w:t>
      </w:r>
      <w:r w:rsidR="0E97185C" w:rsidRPr="007B73CD">
        <w:rPr>
          <w:rFonts w:eastAsia="Times New Roman"/>
          <w:lang w:eastAsia="en-CA"/>
        </w:rPr>
        <w:t xml:space="preserve">. </w:t>
      </w:r>
      <w:r w:rsidR="004732A9" w:rsidRPr="007B73CD">
        <w:rPr>
          <w:rFonts w:eastAsia="Times New Roman"/>
          <w:lang w:eastAsia="en-CA"/>
        </w:rPr>
        <w:t xml:space="preserve"> </w:t>
      </w:r>
      <w:r w:rsidR="4A3B6EDC" w:rsidRPr="007B73CD">
        <w:rPr>
          <w:rFonts w:eastAsia="Times New Roman"/>
          <w:lang w:eastAsia="en-CA"/>
        </w:rPr>
        <w:t xml:space="preserve">This Framework </w:t>
      </w:r>
      <w:r w:rsidR="00EA7670" w:rsidRPr="007B73CD">
        <w:rPr>
          <w:rFonts w:eastAsia="Times New Roman"/>
          <w:lang w:eastAsia="en-CA"/>
        </w:rPr>
        <w:t>Agreement will</w:t>
      </w:r>
      <w:r w:rsidR="004732A9" w:rsidRPr="007B73CD">
        <w:rPr>
          <w:rFonts w:eastAsia="Times New Roman"/>
          <w:lang w:eastAsia="en-CA"/>
        </w:rPr>
        <w:t xml:space="preserve"> be capable of evolving over time based on the co-existence of Crown and Haida Nation governments and the ongoing process of reconciliation</w:t>
      </w:r>
      <w:r w:rsidR="00D07541" w:rsidRPr="007B73CD">
        <w:rPr>
          <w:rFonts w:eastAsia="Times New Roman"/>
          <w:lang w:eastAsia="en-CA"/>
        </w:rPr>
        <w:t>. N</w:t>
      </w:r>
      <w:r w:rsidR="00E53DF2" w:rsidRPr="007B73CD">
        <w:rPr>
          <w:rFonts w:eastAsia="Times New Roman"/>
          <w:lang w:eastAsia="en-CA"/>
        </w:rPr>
        <w:t xml:space="preserve">egotiations </w:t>
      </w:r>
      <w:r w:rsidR="65CF8949" w:rsidRPr="007B73CD">
        <w:rPr>
          <w:rFonts w:eastAsia="Times New Roman"/>
          <w:lang w:eastAsia="en-CA"/>
        </w:rPr>
        <w:t>are</w:t>
      </w:r>
      <w:r w:rsidR="00E53DF2" w:rsidRPr="007B73CD">
        <w:rPr>
          <w:rFonts w:eastAsia="Times New Roman"/>
          <w:lang w:eastAsia="en-CA"/>
        </w:rPr>
        <w:t xml:space="preserve"> </w:t>
      </w:r>
      <w:r w:rsidR="3199999B" w:rsidRPr="007B73CD">
        <w:rPr>
          <w:rFonts w:eastAsia="Times New Roman"/>
          <w:lang w:eastAsia="en-CA"/>
        </w:rPr>
        <w:t>established</w:t>
      </w:r>
      <w:r w:rsidR="00D07541" w:rsidRPr="007B73CD">
        <w:rPr>
          <w:rFonts w:eastAsia="Times New Roman"/>
          <w:lang w:eastAsia="en-CA"/>
        </w:rPr>
        <w:t xml:space="preserve"> on the understanding that Haida inherent </w:t>
      </w:r>
      <w:r w:rsidR="4983875D" w:rsidRPr="007B73CD">
        <w:rPr>
          <w:rFonts w:eastAsia="Times New Roman"/>
          <w:lang w:eastAsia="en-CA"/>
        </w:rPr>
        <w:t>title</w:t>
      </w:r>
      <w:r w:rsidR="00D07541" w:rsidRPr="007B73CD">
        <w:rPr>
          <w:rFonts w:eastAsia="Times New Roman"/>
          <w:lang w:eastAsia="en-CA"/>
        </w:rPr>
        <w:t xml:space="preserve"> exists, rather than having to be proven, which was a longstanding tactic of </w:t>
      </w:r>
      <w:r w:rsidR="2DB0CEF5" w:rsidRPr="007B73CD">
        <w:rPr>
          <w:rFonts w:eastAsia="Times New Roman"/>
          <w:lang w:eastAsia="en-CA"/>
        </w:rPr>
        <w:t xml:space="preserve">both </w:t>
      </w:r>
      <w:r w:rsidR="00D07541" w:rsidRPr="007B73CD">
        <w:rPr>
          <w:rFonts w:eastAsia="Times New Roman"/>
          <w:lang w:eastAsia="en-CA"/>
        </w:rPr>
        <w:t xml:space="preserve">States. </w:t>
      </w:r>
      <w:r w:rsidR="686B370D" w:rsidRPr="007B73CD">
        <w:rPr>
          <w:rFonts w:eastAsia="Times New Roman"/>
          <w:lang w:eastAsia="en-CA"/>
        </w:rPr>
        <w:t>The State governments of</w:t>
      </w:r>
      <w:r w:rsidR="00F65BF0" w:rsidRPr="007B73CD">
        <w:rPr>
          <w:rFonts w:eastAsia="Times New Roman"/>
          <w:lang w:eastAsia="en-CA"/>
        </w:rPr>
        <w:t xml:space="preserve"> Canada and British Columbia agree to legislate recognition of the inherent rights of governance and </w:t>
      </w:r>
      <w:r w:rsidR="00C436FA" w:rsidRPr="007B73CD">
        <w:rPr>
          <w:rFonts w:eastAsia="Times New Roman"/>
          <w:lang w:eastAsia="en-CA"/>
        </w:rPr>
        <w:t>self-determination</w:t>
      </w:r>
      <w:r w:rsidR="6C96FF69" w:rsidRPr="007B73CD">
        <w:rPr>
          <w:rFonts w:eastAsia="Times New Roman"/>
          <w:lang w:eastAsia="en-CA"/>
        </w:rPr>
        <w:t xml:space="preserve"> of the </w:t>
      </w:r>
      <w:r w:rsidR="4FF9EC1E" w:rsidRPr="007B73CD">
        <w:rPr>
          <w:rFonts w:eastAsia="Times New Roman"/>
          <w:lang w:eastAsia="en-CA"/>
        </w:rPr>
        <w:t xml:space="preserve">Council of the </w:t>
      </w:r>
      <w:r w:rsidR="6C96FF69" w:rsidRPr="007B73CD">
        <w:rPr>
          <w:rFonts w:eastAsia="Times New Roman"/>
          <w:lang w:eastAsia="en-CA"/>
        </w:rPr>
        <w:t>Haida Nation</w:t>
      </w:r>
      <w:r w:rsidR="00D07541" w:rsidRPr="427D7342">
        <w:rPr>
          <w:rStyle w:val="FootnoteReference"/>
          <w:rFonts w:eastAsia="Times New Roman" w:cs="Arial"/>
          <w:lang w:eastAsia="en-CA"/>
        </w:rPr>
        <w:footnoteReference w:id="6"/>
      </w:r>
      <w:r w:rsidR="00D07541" w:rsidRPr="213F4830">
        <w:rPr>
          <w:lang w:eastAsia="en-CA"/>
        </w:rPr>
        <w:t>￼</w:t>
      </w:r>
      <w:r w:rsidR="00D07541" w:rsidRPr="213F4830">
        <w:rPr>
          <w:rFonts w:eastAsia="Times New Roman"/>
          <w:lang w:eastAsia="en-CA"/>
        </w:rPr>
        <w:t xml:space="preserve"> </w:t>
      </w:r>
    </w:p>
    <w:p w14:paraId="7C45CCA6" w14:textId="77777777" w:rsidR="003B2827" w:rsidRDefault="003B2827" w:rsidP="00FC6571">
      <w:pPr>
        <w:pStyle w:val="NoSpacing"/>
        <w:rPr>
          <w:rFonts w:eastAsia="Times New Roman"/>
          <w:lang w:eastAsia="en-CA"/>
        </w:rPr>
      </w:pPr>
    </w:p>
    <w:p w14:paraId="7228BC7D" w14:textId="1060F18A" w:rsidR="00B4299C" w:rsidRPr="007B73CD" w:rsidRDefault="00EE043E" w:rsidP="00FC6571">
      <w:pPr>
        <w:pStyle w:val="NoSpacing"/>
        <w:rPr>
          <w:rFonts w:eastAsia="Times New Roman"/>
          <w:lang w:eastAsia="en-CA"/>
        </w:rPr>
      </w:pPr>
      <w:r w:rsidRPr="007B73CD">
        <w:rPr>
          <w:rFonts w:eastAsia="Times New Roman"/>
          <w:lang w:eastAsia="en-CA"/>
        </w:rPr>
        <w:t>Two years later</w:t>
      </w:r>
      <w:r w:rsidR="003E02E2">
        <w:rPr>
          <w:rFonts w:eastAsia="Times New Roman"/>
          <w:lang w:eastAsia="en-CA"/>
        </w:rPr>
        <w:t xml:space="preserve"> in 2023</w:t>
      </w:r>
      <w:r w:rsidRPr="007B73CD">
        <w:rPr>
          <w:rFonts w:eastAsia="Times New Roman"/>
          <w:lang w:eastAsia="en-CA"/>
        </w:rPr>
        <w:t xml:space="preserve">, the </w:t>
      </w:r>
      <w:r w:rsidRPr="007B73CD">
        <w:rPr>
          <w:rFonts w:eastAsia="Times New Roman"/>
          <w:i/>
          <w:iCs/>
          <w:lang w:eastAsia="en-CA"/>
        </w:rPr>
        <w:t>Haida Nation Recognition Act</w:t>
      </w:r>
      <w:r w:rsidRPr="007B73CD">
        <w:rPr>
          <w:rFonts w:eastAsia="Times New Roman"/>
          <w:lang w:eastAsia="en-CA"/>
        </w:rPr>
        <w:t xml:space="preserve"> was enacted by the government of British Columbia, and </w:t>
      </w:r>
      <w:r w:rsidR="00B27DFE" w:rsidRPr="007B73CD">
        <w:t>Canada and Haida Nation signed t</w:t>
      </w:r>
      <w:r w:rsidR="00B4299C" w:rsidRPr="007B73CD">
        <w:t>he </w:t>
      </w:r>
      <w:r w:rsidR="00B4299C" w:rsidRPr="007B73CD">
        <w:rPr>
          <w:rFonts w:eastAsia="Times New Roman"/>
          <w:i/>
          <w:iCs/>
        </w:rPr>
        <w:t>Nang K̲’</w:t>
      </w:r>
      <w:proofErr w:type="spellStart"/>
      <w:r w:rsidR="00B4299C" w:rsidRPr="007B73CD">
        <w:rPr>
          <w:rFonts w:eastAsia="Times New Roman"/>
          <w:i/>
          <w:iCs/>
        </w:rPr>
        <w:t>uula</w:t>
      </w:r>
      <w:proofErr w:type="spellEnd"/>
      <w:r w:rsidR="00B4299C" w:rsidRPr="007B73CD">
        <w:rPr>
          <w:rFonts w:eastAsia="Times New Roman"/>
          <w:i/>
          <w:iCs/>
        </w:rPr>
        <w:t xml:space="preserve"> • Nang K̲’</w:t>
      </w:r>
      <w:proofErr w:type="spellStart"/>
      <w:r w:rsidR="00B4299C" w:rsidRPr="007B73CD">
        <w:rPr>
          <w:rFonts w:eastAsia="Times New Roman"/>
          <w:i/>
          <w:iCs/>
        </w:rPr>
        <w:t>úulaas</w:t>
      </w:r>
      <w:proofErr w:type="spellEnd"/>
      <w:r w:rsidR="00B4299C" w:rsidRPr="007B73CD">
        <w:rPr>
          <w:rFonts w:eastAsia="Times New Roman"/>
          <w:i/>
          <w:iCs/>
        </w:rPr>
        <w:t xml:space="preserve"> Recognition Agreement</w:t>
      </w:r>
      <w:r w:rsidR="00B4299C" w:rsidRPr="007B73CD">
        <w:rPr>
          <w:rFonts w:eastAsia="Times New Roman"/>
          <w:lang w:eastAsia="en-CA"/>
        </w:rPr>
        <w:t xml:space="preserve"> formaliz</w:t>
      </w:r>
      <w:r w:rsidR="00B73C5B" w:rsidRPr="007B73CD">
        <w:rPr>
          <w:rFonts w:eastAsia="Times New Roman"/>
          <w:lang w:eastAsia="en-CA"/>
        </w:rPr>
        <w:t>ing</w:t>
      </w:r>
      <w:r w:rsidR="00B4299C" w:rsidRPr="007B73CD">
        <w:rPr>
          <w:rFonts w:eastAsia="Times New Roman"/>
          <w:lang w:eastAsia="en-CA"/>
        </w:rPr>
        <w:t xml:space="preserve"> the </w:t>
      </w:r>
      <w:r w:rsidR="00B73C5B" w:rsidRPr="007B73CD">
        <w:rPr>
          <w:rFonts w:eastAsia="Times New Roman"/>
          <w:lang w:eastAsia="en-CA"/>
        </w:rPr>
        <w:t xml:space="preserve">States </w:t>
      </w:r>
      <w:r w:rsidR="00B4299C" w:rsidRPr="007B73CD">
        <w:rPr>
          <w:rFonts w:eastAsia="Times New Roman"/>
          <w:lang w:eastAsia="en-CA"/>
        </w:rPr>
        <w:t xml:space="preserve">commitment to legally recognize the Council of the Haida Nation as the governing body of the Haida Nation through legislation, mirroring the </w:t>
      </w:r>
      <w:r w:rsidR="00B27DFE" w:rsidRPr="007B73CD">
        <w:rPr>
          <w:rFonts w:eastAsia="Times New Roman"/>
          <w:lang w:eastAsia="en-CA"/>
        </w:rPr>
        <w:t xml:space="preserve">BC </w:t>
      </w:r>
      <w:r w:rsidR="00B4299C" w:rsidRPr="007B73CD">
        <w:rPr>
          <w:rFonts w:eastAsia="Times New Roman"/>
          <w:i/>
          <w:iCs/>
          <w:lang w:eastAsia="en-CA"/>
        </w:rPr>
        <w:t>The Haida Nation Recognition Act.</w:t>
      </w:r>
      <w:r w:rsidR="00784929" w:rsidRPr="007B73CD">
        <w:rPr>
          <w:rFonts w:eastAsia="Times New Roman"/>
          <w:i/>
          <w:iCs/>
          <w:lang w:eastAsia="en-CA"/>
        </w:rPr>
        <w:t xml:space="preserve"> </w:t>
      </w:r>
      <w:r w:rsidR="00784929" w:rsidRPr="3C2335D3">
        <w:rPr>
          <w:rStyle w:val="FootnoteReference"/>
          <w:rFonts w:eastAsia="Times New Roman" w:cs="Arial"/>
          <w:i/>
          <w:lang w:eastAsia="en-CA"/>
        </w:rPr>
        <w:footnoteReference w:id="7"/>
      </w:r>
      <w:r w:rsidR="00B4299C" w:rsidRPr="007B73CD">
        <w:rPr>
          <w:rFonts w:eastAsia="Times New Roman"/>
          <w:i/>
          <w:iCs/>
          <w:lang w:eastAsia="en-CA"/>
        </w:rPr>
        <w:t> </w:t>
      </w:r>
    </w:p>
    <w:p w14:paraId="252A63FE" w14:textId="46D9F4F6" w:rsidR="33D3372F" w:rsidRDefault="33D3372F" w:rsidP="33D3372F">
      <w:pPr>
        <w:pStyle w:val="NoSpacing"/>
        <w:rPr>
          <w:rFonts w:eastAsia="Times New Roman"/>
          <w:i/>
          <w:iCs/>
          <w:lang w:eastAsia="en-CA"/>
        </w:rPr>
      </w:pPr>
    </w:p>
    <w:p w14:paraId="2B8E9F64" w14:textId="4B1B19EB" w:rsidR="33D3372F" w:rsidRDefault="3FE0778A" w:rsidP="33D3372F">
      <w:pPr>
        <w:pStyle w:val="NoSpacing"/>
        <w:rPr>
          <w:rFonts w:eastAsia="Times New Roman"/>
          <w:lang w:eastAsia="en-CA"/>
        </w:rPr>
      </w:pPr>
      <w:r w:rsidRPr="65F99BA3">
        <w:rPr>
          <w:rFonts w:eastAsia="Times New Roman"/>
          <w:lang w:eastAsia="en-CA"/>
        </w:rPr>
        <w:t xml:space="preserve">Currently there are three treaty negotiations that are nearing completion for comprehensive treaties with Indigenous </w:t>
      </w:r>
      <w:r w:rsidR="61808A2B" w:rsidRPr="65F99BA3">
        <w:rPr>
          <w:rFonts w:eastAsia="Times New Roman"/>
          <w:lang w:eastAsia="en-CA"/>
        </w:rPr>
        <w:t xml:space="preserve">nations that will </w:t>
      </w:r>
      <w:r w:rsidR="61808A2B" w:rsidRPr="68B72898">
        <w:rPr>
          <w:rFonts w:eastAsia="Times New Roman"/>
          <w:lang w:eastAsia="en-CA"/>
        </w:rPr>
        <w:t xml:space="preserve">include similar innovations for </w:t>
      </w:r>
      <w:r w:rsidR="1601C9BD" w:rsidRPr="27B75946">
        <w:rPr>
          <w:rFonts w:eastAsia="Times New Roman"/>
          <w:lang w:eastAsia="en-CA"/>
        </w:rPr>
        <w:t>I</w:t>
      </w:r>
      <w:r w:rsidR="61808A2B" w:rsidRPr="27B75946">
        <w:rPr>
          <w:rFonts w:eastAsia="Times New Roman"/>
          <w:lang w:eastAsia="en-CA"/>
        </w:rPr>
        <w:t xml:space="preserve">ndigenous </w:t>
      </w:r>
      <w:r w:rsidR="61808A2B" w:rsidRPr="68B72898">
        <w:rPr>
          <w:rFonts w:eastAsia="Times New Roman"/>
          <w:lang w:eastAsia="en-CA"/>
        </w:rPr>
        <w:t xml:space="preserve">governance, the </w:t>
      </w:r>
      <w:r w:rsidR="61808A2B" w:rsidRPr="310DEF85">
        <w:rPr>
          <w:rFonts w:eastAsia="Times New Roman"/>
          <w:lang w:eastAsia="en-CA"/>
        </w:rPr>
        <w:t>recognition</w:t>
      </w:r>
      <w:r w:rsidR="61808A2B" w:rsidRPr="68B72898">
        <w:rPr>
          <w:rFonts w:eastAsia="Times New Roman"/>
          <w:lang w:eastAsia="en-CA"/>
        </w:rPr>
        <w:t xml:space="preserve"> and </w:t>
      </w:r>
      <w:r w:rsidR="0F64F33F" w:rsidRPr="27B75946">
        <w:rPr>
          <w:rFonts w:eastAsia="Times New Roman"/>
          <w:lang w:eastAsia="en-CA"/>
        </w:rPr>
        <w:t>protection</w:t>
      </w:r>
      <w:r w:rsidR="0F64F33F" w:rsidRPr="310DEF85">
        <w:rPr>
          <w:rFonts w:eastAsia="Times New Roman"/>
          <w:lang w:eastAsia="en-CA"/>
        </w:rPr>
        <w:t xml:space="preserve"> of </w:t>
      </w:r>
      <w:r w:rsidR="0F64F33F" w:rsidRPr="27B75946">
        <w:rPr>
          <w:rFonts w:eastAsia="Times New Roman"/>
          <w:lang w:eastAsia="en-CA"/>
        </w:rPr>
        <w:t xml:space="preserve">indigenous </w:t>
      </w:r>
      <w:r w:rsidR="0F64F33F" w:rsidRPr="310DEF85">
        <w:rPr>
          <w:rFonts w:eastAsia="Times New Roman"/>
          <w:lang w:eastAsia="en-CA"/>
        </w:rPr>
        <w:t>rights</w:t>
      </w:r>
      <w:r w:rsidR="0F64F33F" w:rsidRPr="27B75946">
        <w:rPr>
          <w:rFonts w:eastAsia="Times New Roman"/>
          <w:lang w:eastAsia="en-CA"/>
        </w:rPr>
        <w:t xml:space="preserve">, and the inclusion </w:t>
      </w:r>
      <w:r w:rsidR="7B2EB344" w:rsidRPr="27B75946">
        <w:rPr>
          <w:rFonts w:eastAsia="Times New Roman"/>
          <w:lang w:eastAsia="en-CA"/>
        </w:rPr>
        <w:t xml:space="preserve">of </w:t>
      </w:r>
      <w:r w:rsidR="0F64F33F" w:rsidRPr="27B75946">
        <w:rPr>
          <w:rFonts w:eastAsia="Times New Roman"/>
          <w:lang w:eastAsia="en-CA"/>
        </w:rPr>
        <w:t>the UN Declaration as a governing interpretive tool</w:t>
      </w:r>
      <w:r w:rsidR="46F108E1" w:rsidRPr="27B75946">
        <w:rPr>
          <w:rFonts w:eastAsia="Times New Roman"/>
          <w:lang w:eastAsia="en-CA"/>
        </w:rPr>
        <w:t>.</w:t>
      </w:r>
      <w:r w:rsidR="0F64F33F" w:rsidRPr="310DEF85">
        <w:rPr>
          <w:rFonts w:eastAsia="Times New Roman"/>
          <w:lang w:eastAsia="en-CA"/>
        </w:rPr>
        <w:t xml:space="preserve"> </w:t>
      </w:r>
    </w:p>
    <w:p w14:paraId="44D26AAD" w14:textId="1FD3ECA4" w:rsidR="00EE043E" w:rsidRPr="007B73CD" w:rsidRDefault="00EE043E" w:rsidP="00FC6571">
      <w:pPr>
        <w:pStyle w:val="NoSpacing"/>
        <w:rPr>
          <w:rFonts w:eastAsia="Times New Roman"/>
          <w:lang w:eastAsia="en-CA"/>
        </w:rPr>
      </w:pPr>
    </w:p>
    <w:p w14:paraId="7F516E84" w14:textId="77777777" w:rsidR="00E53DF2" w:rsidRPr="007B73CD" w:rsidRDefault="00E53DF2" w:rsidP="00FC6571">
      <w:pPr>
        <w:pStyle w:val="NoSpacing"/>
        <w:rPr>
          <w:rFonts w:eastAsia="Times New Roman"/>
          <w:lang w:eastAsia="en-CA"/>
        </w:rPr>
      </w:pPr>
    </w:p>
    <w:p w14:paraId="2E1EFE47" w14:textId="6004C305" w:rsidR="00ED17CC" w:rsidRPr="007B73CD" w:rsidRDefault="003C28ED" w:rsidP="00FC6571">
      <w:pPr>
        <w:pStyle w:val="NoSpacing"/>
        <w:rPr>
          <w:b/>
          <w:bCs/>
        </w:rPr>
      </w:pPr>
      <w:r w:rsidRPr="007B73CD">
        <w:rPr>
          <w:b/>
          <w:bCs/>
        </w:rPr>
        <w:t xml:space="preserve">EVOLUTION OF LAWS AND CONSTITUTIONAL REFORM FOR THE PROTECTION AND PROMOTION OF INDIGENOUS PEOPLES RIGHTS </w:t>
      </w:r>
    </w:p>
    <w:p w14:paraId="3334880D" w14:textId="77777777" w:rsidR="00904D09" w:rsidRDefault="00904D09" w:rsidP="00FC6571">
      <w:pPr>
        <w:pStyle w:val="NoSpacing"/>
        <w:rPr>
          <w:rFonts w:eastAsia="Times New Roman"/>
          <w:lang w:eastAsia="en-CA"/>
        </w:rPr>
      </w:pPr>
    </w:p>
    <w:p w14:paraId="7B5E6AE7" w14:textId="0BB88932" w:rsidR="001E6200" w:rsidRPr="007B73CD" w:rsidRDefault="001E6200" w:rsidP="00FC6571">
      <w:pPr>
        <w:pStyle w:val="NoSpacing"/>
        <w:rPr>
          <w:rFonts w:eastAsia="Times New Roman"/>
          <w:lang w:eastAsia="en-CA"/>
        </w:rPr>
      </w:pPr>
      <w:r w:rsidRPr="007B73CD">
        <w:rPr>
          <w:rFonts w:eastAsia="Times New Roman"/>
          <w:lang w:eastAsia="en-CA"/>
        </w:rPr>
        <w:t>The BC Treaty Commission does not intend to identify all the domestic specific legal complexities in each case, but rather will identify the</w:t>
      </w:r>
      <w:r w:rsidR="00845BC5">
        <w:rPr>
          <w:rFonts w:eastAsia="Times New Roman"/>
          <w:lang w:eastAsia="en-CA"/>
        </w:rPr>
        <w:t xml:space="preserve"> substantive</w:t>
      </w:r>
      <w:r w:rsidRPr="007B73CD">
        <w:rPr>
          <w:rFonts w:eastAsia="Times New Roman"/>
          <w:lang w:eastAsia="en-CA"/>
        </w:rPr>
        <w:t xml:space="preserve"> efforts taken to achieve the end</w:t>
      </w:r>
      <w:r w:rsidR="00270C51">
        <w:rPr>
          <w:rFonts w:eastAsia="Times New Roman"/>
          <w:lang w:eastAsia="en-CA"/>
        </w:rPr>
        <w:t>s</w:t>
      </w:r>
      <w:r w:rsidRPr="007B73CD">
        <w:rPr>
          <w:rFonts w:eastAsia="Times New Roman"/>
          <w:lang w:eastAsia="en-CA"/>
        </w:rPr>
        <w:t xml:space="preserve"> of the UN Declaration for the purposes of this study.</w:t>
      </w:r>
    </w:p>
    <w:p w14:paraId="12217BA6" w14:textId="77777777" w:rsidR="00904D09" w:rsidRDefault="00904D09" w:rsidP="00FC6571">
      <w:pPr>
        <w:pStyle w:val="NoSpacing"/>
        <w:rPr>
          <w:b/>
          <w:bCs/>
          <w:i/>
          <w:iCs/>
        </w:rPr>
      </w:pPr>
    </w:p>
    <w:p w14:paraId="05EA3A9D" w14:textId="015417CB" w:rsidR="003C28ED" w:rsidRPr="007B73CD" w:rsidRDefault="003C28ED" w:rsidP="00FC6571">
      <w:pPr>
        <w:pStyle w:val="NoSpacing"/>
        <w:rPr>
          <w:b/>
          <w:bCs/>
          <w:i/>
          <w:iCs/>
        </w:rPr>
      </w:pPr>
      <w:r w:rsidRPr="007B73CD">
        <w:rPr>
          <w:b/>
          <w:bCs/>
          <w:i/>
          <w:iCs/>
        </w:rPr>
        <w:t>Right to self-government protected by the Constitution and the UN Declaration</w:t>
      </w:r>
    </w:p>
    <w:p w14:paraId="461A800D" w14:textId="77777777" w:rsidR="00904D09" w:rsidRDefault="00904D09" w:rsidP="00FC6571">
      <w:pPr>
        <w:pStyle w:val="NoSpacing"/>
      </w:pPr>
    </w:p>
    <w:p w14:paraId="04E99FA3" w14:textId="38A6854B" w:rsidR="00ED17CC" w:rsidRPr="007B73CD" w:rsidRDefault="00ED17CC" w:rsidP="00FC6571">
      <w:pPr>
        <w:pStyle w:val="NoSpacing"/>
      </w:pPr>
      <w:r w:rsidRPr="007B73CD">
        <w:t xml:space="preserve">State courts continue to be called upon to interpret </w:t>
      </w:r>
      <w:r w:rsidR="00082ACA" w:rsidRPr="007B73CD">
        <w:t xml:space="preserve">Indigenous </w:t>
      </w:r>
      <w:r w:rsidR="00A15521" w:rsidRPr="007B73CD">
        <w:t xml:space="preserve">Peoples </w:t>
      </w:r>
      <w:r w:rsidR="00082ACA" w:rsidRPr="007B73CD">
        <w:t xml:space="preserve">rights </w:t>
      </w:r>
      <w:r w:rsidR="006071B2" w:rsidRPr="007B73CD">
        <w:t>wh</w:t>
      </w:r>
      <w:r w:rsidR="001F7999" w:rsidRPr="007B73CD">
        <w:t xml:space="preserve">erein the UN Declaration can serve as a foundational </w:t>
      </w:r>
      <w:r w:rsidR="006D7C27" w:rsidRPr="007B73CD">
        <w:t>instrument</w:t>
      </w:r>
      <w:r w:rsidR="001F7999" w:rsidRPr="007B73CD">
        <w:t xml:space="preserve"> </w:t>
      </w:r>
      <w:r w:rsidR="49E78D8B">
        <w:t xml:space="preserve">and interpretive tool </w:t>
      </w:r>
      <w:r w:rsidR="001F7999" w:rsidRPr="007B73CD">
        <w:t xml:space="preserve">to assist </w:t>
      </w:r>
      <w:r w:rsidR="00885533" w:rsidRPr="007B73CD">
        <w:t>with</w:t>
      </w:r>
      <w:r w:rsidR="006071B2" w:rsidRPr="007B73CD">
        <w:t xml:space="preserve"> </w:t>
      </w:r>
      <w:r w:rsidR="00C350DB" w:rsidRPr="007B73CD">
        <w:t>progressive development</w:t>
      </w:r>
      <w:r w:rsidR="006071B2" w:rsidRPr="007B73CD">
        <w:t xml:space="preserve"> of </w:t>
      </w:r>
      <w:r w:rsidR="0069206E" w:rsidRPr="007B73CD">
        <w:t xml:space="preserve">domestic </w:t>
      </w:r>
      <w:r w:rsidR="001B6996" w:rsidRPr="007B73CD">
        <w:t xml:space="preserve">legislation, </w:t>
      </w:r>
      <w:r w:rsidR="006071B2" w:rsidRPr="007B73CD">
        <w:t>laws and constitutional reform</w:t>
      </w:r>
      <w:r w:rsidR="00082ACA" w:rsidRPr="007B73CD">
        <w:t>.</w:t>
      </w:r>
      <w:r w:rsidR="001F7999" w:rsidRPr="007B73CD">
        <w:t xml:space="preserve"> </w:t>
      </w:r>
    </w:p>
    <w:p w14:paraId="3E9E8080" w14:textId="77777777" w:rsidR="00904D09" w:rsidRDefault="00904D09" w:rsidP="00FC6571">
      <w:pPr>
        <w:pStyle w:val="NoSpacing"/>
      </w:pPr>
    </w:p>
    <w:p w14:paraId="23E5E72E" w14:textId="77777777" w:rsidR="00F42718" w:rsidRDefault="00A15521" w:rsidP="00FC6571">
      <w:pPr>
        <w:pStyle w:val="NoSpacing"/>
      </w:pPr>
      <w:r w:rsidRPr="007B73CD">
        <w:t xml:space="preserve">In Canada, there </w:t>
      </w:r>
      <w:r w:rsidR="00650DE6">
        <w:t>are</w:t>
      </w:r>
      <w:r w:rsidR="008B4FA0">
        <w:t xml:space="preserve"> </w:t>
      </w:r>
      <w:r w:rsidRPr="007B73CD">
        <w:t>landmark cases</w:t>
      </w:r>
      <w:r w:rsidR="00313E3B">
        <w:t xml:space="preserve"> related to Indigenous rights and the UN Declaration</w:t>
      </w:r>
      <w:r w:rsidRPr="007B73CD">
        <w:t xml:space="preserve"> before</w:t>
      </w:r>
      <w:r w:rsidR="008B4FA0">
        <w:t xml:space="preserve"> the Courts. </w:t>
      </w:r>
      <w:r w:rsidR="00D05F4A">
        <w:t>In 2022,</w:t>
      </w:r>
      <w:r w:rsidR="008B4FA0" w:rsidRPr="008B4FA0">
        <w:t xml:space="preserve"> the Quebec Court of Appeal made </w:t>
      </w:r>
      <w:r w:rsidR="00D05F4A">
        <w:t xml:space="preserve">a </w:t>
      </w:r>
      <w:r w:rsidR="008B4FA0" w:rsidRPr="008B4FA0">
        <w:t xml:space="preserve">groundbreaking ruling </w:t>
      </w:r>
      <w:r w:rsidR="00D05F4A" w:rsidRPr="00D05F4A">
        <w:rPr>
          <w:lang w:val="en-CA"/>
        </w:rPr>
        <w:t>decision, which found that the inherent right of self-government of First Nations, Inuit and Métis is recognized and affirmed by section 35 of the </w:t>
      </w:r>
      <w:r w:rsidR="00D05F4A" w:rsidRPr="00D05F4A">
        <w:rPr>
          <w:i/>
          <w:iCs/>
          <w:lang w:val="en-CA"/>
        </w:rPr>
        <w:t>Constitution Act, 1982</w:t>
      </w:r>
      <w:r w:rsidR="00D05F4A" w:rsidRPr="00D05F4A">
        <w:rPr>
          <w:lang w:val="en-CA"/>
        </w:rPr>
        <w:t> and includes jurisdiction of child and family services. This is the first time a court has recognized that Indigenous Peoples have a constitutionally</w:t>
      </w:r>
      <w:r w:rsidR="15985A4A" w:rsidRPr="33D3372F">
        <w:rPr>
          <w:lang w:val="en-CA"/>
        </w:rPr>
        <w:t xml:space="preserve"> </w:t>
      </w:r>
      <w:r w:rsidR="00D05F4A" w:rsidRPr="00D05F4A">
        <w:rPr>
          <w:lang w:val="en-CA"/>
        </w:rPr>
        <w:t>protected right of self-government</w:t>
      </w:r>
      <w:r w:rsidR="00D05F4A">
        <w:rPr>
          <w:lang w:val="en-CA"/>
        </w:rPr>
        <w:t>. However, t</w:t>
      </w:r>
      <w:r w:rsidR="008B4FA0" w:rsidRPr="008B4FA0">
        <w:t xml:space="preserve">he Supreme Court of Canada has granted leave to hear the case, and if </w:t>
      </w:r>
      <w:r w:rsidR="127631F2">
        <w:t>this</w:t>
      </w:r>
      <w:r w:rsidR="008B4FA0" w:rsidRPr="008B4FA0">
        <w:t xml:space="preserve"> aspect of the case is upheld,</w:t>
      </w:r>
      <w:r w:rsidR="00261333">
        <w:t xml:space="preserve"> </w:t>
      </w:r>
      <w:r w:rsidR="00261333" w:rsidRPr="00261333">
        <w:t>it will become the Delgamuukw of Indigenous self</w:t>
      </w:r>
      <w:r w:rsidR="00261333">
        <w:t>-</w:t>
      </w:r>
      <w:r w:rsidR="00261333" w:rsidRPr="00261333">
        <w:t xml:space="preserve">governance, finally upholding that Indigenous Nations have a legal right to self-governance. </w:t>
      </w:r>
    </w:p>
    <w:p w14:paraId="21B7ED1B" w14:textId="77777777" w:rsidR="00F42718" w:rsidRDefault="00F42718" w:rsidP="00FC6571">
      <w:pPr>
        <w:pStyle w:val="NoSpacing"/>
      </w:pPr>
    </w:p>
    <w:p w14:paraId="682ACABF" w14:textId="45E29D43" w:rsidR="00261333" w:rsidRDefault="00261333" w:rsidP="00FC6571">
      <w:pPr>
        <w:pStyle w:val="NoSpacing"/>
      </w:pPr>
      <w:r w:rsidRPr="00261333">
        <w:lastRenderedPageBreak/>
        <w:t xml:space="preserve">The Quebec Court of Appeal stated that the legal tests should be adapted: </w:t>
      </w:r>
    </w:p>
    <w:p w14:paraId="3B6648BF" w14:textId="77777777" w:rsidR="00261333" w:rsidRDefault="00261333" w:rsidP="00FC6571">
      <w:pPr>
        <w:pStyle w:val="NoSpacing"/>
      </w:pPr>
    </w:p>
    <w:p w14:paraId="7790655B" w14:textId="77777777" w:rsidR="00DC1039" w:rsidRDefault="005877CF" w:rsidP="00DC1039">
      <w:pPr>
        <w:pStyle w:val="NoSpacing"/>
        <w:ind w:left="450" w:right="720"/>
      </w:pPr>
      <w:r>
        <w:t>“</w:t>
      </w:r>
      <w:r w:rsidR="00261333" w:rsidRPr="00261333">
        <w:t>[486] to reflect the particular nature of the right to self-government allowing for the</w:t>
      </w:r>
      <w:r w:rsidR="00DC1039">
        <w:t xml:space="preserve"> </w:t>
      </w:r>
      <w:r w:rsidR="00261333" w:rsidRPr="00261333">
        <w:t>regulation of child and family services. By its very nature, this right pertains to Aboriginal</w:t>
      </w:r>
      <w:r w:rsidR="00DC1039">
        <w:t xml:space="preserve"> </w:t>
      </w:r>
      <w:r w:rsidR="00261333" w:rsidRPr="00261333">
        <w:t xml:space="preserve">peoples as peoples. As we have just seen, this is a right which is intimately tied to the cultural survival of Aboriginal </w:t>
      </w:r>
      <w:proofErr w:type="gramStart"/>
      <w:r w:rsidR="00261333" w:rsidRPr="00261333">
        <w:t>peoples, but</w:t>
      </w:r>
      <w:proofErr w:type="gramEnd"/>
      <w:r w:rsidR="00261333" w:rsidRPr="00261333">
        <w:t xml:space="preserve"> is not necessarily based on the practice of </w:t>
      </w:r>
      <w:r>
        <w:tab/>
      </w:r>
      <w:r w:rsidR="00261333" w:rsidRPr="00261333">
        <w:t xml:space="preserve">distinctive cultural activities in the strict sense. </w:t>
      </w:r>
      <w:r w:rsidR="00261333">
        <w:t xml:space="preserve"> </w:t>
      </w:r>
    </w:p>
    <w:p w14:paraId="072F66A4" w14:textId="29DBFD47" w:rsidR="008B4FA0" w:rsidRDefault="00261333" w:rsidP="00DC1039">
      <w:pPr>
        <w:pStyle w:val="NoSpacing"/>
        <w:ind w:left="450" w:right="720"/>
      </w:pPr>
      <w:r w:rsidRPr="00261333">
        <w:t>[487] Like Aboriginal title, one of these necessary adaptations entails recognizing the generic nature of the right to self-government in relation to child and family services, that is, the generic right to regulate those services. This is so because this jurisdiction is essential to the cultural security and survival of each Aboriginal people …. [emphasis in the original]</w:t>
      </w:r>
      <w:r w:rsidR="0038222B">
        <w:t>”</w:t>
      </w:r>
      <w:r w:rsidRPr="00261333">
        <w:rPr>
          <w:rStyle w:val="FootnoteReference"/>
        </w:rPr>
        <w:t xml:space="preserve"> </w:t>
      </w:r>
      <w:r>
        <w:rPr>
          <w:rStyle w:val="FootnoteReference"/>
        </w:rPr>
        <w:footnoteReference w:id="8"/>
      </w:r>
    </w:p>
    <w:p w14:paraId="3F4F2D3D" w14:textId="77777777" w:rsidR="008B4FA0" w:rsidRDefault="008B4FA0" w:rsidP="00FC6571">
      <w:pPr>
        <w:pStyle w:val="NoSpacing"/>
      </w:pPr>
    </w:p>
    <w:p w14:paraId="6C2690A7" w14:textId="6B79A5DC" w:rsidR="00EB47CE" w:rsidRDefault="00646CFA" w:rsidP="00EB47CE">
      <w:pPr>
        <w:pStyle w:val="NoSpacing"/>
      </w:pPr>
      <w:r w:rsidRPr="007B73CD">
        <w:rPr>
          <w:i/>
          <w:iCs/>
        </w:rPr>
        <w:t xml:space="preserve">Attorney General of Québec, et al. v. Attorney General of Canada, et al. </w:t>
      </w:r>
      <w:r w:rsidR="00C91BA5" w:rsidRPr="007B73CD">
        <w:t xml:space="preserve">reference to </w:t>
      </w:r>
      <w:r w:rsidR="00C91BA5" w:rsidRPr="007B73CD">
        <w:rPr>
          <w:i/>
          <w:iCs/>
        </w:rPr>
        <w:t>An Act respecting First Nations, Inuit and Métis children, youth and families</w:t>
      </w:r>
      <w:r w:rsidR="52FB7D18" w:rsidRPr="79A947BE">
        <w:rPr>
          <w:i/>
          <w:iCs/>
        </w:rPr>
        <w:t xml:space="preserve"> </w:t>
      </w:r>
      <w:r w:rsidR="52FB7D18" w:rsidRPr="56CAEC90">
        <w:t>(“Bill C-92")</w:t>
      </w:r>
      <w:r w:rsidR="00C91BA5">
        <w:rPr>
          <w:i/>
          <w:iCs/>
        </w:rPr>
        <w:t xml:space="preserve"> </w:t>
      </w:r>
      <w:r w:rsidR="00C96FA2">
        <w:t xml:space="preserve">is now before the </w:t>
      </w:r>
      <w:r w:rsidR="00C96FA2" w:rsidRPr="007B73CD">
        <w:t>Supreme Court of Canada</w:t>
      </w:r>
      <w:r w:rsidR="00C96FA2">
        <w:t>.</w:t>
      </w:r>
      <w:r w:rsidR="00C91BA5">
        <w:t xml:space="preserve"> </w:t>
      </w:r>
      <w:r w:rsidR="00A634BF" w:rsidRPr="007B73CD">
        <w:t xml:space="preserve">In </w:t>
      </w:r>
      <w:r w:rsidRPr="007B73CD">
        <w:t xml:space="preserve">the </w:t>
      </w:r>
      <w:r w:rsidR="04678D0E" w:rsidRPr="007B73CD">
        <w:t xml:space="preserve">factum of </w:t>
      </w:r>
      <w:r w:rsidR="00470697">
        <w:t xml:space="preserve">the </w:t>
      </w:r>
      <w:r w:rsidRPr="007B73CD">
        <w:t>Attorney General of Canad</w:t>
      </w:r>
      <w:r w:rsidR="00A05695" w:rsidRPr="007B73CD">
        <w:t>a</w:t>
      </w:r>
      <w:r w:rsidR="00C91BA5">
        <w:t xml:space="preserve"> there </w:t>
      </w:r>
      <w:r w:rsidR="0092056A">
        <w:t xml:space="preserve">are </w:t>
      </w:r>
      <w:r w:rsidR="00C91BA5">
        <w:t xml:space="preserve">numerous </w:t>
      </w:r>
      <w:r w:rsidR="00231978">
        <w:t xml:space="preserve">strong </w:t>
      </w:r>
      <w:r w:rsidR="005862F1">
        <w:t>linkages</w:t>
      </w:r>
      <w:r w:rsidR="00231978">
        <w:t xml:space="preserve"> to the UN Declaration</w:t>
      </w:r>
      <w:r w:rsidR="008E5FEB">
        <w:t xml:space="preserve"> and</w:t>
      </w:r>
      <w:r w:rsidR="008E7615">
        <w:t xml:space="preserve"> </w:t>
      </w:r>
      <w:r w:rsidR="0092056A">
        <w:t xml:space="preserve">clear emphasis </w:t>
      </w:r>
      <w:r w:rsidR="008E5FEB">
        <w:t>urg</w:t>
      </w:r>
      <w:r w:rsidR="0092056A">
        <w:t>ing</w:t>
      </w:r>
      <w:r w:rsidR="008E5FEB">
        <w:t xml:space="preserve"> the </w:t>
      </w:r>
      <w:r w:rsidR="2BE2F30E">
        <w:t xml:space="preserve">Supreme </w:t>
      </w:r>
      <w:r w:rsidR="008E5FEB">
        <w:t xml:space="preserve">Court </w:t>
      </w:r>
      <w:r w:rsidR="3DC2F041">
        <w:t>of Canada</w:t>
      </w:r>
      <w:r w:rsidR="008E5FEB">
        <w:t xml:space="preserve"> to rely on th</w:t>
      </w:r>
      <w:r w:rsidR="0092056A">
        <w:t>is</w:t>
      </w:r>
      <w:r w:rsidR="008E5FEB">
        <w:t xml:space="preserve"> important legal instrument in its analysis</w:t>
      </w:r>
      <w:r w:rsidR="00EB47CE" w:rsidRPr="00EB47CE">
        <w:rPr>
          <w:lang w:val="en-CA"/>
        </w:rPr>
        <w:t>, “[t]he UNDRIP is an important legal development that must be considered in the Court’s analysis. The Canadian government is committed to implementing the UNDRIP, which is a source for the interpretation of Canadian law. In line with Canadian jurisprudence, the UNDRIP “supports a robust interpretation of Aboriginal rights”.</w:t>
      </w:r>
      <w:r w:rsidR="00EB47CE" w:rsidRPr="00EB47CE">
        <w:rPr>
          <w:vertAlign w:val="superscript"/>
          <w:lang w:val="en-CA"/>
        </w:rPr>
        <w:footnoteReference w:id="9"/>
      </w:r>
    </w:p>
    <w:p w14:paraId="3ED0EA60" w14:textId="1E8838D4" w:rsidR="00EB47CE" w:rsidRDefault="00EB47CE" w:rsidP="00633514">
      <w:pPr>
        <w:pStyle w:val="NoSpacing"/>
      </w:pPr>
    </w:p>
    <w:p w14:paraId="24586CC5" w14:textId="6202E203" w:rsidR="00633514" w:rsidRPr="007B73CD" w:rsidRDefault="00BD405D" w:rsidP="00633514">
      <w:pPr>
        <w:pStyle w:val="NoSpacing"/>
      </w:pPr>
      <w:r>
        <w:t xml:space="preserve">Particular attention can be drawn to </w:t>
      </w:r>
      <w:r w:rsidR="67CAED89">
        <w:t>the Quebec Court of Appeals</w:t>
      </w:r>
      <w:r w:rsidR="00633514">
        <w:t xml:space="preserve"> conclusion</w:t>
      </w:r>
      <w:r>
        <w:t>, which</w:t>
      </w:r>
      <w:r w:rsidR="00633514">
        <w:t xml:space="preserve"> </w:t>
      </w:r>
      <w:r>
        <w:t xml:space="preserve">indicates a critical opportunity to use case law and the UN Declaration to advance reconciliation </w:t>
      </w:r>
      <w:r w:rsidR="0EFE4B81">
        <w:t>in</w:t>
      </w:r>
      <w:r>
        <w:t xml:space="preserve"> a significant way,</w:t>
      </w:r>
      <w:r w:rsidR="00633514">
        <w:t xml:space="preserve"> “[g]</w:t>
      </w:r>
      <w:proofErr w:type="spellStart"/>
      <w:r w:rsidR="00633514" w:rsidRPr="008E5FEB">
        <w:t>iven</w:t>
      </w:r>
      <w:proofErr w:type="spellEnd"/>
      <w:r w:rsidR="00633514" w:rsidRPr="008E5FEB">
        <w:t xml:space="preserve"> the history of the relationship between the Crown and Indigenous peoples, the direction taken by the legal system towards recognition of the right of self-government, and the impact of international law, particularly the UNDRIP, this Court should take the opportunity afforded by this appeal to confirm the existence of this right and to develop the jurisprudence on the Aboriginal rights of Aboriginal peoples, while helping to take a step forward in the realization of the promise of reconciliation contained in section 35</w:t>
      </w:r>
      <w:r w:rsidR="00633514" w:rsidRPr="007B73CD">
        <w:t>”</w:t>
      </w:r>
      <w:r w:rsidR="00633514" w:rsidRPr="18EC33F7">
        <w:rPr>
          <w:rStyle w:val="FootnoteReference"/>
          <w:rFonts w:cs="Arial"/>
        </w:rPr>
        <w:footnoteReference w:id="10"/>
      </w:r>
      <w:r w:rsidR="00633514" w:rsidRPr="007B73CD">
        <w:t xml:space="preserve"> </w:t>
      </w:r>
    </w:p>
    <w:p w14:paraId="3CAE0A10" w14:textId="6F519555" w:rsidR="00633514" w:rsidRDefault="00633514" w:rsidP="00FC6571">
      <w:pPr>
        <w:pStyle w:val="NoSpacing"/>
      </w:pPr>
    </w:p>
    <w:p w14:paraId="6302FAC7" w14:textId="2EA81973" w:rsidR="004239B3" w:rsidRDefault="00FB0BB9" w:rsidP="004239B3">
      <w:pPr>
        <w:pStyle w:val="NoSpacing"/>
      </w:pPr>
      <w:r>
        <w:t xml:space="preserve">Additionally, </w:t>
      </w:r>
      <w:r w:rsidR="00EA1309">
        <w:t xml:space="preserve">and </w:t>
      </w:r>
      <w:r w:rsidRPr="007B73CD">
        <w:t>consistent with the UN Declaration in accordance with articles 2, 3, 4, 5, 13, 22, 34, 40, and 43</w:t>
      </w:r>
      <w:r>
        <w:t>,</w:t>
      </w:r>
      <w:r w:rsidR="006B615B">
        <w:t xml:space="preserve"> the Attorney General of Canada argues </w:t>
      </w:r>
      <w:r w:rsidR="00212A2B" w:rsidRPr="007B73CD">
        <w:t>that</w:t>
      </w:r>
      <w:r w:rsidR="00A80CF8" w:rsidRPr="007B73CD">
        <w:t xml:space="preserve"> </w:t>
      </w:r>
      <w:r w:rsidR="00845E0D" w:rsidRPr="007B73CD">
        <w:t xml:space="preserve">Indigenous laws have </w:t>
      </w:r>
      <w:r w:rsidR="00A80CF8" w:rsidRPr="007B73CD">
        <w:t>paramountcy over conflicting provincial</w:t>
      </w:r>
      <w:r w:rsidR="00A634BF" w:rsidRPr="007B73CD">
        <w:t xml:space="preserve"> (subnational)</w:t>
      </w:r>
      <w:r w:rsidR="00A80CF8" w:rsidRPr="007B73CD">
        <w:t xml:space="preserve"> laws, on </w:t>
      </w:r>
      <w:r w:rsidR="00212A2B" w:rsidRPr="007B73CD">
        <w:t>matters concerning Aboriginal children and families service</w:t>
      </w:r>
      <w:r w:rsidR="00A80CF8" w:rsidRPr="007B73CD">
        <w:t>, as this is jurisdiction essential to the cultural security and survival of each Aboriginal people.</w:t>
      </w:r>
      <w:r w:rsidR="00DE2F42" w:rsidRPr="12D8810E">
        <w:rPr>
          <w:rStyle w:val="FootnoteReference"/>
          <w:rFonts w:cs="Arial"/>
        </w:rPr>
        <w:footnoteReference w:id="11"/>
      </w:r>
      <w:r w:rsidR="00F043B6" w:rsidRPr="007B73CD">
        <w:t xml:space="preserve"> </w:t>
      </w:r>
      <w:r w:rsidR="004239B3">
        <w:t>The</w:t>
      </w:r>
      <w:r w:rsidR="004239B3" w:rsidRPr="0092056A">
        <w:t xml:space="preserve"> </w:t>
      </w:r>
      <w:r w:rsidR="004239B3">
        <w:t xml:space="preserve">Treaty Commission </w:t>
      </w:r>
      <w:r w:rsidR="11E4F0EC">
        <w:t xml:space="preserve">publicly urges </w:t>
      </w:r>
      <w:r w:rsidR="00175F5A">
        <w:t>that</w:t>
      </w:r>
      <w:r w:rsidR="11E4F0EC">
        <w:t xml:space="preserve"> </w:t>
      </w:r>
      <w:r w:rsidR="004239B3">
        <w:t xml:space="preserve">the </w:t>
      </w:r>
      <w:r w:rsidR="51B04C18">
        <w:t xml:space="preserve">Supreme Court of Canada </w:t>
      </w:r>
      <w:r w:rsidR="320CC631">
        <w:t xml:space="preserve">in this case </w:t>
      </w:r>
      <w:r w:rsidR="3B7589FF">
        <w:t>must</w:t>
      </w:r>
      <w:r w:rsidR="5E417A2C">
        <w:t xml:space="preserve"> find that</w:t>
      </w:r>
      <w:r w:rsidR="004239B3">
        <w:t xml:space="preserve"> </w:t>
      </w:r>
      <w:r w:rsidR="0CB53D85" w:rsidRPr="0092056A">
        <w:t xml:space="preserve">the </w:t>
      </w:r>
      <w:r w:rsidR="7DD9E8E8" w:rsidRPr="0092056A">
        <w:t xml:space="preserve">Constitution of Canada </w:t>
      </w:r>
      <w:r w:rsidR="004239B3" w:rsidRPr="0092056A">
        <w:t xml:space="preserve">protects a general right to </w:t>
      </w:r>
      <w:r w:rsidR="4E6E8586" w:rsidRPr="0092056A">
        <w:t xml:space="preserve">Indigenous </w:t>
      </w:r>
      <w:r w:rsidR="004239B3" w:rsidRPr="0092056A">
        <w:t xml:space="preserve">self-government </w:t>
      </w:r>
      <w:r w:rsidR="382C3CF8" w:rsidRPr="0092056A">
        <w:t>and this</w:t>
      </w:r>
      <w:r w:rsidR="004239B3" w:rsidRPr="0092056A">
        <w:t xml:space="preserve"> be upheld by the highest court of the country.</w:t>
      </w:r>
      <w:r w:rsidR="00EB47CE">
        <w:t xml:space="preserve"> </w:t>
      </w:r>
    </w:p>
    <w:p w14:paraId="485CA6E3" w14:textId="045B88A0" w:rsidR="00046668" w:rsidRDefault="00046668" w:rsidP="00FC6571">
      <w:pPr>
        <w:pStyle w:val="NoSpacing"/>
      </w:pPr>
    </w:p>
    <w:p w14:paraId="14C28C63" w14:textId="74EADEFD" w:rsidR="00047CC8" w:rsidRPr="007B73CD" w:rsidRDefault="006B6869" w:rsidP="00FC6571">
      <w:pPr>
        <w:pStyle w:val="NoSpacing"/>
      </w:pPr>
      <w:r w:rsidRPr="007B73CD">
        <w:t>The Treaty Commission commends the Government of Canada for</w:t>
      </w:r>
      <w:r w:rsidR="2AC4B0A7">
        <w:t xml:space="preserve"> </w:t>
      </w:r>
      <w:r w:rsidR="69FC2523">
        <w:t xml:space="preserve">taking a position in an important </w:t>
      </w:r>
      <w:r w:rsidR="47B39F72">
        <w:t>legal</w:t>
      </w:r>
      <w:r w:rsidR="69FC2523">
        <w:t xml:space="preserve"> case that </w:t>
      </w:r>
      <w:r w:rsidR="2AC4B0A7">
        <w:t>support</w:t>
      </w:r>
      <w:r w:rsidR="19D58F53">
        <w:t>s</w:t>
      </w:r>
      <w:r w:rsidRPr="007B73CD">
        <w:t xml:space="preserve"> the </w:t>
      </w:r>
      <w:r w:rsidR="3D48886C">
        <w:t xml:space="preserve">recognition of the </w:t>
      </w:r>
      <w:r w:rsidR="412099F0">
        <w:t xml:space="preserve">UN </w:t>
      </w:r>
      <w:r>
        <w:t>Declaration</w:t>
      </w:r>
      <w:r w:rsidR="1489D0CB">
        <w:t xml:space="preserve"> in judicial decisions</w:t>
      </w:r>
      <w:r>
        <w:t>.</w:t>
      </w:r>
      <w:r w:rsidRPr="007B73CD">
        <w:t xml:space="preserve"> </w:t>
      </w:r>
      <w:r w:rsidR="00CF3EA8" w:rsidRPr="007B73CD">
        <w:t>This case</w:t>
      </w:r>
      <w:r w:rsidR="00E111BD" w:rsidRPr="007B73CD">
        <w:t xml:space="preserve"> and in other instances when existing </w:t>
      </w:r>
      <w:r w:rsidR="00BC2939" w:rsidRPr="007B73CD">
        <w:t xml:space="preserve">domestic </w:t>
      </w:r>
      <w:r w:rsidR="00E111BD" w:rsidRPr="007B73CD">
        <w:t xml:space="preserve">laws are </w:t>
      </w:r>
      <w:r w:rsidR="00BC2939" w:rsidRPr="007B73CD">
        <w:t>at odds</w:t>
      </w:r>
      <w:r w:rsidR="00E111BD" w:rsidRPr="007B73CD">
        <w:t xml:space="preserve"> with the</w:t>
      </w:r>
      <w:r w:rsidR="0099399E" w:rsidRPr="007B73CD">
        <w:t xml:space="preserve"> standards of </w:t>
      </w:r>
      <w:r w:rsidR="0099399E" w:rsidRPr="007B73CD">
        <w:lastRenderedPageBreak/>
        <w:t>the</w:t>
      </w:r>
      <w:r w:rsidR="00E111BD" w:rsidRPr="007B73CD">
        <w:t xml:space="preserve"> UN Declaration,</w:t>
      </w:r>
      <w:r w:rsidR="0099399E" w:rsidRPr="007B73CD">
        <w:t xml:space="preserve"> </w:t>
      </w:r>
      <w:r w:rsidR="00E111BD" w:rsidRPr="007B73CD">
        <w:t xml:space="preserve">States </w:t>
      </w:r>
      <w:r w:rsidR="647EB04C">
        <w:t>must</w:t>
      </w:r>
      <w:r w:rsidR="00E111BD" w:rsidRPr="007B73CD">
        <w:t xml:space="preserve"> take </w:t>
      </w:r>
      <w:r w:rsidR="0099399E" w:rsidRPr="007B73CD">
        <w:t>concrete</w:t>
      </w:r>
      <w:r w:rsidR="00E111BD" w:rsidRPr="007B73CD">
        <w:t xml:space="preserve"> measures</w:t>
      </w:r>
      <w:r w:rsidR="0099399E" w:rsidRPr="007B73CD">
        <w:t>, such as legal action</w:t>
      </w:r>
      <w:r w:rsidR="4781D9C3">
        <w:t>,</w:t>
      </w:r>
      <w:r w:rsidR="00F043B6" w:rsidRPr="007B73CD">
        <w:t xml:space="preserve"> to establish </w:t>
      </w:r>
      <w:r w:rsidR="00F043B6">
        <w:t>jurispruden</w:t>
      </w:r>
      <w:r w:rsidR="01A8A3DB">
        <w:t>tial</w:t>
      </w:r>
      <w:r w:rsidR="00AA2370" w:rsidRPr="007B73CD">
        <w:t xml:space="preserve"> </w:t>
      </w:r>
      <w:r w:rsidR="008900A8" w:rsidRPr="007B73CD">
        <w:t xml:space="preserve">clarity </w:t>
      </w:r>
      <w:r w:rsidR="00AA2370" w:rsidRPr="007B73CD">
        <w:t xml:space="preserve">to </w:t>
      </w:r>
      <w:r w:rsidR="00E111BD" w:rsidRPr="007B73CD">
        <w:t>ensure</w:t>
      </w:r>
      <w:r w:rsidR="00AA2370" w:rsidRPr="007B73CD">
        <w:t xml:space="preserve"> </w:t>
      </w:r>
      <w:r w:rsidR="0A8183DB">
        <w:t xml:space="preserve">the </w:t>
      </w:r>
      <w:r w:rsidR="00AA2370" w:rsidRPr="007B73CD">
        <w:t>protection and promotion</w:t>
      </w:r>
      <w:r w:rsidR="003C28ED" w:rsidRPr="007B73CD">
        <w:t xml:space="preserve"> </w:t>
      </w:r>
      <w:r w:rsidR="00AA2370" w:rsidRPr="007B73CD">
        <w:t xml:space="preserve">of Indigenous rights. </w:t>
      </w:r>
    </w:p>
    <w:p w14:paraId="69F12647" w14:textId="77777777" w:rsidR="003C28ED" w:rsidRPr="007B73CD" w:rsidRDefault="003C28ED" w:rsidP="00FC6571">
      <w:pPr>
        <w:pStyle w:val="NoSpacing"/>
        <w:rPr>
          <w:i/>
          <w:iCs/>
        </w:rPr>
      </w:pPr>
    </w:p>
    <w:p w14:paraId="6CB8AFE9" w14:textId="23F33ACF" w:rsidR="00047CC8" w:rsidRDefault="00E8166F" w:rsidP="00FC6571">
      <w:pPr>
        <w:pStyle w:val="NoSpacing"/>
        <w:rPr>
          <w:b/>
          <w:bCs/>
          <w:i/>
          <w:iCs/>
        </w:rPr>
      </w:pPr>
      <w:r w:rsidRPr="007B73CD">
        <w:rPr>
          <w:b/>
          <w:bCs/>
          <w:i/>
          <w:iCs/>
        </w:rPr>
        <w:t>Constitutional space u</w:t>
      </w:r>
      <w:r w:rsidR="003C28ED" w:rsidRPr="007B73CD">
        <w:rPr>
          <w:b/>
          <w:bCs/>
          <w:i/>
          <w:iCs/>
        </w:rPr>
        <w:t>pholding Indigenous constitutions</w:t>
      </w:r>
      <w:r w:rsidR="00DE4177" w:rsidRPr="007B73CD">
        <w:rPr>
          <w:b/>
          <w:bCs/>
          <w:i/>
          <w:iCs/>
        </w:rPr>
        <w:t xml:space="preserve"> and self-government</w:t>
      </w:r>
    </w:p>
    <w:p w14:paraId="24294E61" w14:textId="77777777" w:rsidR="00FC7D1D" w:rsidRDefault="00FC7D1D" w:rsidP="00FC6571">
      <w:pPr>
        <w:pStyle w:val="NoSpacing"/>
        <w:rPr>
          <w:b/>
          <w:bCs/>
          <w:i/>
          <w:iCs/>
        </w:rPr>
      </w:pPr>
    </w:p>
    <w:p w14:paraId="21154CCB" w14:textId="49CC6BC9" w:rsidR="00B60BAC" w:rsidRPr="00125E4D" w:rsidRDefault="00ED17CC" w:rsidP="00FC6571">
      <w:pPr>
        <w:pStyle w:val="NoSpacing"/>
      </w:pPr>
      <w:r w:rsidRPr="007B73CD">
        <w:t xml:space="preserve">In </w:t>
      </w:r>
      <w:r w:rsidR="00DE4177" w:rsidRPr="007B73CD">
        <w:t>February 2023</w:t>
      </w:r>
      <w:r w:rsidR="0D82C516">
        <w:t>,</w:t>
      </w:r>
      <w:r w:rsidR="00DE4177" w:rsidRPr="007B73CD">
        <w:t xml:space="preserve"> the Supreme Court of Canada heard </w:t>
      </w:r>
      <w:r w:rsidR="2BC0A512">
        <w:t>submissions</w:t>
      </w:r>
      <w:r w:rsidR="00DE4177" w:rsidRPr="007B73CD">
        <w:t xml:space="preserve"> in </w:t>
      </w:r>
      <w:r w:rsidRPr="007B73CD">
        <w:rPr>
          <w:i/>
          <w:iCs/>
        </w:rPr>
        <w:t>Dickson v Vuntut Gwitchin First Nation</w:t>
      </w:r>
      <w:r w:rsidRPr="007B73CD">
        <w:t xml:space="preserve">, </w:t>
      </w:r>
      <w:r w:rsidR="00B60BAC" w:rsidRPr="007B73CD">
        <w:t xml:space="preserve">from State governments, </w:t>
      </w:r>
      <w:r w:rsidR="00B60BAC" w:rsidRPr="00125E4D">
        <w:t>Indigenous Nat</w:t>
      </w:r>
      <w:r w:rsidR="00773795" w:rsidRPr="00125E4D">
        <w:t>ion</w:t>
      </w:r>
      <w:r w:rsidR="00B60BAC" w:rsidRPr="00125E4D">
        <w:t>s</w:t>
      </w:r>
      <w:r w:rsidR="00E8166F" w:rsidRPr="00125E4D">
        <w:t>, representative institutions</w:t>
      </w:r>
      <w:r w:rsidR="54076B4E">
        <w:t>,</w:t>
      </w:r>
      <w:r w:rsidR="00B60BAC" w:rsidRPr="00125E4D">
        <w:t xml:space="preserve"> a</w:t>
      </w:r>
      <w:r w:rsidR="00DE4177" w:rsidRPr="00125E4D">
        <w:t>n</w:t>
      </w:r>
      <w:r w:rsidR="00B60BAC" w:rsidRPr="00125E4D">
        <w:t xml:space="preserve">d the BC Treaty </w:t>
      </w:r>
      <w:r w:rsidR="008F4828" w:rsidRPr="00125E4D">
        <w:t>Commission</w:t>
      </w:r>
      <w:r w:rsidR="008F4828">
        <w:t>.</w:t>
      </w:r>
      <w:r w:rsidR="008F4828" w:rsidRPr="00125E4D">
        <w:t xml:space="preserve"> </w:t>
      </w:r>
      <w:r w:rsidR="5592CA26">
        <w:t>In short, this</w:t>
      </w:r>
      <w:r w:rsidR="40DD04C2" w:rsidRPr="00125E4D">
        <w:t xml:space="preserve"> case</w:t>
      </w:r>
      <w:r w:rsidR="00B60BAC" w:rsidRPr="00125E4D">
        <w:t xml:space="preserve"> </w:t>
      </w:r>
      <w:r w:rsidR="00B60BAC">
        <w:t>relate</w:t>
      </w:r>
      <w:r w:rsidR="467349DF">
        <w:t>s</w:t>
      </w:r>
      <w:r w:rsidR="00B60BAC" w:rsidRPr="00125E4D">
        <w:t xml:space="preserve"> </w:t>
      </w:r>
      <w:r w:rsidR="00DE4177" w:rsidRPr="00125E4D">
        <w:t xml:space="preserve">to Indigenous </w:t>
      </w:r>
      <w:r w:rsidR="3F5EEF4A" w:rsidRPr="00125E4D">
        <w:t xml:space="preserve">collective </w:t>
      </w:r>
      <w:r w:rsidR="00DE4177" w:rsidRPr="00125E4D">
        <w:t>rights</w:t>
      </w:r>
      <w:r w:rsidR="00773795" w:rsidRPr="00125E4D">
        <w:t xml:space="preserve"> </w:t>
      </w:r>
      <w:r w:rsidR="78E6EF0D">
        <w:t>and treaty rights</w:t>
      </w:r>
      <w:r w:rsidR="00773795">
        <w:t xml:space="preserve"> </w:t>
      </w:r>
      <w:r w:rsidR="6D593B83">
        <w:t xml:space="preserve">protected </w:t>
      </w:r>
      <w:r w:rsidR="4D165B48">
        <w:t>under Section 35 and</w:t>
      </w:r>
      <w:r w:rsidR="00773795" w:rsidRPr="00125E4D">
        <w:t xml:space="preserve"> </w:t>
      </w:r>
      <w:r w:rsidR="77968ABE">
        <w:t xml:space="preserve">their interaction with </w:t>
      </w:r>
      <w:r w:rsidR="00773795" w:rsidRPr="00125E4D">
        <w:t xml:space="preserve">individual </w:t>
      </w:r>
      <w:r w:rsidR="00B6581D" w:rsidRPr="005304E1">
        <w:rPr>
          <w:i/>
          <w:iCs/>
        </w:rPr>
        <w:t>Charter</w:t>
      </w:r>
      <w:r w:rsidR="00B6581D" w:rsidRPr="00125E4D">
        <w:t xml:space="preserve"> </w:t>
      </w:r>
      <w:r w:rsidR="00773795" w:rsidRPr="00125E4D">
        <w:t>rights</w:t>
      </w:r>
      <w:r w:rsidR="4558F726">
        <w:t xml:space="preserve"> pursuant to Section 15</w:t>
      </w:r>
      <w:r w:rsidR="00773795" w:rsidRPr="00125E4D">
        <w:t>.</w:t>
      </w:r>
      <w:r w:rsidR="6CC97385">
        <w:t xml:space="preserve"> </w:t>
      </w:r>
    </w:p>
    <w:p w14:paraId="3D43D3B9" w14:textId="6739FD1C" w:rsidR="00904D09" w:rsidRDefault="00904D09" w:rsidP="00FC6571">
      <w:pPr>
        <w:pStyle w:val="NoSpacing"/>
      </w:pPr>
    </w:p>
    <w:p w14:paraId="28EED254" w14:textId="5682EA30" w:rsidR="4ECA705D" w:rsidRDefault="00CC106B" w:rsidP="002D3E39">
      <w:pPr>
        <w:pStyle w:val="NoSpacing"/>
      </w:pPr>
      <w:r>
        <w:t xml:space="preserve">The </w:t>
      </w:r>
      <w:r w:rsidR="37866A8D">
        <w:t>BC</w:t>
      </w:r>
      <w:r>
        <w:t xml:space="preserve"> </w:t>
      </w:r>
      <w:r w:rsidR="008002F1" w:rsidRPr="007B73CD">
        <w:t>Treaty Commission</w:t>
      </w:r>
      <w:r w:rsidR="00FC7D1D">
        <w:t xml:space="preserve"> focused its </w:t>
      </w:r>
      <w:r w:rsidR="44E58D27">
        <w:t xml:space="preserve">submission </w:t>
      </w:r>
      <w:r w:rsidR="42DCF259">
        <w:t>calling for</w:t>
      </w:r>
      <w:r w:rsidR="44E58D27">
        <w:t xml:space="preserve"> an i</w:t>
      </w:r>
      <w:r w:rsidR="00FC7D1D">
        <w:t xml:space="preserve">nterpretation of </w:t>
      </w:r>
      <w:r w:rsidR="04E3F913">
        <w:t>the law that protects</w:t>
      </w:r>
      <w:r w:rsidR="00FC7D1D">
        <w:t xml:space="preserve"> </w:t>
      </w:r>
      <w:r w:rsidR="4ECA705D">
        <w:t>the constitutional differences promised to</w:t>
      </w:r>
      <w:r w:rsidR="00392D72">
        <w:t xml:space="preserve"> </w:t>
      </w:r>
      <w:r w:rsidR="4ECA705D">
        <w:t xml:space="preserve">Indigenous </w:t>
      </w:r>
      <w:r w:rsidR="00392D72">
        <w:t>P</w:t>
      </w:r>
      <w:r w:rsidR="4ECA705D">
        <w:t xml:space="preserve">eoples in </w:t>
      </w:r>
      <w:r w:rsidR="74C83267">
        <w:t xml:space="preserve">its </w:t>
      </w:r>
      <w:r w:rsidR="0F651B78">
        <w:t>c</w:t>
      </w:r>
      <w:r w:rsidR="74C83267">
        <w:t>onstitution</w:t>
      </w:r>
      <w:r w:rsidR="4ECA705D">
        <w:t xml:space="preserve"> </w:t>
      </w:r>
      <w:r w:rsidR="521878D1">
        <w:t>against arguments</w:t>
      </w:r>
      <w:r w:rsidR="4ECA705D">
        <w:t xml:space="preserve"> that </w:t>
      </w:r>
      <w:r w:rsidR="521878D1">
        <w:t xml:space="preserve">advocated for a </w:t>
      </w:r>
      <w:r w:rsidR="4ECA705D">
        <w:t>narrow</w:t>
      </w:r>
      <w:r w:rsidR="1F6458FB">
        <w:t>ing of</w:t>
      </w:r>
      <w:r w:rsidR="4ECA705D">
        <w:t xml:space="preserve"> the realm within which Indigenous peoples can exercise the</w:t>
      </w:r>
      <w:r w:rsidR="6F0C3B08">
        <w:t>ir</w:t>
      </w:r>
      <w:r w:rsidR="4ECA705D">
        <w:t xml:space="preserve"> fundamental right of self-determination</w:t>
      </w:r>
      <w:r w:rsidR="361A095B">
        <w:t>. This</w:t>
      </w:r>
      <w:r w:rsidR="2C5761A9">
        <w:t xml:space="preserve"> </w:t>
      </w:r>
      <w:r w:rsidR="66164FD5">
        <w:t>narrowed</w:t>
      </w:r>
      <w:r w:rsidR="2C5761A9">
        <w:t xml:space="preserve"> </w:t>
      </w:r>
      <w:r w:rsidR="4ECA705D">
        <w:t xml:space="preserve">approach </w:t>
      </w:r>
      <w:r w:rsidR="303C4B9D">
        <w:t>is</w:t>
      </w:r>
      <w:r w:rsidR="4ECA705D">
        <w:t xml:space="preserve"> at odds </w:t>
      </w:r>
      <w:r w:rsidR="3DBBC29C">
        <w:t xml:space="preserve">with years of advocacy by </w:t>
      </w:r>
      <w:r w:rsidR="4ECA705D">
        <w:t xml:space="preserve">Indigenous peoples and </w:t>
      </w:r>
      <w:r w:rsidR="00320FBD">
        <w:t>jurisprudence protecting</w:t>
      </w:r>
      <w:r w:rsidR="4ECA705D">
        <w:t xml:space="preserve"> the distinctness of Indigenous collective rights.</w:t>
      </w:r>
    </w:p>
    <w:p w14:paraId="045189E3" w14:textId="2FB80353" w:rsidR="5384BEB6" w:rsidRDefault="5384BEB6" w:rsidP="5384BEB6">
      <w:pPr>
        <w:pStyle w:val="NoSpacing"/>
      </w:pPr>
    </w:p>
    <w:p w14:paraId="6B0A5165" w14:textId="442A7CF8" w:rsidR="0098613F" w:rsidRDefault="30FFFD35" w:rsidP="00FC6571">
      <w:pPr>
        <w:pStyle w:val="NoSpacing"/>
      </w:pPr>
      <w:r>
        <w:t>The BC Treaty Commission</w:t>
      </w:r>
      <w:r w:rsidR="3CE95A31">
        <w:t>,</w:t>
      </w:r>
      <w:r>
        <w:t xml:space="preserve"> through its submission to the highest Court of the country is advocating that constitutions of self-governing Indigenous nations </w:t>
      </w:r>
      <w:r w:rsidR="054A469A">
        <w:t>established through a State</w:t>
      </w:r>
      <w:r>
        <w:t>-</w:t>
      </w:r>
      <w:r w:rsidR="350C2893">
        <w:t>I</w:t>
      </w:r>
      <w:r>
        <w:t>ndigenous treaty or agreement</w:t>
      </w:r>
      <w:r w:rsidR="39A8B36B">
        <w:t xml:space="preserve"> be shielded from individual legal challenge</w:t>
      </w:r>
      <w:r>
        <w:t>. Self-government is a fundamental means through which Indigenous peoples express their “distinctive, collective, and cultural” identities</w:t>
      </w:r>
      <w:r w:rsidR="66FA59E1">
        <w:t>,</w:t>
      </w:r>
      <w:r w:rsidR="03948B8D">
        <w:t xml:space="preserve"> and an</w:t>
      </w:r>
      <w:r>
        <w:t xml:space="preserve"> essential element of self-government is the constitution by which the </w:t>
      </w:r>
      <w:r w:rsidR="00CC7D28">
        <w:t>Indigenous</w:t>
      </w:r>
      <w:r w:rsidR="652A3D67">
        <w:t xml:space="preserve"> </w:t>
      </w:r>
      <w:r w:rsidR="3227D745">
        <w:t>peoples developed collectively</w:t>
      </w:r>
      <w:r w:rsidR="2CA18658">
        <w:t>,</w:t>
      </w:r>
      <w:r w:rsidR="3227D745">
        <w:t xml:space="preserve"> and their </w:t>
      </w:r>
      <w:r>
        <w:t>government operates.</w:t>
      </w:r>
    </w:p>
    <w:p w14:paraId="6604BEBA" w14:textId="2550C503" w:rsidR="00392D72" w:rsidRDefault="00392D72" w:rsidP="00FC6571">
      <w:pPr>
        <w:pStyle w:val="NoSpacing"/>
      </w:pPr>
    </w:p>
    <w:p w14:paraId="70EFD213" w14:textId="4F2E8498" w:rsidR="00ED17CC" w:rsidRPr="007B73CD" w:rsidRDefault="00633FDE" w:rsidP="00FC6571">
      <w:pPr>
        <w:pStyle w:val="NoSpacing"/>
      </w:pPr>
      <w:r w:rsidRPr="007B73CD">
        <w:t>Citing the UN Declaration and in particular articles 3, 4, and 5, th</w:t>
      </w:r>
      <w:r w:rsidR="00B60BAC" w:rsidRPr="007B73CD">
        <w:t xml:space="preserve">e </w:t>
      </w:r>
      <w:r w:rsidR="0D1945F1">
        <w:t xml:space="preserve">BC </w:t>
      </w:r>
      <w:r w:rsidR="00B60BAC" w:rsidRPr="007B73CD">
        <w:t>Treaty Commission intervene</w:t>
      </w:r>
      <w:r w:rsidR="00DE4177" w:rsidRPr="007B73CD">
        <w:t>d</w:t>
      </w:r>
      <w:r w:rsidR="00B60BAC" w:rsidRPr="007B73CD">
        <w:t xml:space="preserve"> </w:t>
      </w:r>
      <w:r w:rsidRPr="007B73CD">
        <w:t xml:space="preserve">and </w:t>
      </w:r>
      <w:r w:rsidR="3D0DE0F2">
        <w:t>calls for an interpretation of the Canadian Constitution</w:t>
      </w:r>
      <w:r w:rsidRPr="007B73CD">
        <w:t xml:space="preserve">, consistent with the UN Declaration and UNDRIPA, </w:t>
      </w:r>
      <w:r w:rsidR="766AA9A9" w:rsidRPr="007B73CD">
        <w:t>(</w:t>
      </w:r>
      <w:r w:rsidR="00ED17CC" w:rsidRPr="007B73CD">
        <w:t xml:space="preserve">section 25 of the </w:t>
      </w:r>
      <w:r w:rsidR="00ED17CC" w:rsidRPr="00392D72">
        <w:rPr>
          <w:i/>
          <w:iCs/>
        </w:rPr>
        <w:t>Charter</w:t>
      </w:r>
      <w:r w:rsidR="1A7B6D60" w:rsidRPr="007B73CD">
        <w:t>)</w:t>
      </w:r>
      <w:r w:rsidR="00ED17CC" w:rsidRPr="007B73CD">
        <w:t>, as a shield to protect the unique distinctive, collective, and cultural identities of Indigenous Peoples, including Indigenous constitutions,</w:t>
      </w:r>
      <w:r w:rsidR="00ED17CC" w:rsidRPr="42C39826">
        <w:rPr>
          <w:rStyle w:val="FootnoteReference"/>
          <w:rFonts w:cs="Arial"/>
        </w:rPr>
        <w:footnoteReference w:id="12"/>
      </w:r>
      <w:r w:rsidR="00ED17CC" w:rsidRPr="007B73CD">
        <w:t xml:space="preserve"> from unnecessary individual rights </w:t>
      </w:r>
      <w:r w:rsidR="6E6C1A25" w:rsidRPr="007B73CD">
        <w:t xml:space="preserve">challenges to </w:t>
      </w:r>
      <w:r w:rsidR="00ED17CC" w:rsidRPr="007B73CD">
        <w:t>collective indigenous rights.</w:t>
      </w:r>
    </w:p>
    <w:p w14:paraId="6A47E146" w14:textId="77777777" w:rsidR="00FC7D1D" w:rsidRDefault="00FC7D1D" w:rsidP="00FC6571">
      <w:pPr>
        <w:pStyle w:val="NoSpacing"/>
      </w:pPr>
    </w:p>
    <w:p w14:paraId="21ABC01F" w14:textId="43C275ED" w:rsidR="00F9081C" w:rsidRPr="00686ADF" w:rsidRDefault="002C0592" w:rsidP="00FC6571">
      <w:pPr>
        <w:pStyle w:val="NoSpacing"/>
        <w:rPr>
          <w:rFonts w:eastAsia="Times New Roman"/>
          <w:color w:val="000000"/>
          <w:lang w:eastAsia="en-CA"/>
        </w:rPr>
      </w:pPr>
      <w:r w:rsidRPr="007B73CD">
        <w:t xml:space="preserve">If the </w:t>
      </w:r>
      <w:r w:rsidR="78E0B248">
        <w:t xml:space="preserve">Supreme </w:t>
      </w:r>
      <w:r w:rsidRPr="007B73CD">
        <w:t xml:space="preserve">Court </w:t>
      </w:r>
      <w:r w:rsidR="5570E158">
        <w:t>of Canada</w:t>
      </w:r>
      <w:r w:rsidRPr="007B73CD">
        <w:t xml:space="preserve"> </w:t>
      </w:r>
      <w:r w:rsidR="0F745E11">
        <w:t>decides these cases in a manner</w:t>
      </w:r>
      <w:r w:rsidR="00B14685" w:rsidRPr="007B73CD">
        <w:t xml:space="preserve"> respecting and upholding Indigenous rights and laws</w:t>
      </w:r>
      <w:r w:rsidRPr="007B73CD">
        <w:t xml:space="preserve">, this will contribute to the realization of the objectives of the </w:t>
      </w:r>
      <w:r w:rsidR="0023638F">
        <w:t xml:space="preserve">UN </w:t>
      </w:r>
      <w:r w:rsidRPr="007B73CD">
        <w:t xml:space="preserve">Declaration and </w:t>
      </w:r>
      <w:r w:rsidR="00B14685" w:rsidRPr="007B73CD">
        <w:t xml:space="preserve">represent the next step in the evolution of </w:t>
      </w:r>
      <w:r w:rsidR="00B14685">
        <w:t>courts</w:t>
      </w:r>
      <w:r w:rsidR="004A74CC">
        <w:t xml:space="preserve"> </w:t>
      </w:r>
      <w:r w:rsidR="00B14685" w:rsidRPr="007B73CD">
        <w:t xml:space="preserve">role in the protection of Indigenous rights domestically in </w:t>
      </w:r>
      <w:proofErr w:type="gramStart"/>
      <w:r w:rsidR="00B14685" w:rsidRPr="007B73CD">
        <w:t>Canda, and</w:t>
      </w:r>
      <w:proofErr w:type="gramEnd"/>
      <w:r w:rsidR="00B14685" w:rsidRPr="007B73CD">
        <w:t xml:space="preserve"> can serve as precedent for other regions</w:t>
      </w:r>
      <w:r w:rsidR="006E4E0C">
        <w:t xml:space="preserve"> globally</w:t>
      </w:r>
      <w:r w:rsidR="00B14685" w:rsidRPr="007B73CD">
        <w:t xml:space="preserve">. </w:t>
      </w:r>
    </w:p>
    <w:p w14:paraId="40CE123F" w14:textId="77777777" w:rsidR="005E2151" w:rsidRPr="007B73CD" w:rsidRDefault="005E2151" w:rsidP="00FC6571">
      <w:pPr>
        <w:pStyle w:val="NoSpacing"/>
      </w:pPr>
    </w:p>
    <w:sectPr w:rsidR="005E2151" w:rsidRPr="007B7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ABD9" w14:textId="77777777" w:rsidR="005E2151" w:rsidRDefault="005E2151" w:rsidP="005E2151">
      <w:pPr>
        <w:spacing w:after="0" w:line="240" w:lineRule="auto"/>
      </w:pPr>
      <w:r>
        <w:separator/>
      </w:r>
    </w:p>
  </w:endnote>
  <w:endnote w:type="continuationSeparator" w:id="0">
    <w:p w14:paraId="0596C307" w14:textId="77777777" w:rsidR="005E2151" w:rsidRDefault="005E2151" w:rsidP="005E2151">
      <w:pPr>
        <w:spacing w:after="0" w:line="240" w:lineRule="auto"/>
      </w:pPr>
      <w:r>
        <w:continuationSeparator/>
      </w:r>
    </w:p>
  </w:endnote>
  <w:endnote w:type="continuationNotice" w:id="1">
    <w:p w14:paraId="27A60F35" w14:textId="77777777" w:rsidR="00B42480" w:rsidRDefault="00B42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1EE3" w14:textId="77777777" w:rsidR="005E2151" w:rsidRDefault="005E2151" w:rsidP="005E2151">
      <w:pPr>
        <w:spacing w:after="0" w:line="240" w:lineRule="auto"/>
      </w:pPr>
      <w:r>
        <w:separator/>
      </w:r>
    </w:p>
  </w:footnote>
  <w:footnote w:type="continuationSeparator" w:id="0">
    <w:p w14:paraId="3A0A8F8F" w14:textId="77777777" w:rsidR="005E2151" w:rsidRDefault="005E2151" w:rsidP="005E2151">
      <w:pPr>
        <w:spacing w:after="0" w:line="240" w:lineRule="auto"/>
      </w:pPr>
      <w:r>
        <w:continuationSeparator/>
      </w:r>
    </w:p>
  </w:footnote>
  <w:footnote w:type="continuationNotice" w:id="1">
    <w:p w14:paraId="1AD296E5" w14:textId="77777777" w:rsidR="00B42480" w:rsidRDefault="00B42480">
      <w:pPr>
        <w:spacing w:after="0" w:line="240" w:lineRule="auto"/>
      </w:pPr>
    </w:p>
  </w:footnote>
  <w:footnote w:id="2">
    <w:p w14:paraId="4B96F726" w14:textId="77777777" w:rsidR="00567DA1" w:rsidRPr="00CD188A" w:rsidRDefault="00567DA1" w:rsidP="00567DA1">
      <w:pPr>
        <w:pStyle w:val="FootnoteText"/>
        <w:rPr>
          <w:rFonts w:ascii="Arial Nova Light" w:hAnsi="Arial Nova Light"/>
          <w:lang w:val="en-CA"/>
        </w:rPr>
      </w:pPr>
      <w:r w:rsidRPr="00CD188A">
        <w:rPr>
          <w:rStyle w:val="FootnoteReference"/>
          <w:rFonts w:cs="Arial"/>
        </w:rPr>
        <w:footnoteRef/>
      </w:r>
      <w:r w:rsidRPr="00CD188A">
        <w:rPr>
          <w:rFonts w:cs="Arial"/>
        </w:rPr>
        <w:t xml:space="preserve"> </w:t>
      </w:r>
      <w:r w:rsidRPr="00CD188A">
        <w:rPr>
          <w:rFonts w:cs="Arial"/>
          <w:lang w:val="en-CA"/>
        </w:rPr>
        <w:t xml:space="preserve">Recognition and Reconciliation of Rights Policy for Treaty Negotiations in British Columbia, (2019), see </w:t>
      </w:r>
      <w:hyperlink r:id="rId1" w:history="1">
        <w:r w:rsidRPr="00CD188A">
          <w:rPr>
            <w:rStyle w:val="Hyperlink"/>
            <w:rFonts w:cs="Arial"/>
            <w:color w:val="auto"/>
            <w:lang w:val="en-CA"/>
          </w:rPr>
          <w:t>https://bctreaty.ca/wp-content/uploads/2016/08/RecognitionandReconciliationofRightsPolicyforTreatyNegotiations.pdf</w:t>
        </w:r>
      </w:hyperlink>
    </w:p>
  </w:footnote>
  <w:footnote w:id="3">
    <w:p w14:paraId="196D9F8A" w14:textId="57D38A7F" w:rsidR="008F3161" w:rsidRPr="00CD188A" w:rsidRDefault="008F3161">
      <w:pPr>
        <w:pStyle w:val="FootnoteText"/>
        <w:rPr>
          <w:rFonts w:cs="Arial"/>
          <w:lang w:val="en-CA"/>
        </w:rPr>
      </w:pPr>
      <w:r w:rsidRPr="00CD188A">
        <w:rPr>
          <w:rStyle w:val="FootnoteReference"/>
          <w:rFonts w:cs="Arial"/>
        </w:rPr>
        <w:footnoteRef/>
      </w:r>
      <w:r w:rsidRPr="00CD188A">
        <w:rPr>
          <w:rFonts w:cs="Arial"/>
        </w:rPr>
        <w:t xml:space="preserve"> Please note: the BC Treaty Commission has endorsed the </w:t>
      </w:r>
      <w:r w:rsidRPr="00CD188A">
        <w:rPr>
          <w:rFonts w:cs="Arial"/>
          <w:lang w:val="en-CA"/>
        </w:rPr>
        <w:t>Coalition for the Human Rights of Indigenous Peoples</w:t>
      </w:r>
      <w:r w:rsidR="009B7167" w:rsidRPr="00CD188A">
        <w:rPr>
          <w:rFonts w:cs="Arial"/>
          <w:lang w:val="en-CA"/>
        </w:rPr>
        <w:t xml:space="preserve"> submission analyzing in detail the UNDRIPA.</w:t>
      </w:r>
    </w:p>
  </w:footnote>
  <w:footnote w:id="4">
    <w:p w14:paraId="32499EFE" w14:textId="77777777" w:rsidR="000D0D9B" w:rsidRPr="00CD188A" w:rsidRDefault="000D0D9B" w:rsidP="000D0D9B">
      <w:pPr>
        <w:pStyle w:val="NoSpacing"/>
        <w:rPr>
          <w:rFonts w:cs="Arial"/>
          <w:sz w:val="20"/>
          <w:szCs w:val="20"/>
        </w:rPr>
      </w:pPr>
      <w:r w:rsidRPr="00CD188A">
        <w:rPr>
          <w:rStyle w:val="FootnoteReference"/>
          <w:rFonts w:cs="Arial"/>
          <w:sz w:val="20"/>
          <w:szCs w:val="20"/>
        </w:rPr>
        <w:footnoteRef/>
      </w:r>
      <w:r w:rsidRPr="00CD188A">
        <w:rPr>
          <w:rFonts w:cs="Arial"/>
          <w:sz w:val="20"/>
          <w:szCs w:val="20"/>
        </w:rPr>
        <w:t xml:space="preserve"> </w:t>
      </w:r>
      <w:r w:rsidRPr="00CD188A">
        <w:rPr>
          <w:rFonts w:cs="Arial"/>
          <w:i/>
          <w:iCs/>
          <w:sz w:val="20"/>
          <w:szCs w:val="20"/>
        </w:rPr>
        <w:t>Canada's Collaborative Modern Treaty Implementation Policy</w:t>
      </w:r>
      <w:r w:rsidRPr="00CD188A">
        <w:rPr>
          <w:rFonts w:cs="Arial"/>
          <w:sz w:val="20"/>
          <w:szCs w:val="20"/>
        </w:rPr>
        <w:t xml:space="preserve">, (2023) Government of Canada, see </w:t>
      </w:r>
      <w:hyperlink r:id="rId2" w:anchor="chp7" w:history="1">
        <w:r w:rsidRPr="00CD188A">
          <w:rPr>
            <w:rStyle w:val="Hyperlink"/>
            <w:rFonts w:cs="Arial"/>
            <w:color w:val="auto"/>
            <w:sz w:val="20"/>
            <w:szCs w:val="20"/>
          </w:rPr>
          <w:t>https://www.rcaanc-cirnac.gc.ca/eng/1672771319009/1672771475448#chp7</w:t>
        </w:r>
      </w:hyperlink>
    </w:p>
  </w:footnote>
  <w:footnote w:id="5">
    <w:p w14:paraId="28BAED15" w14:textId="1DE61435" w:rsidR="003C2FD8" w:rsidRPr="00D07541" w:rsidRDefault="003C2FD8">
      <w:pPr>
        <w:pStyle w:val="FootnoteText"/>
        <w:rPr>
          <w:rFonts w:cs="Arial"/>
        </w:rPr>
      </w:pPr>
      <w:r w:rsidRPr="00CD188A">
        <w:rPr>
          <w:rStyle w:val="FootnoteReference"/>
          <w:rFonts w:cs="Arial"/>
        </w:rPr>
        <w:footnoteRef/>
      </w:r>
      <w:r w:rsidRPr="00CD188A">
        <w:rPr>
          <w:rFonts w:cs="Arial"/>
        </w:rPr>
        <w:t xml:space="preserve"> Gitanyow Governance Accord (2021), see </w:t>
      </w:r>
      <w:hyperlink r:id="rId3" w:history="1">
        <w:r w:rsidRPr="00CD188A">
          <w:rPr>
            <w:rStyle w:val="Hyperlink"/>
            <w:rFonts w:cs="Arial"/>
            <w:color w:val="auto"/>
          </w:rPr>
          <w:t>https://bctreaty.ca/wp-content/uploads/2021/12/GitanyowGovernanceAccord_August_11_2021.pdf</w:t>
        </w:r>
      </w:hyperlink>
    </w:p>
  </w:footnote>
  <w:footnote w:id="6">
    <w:p w14:paraId="7BB1D707" w14:textId="0216D049" w:rsidR="00D07541" w:rsidRPr="00CD188A" w:rsidRDefault="00D07541">
      <w:pPr>
        <w:pStyle w:val="FootnoteText"/>
        <w:rPr>
          <w:rFonts w:cs="Arial"/>
          <w:lang w:val="en-CA"/>
        </w:rPr>
      </w:pPr>
      <w:r w:rsidRPr="00CD188A">
        <w:rPr>
          <w:rStyle w:val="FootnoteReference"/>
          <w:rFonts w:cs="Arial"/>
        </w:rPr>
        <w:footnoteRef/>
      </w:r>
      <w:r w:rsidRPr="00CD188A">
        <w:rPr>
          <w:rFonts w:cs="Arial"/>
          <w:lang w:val="en-CA"/>
        </w:rPr>
        <w:t xml:space="preserve"> </w:t>
      </w:r>
      <w:proofErr w:type="spellStart"/>
      <w:r w:rsidR="00E90FB4" w:rsidRPr="00CD188A">
        <w:rPr>
          <w:rFonts w:cs="Arial"/>
          <w:lang w:val="en-CA"/>
        </w:rPr>
        <w:t>GayG̱ahlda</w:t>
      </w:r>
      <w:proofErr w:type="spellEnd"/>
      <w:r w:rsidR="00E90FB4" w:rsidRPr="00CD188A">
        <w:rPr>
          <w:rFonts w:cs="Arial"/>
          <w:lang w:val="en-CA"/>
        </w:rPr>
        <w:t xml:space="preserve"> “Changing Tide” Framework Agreement </w:t>
      </w:r>
      <w:r w:rsidRPr="00CD188A">
        <w:rPr>
          <w:rFonts w:cs="Arial"/>
          <w:lang w:val="en-CA"/>
        </w:rPr>
        <w:t xml:space="preserve">(2021) see </w:t>
      </w:r>
      <w:hyperlink r:id="rId4" w:history="1">
        <w:r w:rsidRPr="00CD188A">
          <w:rPr>
            <w:rStyle w:val="Hyperlink"/>
            <w:rFonts w:cs="Arial"/>
            <w:color w:val="auto"/>
            <w:lang w:val="en-CA"/>
          </w:rPr>
          <w:t>https://bctreaty.ca/wp-content/uploads/2021/12/GayGahldaChangingTideFrameworkforReconciliationAgreement_August_13_2021.pdf</w:t>
        </w:r>
      </w:hyperlink>
    </w:p>
  </w:footnote>
  <w:footnote w:id="7">
    <w:p w14:paraId="6CB877AD" w14:textId="50D60DAA" w:rsidR="00784929" w:rsidRPr="008F3161" w:rsidRDefault="00784929" w:rsidP="00784929">
      <w:pPr>
        <w:pStyle w:val="FootnoteText"/>
        <w:rPr>
          <w:rFonts w:cs="Arial"/>
          <w:sz w:val="18"/>
          <w:szCs w:val="18"/>
          <w:lang w:val="en-CA"/>
        </w:rPr>
      </w:pPr>
      <w:r w:rsidRPr="00CD188A">
        <w:rPr>
          <w:rStyle w:val="FootnoteReference"/>
          <w:rFonts w:cs="Arial"/>
        </w:rPr>
        <w:footnoteRef/>
      </w:r>
      <w:r w:rsidRPr="00CD188A">
        <w:rPr>
          <w:rFonts w:cs="Arial"/>
          <w:lang w:val="en-CA"/>
        </w:rPr>
        <w:t xml:space="preserve"> Haida Nation Recognition Act (2023) see </w:t>
      </w:r>
      <w:hyperlink r:id="rId5" w:history="1">
        <w:r w:rsidRPr="00CD188A">
          <w:rPr>
            <w:rStyle w:val="Hyperlink"/>
            <w:rFonts w:cs="Arial"/>
            <w:color w:val="auto"/>
            <w:lang w:val="en-CA"/>
          </w:rPr>
          <w:t>https://www.leg.bc.ca/parliamentary-business/legislation-debates-proceedings/42nd-parliament/4th-session/bills/third-reading/gov18-3</w:t>
        </w:r>
      </w:hyperlink>
      <w:r w:rsidRPr="00CD188A">
        <w:rPr>
          <w:rFonts w:cs="Arial"/>
        </w:rPr>
        <w:t xml:space="preserve"> and </w:t>
      </w:r>
      <w:hyperlink r:id="rId6" w:history="1">
        <w:r w:rsidRPr="00CD188A">
          <w:rPr>
            <w:rStyle w:val="Hyperlink"/>
            <w:rFonts w:cs="Arial"/>
            <w:color w:val="auto"/>
          </w:rPr>
          <w:t>https://www.haidanation.ca/the-haida-nation-british-columbia-and-canada-sign-the-nang-k%CC%B2uula-nang-k%CC%B2uulaas-recognition-agreement/</w:t>
        </w:r>
      </w:hyperlink>
    </w:p>
  </w:footnote>
  <w:footnote w:id="8">
    <w:p w14:paraId="65282995" w14:textId="77777777" w:rsidR="00261333" w:rsidRPr="00CD188A" w:rsidRDefault="00261333" w:rsidP="00261333">
      <w:pPr>
        <w:pStyle w:val="FootnoteText"/>
      </w:pPr>
      <w:r w:rsidRPr="00CD188A">
        <w:rPr>
          <w:rStyle w:val="FootnoteReference"/>
        </w:rPr>
        <w:footnoteRef/>
      </w:r>
      <w:r w:rsidRPr="00CD188A">
        <w:t xml:space="preserve"> Reference to the Court of Appeal of Quebec in relation with the Act respecting First Nations, Inuit and Métis children, youth and families (Order in Council No. 1288-2019) 2022 QCCA 185 (</w:t>
      </w:r>
      <w:proofErr w:type="spellStart"/>
      <w:r w:rsidRPr="00CD188A">
        <w:t>CanLII</w:t>
      </w:r>
      <w:proofErr w:type="spellEnd"/>
      <w:r w:rsidRPr="00CD188A">
        <w:t>).</w:t>
      </w:r>
    </w:p>
  </w:footnote>
  <w:footnote w:id="9">
    <w:p w14:paraId="6AF8CEB1" w14:textId="77777777" w:rsidR="00EB47CE" w:rsidRPr="00CD188A" w:rsidRDefault="00EB47CE" w:rsidP="00EB47CE">
      <w:pPr>
        <w:pStyle w:val="FootnoteText"/>
        <w:rPr>
          <w:rFonts w:cs="Arial"/>
        </w:rPr>
      </w:pPr>
      <w:r w:rsidRPr="00CD188A">
        <w:rPr>
          <w:rStyle w:val="FootnoteReference"/>
          <w:rFonts w:cs="Arial"/>
        </w:rPr>
        <w:footnoteRef/>
      </w:r>
      <w:r w:rsidRPr="00CD188A">
        <w:rPr>
          <w:rFonts w:cs="Arial"/>
        </w:rPr>
        <w:t xml:space="preserve"> Attorney General of Canada, (2022), see </w:t>
      </w:r>
      <w:hyperlink r:id="rId7" w:history="1">
        <w:r w:rsidRPr="00CD188A">
          <w:rPr>
            <w:rStyle w:val="Hyperlink"/>
            <w:rFonts w:cs="Arial"/>
            <w:color w:val="auto"/>
          </w:rPr>
          <w:t>https://www.scc-csc.ca/WebDocuments-DocumentsWeb/40061/FM025_Appellant-Respondent_Attorney-General-of-Canada_En.pdf</w:t>
        </w:r>
      </w:hyperlink>
    </w:p>
  </w:footnote>
  <w:footnote w:id="10">
    <w:p w14:paraId="27DAE0EE" w14:textId="6766E2CA" w:rsidR="00633514" w:rsidRPr="00CD188A" w:rsidRDefault="00633514" w:rsidP="00633514">
      <w:pPr>
        <w:pStyle w:val="FootnoteText"/>
        <w:rPr>
          <w:rFonts w:cs="Arial"/>
        </w:rPr>
      </w:pPr>
      <w:r w:rsidRPr="00CD188A">
        <w:rPr>
          <w:rStyle w:val="FootnoteReference"/>
          <w:rFonts w:cs="Arial"/>
        </w:rPr>
        <w:footnoteRef/>
      </w:r>
      <w:r w:rsidRPr="00CD188A">
        <w:rPr>
          <w:rFonts w:cs="Arial"/>
        </w:rPr>
        <w:t xml:space="preserve"> </w:t>
      </w:r>
      <w:r w:rsidR="0023638F" w:rsidRPr="00CD188A">
        <w:rPr>
          <w:rFonts w:cs="Arial"/>
        </w:rPr>
        <w:t>Ibid.</w:t>
      </w:r>
    </w:p>
  </w:footnote>
  <w:footnote w:id="11">
    <w:p w14:paraId="55934271" w14:textId="2F7F9435" w:rsidR="00DE2F42" w:rsidRPr="008F3161" w:rsidRDefault="00DE2F42">
      <w:pPr>
        <w:pStyle w:val="FootnoteText"/>
        <w:rPr>
          <w:rFonts w:cs="Arial"/>
          <w:sz w:val="18"/>
          <w:szCs w:val="18"/>
        </w:rPr>
      </w:pPr>
      <w:r w:rsidRPr="00CD188A">
        <w:rPr>
          <w:rStyle w:val="FootnoteReference"/>
          <w:rFonts w:cs="Arial"/>
        </w:rPr>
        <w:footnoteRef/>
      </w:r>
      <w:r w:rsidRPr="00CD188A">
        <w:rPr>
          <w:rFonts w:cs="Arial"/>
        </w:rPr>
        <w:t xml:space="preserve"> BC Treaty Commission Annual Report 2022, see </w:t>
      </w:r>
      <w:hyperlink r:id="rId8" w:history="1">
        <w:r w:rsidRPr="00CD188A">
          <w:rPr>
            <w:rStyle w:val="Hyperlink"/>
            <w:rFonts w:cs="Arial"/>
            <w:color w:val="auto"/>
          </w:rPr>
          <w:t>https://bctreaty.ca/wp-content/uploads/2022/11/BCTC_Annual_Report_2022_Digital.pdf</w:t>
        </w:r>
      </w:hyperlink>
    </w:p>
  </w:footnote>
  <w:footnote w:id="12">
    <w:p w14:paraId="3B5B1279" w14:textId="77777777" w:rsidR="00ED17CC" w:rsidRPr="00CD188A" w:rsidRDefault="00ED17CC" w:rsidP="00ED17CC">
      <w:pPr>
        <w:pStyle w:val="FootnoteText"/>
        <w:rPr>
          <w:rFonts w:cs="Arial"/>
        </w:rPr>
      </w:pPr>
      <w:r w:rsidRPr="00CD188A">
        <w:rPr>
          <w:rStyle w:val="FootnoteReference"/>
          <w:rFonts w:cs="Arial"/>
        </w:rPr>
        <w:footnoteRef/>
      </w:r>
      <w:r w:rsidRPr="00CD188A">
        <w:rPr>
          <w:rFonts w:cs="Arial"/>
        </w:rPr>
        <w:t xml:space="preserve"> Factum of the Intervener British Columbia Treaty Commission, (2023) see </w:t>
      </w:r>
      <w:hyperlink r:id="rId9" w:history="1">
        <w:r w:rsidRPr="00CD188A">
          <w:rPr>
            <w:rStyle w:val="Hyperlink"/>
            <w:rFonts w:cs="Arial"/>
            <w:color w:val="auto"/>
          </w:rPr>
          <w:t>www.scc-csc.ca/WebDocuments-DocumentsWeb/39856/FM080_Intervener_British-Columbia-Treaty-Commission.pdf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BF"/>
    <w:rsid w:val="00013BCF"/>
    <w:rsid w:val="00014675"/>
    <w:rsid w:val="00016A2A"/>
    <w:rsid w:val="000174C0"/>
    <w:rsid w:val="000254D3"/>
    <w:rsid w:val="000314A5"/>
    <w:rsid w:val="00036101"/>
    <w:rsid w:val="00036138"/>
    <w:rsid w:val="00040FBB"/>
    <w:rsid w:val="0004231C"/>
    <w:rsid w:val="00046668"/>
    <w:rsid w:val="000474CC"/>
    <w:rsid w:val="000475E3"/>
    <w:rsid w:val="00047CC8"/>
    <w:rsid w:val="0007042A"/>
    <w:rsid w:val="0007090A"/>
    <w:rsid w:val="00070A14"/>
    <w:rsid w:val="00075284"/>
    <w:rsid w:val="000757AF"/>
    <w:rsid w:val="00077728"/>
    <w:rsid w:val="00077A58"/>
    <w:rsid w:val="00082273"/>
    <w:rsid w:val="00082ACA"/>
    <w:rsid w:val="00085D38"/>
    <w:rsid w:val="0009383D"/>
    <w:rsid w:val="00094A8E"/>
    <w:rsid w:val="00096675"/>
    <w:rsid w:val="000A04C2"/>
    <w:rsid w:val="000A3C45"/>
    <w:rsid w:val="000B3F9A"/>
    <w:rsid w:val="000C666E"/>
    <w:rsid w:val="000D0D9B"/>
    <w:rsid w:val="000D3F57"/>
    <w:rsid w:val="000D47F8"/>
    <w:rsid w:val="000D5D78"/>
    <w:rsid w:val="000D7442"/>
    <w:rsid w:val="000E34AD"/>
    <w:rsid w:val="000E3985"/>
    <w:rsid w:val="000E669C"/>
    <w:rsid w:val="000F0584"/>
    <w:rsid w:val="000F2728"/>
    <w:rsid w:val="000F5DAD"/>
    <w:rsid w:val="000F64CE"/>
    <w:rsid w:val="000F6E1A"/>
    <w:rsid w:val="000F7EAC"/>
    <w:rsid w:val="001018C6"/>
    <w:rsid w:val="00101A1A"/>
    <w:rsid w:val="00117FC4"/>
    <w:rsid w:val="001213FC"/>
    <w:rsid w:val="001234AF"/>
    <w:rsid w:val="00124E84"/>
    <w:rsid w:val="00125E4D"/>
    <w:rsid w:val="001266E6"/>
    <w:rsid w:val="001329C0"/>
    <w:rsid w:val="0014081C"/>
    <w:rsid w:val="001461AE"/>
    <w:rsid w:val="00146453"/>
    <w:rsid w:val="00151E8E"/>
    <w:rsid w:val="0015521C"/>
    <w:rsid w:val="00161DBE"/>
    <w:rsid w:val="00164283"/>
    <w:rsid w:val="0016764B"/>
    <w:rsid w:val="00175F5A"/>
    <w:rsid w:val="0017733A"/>
    <w:rsid w:val="0018295B"/>
    <w:rsid w:val="00186745"/>
    <w:rsid w:val="00186D32"/>
    <w:rsid w:val="00187D0A"/>
    <w:rsid w:val="001912DB"/>
    <w:rsid w:val="001915EC"/>
    <w:rsid w:val="00191CDE"/>
    <w:rsid w:val="00191D2B"/>
    <w:rsid w:val="001A0D9C"/>
    <w:rsid w:val="001A719A"/>
    <w:rsid w:val="001B4ED3"/>
    <w:rsid w:val="001B6996"/>
    <w:rsid w:val="001C346A"/>
    <w:rsid w:val="001C5AC7"/>
    <w:rsid w:val="001C6F6E"/>
    <w:rsid w:val="001D0265"/>
    <w:rsid w:val="001D0514"/>
    <w:rsid w:val="001D2B8A"/>
    <w:rsid w:val="001D3F63"/>
    <w:rsid w:val="001D53DB"/>
    <w:rsid w:val="001E384B"/>
    <w:rsid w:val="001E6200"/>
    <w:rsid w:val="001F713B"/>
    <w:rsid w:val="001F7999"/>
    <w:rsid w:val="00201A4F"/>
    <w:rsid w:val="00202BD3"/>
    <w:rsid w:val="00212A2B"/>
    <w:rsid w:val="002138AD"/>
    <w:rsid w:val="002155D3"/>
    <w:rsid w:val="00222210"/>
    <w:rsid w:val="00224ED2"/>
    <w:rsid w:val="00227A9C"/>
    <w:rsid w:val="0023118B"/>
    <w:rsid w:val="0023124E"/>
    <w:rsid w:val="00231978"/>
    <w:rsid w:val="002353A2"/>
    <w:rsid w:val="00236221"/>
    <w:rsid w:val="0023638F"/>
    <w:rsid w:val="00241767"/>
    <w:rsid w:val="00251074"/>
    <w:rsid w:val="0025355D"/>
    <w:rsid w:val="002609F1"/>
    <w:rsid w:val="00261333"/>
    <w:rsid w:val="002646CB"/>
    <w:rsid w:val="0026614F"/>
    <w:rsid w:val="00270C51"/>
    <w:rsid w:val="00282C34"/>
    <w:rsid w:val="0028419D"/>
    <w:rsid w:val="00286D99"/>
    <w:rsid w:val="00296B78"/>
    <w:rsid w:val="0029766C"/>
    <w:rsid w:val="002A158D"/>
    <w:rsid w:val="002A2ED3"/>
    <w:rsid w:val="002A67CA"/>
    <w:rsid w:val="002B18F1"/>
    <w:rsid w:val="002C0592"/>
    <w:rsid w:val="002D3E39"/>
    <w:rsid w:val="002E76F6"/>
    <w:rsid w:val="002F7FFE"/>
    <w:rsid w:val="0030373A"/>
    <w:rsid w:val="0030634E"/>
    <w:rsid w:val="00312C6F"/>
    <w:rsid w:val="00313E3B"/>
    <w:rsid w:val="00316321"/>
    <w:rsid w:val="00320FBD"/>
    <w:rsid w:val="00321FD6"/>
    <w:rsid w:val="00322EA8"/>
    <w:rsid w:val="00334BB1"/>
    <w:rsid w:val="00340B23"/>
    <w:rsid w:val="0034120D"/>
    <w:rsid w:val="00347238"/>
    <w:rsid w:val="00353C47"/>
    <w:rsid w:val="003633BD"/>
    <w:rsid w:val="00372562"/>
    <w:rsid w:val="003734BC"/>
    <w:rsid w:val="0037399C"/>
    <w:rsid w:val="00381C17"/>
    <w:rsid w:val="0038222B"/>
    <w:rsid w:val="00384976"/>
    <w:rsid w:val="0038612B"/>
    <w:rsid w:val="00392D72"/>
    <w:rsid w:val="0039506F"/>
    <w:rsid w:val="00397CD7"/>
    <w:rsid w:val="003A1033"/>
    <w:rsid w:val="003A4170"/>
    <w:rsid w:val="003B2827"/>
    <w:rsid w:val="003B79D5"/>
    <w:rsid w:val="003C0F81"/>
    <w:rsid w:val="003C2170"/>
    <w:rsid w:val="003C28ED"/>
    <w:rsid w:val="003C2FD8"/>
    <w:rsid w:val="003C39B3"/>
    <w:rsid w:val="003E02E2"/>
    <w:rsid w:val="003F2EF0"/>
    <w:rsid w:val="003F7F61"/>
    <w:rsid w:val="00404C39"/>
    <w:rsid w:val="00406E66"/>
    <w:rsid w:val="00412AF3"/>
    <w:rsid w:val="004202C6"/>
    <w:rsid w:val="004239B3"/>
    <w:rsid w:val="00423C57"/>
    <w:rsid w:val="00426342"/>
    <w:rsid w:val="00426FE1"/>
    <w:rsid w:val="004311B6"/>
    <w:rsid w:val="004332B0"/>
    <w:rsid w:val="00441B7E"/>
    <w:rsid w:val="004438A1"/>
    <w:rsid w:val="00444975"/>
    <w:rsid w:val="00446086"/>
    <w:rsid w:val="00452882"/>
    <w:rsid w:val="0045397D"/>
    <w:rsid w:val="0045439B"/>
    <w:rsid w:val="00461F70"/>
    <w:rsid w:val="00465F95"/>
    <w:rsid w:val="00467725"/>
    <w:rsid w:val="00467CD7"/>
    <w:rsid w:val="00470697"/>
    <w:rsid w:val="004732A9"/>
    <w:rsid w:val="00476013"/>
    <w:rsid w:val="004864ED"/>
    <w:rsid w:val="00486988"/>
    <w:rsid w:val="00494594"/>
    <w:rsid w:val="004A6775"/>
    <w:rsid w:val="004A74CC"/>
    <w:rsid w:val="004B104C"/>
    <w:rsid w:val="004B1146"/>
    <w:rsid w:val="004B4A01"/>
    <w:rsid w:val="004B6456"/>
    <w:rsid w:val="004C5170"/>
    <w:rsid w:val="004C625D"/>
    <w:rsid w:val="004D498E"/>
    <w:rsid w:val="004D5326"/>
    <w:rsid w:val="004E03C2"/>
    <w:rsid w:val="004E428D"/>
    <w:rsid w:val="004E577B"/>
    <w:rsid w:val="004E57FA"/>
    <w:rsid w:val="00502C19"/>
    <w:rsid w:val="005060C2"/>
    <w:rsid w:val="00515BC3"/>
    <w:rsid w:val="00527745"/>
    <w:rsid w:val="005304E1"/>
    <w:rsid w:val="00530ACF"/>
    <w:rsid w:val="00532215"/>
    <w:rsid w:val="0053257C"/>
    <w:rsid w:val="0054066B"/>
    <w:rsid w:val="005420B8"/>
    <w:rsid w:val="00542983"/>
    <w:rsid w:val="005503F3"/>
    <w:rsid w:val="005540A1"/>
    <w:rsid w:val="005629C7"/>
    <w:rsid w:val="00563263"/>
    <w:rsid w:val="00567DA1"/>
    <w:rsid w:val="005729C2"/>
    <w:rsid w:val="00572B63"/>
    <w:rsid w:val="005737FA"/>
    <w:rsid w:val="005856D4"/>
    <w:rsid w:val="005862F1"/>
    <w:rsid w:val="005877CF"/>
    <w:rsid w:val="00595E4B"/>
    <w:rsid w:val="005961F5"/>
    <w:rsid w:val="005A079D"/>
    <w:rsid w:val="005A137B"/>
    <w:rsid w:val="005A29A1"/>
    <w:rsid w:val="005A4193"/>
    <w:rsid w:val="005B5551"/>
    <w:rsid w:val="005B5C73"/>
    <w:rsid w:val="005C5293"/>
    <w:rsid w:val="005C52F5"/>
    <w:rsid w:val="005C68AE"/>
    <w:rsid w:val="005D1DD4"/>
    <w:rsid w:val="005E2151"/>
    <w:rsid w:val="005E7089"/>
    <w:rsid w:val="005E708D"/>
    <w:rsid w:val="005F048D"/>
    <w:rsid w:val="005F1E76"/>
    <w:rsid w:val="005F60E0"/>
    <w:rsid w:val="005F63F9"/>
    <w:rsid w:val="005F6C7C"/>
    <w:rsid w:val="005F76CD"/>
    <w:rsid w:val="00603415"/>
    <w:rsid w:val="00606F63"/>
    <w:rsid w:val="006071B2"/>
    <w:rsid w:val="00624057"/>
    <w:rsid w:val="006265EB"/>
    <w:rsid w:val="00627C67"/>
    <w:rsid w:val="0063026B"/>
    <w:rsid w:val="00633514"/>
    <w:rsid w:val="00633FDE"/>
    <w:rsid w:val="00635F2D"/>
    <w:rsid w:val="00637E3D"/>
    <w:rsid w:val="00641927"/>
    <w:rsid w:val="00646CFA"/>
    <w:rsid w:val="006509CE"/>
    <w:rsid w:val="00650DE6"/>
    <w:rsid w:val="00650EC5"/>
    <w:rsid w:val="0065150C"/>
    <w:rsid w:val="00670CDE"/>
    <w:rsid w:val="00671BA7"/>
    <w:rsid w:val="00672B48"/>
    <w:rsid w:val="0067412E"/>
    <w:rsid w:val="006741D1"/>
    <w:rsid w:val="00680ABD"/>
    <w:rsid w:val="006839CB"/>
    <w:rsid w:val="0068568C"/>
    <w:rsid w:val="00686ADF"/>
    <w:rsid w:val="00687463"/>
    <w:rsid w:val="00691B61"/>
    <w:rsid w:val="0069206E"/>
    <w:rsid w:val="00694272"/>
    <w:rsid w:val="00697E69"/>
    <w:rsid w:val="006A05C8"/>
    <w:rsid w:val="006A0CF3"/>
    <w:rsid w:val="006A1B84"/>
    <w:rsid w:val="006B2D27"/>
    <w:rsid w:val="006B37F6"/>
    <w:rsid w:val="006B615B"/>
    <w:rsid w:val="006B6869"/>
    <w:rsid w:val="006C18AF"/>
    <w:rsid w:val="006C5E0B"/>
    <w:rsid w:val="006C7D3A"/>
    <w:rsid w:val="006D3C8D"/>
    <w:rsid w:val="006D44B9"/>
    <w:rsid w:val="006D69FC"/>
    <w:rsid w:val="006D7C27"/>
    <w:rsid w:val="006E3C90"/>
    <w:rsid w:val="006E4E0C"/>
    <w:rsid w:val="006E6FE6"/>
    <w:rsid w:val="006F05B9"/>
    <w:rsid w:val="006F0849"/>
    <w:rsid w:val="006F0E5F"/>
    <w:rsid w:val="006F10D0"/>
    <w:rsid w:val="006F4834"/>
    <w:rsid w:val="006F4B0E"/>
    <w:rsid w:val="006F7723"/>
    <w:rsid w:val="00710414"/>
    <w:rsid w:val="00710EA6"/>
    <w:rsid w:val="00711E40"/>
    <w:rsid w:val="0071291C"/>
    <w:rsid w:val="00720721"/>
    <w:rsid w:val="007243B9"/>
    <w:rsid w:val="0072683F"/>
    <w:rsid w:val="00734D7D"/>
    <w:rsid w:val="00737F54"/>
    <w:rsid w:val="00743765"/>
    <w:rsid w:val="00745F90"/>
    <w:rsid w:val="00750EFD"/>
    <w:rsid w:val="00752981"/>
    <w:rsid w:val="00755BCA"/>
    <w:rsid w:val="00755D33"/>
    <w:rsid w:val="007560EF"/>
    <w:rsid w:val="00763391"/>
    <w:rsid w:val="00763E12"/>
    <w:rsid w:val="00767C19"/>
    <w:rsid w:val="00772A83"/>
    <w:rsid w:val="00773795"/>
    <w:rsid w:val="0078162C"/>
    <w:rsid w:val="00784929"/>
    <w:rsid w:val="007857E5"/>
    <w:rsid w:val="007929BF"/>
    <w:rsid w:val="007A5680"/>
    <w:rsid w:val="007B73CD"/>
    <w:rsid w:val="007C1D85"/>
    <w:rsid w:val="007D55E7"/>
    <w:rsid w:val="007D5E71"/>
    <w:rsid w:val="007D6D11"/>
    <w:rsid w:val="007E050D"/>
    <w:rsid w:val="007E1DA6"/>
    <w:rsid w:val="007F353B"/>
    <w:rsid w:val="007F7A79"/>
    <w:rsid w:val="008002F1"/>
    <w:rsid w:val="008019FA"/>
    <w:rsid w:val="0080241D"/>
    <w:rsid w:val="00802DC5"/>
    <w:rsid w:val="008173E2"/>
    <w:rsid w:val="008253A8"/>
    <w:rsid w:val="008253E2"/>
    <w:rsid w:val="00827B0F"/>
    <w:rsid w:val="00835527"/>
    <w:rsid w:val="00840C3A"/>
    <w:rsid w:val="00841410"/>
    <w:rsid w:val="00845BC5"/>
    <w:rsid w:val="00845E0D"/>
    <w:rsid w:val="00857E0F"/>
    <w:rsid w:val="00866C69"/>
    <w:rsid w:val="00872DC8"/>
    <w:rsid w:val="008764BF"/>
    <w:rsid w:val="008768CF"/>
    <w:rsid w:val="00885533"/>
    <w:rsid w:val="008900A8"/>
    <w:rsid w:val="008A0E63"/>
    <w:rsid w:val="008B0645"/>
    <w:rsid w:val="008B4FA0"/>
    <w:rsid w:val="008C3EC1"/>
    <w:rsid w:val="008C4088"/>
    <w:rsid w:val="008C4268"/>
    <w:rsid w:val="008C4A4E"/>
    <w:rsid w:val="008C62DD"/>
    <w:rsid w:val="008C699B"/>
    <w:rsid w:val="008C720A"/>
    <w:rsid w:val="008D0E6B"/>
    <w:rsid w:val="008D54DF"/>
    <w:rsid w:val="008D6FEF"/>
    <w:rsid w:val="008E2007"/>
    <w:rsid w:val="008E5FEB"/>
    <w:rsid w:val="008E7615"/>
    <w:rsid w:val="008F30E8"/>
    <w:rsid w:val="008F3161"/>
    <w:rsid w:val="008F4828"/>
    <w:rsid w:val="008F4F69"/>
    <w:rsid w:val="008F6E78"/>
    <w:rsid w:val="008F7CE4"/>
    <w:rsid w:val="00904D09"/>
    <w:rsid w:val="00910298"/>
    <w:rsid w:val="00912062"/>
    <w:rsid w:val="00915DB5"/>
    <w:rsid w:val="0092056A"/>
    <w:rsid w:val="00923771"/>
    <w:rsid w:val="00925C55"/>
    <w:rsid w:val="00927F91"/>
    <w:rsid w:val="00934206"/>
    <w:rsid w:val="009373AA"/>
    <w:rsid w:val="0093784B"/>
    <w:rsid w:val="00940CA1"/>
    <w:rsid w:val="0094335F"/>
    <w:rsid w:val="00944CA4"/>
    <w:rsid w:val="00953569"/>
    <w:rsid w:val="009547C9"/>
    <w:rsid w:val="00964B2C"/>
    <w:rsid w:val="009650DD"/>
    <w:rsid w:val="00967351"/>
    <w:rsid w:val="00975728"/>
    <w:rsid w:val="00981393"/>
    <w:rsid w:val="00984708"/>
    <w:rsid w:val="00985BA8"/>
    <w:rsid w:val="0098613F"/>
    <w:rsid w:val="00986F0F"/>
    <w:rsid w:val="0099399E"/>
    <w:rsid w:val="009939A1"/>
    <w:rsid w:val="009A4C21"/>
    <w:rsid w:val="009A5BBD"/>
    <w:rsid w:val="009B12E3"/>
    <w:rsid w:val="009B427C"/>
    <w:rsid w:val="009B7167"/>
    <w:rsid w:val="009C1905"/>
    <w:rsid w:val="009C6C9E"/>
    <w:rsid w:val="009D6A53"/>
    <w:rsid w:val="009E0FB2"/>
    <w:rsid w:val="009E1D6C"/>
    <w:rsid w:val="009E412C"/>
    <w:rsid w:val="009E5881"/>
    <w:rsid w:val="009F1238"/>
    <w:rsid w:val="009F6889"/>
    <w:rsid w:val="00A0185A"/>
    <w:rsid w:val="00A05695"/>
    <w:rsid w:val="00A11397"/>
    <w:rsid w:val="00A15521"/>
    <w:rsid w:val="00A214B8"/>
    <w:rsid w:val="00A2191F"/>
    <w:rsid w:val="00A2329E"/>
    <w:rsid w:val="00A25696"/>
    <w:rsid w:val="00A42244"/>
    <w:rsid w:val="00A514F4"/>
    <w:rsid w:val="00A53601"/>
    <w:rsid w:val="00A6077B"/>
    <w:rsid w:val="00A61909"/>
    <w:rsid w:val="00A634BF"/>
    <w:rsid w:val="00A65CF0"/>
    <w:rsid w:val="00A75B02"/>
    <w:rsid w:val="00A80CF8"/>
    <w:rsid w:val="00A9409D"/>
    <w:rsid w:val="00A952BF"/>
    <w:rsid w:val="00A96E06"/>
    <w:rsid w:val="00AA2370"/>
    <w:rsid w:val="00AA49E7"/>
    <w:rsid w:val="00AA52EF"/>
    <w:rsid w:val="00AA56FC"/>
    <w:rsid w:val="00AA5E4D"/>
    <w:rsid w:val="00AA7465"/>
    <w:rsid w:val="00AB0E6D"/>
    <w:rsid w:val="00AB429F"/>
    <w:rsid w:val="00AB55D2"/>
    <w:rsid w:val="00AC464C"/>
    <w:rsid w:val="00AD0C98"/>
    <w:rsid w:val="00AD4AFB"/>
    <w:rsid w:val="00AD6AC8"/>
    <w:rsid w:val="00AE1AF7"/>
    <w:rsid w:val="00AE6EEB"/>
    <w:rsid w:val="00AF511D"/>
    <w:rsid w:val="00B13324"/>
    <w:rsid w:val="00B13FFF"/>
    <w:rsid w:val="00B14685"/>
    <w:rsid w:val="00B21905"/>
    <w:rsid w:val="00B26BAF"/>
    <w:rsid w:val="00B27DFE"/>
    <w:rsid w:val="00B30233"/>
    <w:rsid w:val="00B3592F"/>
    <w:rsid w:val="00B42480"/>
    <w:rsid w:val="00B4299C"/>
    <w:rsid w:val="00B429A0"/>
    <w:rsid w:val="00B5794F"/>
    <w:rsid w:val="00B60BAC"/>
    <w:rsid w:val="00B652DF"/>
    <w:rsid w:val="00B6581D"/>
    <w:rsid w:val="00B7242E"/>
    <w:rsid w:val="00B73C5B"/>
    <w:rsid w:val="00B85C68"/>
    <w:rsid w:val="00B94B94"/>
    <w:rsid w:val="00B97989"/>
    <w:rsid w:val="00BA0627"/>
    <w:rsid w:val="00BA4ECC"/>
    <w:rsid w:val="00BA684B"/>
    <w:rsid w:val="00BB3BF3"/>
    <w:rsid w:val="00BB7C18"/>
    <w:rsid w:val="00BC2939"/>
    <w:rsid w:val="00BD00F8"/>
    <w:rsid w:val="00BD1AED"/>
    <w:rsid w:val="00BD1FAA"/>
    <w:rsid w:val="00BD405D"/>
    <w:rsid w:val="00BE0EA6"/>
    <w:rsid w:val="00BF70BB"/>
    <w:rsid w:val="00C14C24"/>
    <w:rsid w:val="00C15CBC"/>
    <w:rsid w:val="00C179DF"/>
    <w:rsid w:val="00C2159B"/>
    <w:rsid w:val="00C21B89"/>
    <w:rsid w:val="00C24B06"/>
    <w:rsid w:val="00C264F0"/>
    <w:rsid w:val="00C270A6"/>
    <w:rsid w:val="00C350DB"/>
    <w:rsid w:val="00C35327"/>
    <w:rsid w:val="00C36F17"/>
    <w:rsid w:val="00C436FA"/>
    <w:rsid w:val="00C54ABC"/>
    <w:rsid w:val="00C64FE5"/>
    <w:rsid w:val="00C823FA"/>
    <w:rsid w:val="00C874AE"/>
    <w:rsid w:val="00C91BA5"/>
    <w:rsid w:val="00C92F4B"/>
    <w:rsid w:val="00C93E7F"/>
    <w:rsid w:val="00C96FA2"/>
    <w:rsid w:val="00CA3EE7"/>
    <w:rsid w:val="00CA425C"/>
    <w:rsid w:val="00CA6E8F"/>
    <w:rsid w:val="00CB4B77"/>
    <w:rsid w:val="00CC106B"/>
    <w:rsid w:val="00CC3922"/>
    <w:rsid w:val="00CC39E0"/>
    <w:rsid w:val="00CC7D28"/>
    <w:rsid w:val="00CD01D8"/>
    <w:rsid w:val="00CD0779"/>
    <w:rsid w:val="00CD130D"/>
    <w:rsid w:val="00CD188A"/>
    <w:rsid w:val="00CE1034"/>
    <w:rsid w:val="00CE1284"/>
    <w:rsid w:val="00CF3CBC"/>
    <w:rsid w:val="00CF3EA8"/>
    <w:rsid w:val="00D01A30"/>
    <w:rsid w:val="00D04988"/>
    <w:rsid w:val="00D05F4A"/>
    <w:rsid w:val="00D06A13"/>
    <w:rsid w:val="00D07541"/>
    <w:rsid w:val="00D07E13"/>
    <w:rsid w:val="00D161B5"/>
    <w:rsid w:val="00D23F6C"/>
    <w:rsid w:val="00D30E49"/>
    <w:rsid w:val="00D35BC5"/>
    <w:rsid w:val="00D35E0C"/>
    <w:rsid w:val="00D5000D"/>
    <w:rsid w:val="00D54947"/>
    <w:rsid w:val="00D55250"/>
    <w:rsid w:val="00D56AF5"/>
    <w:rsid w:val="00D6545D"/>
    <w:rsid w:val="00D67E82"/>
    <w:rsid w:val="00D764C7"/>
    <w:rsid w:val="00D822BE"/>
    <w:rsid w:val="00D9252A"/>
    <w:rsid w:val="00D9308C"/>
    <w:rsid w:val="00D96BE3"/>
    <w:rsid w:val="00D97376"/>
    <w:rsid w:val="00DB1FB1"/>
    <w:rsid w:val="00DB791A"/>
    <w:rsid w:val="00DC06AF"/>
    <w:rsid w:val="00DC1039"/>
    <w:rsid w:val="00DC6727"/>
    <w:rsid w:val="00DD6577"/>
    <w:rsid w:val="00DD69F9"/>
    <w:rsid w:val="00DE0807"/>
    <w:rsid w:val="00DE2F42"/>
    <w:rsid w:val="00DE3B20"/>
    <w:rsid w:val="00DE4177"/>
    <w:rsid w:val="00DE5EBC"/>
    <w:rsid w:val="00DF2B07"/>
    <w:rsid w:val="00DF4A6F"/>
    <w:rsid w:val="00DF6F35"/>
    <w:rsid w:val="00E111BD"/>
    <w:rsid w:val="00E1216A"/>
    <w:rsid w:val="00E1419B"/>
    <w:rsid w:val="00E15CA3"/>
    <w:rsid w:val="00E15F90"/>
    <w:rsid w:val="00E16DA5"/>
    <w:rsid w:val="00E23D31"/>
    <w:rsid w:val="00E35A26"/>
    <w:rsid w:val="00E36D39"/>
    <w:rsid w:val="00E40DD6"/>
    <w:rsid w:val="00E41C93"/>
    <w:rsid w:val="00E42773"/>
    <w:rsid w:val="00E42B4B"/>
    <w:rsid w:val="00E45938"/>
    <w:rsid w:val="00E45E57"/>
    <w:rsid w:val="00E47D10"/>
    <w:rsid w:val="00E53DF2"/>
    <w:rsid w:val="00E61EA6"/>
    <w:rsid w:val="00E772F3"/>
    <w:rsid w:val="00E77460"/>
    <w:rsid w:val="00E8166F"/>
    <w:rsid w:val="00E83071"/>
    <w:rsid w:val="00E83F9B"/>
    <w:rsid w:val="00E85F93"/>
    <w:rsid w:val="00E90D53"/>
    <w:rsid w:val="00E90FB4"/>
    <w:rsid w:val="00EA1309"/>
    <w:rsid w:val="00EA3D40"/>
    <w:rsid w:val="00EA3EA9"/>
    <w:rsid w:val="00EA4704"/>
    <w:rsid w:val="00EA7670"/>
    <w:rsid w:val="00EB1B6C"/>
    <w:rsid w:val="00EB24A6"/>
    <w:rsid w:val="00EB47CE"/>
    <w:rsid w:val="00EB613A"/>
    <w:rsid w:val="00EC07E1"/>
    <w:rsid w:val="00EC3960"/>
    <w:rsid w:val="00EC513D"/>
    <w:rsid w:val="00ED0FAC"/>
    <w:rsid w:val="00ED17CC"/>
    <w:rsid w:val="00ED7275"/>
    <w:rsid w:val="00EE043E"/>
    <w:rsid w:val="00EE2500"/>
    <w:rsid w:val="00EE33F9"/>
    <w:rsid w:val="00EF6EB6"/>
    <w:rsid w:val="00F043B6"/>
    <w:rsid w:val="00F04477"/>
    <w:rsid w:val="00F1022D"/>
    <w:rsid w:val="00F13242"/>
    <w:rsid w:val="00F15545"/>
    <w:rsid w:val="00F22805"/>
    <w:rsid w:val="00F24571"/>
    <w:rsid w:val="00F254AB"/>
    <w:rsid w:val="00F270E5"/>
    <w:rsid w:val="00F3099E"/>
    <w:rsid w:val="00F40FF8"/>
    <w:rsid w:val="00F42718"/>
    <w:rsid w:val="00F42E6E"/>
    <w:rsid w:val="00F4358D"/>
    <w:rsid w:val="00F50EA8"/>
    <w:rsid w:val="00F520EF"/>
    <w:rsid w:val="00F54E28"/>
    <w:rsid w:val="00F56283"/>
    <w:rsid w:val="00F60B77"/>
    <w:rsid w:val="00F61470"/>
    <w:rsid w:val="00F62661"/>
    <w:rsid w:val="00F64BE6"/>
    <w:rsid w:val="00F65BF0"/>
    <w:rsid w:val="00F70F15"/>
    <w:rsid w:val="00F76489"/>
    <w:rsid w:val="00F9081C"/>
    <w:rsid w:val="00F953DE"/>
    <w:rsid w:val="00F96262"/>
    <w:rsid w:val="00F96ED1"/>
    <w:rsid w:val="00FA7878"/>
    <w:rsid w:val="00FB0534"/>
    <w:rsid w:val="00FB0BB9"/>
    <w:rsid w:val="00FB0C93"/>
    <w:rsid w:val="00FB7105"/>
    <w:rsid w:val="00FC6571"/>
    <w:rsid w:val="00FC7D1D"/>
    <w:rsid w:val="00FD0A63"/>
    <w:rsid w:val="00FD35B9"/>
    <w:rsid w:val="00FD51AF"/>
    <w:rsid w:val="00FD6ECD"/>
    <w:rsid w:val="00FD72CF"/>
    <w:rsid w:val="00FD7F1F"/>
    <w:rsid w:val="00FE17A7"/>
    <w:rsid w:val="00FE46BF"/>
    <w:rsid w:val="00FE47D0"/>
    <w:rsid w:val="00FE677A"/>
    <w:rsid w:val="00FF731B"/>
    <w:rsid w:val="0120373F"/>
    <w:rsid w:val="01A8A3DB"/>
    <w:rsid w:val="01E737A6"/>
    <w:rsid w:val="02B6FA89"/>
    <w:rsid w:val="03948B8D"/>
    <w:rsid w:val="04678D0E"/>
    <w:rsid w:val="04749458"/>
    <w:rsid w:val="04C127F3"/>
    <w:rsid w:val="04E3F913"/>
    <w:rsid w:val="054A469A"/>
    <w:rsid w:val="05B4D446"/>
    <w:rsid w:val="05CCA66D"/>
    <w:rsid w:val="0640B05F"/>
    <w:rsid w:val="067CFD08"/>
    <w:rsid w:val="0691B3FD"/>
    <w:rsid w:val="0773F10E"/>
    <w:rsid w:val="0864FBAA"/>
    <w:rsid w:val="08BA3BE9"/>
    <w:rsid w:val="09C5BB48"/>
    <w:rsid w:val="0A8183DB"/>
    <w:rsid w:val="0AFDB511"/>
    <w:rsid w:val="0B78E12E"/>
    <w:rsid w:val="0BE3FAD8"/>
    <w:rsid w:val="0C093EA0"/>
    <w:rsid w:val="0CB53D85"/>
    <w:rsid w:val="0D11BF7C"/>
    <w:rsid w:val="0D1945F1"/>
    <w:rsid w:val="0D2985A6"/>
    <w:rsid w:val="0D82C516"/>
    <w:rsid w:val="0DD582B3"/>
    <w:rsid w:val="0E649A95"/>
    <w:rsid w:val="0E8C1F11"/>
    <w:rsid w:val="0E97185C"/>
    <w:rsid w:val="0EE9380E"/>
    <w:rsid w:val="0EFE4B81"/>
    <w:rsid w:val="0F64F33F"/>
    <w:rsid w:val="0F651B78"/>
    <w:rsid w:val="0F745E11"/>
    <w:rsid w:val="0FF2247C"/>
    <w:rsid w:val="102E210E"/>
    <w:rsid w:val="10BAC5FA"/>
    <w:rsid w:val="115133EA"/>
    <w:rsid w:val="1162F171"/>
    <w:rsid w:val="11E4F0EC"/>
    <w:rsid w:val="122B34E6"/>
    <w:rsid w:val="127631F2"/>
    <w:rsid w:val="12D8810E"/>
    <w:rsid w:val="1318D2DD"/>
    <w:rsid w:val="14254633"/>
    <w:rsid w:val="1489D0CB"/>
    <w:rsid w:val="148A9B14"/>
    <w:rsid w:val="1499AADC"/>
    <w:rsid w:val="14A819F7"/>
    <w:rsid w:val="14D6E716"/>
    <w:rsid w:val="152BCA71"/>
    <w:rsid w:val="15985A4A"/>
    <w:rsid w:val="1601C9BD"/>
    <w:rsid w:val="17A79C13"/>
    <w:rsid w:val="185282A8"/>
    <w:rsid w:val="18D50222"/>
    <w:rsid w:val="18EC33F7"/>
    <w:rsid w:val="19D58F53"/>
    <w:rsid w:val="1A39FD85"/>
    <w:rsid w:val="1A7B6D60"/>
    <w:rsid w:val="1BD09928"/>
    <w:rsid w:val="1C4311A0"/>
    <w:rsid w:val="1E2627FF"/>
    <w:rsid w:val="1F6458FB"/>
    <w:rsid w:val="1FBF2FE2"/>
    <w:rsid w:val="213F4830"/>
    <w:rsid w:val="2235F4E8"/>
    <w:rsid w:val="226ADE18"/>
    <w:rsid w:val="2275B3D4"/>
    <w:rsid w:val="22BC0617"/>
    <w:rsid w:val="22F177B6"/>
    <w:rsid w:val="256FCE3D"/>
    <w:rsid w:val="26E09591"/>
    <w:rsid w:val="275BA57D"/>
    <w:rsid w:val="27B75946"/>
    <w:rsid w:val="27F0FED2"/>
    <w:rsid w:val="284FE2BC"/>
    <w:rsid w:val="29A5C00F"/>
    <w:rsid w:val="29EB7B9B"/>
    <w:rsid w:val="2A62D28D"/>
    <w:rsid w:val="2A64E6FC"/>
    <w:rsid w:val="2AC4B0A7"/>
    <w:rsid w:val="2BC0A512"/>
    <w:rsid w:val="2BE2F30E"/>
    <w:rsid w:val="2C19CC43"/>
    <w:rsid w:val="2C53901F"/>
    <w:rsid w:val="2C5761A9"/>
    <w:rsid w:val="2CA18658"/>
    <w:rsid w:val="2D7DB485"/>
    <w:rsid w:val="2DA21764"/>
    <w:rsid w:val="2DB0CEF5"/>
    <w:rsid w:val="2E1D3DF0"/>
    <w:rsid w:val="301CF71E"/>
    <w:rsid w:val="303C4B9D"/>
    <w:rsid w:val="30F5FAFC"/>
    <w:rsid w:val="30FFFD35"/>
    <w:rsid w:val="310DEF85"/>
    <w:rsid w:val="3199999B"/>
    <w:rsid w:val="320CC631"/>
    <w:rsid w:val="3227D745"/>
    <w:rsid w:val="32790AA7"/>
    <w:rsid w:val="328EF491"/>
    <w:rsid w:val="33744302"/>
    <w:rsid w:val="33D3372F"/>
    <w:rsid w:val="348BB52B"/>
    <w:rsid w:val="349D55A4"/>
    <w:rsid w:val="34CFAFFB"/>
    <w:rsid w:val="350C2893"/>
    <w:rsid w:val="353B34D8"/>
    <w:rsid w:val="361A095B"/>
    <w:rsid w:val="361FE803"/>
    <w:rsid w:val="369BB45C"/>
    <w:rsid w:val="37866A8D"/>
    <w:rsid w:val="37D63479"/>
    <w:rsid w:val="382C3CF8"/>
    <w:rsid w:val="384BB034"/>
    <w:rsid w:val="38C09244"/>
    <w:rsid w:val="392C5288"/>
    <w:rsid w:val="39328935"/>
    <w:rsid w:val="39A8B36B"/>
    <w:rsid w:val="3AFD70C0"/>
    <w:rsid w:val="3B7589FF"/>
    <w:rsid w:val="3B9B412E"/>
    <w:rsid w:val="3C2335D3"/>
    <w:rsid w:val="3C7BFDDE"/>
    <w:rsid w:val="3CABFDF6"/>
    <w:rsid w:val="3CC6A522"/>
    <w:rsid w:val="3CE95A31"/>
    <w:rsid w:val="3D0DE0F2"/>
    <w:rsid w:val="3D48886C"/>
    <w:rsid w:val="3DBBC29C"/>
    <w:rsid w:val="3DC2F041"/>
    <w:rsid w:val="3DF42312"/>
    <w:rsid w:val="3E072B24"/>
    <w:rsid w:val="3E3A5859"/>
    <w:rsid w:val="3F470AA5"/>
    <w:rsid w:val="3F5EEF4A"/>
    <w:rsid w:val="3FA0322B"/>
    <w:rsid w:val="3FE0778A"/>
    <w:rsid w:val="40DD04C2"/>
    <w:rsid w:val="41063D26"/>
    <w:rsid w:val="412099F0"/>
    <w:rsid w:val="427D7342"/>
    <w:rsid w:val="42C39826"/>
    <w:rsid w:val="42DCF259"/>
    <w:rsid w:val="42F2F388"/>
    <w:rsid w:val="43B1404E"/>
    <w:rsid w:val="4454485E"/>
    <w:rsid w:val="44E58D27"/>
    <w:rsid w:val="4558F726"/>
    <w:rsid w:val="45862779"/>
    <w:rsid w:val="467349DF"/>
    <w:rsid w:val="469135D2"/>
    <w:rsid w:val="469A2ADB"/>
    <w:rsid w:val="46F108E1"/>
    <w:rsid w:val="4781D9C3"/>
    <w:rsid w:val="47B39F72"/>
    <w:rsid w:val="47F3398C"/>
    <w:rsid w:val="485AE392"/>
    <w:rsid w:val="485E6632"/>
    <w:rsid w:val="486481BD"/>
    <w:rsid w:val="488F5FC3"/>
    <w:rsid w:val="496A6930"/>
    <w:rsid w:val="4983875D"/>
    <w:rsid w:val="49ACCF6E"/>
    <w:rsid w:val="49E78D8B"/>
    <w:rsid w:val="4A3B6EDC"/>
    <w:rsid w:val="4B5F173E"/>
    <w:rsid w:val="4BB30FF0"/>
    <w:rsid w:val="4C18127C"/>
    <w:rsid w:val="4D042452"/>
    <w:rsid w:val="4D165B48"/>
    <w:rsid w:val="4D9122BE"/>
    <w:rsid w:val="4DF7B474"/>
    <w:rsid w:val="4E41338A"/>
    <w:rsid w:val="4E6E8586"/>
    <w:rsid w:val="4ECA705D"/>
    <w:rsid w:val="4ED46F81"/>
    <w:rsid w:val="4F4300BE"/>
    <w:rsid w:val="4FF9EC1E"/>
    <w:rsid w:val="507C11DC"/>
    <w:rsid w:val="51A18E72"/>
    <w:rsid w:val="51B04545"/>
    <w:rsid w:val="51B04C18"/>
    <w:rsid w:val="521878D1"/>
    <w:rsid w:val="52FB7D18"/>
    <w:rsid w:val="5355CCB8"/>
    <w:rsid w:val="5384BEB6"/>
    <w:rsid w:val="54076B4E"/>
    <w:rsid w:val="55319640"/>
    <w:rsid w:val="5570E158"/>
    <w:rsid w:val="5592CA26"/>
    <w:rsid w:val="55ABF283"/>
    <w:rsid w:val="56739AA1"/>
    <w:rsid w:val="56886206"/>
    <w:rsid w:val="56CAEC90"/>
    <w:rsid w:val="56E11D2C"/>
    <w:rsid w:val="574610C3"/>
    <w:rsid w:val="57E71049"/>
    <w:rsid w:val="58993F81"/>
    <w:rsid w:val="5D39A79C"/>
    <w:rsid w:val="5E417A2C"/>
    <w:rsid w:val="5E7A829A"/>
    <w:rsid w:val="5EB3497B"/>
    <w:rsid w:val="5F26DDFE"/>
    <w:rsid w:val="615FFA98"/>
    <w:rsid w:val="61808A2B"/>
    <w:rsid w:val="62B53674"/>
    <w:rsid w:val="646E3205"/>
    <w:rsid w:val="647EB04C"/>
    <w:rsid w:val="652A3D67"/>
    <w:rsid w:val="65C69FA4"/>
    <w:rsid w:val="65CF8949"/>
    <w:rsid w:val="65F99BA3"/>
    <w:rsid w:val="66164FD5"/>
    <w:rsid w:val="66624152"/>
    <w:rsid w:val="667574DD"/>
    <w:rsid w:val="66E88F09"/>
    <w:rsid w:val="66FA59E1"/>
    <w:rsid w:val="67CAED89"/>
    <w:rsid w:val="686B370D"/>
    <w:rsid w:val="68B72898"/>
    <w:rsid w:val="68C1CE75"/>
    <w:rsid w:val="69A5DAC2"/>
    <w:rsid w:val="69D93333"/>
    <w:rsid w:val="69FC2523"/>
    <w:rsid w:val="6A5020CB"/>
    <w:rsid w:val="6B27F46D"/>
    <w:rsid w:val="6BB697C4"/>
    <w:rsid w:val="6BFA748B"/>
    <w:rsid w:val="6C5F4F05"/>
    <w:rsid w:val="6C96FF69"/>
    <w:rsid w:val="6CBC7F37"/>
    <w:rsid w:val="6CC97385"/>
    <w:rsid w:val="6CD7DB14"/>
    <w:rsid w:val="6D593B83"/>
    <w:rsid w:val="6DFF1DE2"/>
    <w:rsid w:val="6E4CF2B4"/>
    <w:rsid w:val="6E6C1A25"/>
    <w:rsid w:val="6E7BC165"/>
    <w:rsid w:val="6F03B6CB"/>
    <w:rsid w:val="6F0C06F5"/>
    <w:rsid w:val="6F0C3B08"/>
    <w:rsid w:val="728197DA"/>
    <w:rsid w:val="733F1C71"/>
    <w:rsid w:val="7397DD10"/>
    <w:rsid w:val="73A62467"/>
    <w:rsid w:val="73FB6ED6"/>
    <w:rsid w:val="7427F111"/>
    <w:rsid w:val="746D2741"/>
    <w:rsid w:val="74A1D20D"/>
    <w:rsid w:val="74C83267"/>
    <w:rsid w:val="74EA22FB"/>
    <w:rsid w:val="74ECBD49"/>
    <w:rsid w:val="74F36C5C"/>
    <w:rsid w:val="7631D074"/>
    <w:rsid w:val="766AA9A9"/>
    <w:rsid w:val="771A4CDD"/>
    <w:rsid w:val="776CAB35"/>
    <w:rsid w:val="77968ABE"/>
    <w:rsid w:val="78189A67"/>
    <w:rsid w:val="78441E9D"/>
    <w:rsid w:val="7883AC47"/>
    <w:rsid w:val="78883ED3"/>
    <w:rsid w:val="7898C6FC"/>
    <w:rsid w:val="78E0B248"/>
    <w:rsid w:val="78E6EF0D"/>
    <w:rsid w:val="78FEA002"/>
    <w:rsid w:val="793CD85B"/>
    <w:rsid w:val="79A947BE"/>
    <w:rsid w:val="79AAD220"/>
    <w:rsid w:val="7A095F48"/>
    <w:rsid w:val="7A73E516"/>
    <w:rsid w:val="7B2EB344"/>
    <w:rsid w:val="7B3B8335"/>
    <w:rsid w:val="7BA8B071"/>
    <w:rsid w:val="7DD9E8E8"/>
    <w:rsid w:val="7E476A2D"/>
    <w:rsid w:val="7EF5EB66"/>
    <w:rsid w:val="7F42D212"/>
    <w:rsid w:val="7F4A3CE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B3B9F18"/>
  <w15:docId w15:val="{1A62E25C-4346-460F-B0C5-B2D6D6D2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71"/>
    <w:rPr>
      <w:rFonts w:ascii="Arial" w:hAnsi="Arial"/>
      <w:sz w:val="22"/>
    </w:rPr>
  </w:style>
  <w:style w:type="paragraph" w:styleId="Heading1">
    <w:name w:val="heading 1"/>
    <w:basedOn w:val="Normal"/>
    <w:next w:val="Normal"/>
    <w:link w:val="Heading1Char"/>
    <w:uiPriority w:val="9"/>
    <w:qFormat/>
    <w:rsid w:val="00876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6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76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6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76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4BF"/>
    <w:rPr>
      <w:rFonts w:eastAsiaTheme="majorEastAsia" w:cstheme="majorBidi"/>
      <w:color w:val="272727" w:themeColor="text1" w:themeTint="D8"/>
    </w:rPr>
  </w:style>
  <w:style w:type="paragraph" w:styleId="Title">
    <w:name w:val="Title"/>
    <w:basedOn w:val="Normal"/>
    <w:next w:val="Normal"/>
    <w:link w:val="TitleChar"/>
    <w:uiPriority w:val="10"/>
    <w:qFormat/>
    <w:rsid w:val="00876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4BF"/>
    <w:pPr>
      <w:spacing w:before="160"/>
      <w:jc w:val="center"/>
    </w:pPr>
    <w:rPr>
      <w:i/>
      <w:iCs/>
      <w:color w:val="404040" w:themeColor="text1" w:themeTint="BF"/>
    </w:rPr>
  </w:style>
  <w:style w:type="character" w:customStyle="1" w:styleId="QuoteChar">
    <w:name w:val="Quote Char"/>
    <w:basedOn w:val="DefaultParagraphFont"/>
    <w:link w:val="Quote"/>
    <w:uiPriority w:val="29"/>
    <w:rsid w:val="008764BF"/>
    <w:rPr>
      <w:i/>
      <w:iCs/>
      <w:color w:val="404040" w:themeColor="text1" w:themeTint="BF"/>
    </w:rPr>
  </w:style>
  <w:style w:type="paragraph" w:styleId="ListParagraph">
    <w:name w:val="List Paragraph"/>
    <w:basedOn w:val="Normal"/>
    <w:uiPriority w:val="34"/>
    <w:qFormat/>
    <w:rsid w:val="008764BF"/>
    <w:pPr>
      <w:ind w:left="720"/>
      <w:contextualSpacing/>
    </w:pPr>
  </w:style>
  <w:style w:type="character" w:styleId="IntenseEmphasis">
    <w:name w:val="Intense Emphasis"/>
    <w:basedOn w:val="DefaultParagraphFont"/>
    <w:uiPriority w:val="21"/>
    <w:qFormat/>
    <w:rsid w:val="008764BF"/>
    <w:rPr>
      <w:i/>
      <w:iCs/>
      <w:color w:val="0F4761" w:themeColor="accent1" w:themeShade="BF"/>
    </w:rPr>
  </w:style>
  <w:style w:type="paragraph" w:styleId="IntenseQuote">
    <w:name w:val="Intense Quote"/>
    <w:basedOn w:val="Normal"/>
    <w:next w:val="Normal"/>
    <w:link w:val="IntenseQuoteChar"/>
    <w:uiPriority w:val="30"/>
    <w:qFormat/>
    <w:rsid w:val="00876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4BF"/>
    <w:rPr>
      <w:i/>
      <w:iCs/>
      <w:color w:val="0F4761" w:themeColor="accent1" w:themeShade="BF"/>
    </w:rPr>
  </w:style>
  <w:style w:type="character" w:styleId="IntenseReference">
    <w:name w:val="Intense Reference"/>
    <w:basedOn w:val="DefaultParagraphFont"/>
    <w:uiPriority w:val="32"/>
    <w:qFormat/>
    <w:rsid w:val="008764BF"/>
    <w:rPr>
      <w:b/>
      <w:bCs/>
      <w:smallCaps/>
      <w:color w:val="0F4761" w:themeColor="accent1" w:themeShade="BF"/>
      <w:spacing w:val="5"/>
    </w:rPr>
  </w:style>
  <w:style w:type="paragraph" w:customStyle="1" w:styleId="text--eyebrow">
    <w:name w:val="text--eyebrow"/>
    <w:basedOn w:val="Normal"/>
    <w:rsid w:val="008764B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customStyle="1" w:styleId="text--body-copy">
    <w:name w:val="text--body-copy"/>
    <w:basedOn w:val="Normal"/>
    <w:rsid w:val="008764B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txt-bold">
    <w:name w:val="txt-bold"/>
    <w:basedOn w:val="DefaultParagraphFont"/>
    <w:rsid w:val="008764BF"/>
  </w:style>
  <w:style w:type="character" w:customStyle="1" w:styleId="text--body-copy1">
    <w:name w:val="text--body-copy1"/>
    <w:basedOn w:val="DefaultParagraphFont"/>
    <w:rsid w:val="008764BF"/>
  </w:style>
  <w:style w:type="paragraph" w:styleId="NormalWeb">
    <w:name w:val="Normal (Web)"/>
    <w:basedOn w:val="Normal"/>
    <w:uiPriority w:val="99"/>
    <w:semiHidden/>
    <w:unhideWhenUsed/>
    <w:rsid w:val="008764BF"/>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Strong">
    <w:name w:val="Strong"/>
    <w:basedOn w:val="DefaultParagraphFont"/>
    <w:uiPriority w:val="22"/>
    <w:qFormat/>
    <w:rsid w:val="008764BF"/>
    <w:rPr>
      <w:b/>
      <w:bCs/>
    </w:rPr>
  </w:style>
  <w:style w:type="character" w:styleId="Emphasis">
    <w:name w:val="Emphasis"/>
    <w:basedOn w:val="DefaultParagraphFont"/>
    <w:uiPriority w:val="20"/>
    <w:qFormat/>
    <w:rsid w:val="008764BF"/>
    <w:rPr>
      <w:i/>
      <w:iCs/>
    </w:rPr>
  </w:style>
  <w:style w:type="character" w:styleId="Hyperlink">
    <w:name w:val="Hyperlink"/>
    <w:basedOn w:val="DefaultParagraphFont"/>
    <w:uiPriority w:val="99"/>
    <w:unhideWhenUsed/>
    <w:rsid w:val="008764BF"/>
    <w:rPr>
      <w:color w:val="0000FF"/>
      <w:u w:val="single"/>
    </w:rPr>
  </w:style>
  <w:style w:type="paragraph" w:styleId="FootnoteText">
    <w:name w:val="footnote text"/>
    <w:aliases w:val="5_G"/>
    <w:basedOn w:val="Normal"/>
    <w:link w:val="FootnoteTextChar"/>
    <w:uiPriority w:val="99"/>
    <w:unhideWhenUsed/>
    <w:qFormat/>
    <w:rsid w:val="005E2151"/>
    <w:pPr>
      <w:spacing w:after="0" w:line="240" w:lineRule="auto"/>
    </w:pPr>
    <w:rPr>
      <w:kern w:val="0"/>
      <w:sz w:val="20"/>
      <w:szCs w:val="20"/>
      <w:lang w:val="en-US"/>
      <w14:ligatures w14:val="none"/>
    </w:rPr>
  </w:style>
  <w:style w:type="character" w:customStyle="1" w:styleId="FootnoteTextChar">
    <w:name w:val="Footnote Text Char"/>
    <w:aliases w:val="5_G Char"/>
    <w:basedOn w:val="DefaultParagraphFont"/>
    <w:link w:val="FootnoteText"/>
    <w:uiPriority w:val="99"/>
    <w:semiHidden/>
    <w:rsid w:val="005E2151"/>
    <w:rPr>
      <w:kern w:val="0"/>
      <w:sz w:val="20"/>
      <w:szCs w:val="20"/>
      <w:lang w:val="en-US"/>
      <w14:ligatures w14:val="none"/>
    </w:rPr>
  </w:style>
  <w:style w:type="character" w:styleId="FootnoteReference">
    <w:name w:val="footnote reference"/>
    <w:aliases w:val="4_G"/>
    <w:basedOn w:val="DefaultParagraphFont"/>
    <w:uiPriority w:val="99"/>
    <w:unhideWhenUsed/>
    <w:qFormat/>
    <w:rsid w:val="005E2151"/>
    <w:rPr>
      <w:vertAlign w:val="superscript"/>
    </w:rPr>
  </w:style>
  <w:style w:type="paragraph" w:styleId="NoSpacing">
    <w:name w:val="No Spacing"/>
    <w:uiPriority w:val="1"/>
    <w:qFormat/>
    <w:rsid w:val="00FC6571"/>
    <w:pPr>
      <w:spacing w:after="0" w:line="240" w:lineRule="auto"/>
    </w:pPr>
    <w:rPr>
      <w:rFonts w:ascii="Arial" w:hAnsi="Arial"/>
      <w:kern w:val="0"/>
      <w:sz w:val="22"/>
      <w:lang w:val="en-US"/>
      <w14:ligatures w14:val="none"/>
    </w:rPr>
  </w:style>
  <w:style w:type="character" w:styleId="UnresolvedMention">
    <w:name w:val="Unresolved Mention"/>
    <w:basedOn w:val="DefaultParagraphFont"/>
    <w:uiPriority w:val="99"/>
    <w:semiHidden/>
    <w:unhideWhenUsed/>
    <w:rsid w:val="001D2B8A"/>
    <w:rPr>
      <w:color w:val="605E5C"/>
      <w:shd w:val="clear" w:color="auto" w:fill="E1DFDD"/>
    </w:rPr>
  </w:style>
  <w:style w:type="paragraph" w:styleId="Header">
    <w:name w:val="header"/>
    <w:basedOn w:val="Normal"/>
    <w:link w:val="HeaderChar"/>
    <w:uiPriority w:val="99"/>
    <w:unhideWhenUsed/>
    <w:rsid w:val="005629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9C7"/>
  </w:style>
  <w:style w:type="paragraph" w:styleId="Footer">
    <w:name w:val="footer"/>
    <w:basedOn w:val="Normal"/>
    <w:link w:val="FooterChar"/>
    <w:uiPriority w:val="99"/>
    <w:unhideWhenUsed/>
    <w:rsid w:val="0056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9C7"/>
  </w:style>
  <w:style w:type="character" w:styleId="FollowedHyperlink">
    <w:name w:val="FollowedHyperlink"/>
    <w:basedOn w:val="DefaultParagraphFont"/>
    <w:uiPriority w:val="99"/>
    <w:semiHidden/>
    <w:unhideWhenUsed/>
    <w:rsid w:val="00ED17CC"/>
    <w:rPr>
      <w:color w:val="96607D" w:themeColor="followedHyperlink"/>
      <w:u w:val="single"/>
    </w:rPr>
  </w:style>
  <w:style w:type="character" w:styleId="CommentReference">
    <w:name w:val="annotation reference"/>
    <w:basedOn w:val="DefaultParagraphFont"/>
    <w:uiPriority w:val="99"/>
    <w:semiHidden/>
    <w:unhideWhenUsed/>
    <w:rsid w:val="00A05695"/>
    <w:rPr>
      <w:sz w:val="16"/>
      <w:szCs w:val="16"/>
    </w:rPr>
  </w:style>
  <w:style w:type="paragraph" w:styleId="CommentText">
    <w:name w:val="annotation text"/>
    <w:basedOn w:val="Normal"/>
    <w:link w:val="CommentTextChar"/>
    <w:uiPriority w:val="99"/>
    <w:unhideWhenUsed/>
    <w:rsid w:val="00A05695"/>
    <w:pPr>
      <w:spacing w:line="240" w:lineRule="auto"/>
    </w:pPr>
    <w:rPr>
      <w:sz w:val="20"/>
      <w:szCs w:val="20"/>
    </w:rPr>
  </w:style>
  <w:style w:type="character" w:customStyle="1" w:styleId="CommentTextChar">
    <w:name w:val="Comment Text Char"/>
    <w:basedOn w:val="DefaultParagraphFont"/>
    <w:link w:val="CommentText"/>
    <w:uiPriority w:val="99"/>
    <w:rsid w:val="00A05695"/>
    <w:rPr>
      <w:sz w:val="20"/>
      <w:szCs w:val="20"/>
    </w:rPr>
  </w:style>
  <w:style w:type="paragraph" w:styleId="CommentSubject">
    <w:name w:val="annotation subject"/>
    <w:basedOn w:val="CommentText"/>
    <w:next w:val="CommentText"/>
    <w:link w:val="CommentSubjectChar"/>
    <w:uiPriority w:val="99"/>
    <w:semiHidden/>
    <w:unhideWhenUsed/>
    <w:rsid w:val="00A05695"/>
    <w:rPr>
      <w:b/>
      <w:bCs/>
    </w:rPr>
  </w:style>
  <w:style w:type="character" w:customStyle="1" w:styleId="CommentSubjectChar">
    <w:name w:val="Comment Subject Char"/>
    <w:basedOn w:val="CommentTextChar"/>
    <w:link w:val="CommentSubject"/>
    <w:uiPriority w:val="99"/>
    <w:semiHidden/>
    <w:rsid w:val="00A05695"/>
    <w:rPr>
      <w:b/>
      <w:bCs/>
      <w:sz w:val="20"/>
      <w:szCs w:val="20"/>
    </w:rPr>
  </w:style>
  <w:style w:type="paragraph" w:styleId="Revision">
    <w:name w:val="Revision"/>
    <w:hidden/>
    <w:uiPriority w:val="99"/>
    <w:semiHidden/>
    <w:rsid w:val="00FF731B"/>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61935">
      <w:bodyDiv w:val="1"/>
      <w:marLeft w:val="0"/>
      <w:marRight w:val="0"/>
      <w:marTop w:val="0"/>
      <w:marBottom w:val="0"/>
      <w:divBdr>
        <w:top w:val="none" w:sz="0" w:space="0" w:color="auto"/>
        <w:left w:val="none" w:sz="0" w:space="0" w:color="auto"/>
        <w:bottom w:val="none" w:sz="0" w:space="0" w:color="auto"/>
        <w:right w:val="none" w:sz="0" w:space="0" w:color="auto"/>
      </w:divBdr>
    </w:div>
    <w:div w:id="421487699">
      <w:bodyDiv w:val="1"/>
      <w:marLeft w:val="0"/>
      <w:marRight w:val="0"/>
      <w:marTop w:val="0"/>
      <w:marBottom w:val="0"/>
      <w:divBdr>
        <w:top w:val="none" w:sz="0" w:space="0" w:color="auto"/>
        <w:left w:val="none" w:sz="0" w:space="0" w:color="auto"/>
        <w:bottom w:val="none" w:sz="0" w:space="0" w:color="auto"/>
        <w:right w:val="none" w:sz="0" w:space="0" w:color="auto"/>
      </w:divBdr>
    </w:div>
    <w:div w:id="580408627">
      <w:bodyDiv w:val="1"/>
      <w:marLeft w:val="0"/>
      <w:marRight w:val="0"/>
      <w:marTop w:val="0"/>
      <w:marBottom w:val="0"/>
      <w:divBdr>
        <w:top w:val="none" w:sz="0" w:space="0" w:color="auto"/>
        <w:left w:val="none" w:sz="0" w:space="0" w:color="auto"/>
        <w:bottom w:val="none" w:sz="0" w:space="0" w:color="auto"/>
        <w:right w:val="none" w:sz="0" w:space="0" w:color="auto"/>
      </w:divBdr>
    </w:div>
    <w:div w:id="645860890">
      <w:bodyDiv w:val="1"/>
      <w:marLeft w:val="0"/>
      <w:marRight w:val="0"/>
      <w:marTop w:val="0"/>
      <w:marBottom w:val="0"/>
      <w:divBdr>
        <w:top w:val="none" w:sz="0" w:space="0" w:color="auto"/>
        <w:left w:val="none" w:sz="0" w:space="0" w:color="auto"/>
        <w:bottom w:val="none" w:sz="0" w:space="0" w:color="auto"/>
        <w:right w:val="none" w:sz="0" w:space="0" w:color="auto"/>
      </w:divBdr>
      <w:divsChild>
        <w:div w:id="1010178958">
          <w:marLeft w:val="0"/>
          <w:marRight w:val="0"/>
          <w:marTop w:val="0"/>
          <w:marBottom w:val="0"/>
          <w:divBdr>
            <w:top w:val="none" w:sz="0" w:space="0" w:color="auto"/>
            <w:left w:val="none" w:sz="0" w:space="0" w:color="auto"/>
            <w:bottom w:val="none" w:sz="0" w:space="0" w:color="auto"/>
            <w:right w:val="none" w:sz="0" w:space="0" w:color="auto"/>
          </w:divBdr>
          <w:divsChild>
            <w:div w:id="202715988">
              <w:marLeft w:val="0"/>
              <w:marRight w:val="0"/>
              <w:marTop w:val="100"/>
              <w:marBottom w:val="100"/>
              <w:divBdr>
                <w:top w:val="none" w:sz="0" w:space="0" w:color="auto"/>
                <w:left w:val="none" w:sz="0" w:space="0" w:color="auto"/>
                <w:bottom w:val="none" w:sz="0" w:space="0" w:color="auto"/>
                <w:right w:val="none" w:sz="0" w:space="0" w:color="auto"/>
              </w:divBdr>
              <w:divsChild>
                <w:div w:id="539246392">
                  <w:marLeft w:val="0"/>
                  <w:marRight w:val="0"/>
                  <w:marTop w:val="0"/>
                  <w:marBottom w:val="0"/>
                  <w:divBdr>
                    <w:top w:val="none" w:sz="0" w:space="0" w:color="auto"/>
                    <w:left w:val="none" w:sz="0" w:space="0" w:color="auto"/>
                    <w:bottom w:val="none" w:sz="0" w:space="0" w:color="auto"/>
                    <w:right w:val="none" w:sz="0" w:space="0" w:color="auto"/>
                  </w:divBdr>
                  <w:divsChild>
                    <w:div w:id="943683466">
                      <w:marLeft w:val="0"/>
                      <w:marRight w:val="0"/>
                      <w:marTop w:val="0"/>
                      <w:marBottom w:val="0"/>
                      <w:divBdr>
                        <w:top w:val="none" w:sz="0" w:space="0" w:color="auto"/>
                        <w:left w:val="none" w:sz="0" w:space="0" w:color="auto"/>
                        <w:bottom w:val="none" w:sz="0" w:space="0" w:color="auto"/>
                        <w:right w:val="none" w:sz="0" w:space="0" w:color="auto"/>
                      </w:divBdr>
                    </w:div>
                  </w:divsChild>
                </w:div>
                <w:div w:id="1161307873">
                  <w:marLeft w:val="0"/>
                  <w:marRight w:val="0"/>
                  <w:marTop w:val="0"/>
                  <w:marBottom w:val="0"/>
                  <w:divBdr>
                    <w:top w:val="none" w:sz="0" w:space="0" w:color="auto"/>
                    <w:left w:val="none" w:sz="0" w:space="0" w:color="auto"/>
                    <w:bottom w:val="none" w:sz="0" w:space="0" w:color="auto"/>
                    <w:right w:val="none" w:sz="0" w:space="0" w:color="auto"/>
                  </w:divBdr>
                  <w:divsChild>
                    <w:div w:id="1902448009">
                      <w:marLeft w:val="0"/>
                      <w:marRight w:val="0"/>
                      <w:marTop w:val="0"/>
                      <w:marBottom w:val="0"/>
                      <w:divBdr>
                        <w:top w:val="none" w:sz="0" w:space="0" w:color="auto"/>
                        <w:left w:val="none" w:sz="0" w:space="0" w:color="auto"/>
                        <w:bottom w:val="none" w:sz="0" w:space="0" w:color="auto"/>
                        <w:right w:val="none" w:sz="0" w:space="0" w:color="auto"/>
                      </w:divBdr>
                    </w:div>
                  </w:divsChild>
                </w:div>
                <w:div w:id="15512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737">
          <w:marLeft w:val="0"/>
          <w:marRight w:val="0"/>
          <w:marTop w:val="0"/>
          <w:marBottom w:val="0"/>
          <w:divBdr>
            <w:top w:val="none" w:sz="0" w:space="0" w:color="auto"/>
            <w:left w:val="none" w:sz="0" w:space="0" w:color="auto"/>
            <w:bottom w:val="none" w:sz="0" w:space="0" w:color="auto"/>
            <w:right w:val="none" w:sz="0" w:space="0" w:color="auto"/>
          </w:divBdr>
          <w:divsChild>
            <w:div w:id="737244901">
              <w:marLeft w:val="0"/>
              <w:marRight w:val="0"/>
              <w:marTop w:val="0"/>
              <w:marBottom w:val="0"/>
              <w:divBdr>
                <w:top w:val="none" w:sz="0" w:space="0" w:color="auto"/>
                <w:left w:val="none" w:sz="0" w:space="0" w:color="auto"/>
                <w:bottom w:val="none" w:sz="0" w:space="0" w:color="auto"/>
                <w:right w:val="none" w:sz="0" w:space="0" w:color="auto"/>
              </w:divBdr>
              <w:divsChild>
                <w:div w:id="485895906">
                  <w:marLeft w:val="0"/>
                  <w:marRight w:val="0"/>
                  <w:marTop w:val="0"/>
                  <w:marBottom w:val="0"/>
                  <w:divBdr>
                    <w:top w:val="none" w:sz="0" w:space="0" w:color="auto"/>
                    <w:left w:val="none" w:sz="0" w:space="0" w:color="auto"/>
                    <w:bottom w:val="none" w:sz="0" w:space="0" w:color="auto"/>
                    <w:right w:val="none" w:sz="0" w:space="0" w:color="auto"/>
                  </w:divBdr>
                  <w:divsChild>
                    <w:div w:id="526413896">
                      <w:marLeft w:val="0"/>
                      <w:marRight w:val="0"/>
                      <w:marTop w:val="0"/>
                      <w:marBottom w:val="0"/>
                      <w:divBdr>
                        <w:top w:val="none" w:sz="0" w:space="0" w:color="auto"/>
                        <w:left w:val="none" w:sz="0" w:space="0" w:color="auto"/>
                        <w:bottom w:val="none" w:sz="0" w:space="0" w:color="auto"/>
                        <w:right w:val="none" w:sz="0" w:space="0" w:color="auto"/>
                      </w:divBdr>
                      <w:divsChild>
                        <w:div w:id="621960064">
                          <w:marLeft w:val="0"/>
                          <w:marRight w:val="0"/>
                          <w:marTop w:val="0"/>
                          <w:marBottom w:val="0"/>
                          <w:divBdr>
                            <w:top w:val="none" w:sz="0" w:space="0" w:color="auto"/>
                            <w:left w:val="none" w:sz="0" w:space="0" w:color="auto"/>
                            <w:bottom w:val="none" w:sz="0" w:space="0" w:color="auto"/>
                            <w:right w:val="none" w:sz="0" w:space="0" w:color="auto"/>
                          </w:divBdr>
                        </w:div>
                        <w:div w:id="13923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8335">
      <w:bodyDiv w:val="1"/>
      <w:marLeft w:val="0"/>
      <w:marRight w:val="0"/>
      <w:marTop w:val="0"/>
      <w:marBottom w:val="0"/>
      <w:divBdr>
        <w:top w:val="none" w:sz="0" w:space="0" w:color="auto"/>
        <w:left w:val="none" w:sz="0" w:space="0" w:color="auto"/>
        <w:bottom w:val="none" w:sz="0" w:space="0" w:color="auto"/>
        <w:right w:val="none" w:sz="0" w:space="0" w:color="auto"/>
      </w:divBdr>
    </w:div>
    <w:div w:id="947736210">
      <w:bodyDiv w:val="1"/>
      <w:marLeft w:val="0"/>
      <w:marRight w:val="0"/>
      <w:marTop w:val="0"/>
      <w:marBottom w:val="0"/>
      <w:divBdr>
        <w:top w:val="none" w:sz="0" w:space="0" w:color="auto"/>
        <w:left w:val="none" w:sz="0" w:space="0" w:color="auto"/>
        <w:bottom w:val="none" w:sz="0" w:space="0" w:color="auto"/>
        <w:right w:val="none" w:sz="0" w:space="0" w:color="auto"/>
      </w:divBdr>
    </w:div>
    <w:div w:id="980768763">
      <w:bodyDiv w:val="1"/>
      <w:marLeft w:val="0"/>
      <w:marRight w:val="0"/>
      <w:marTop w:val="0"/>
      <w:marBottom w:val="0"/>
      <w:divBdr>
        <w:top w:val="none" w:sz="0" w:space="0" w:color="auto"/>
        <w:left w:val="none" w:sz="0" w:space="0" w:color="auto"/>
        <w:bottom w:val="none" w:sz="0" w:space="0" w:color="auto"/>
        <w:right w:val="none" w:sz="0" w:space="0" w:color="auto"/>
      </w:divBdr>
    </w:div>
    <w:div w:id="1073163374">
      <w:bodyDiv w:val="1"/>
      <w:marLeft w:val="0"/>
      <w:marRight w:val="0"/>
      <w:marTop w:val="0"/>
      <w:marBottom w:val="0"/>
      <w:divBdr>
        <w:top w:val="none" w:sz="0" w:space="0" w:color="auto"/>
        <w:left w:val="none" w:sz="0" w:space="0" w:color="auto"/>
        <w:bottom w:val="none" w:sz="0" w:space="0" w:color="auto"/>
        <w:right w:val="none" w:sz="0" w:space="0" w:color="auto"/>
      </w:divBdr>
    </w:div>
    <w:div w:id="1449081906">
      <w:bodyDiv w:val="1"/>
      <w:marLeft w:val="0"/>
      <w:marRight w:val="0"/>
      <w:marTop w:val="0"/>
      <w:marBottom w:val="0"/>
      <w:divBdr>
        <w:top w:val="none" w:sz="0" w:space="0" w:color="auto"/>
        <w:left w:val="none" w:sz="0" w:space="0" w:color="auto"/>
        <w:bottom w:val="none" w:sz="0" w:space="0" w:color="auto"/>
        <w:right w:val="none" w:sz="0" w:space="0" w:color="auto"/>
      </w:divBdr>
    </w:div>
    <w:div w:id="1705902399">
      <w:bodyDiv w:val="1"/>
      <w:marLeft w:val="0"/>
      <w:marRight w:val="0"/>
      <w:marTop w:val="0"/>
      <w:marBottom w:val="0"/>
      <w:divBdr>
        <w:top w:val="none" w:sz="0" w:space="0" w:color="auto"/>
        <w:left w:val="none" w:sz="0" w:space="0" w:color="auto"/>
        <w:bottom w:val="none" w:sz="0" w:space="0" w:color="auto"/>
        <w:right w:val="none" w:sz="0" w:space="0" w:color="auto"/>
      </w:divBdr>
    </w:div>
    <w:div w:id="1768230631">
      <w:bodyDiv w:val="1"/>
      <w:marLeft w:val="0"/>
      <w:marRight w:val="0"/>
      <w:marTop w:val="0"/>
      <w:marBottom w:val="0"/>
      <w:divBdr>
        <w:top w:val="none" w:sz="0" w:space="0" w:color="auto"/>
        <w:left w:val="none" w:sz="0" w:space="0" w:color="auto"/>
        <w:bottom w:val="none" w:sz="0" w:space="0" w:color="auto"/>
        <w:right w:val="none" w:sz="0" w:space="0" w:color="auto"/>
      </w:divBdr>
    </w:div>
    <w:div w:id="2089575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bctreaty.ca/wp-content/uploads/2022/11/BCTC_Annual_Report_2022_Digital.pdf" TargetMode="External"/><Relationship Id="rId3" Type="http://schemas.openxmlformats.org/officeDocument/2006/relationships/hyperlink" Target="https://bctreaty.ca/wp-content/uploads/2021/12/GitanyowGovernanceAccord_August_11_2021.pdf" TargetMode="External"/><Relationship Id="rId7" Type="http://schemas.openxmlformats.org/officeDocument/2006/relationships/hyperlink" Target="https://www.scc-csc.ca/WebDocuments-DocumentsWeb/40061/FM025_Appellant-Respondent_Attorney-General-of-Canada_En.pdf" TargetMode="External"/><Relationship Id="rId2" Type="http://schemas.openxmlformats.org/officeDocument/2006/relationships/hyperlink" Target="https://www.rcaanc-cirnac.gc.ca/eng/1672771319009/1672771475448" TargetMode="External"/><Relationship Id="rId1" Type="http://schemas.openxmlformats.org/officeDocument/2006/relationships/hyperlink" Target="https://bctreaty.ca/wp-content/uploads/2016/08/RecognitionandReconciliationofRightsPolicyforTreatyNegotiations.pdf" TargetMode="External"/><Relationship Id="rId6" Type="http://schemas.openxmlformats.org/officeDocument/2006/relationships/hyperlink" Target="https://www.haidanation.ca/the-haida-nation-british-columbia-and-canada-sign-the-nang-k%CC%B2uula-nang-k%CC%B2uulaas-recognition-agreement/" TargetMode="External"/><Relationship Id="rId5" Type="http://schemas.openxmlformats.org/officeDocument/2006/relationships/hyperlink" Target="https://www.leg.bc.ca/parliamentary-business/legislation-debates-proceedings/42nd-parliament/4th-session/bills/third-reading/gov18-3" TargetMode="External"/><Relationship Id="rId4" Type="http://schemas.openxmlformats.org/officeDocument/2006/relationships/hyperlink" Target="https://bctreaty.ca/wp-content/uploads/2021/12/GayGahldaChangingTideFrameworkforReconciliationAgreement_August_13_2021.pdf" TargetMode="External"/><Relationship Id="rId9" Type="http://schemas.openxmlformats.org/officeDocument/2006/relationships/hyperlink" Target="http://www.scc-csc.ca/WebDocuments-DocumentsWeb/39856/FM080_Intervener_British-Columbia-Treaty-Com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B80C2201-50B9-4517-A50C-A8FF19E6618B}">
  <ds:schemaRefs>
    <ds:schemaRef ds:uri="http://schemas.openxmlformats.org/officeDocument/2006/bibliography"/>
  </ds:schemaRefs>
</ds:datastoreItem>
</file>

<file path=customXml/itemProps2.xml><?xml version="1.0" encoding="utf-8"?>
<ds:datastoreItem xmlns:ds="http://schemas.openxmlformats.org/officeDocument/2006/customXml" ds:itemID="{A003CEE9-C451-4998-9BE6-975587883BC5}"/>
</file>

<file path=customXml/itemProps3.xml><?xml version="1.0" encoding="utf-8"?>
<ds:datastoreItem xmlns:ds="http://schemas.openxmlformats.org/officeDocument/2006/customXml" ds:itemID="{3728D0FA-68DC-4B58-97AF-28C54572F162}"/>
</file>

<file path=customXml/itemProps4.xml><?xml version="1.0" encoding="utf-8"?>
<ds:datastoreItem xmlns:ds="http://schemas.openxmlformats.org/officeDocument/2006/customXml" ds:itemID="{FCC1918F-B336-4DD5-B843-4C16CFED395C}"/>
</file>

<file path=docProps/app.xml><?xml version="1.0" encoding="utf-8"?>
<Properties xmlns="http://schemas.openxmlformats.org/officeDocument/2006/extended-properties" xmlns:vt="http://schemas.openxmlformats.org/officeDocument/2006/docPropsVTypes">
  <Template>Normal.dotm</Template>
  <TotalTime>1</TotalTime>
  <Pages>5</Pages>
  <Words>2250</Words>
  <Characters>12831</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Treaty Commission</dc:creator>
  <cp:keywords/>
  <dc:description/>
  <cp:lastModifiedBy>Atina Pamei Gaare</cp:lastModifiedBy>
  <cp:revision>2</cp:revision>
  <cp:lastPrinted>2024-01-24T19:57:00Z</cp:lastPrinted>
  <dcterms:created xsi:type="dcterms:W3CDTF">2024-02-01T09:38:00Z</dcterms:created>
  <dcterms:modified xsi:type="dcterms:W3CDTF">2024-02-01T09:38:00Z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