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0050" w14:textId="77777777" w:rsidR="004E6CF5" w:rsidRDefault="004E6CF5" w:rsidP="004E6CF5">
      <w:pPr>
        <w:spacing w:after="0" w:line="240" w:lineRule="auto"/>
        <w:jc w:val="both"/>
        <w:rPr>
          <w:rFonts w:ascii="Arial" w:hAnsi="Arial" w:cs="Arial"/>
        </w:rPr>
      </w:pPr>
    </w:p>
    <w:p w14:paraId="71BAD51A" w14:textId="3D70DAA5" w:rsidR="004E6CF5" w:rsidRDefault="004E6CF5" w:rsidP="004E6CF5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C24627" wp14:editId="6E729952">
            <wp:simplePos x="0" y="0"/>
            <wp:positionH relativeFrom="margin">
              <wp:posOffset>1813560</wp:posOffset>
            </wp:positionH>
            <wp:positionV relativeFrom="margin">
              <wp:posOffset>355600</wp:posOffset>
            </wp:positionV>
            <wp:extent cx="2260600" cy="2603500"/>
            <wp:effectExtent l="0" t="0" r="0" b="0"/>
            <wp:wrapTopAndBottom/>
            <wp:docPr id="408321646" name="Picture 1" descr="Hi-res t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-res t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09827195"/>
      <w:bookmarkStart w:id="1" w:name="_Toc309827274"/>
      <w:bookmarkStart w:id="2" w:name="_Toc309827397"/>
      <w:bookmarkStart w:id="3" w:name="_Toc309827451"/>
      <w:bookmarkStart w:id="4" w:name="_Toc309829896"/>
      <w:bookmarkStart w:id="5" w:name="_Toc465158338"/>
      <w:bookmarkStart w:id="6" w:name="_Toc465166319"/>
      <w:bookmarkStart w:id="7" w:name="_Toc465409437"/>
      <w:bookmarkStart w:id="8" w:name="_Toc465413714"/>
      <w:bookmarkStart w:id="9" w:name="_Toc46595142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78E30B2" w14:textId="77777777" w:rsidR="004E6CF5" w:rsidRDefault="004E6CF5" w:rsidP="004E6C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EEE606" w14:textId="77777777" w:rsidR="004E6CF5" w:rsidRDefault="004E6CF5" w:rsidP="004E6C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FB20FD" w14:textId="77777777" w:rsidR="004E6CF5" w:rsidRDefault="004E6CF5" w:rsidP="004E6C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2D5536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2AE783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Assembly of First Nations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53005FD6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696703" w14:textId="34AE7020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0" w:name="_Hlk128391325"/>
      <w:r>
        <w:rPr>
          <w:rFonts w:ascii="Arial" w:hAnsi="Arial" w:cs="Arial"/>
          <w:b/>
          <w:bCs/>
          <w:sz w:val="28"/>
          <w:szCs w:val="28"/>
        </w:rPr>
        <w:t>Submission to</w:t>
      </w:r>
      <w:r>
        <w:rPr>
          <w:rFonts w:ascii="Arial" w:hAnsi="Arial" w:cs="Arial"/>
          <w:b/>
          <w:bCs/>
          <w:sz w:val="28"/>
          <w:szCs w:val="28"/>
        </w:rPr>
        <w:t xml:space="preserve"> the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Expert Mechanism on the Rights of Indigenous Peoples </w:t>
      </w:r>
    </w:p>
    <w:p w14:paraId="76A1C8DC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A399E8" w14:textId="314AF2A1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</w:rPr>
        <w:t xml:space="preserve">RE: </w:t>
      </w:r>
      <w:r>
        <w:rPr>
          <w:rFonts w:ascii="Arial" w:hAnsi="Arial" w:cs="Arial"/>
          <w:b/>
          <w:sz w:val="28"/>
        </w:rPr>
        <w:t>S</w:t>
      </w:r>
      <w:r w:rsidRPr="004E6CF5">
        <w:rPr>
          <w:rFonts w:ascii="Arial" w:hAnsi="Arial" w:cs="Arial"/>
          <w:b/>
          <w:sz w:val="28"/>
        </w:rPr>
        <w:t>tudy on state action to achieve the ends of the United Nations Declaration on the Rights of Indigenous Peoples</w:t>
      </w:r>
    </w:p>
    <w:p w14:paraId="1A542809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bookmarkEnd w:id="10"/>
    <w:p w14:paraId="2A1A5B66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311532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070166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CD5E8D" w14:textId="6BD03D4B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13, 2024</w:t>
      </w:r>
    </w:p>
    <w:p w14:paraId="42B11F6A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0EF755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3338D7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382975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ECDE64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FD1004" w14:textId="77777777" w:rsidR="004E6CF5" w:rsidRDefault="004E6CF5" w:rsidP="004E6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145DA1" w14:textId="77777777" w:rsidR="004E6CF5" w:rsidRDefault="004E6CF5">
      <w:pPr>
        <w:rPr>
          <w:rFonts w:ascii="Arial" w:hAnsi="Arial" w:cs="Arial"/>
        </w:rPr>
      </w:pPr>
    </w:p>
    <w:p w14:paraId="1E1F0562" w14:textId="3D762273" w:rsidR="00605116" w:rsidRDefault="00D50CD4" w:rsidP="004E6CF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Assembly of First Nations (AFN) welcomes the </w:t>
      </w:r>
      <w:r w:rsidR="00BB20A2">
        <w:rPr>
          <w:rFonts w:ascii="Arial" w:hAnsi="Arial" w:cs="Arial"/>
        </w:rPr>
        <w:t>Expert Mechanism’s</w:t>
      </w:r>
      <w:r>
        <w:rPr>
          <w:rFonts w:ascii="Arial" w:hAnsi="Arial" w:cs="Arial"/>
        </w:rPr>
        <w:t xml:space="preserve"> study on “</w:t>
      </w:r>
      <w:r w:rsidR="006D513E">
        <w:rPr>
          <w:rFonts w:ascii="Arial" w:hAnsi="Arial" w:cs="Arial"/>
        </w:rPr>
        <w:t>L</w:t>
      </w:r>
      <w:r w:rsidR="00573B99" w:rsidRPr="00573B99">
        <w:rPr>
          <w:rFonts w:ascii="Arial" w:hAnsi="Arial" w:cs="Arial"/>
        </w:rPr>
        <w:t>egislation, policies, constitutions,</w:t>
      </w:r>
      <w:r w:rsidR="00573B99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judicial decisions and other</w:t>
      </w:r>
      <w:r w:rsidR="00573B99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mechanisms in which States had</w:t>
      </w:r>
      <w:r w:rsidR="00573B99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taken measures to achieve the ends</w:t>
      </w:r>
      <w:r w:rsidR="00573B99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of the United Nations Declaration</w:t>
      </w:r>
      <w:r w:rsidR="00003266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on the Rights of Indigenous</w:t>
      </w:r>
      <w:r w:rsidR="00003266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Peoples, in accordance with article</w:t>
      </w:r>
      <w:r w:rsidR="00003266">
        <w:rPr>
          <w:rFonts w:ascii="Arial" w:hAnsi="Arial" w:cs="Arial"/>
        </w:rPr>
        <w:t xml:space="preserve"> </w:t>
      </w:r>
      <w:r w:rsidR="00573B99" w:rsidRPr="00573B99">
        <w:rPr>
          <w:rFonts w:ascii="Arial" w:hAnsi="Arial" w:cs="Arial"/>
        </w:rPr>
        <w:t>38 of the Declaration</w:t>
      </w:r>
      <w:r w:rsidR="00AC2433">
        <w:rPr>
          <w:rFonts w:ascii="Arial" w:hAnsi="Arial" w:cs="Arial"/>
        </w:rPr>
        <w:t>.</w:t>
      </w:r>
      <w:r w:rsidR="00573B99" w:rsidRPr="00573B99">
        <w:rPr>
          <w:rFonts w:ascii="Arial" w:hAnsi="Arial" w:cs="Arial"/>
        </w:rPr>
        <w:t>”</w:t>
      </w:r>
      <w:r w:rsidR="003918BE">
        <w:rPr>
          <w:rStyle w:val="FootnoteReference"/>
          <w:rFonts w:ascii="Arial" w:hAnsi="Arial" w:cs="Arial"/>
        </w:rPr>
        <w:footnoteReference w:id="1"/>
      </w:r>
      <w:r w:rsidR="006B6E45">
        <w:rPr>
          <w:rFonts w:ascii="Arial" w:hAnsi="Arial" w:cs="Arial"/>
        </w:rPr>
        <w:t xml:space="preserve"> T</w:t>
      </w:r>
      <w:r w:rsidR="009924F7">
        <w:rPr>
          <w:rFonts w:ascii="Arial" w:hAnsi="Arial" w:cs="Arial"/>
        </w:rPr>
        <w:t>he AFN notes th</w:t>
      </w:r>
      <w:r w:rsidR="009924F7" w:rsidRPr="007654DD">
        <w:rPr>
          <w:rFonts w:ascii="Arial" w:hAnsi="Arial" w:cs="Arial"/>
        </w:rPr>
        <w:t>at</w:t>
      </w:r>
      <w:r w:rsidR="007B2069" w:rsidRPr="007654DD">
        <w:rPr>
          <w:rStyle w:val="Hyperlink"/>
          <w:rFonts w:ascii="Arial" w:hAnsi="Arial" w:cs="Arial"/>
          <w:u w:val="none"/>
        </w:rPr>
        <w:t xml:space="preserve"> </w:t>
      </w:r>
      <w:r w:rsidR="00FC229B">
        <w:rPr>
          <w:rFonts w:ascii="Arial" w:hAnsi="Arial" w:cs="Arial"/>
        </w:rPr>
        <w:t>Articles 3,</w:t>
      </w:r>
      <w:r w:rsidR="00A26185">
        <w:rPr>
          <w:rFonts w:ascii="Arial" w:hAnsi="Arial" w:cs="Arial"/>
        </w:rPr>
        <w:t xml:space="preserve"> </w:t>
      </w:r>
      <w:r w:rsidR="00FC229B">
        <w:rPr>
          <w:rFonts w:ascii="Arial" w:hAnsi="Arial" w:cs="Arial"/>
        </w:rPr>
        <w:t>4,</w:t>
      </w:r>
      <w:r w:rsidR="001A2597">
        <w:rPr>
          <w:rFonts w:ascii="Arial" w:hAnsi="Arial" w:cs="Arial"/>
        </w:rPr>
        <w:t xml:space="preserve"> </w:t>
      </w:r>
      <w:r w:rsidR="00FC229B">
        <w:rPr>
          <w:rFonts w:ascii="Arial" w:hAnsi="Arial" w:cs="Arial"/>
        </w:rPr>
        <w:t>18</w:t>
      </w:r>
      <w:r w:rsidR="005141E6">
        <w:rPr>
          <w:rFonts w:ascii="Arial" w:hAnsi="Arial" w:cs="Arial"/>
        </w:rPr>
        <w:t xml:space="preserve">, </w:t>
      </w:r>
      <w:r w:rsidR="00FC229B">
        <w:rPr>
          <w:rFonts w:ascii="Arial" w:hAnsi="Arial" w:cs="Arial"/>
        </w:rPr>
        <w:t>19</w:t>
      </w:r>
      <w:r w:rsidR="005141E6">
        <w:rPr>
          <w:rFonts w:ascii="Arial" w:hAnsi="Arial" w:cs="Arial"/>
        </w:rPr>
        <w:t xml:space="preserve"> and 39 </w:t>
      </w:r>
      <w:r w:rsidR="001513E2">
        <w:rPr>
          <w:rFonts w:ascii="Arial" w:hAnsi="Arial" w:cs="Arial"/>
        </w:rPr>
        <w:t>provide</w:t>
      </w:r>
      <w:r w:rsidR="00007204">
        <w:rPr>
          <w:rFonts w:ascii="Arial" w:hAnsi="Arial" w:cs="Arial"/>
        </w:rPr>
        <w:t xml:space="preserve"> </w:t>
      </w:r>
      <w:r w:rsidR="001513E2">
        <w:rPr>
          <w:rFonts w:ascii="Arial" w:hAnsi="Arial" w:cs="Arial"/>
        </w:rPr>
        <w:t>important</w:t>
      </w:r>
      <w:r w:rsidR="0082135B">
        <w:rPr>
          <w:rFonts w:ascii="Arial" w:hAnsi="Arial" w:cs="Arial"/>
        </w:rPr>
        <w:t xml:space="preserve"> context for Article 38 </w:t>
      </w:r>
      <w:r w:rsidR="00113303">
        <w:rPr>
          <w:rFonts w:ascii="Arial" w:hAnsi="Arial" w:cs="Arial"/>
        </w:rPr>
        <w:t xml:space="preserve">in addition to the Articles mentioned in </w:t>
      </w:r>
      <w:r w:rsidR="00113303" w:rsidRPr="00113303">
        <w:rPr>
          <w:rFonts w:ascii="Arial" w:hAnsi="Arial" w:cs="Arial"/>
        </w:rPr>
        <w:t xml:space="preserve">EMRIP’s </w:t>
      </w:r>
      <w:hyperlink r:id="rId9" w:history="1">
        <w:r w:rsidR="00113303" w:rsidRPr="00E430B4">
          <w:rPr>
            <w:rStyle w:val="Hyperlink"/>
            <w:rFonts w:ascii="Arial" w:hAnsi="Arial" w:cs="Arial"/>
          </w:rPr>
          <w:t>call for input</w:t>
        </w:r>
      </w:hyperlink>
      <w:r w:rsidR="00113303">
        <w:rPr>
          <w:rStyle w:val="Hyperlink"/>
          <w:rFonts w:ascii="Arial" w:hAnsi="Arial" w:cs="Arial"/>
        </w:rPr>
        <w:t xml:space="preserve">. </w:t>
      </w:r>
      <w:r w:rsidR="00605116" w:rsidRPr="00605116">
        <w:rPr>
          <w:rFonts w:ascii="Arial" w:hAnsi="Arial" w:cs="Arial"/>
        </w:rPr>
        <w:t xml:space="preserve">This submission </w:t>
      </w:r>
      <w:r w:rsidR="007654DD">
        <w:rPr>
          <w:rFonts w:ascii="Arial" w:hAnsi="Arial" w:cs="Arial"/>
        </w:rPr>
        <w:t>share</w:t>
      </w:r>
      <w:r w:rsidR="005456D0">
        <w:rPr>
          <w:rFonts w:ascii="Arial" w:hAnsi="Arial" w:cs="Arial"/>
        </w:rPr>
        <w:t>s</w:t>
      </w:r>
      <w:r w:rsidR="007654DD">
        <w:rPr>
          <w:rFonts w:ascii="Arial" w:hAnsi="Arial" w:cs="Arial"/>
        </w:rPr>
        <w:t xml:space="preserve"> some key </w:t>
      </w:r>
      <w:r w:rsidR="00D27048">
        <w:rPr>
          <w:rFonts w:ascii="Arial" w:hAnsi="Arial" w:cs="Arial"/>
        </w:rPr>
        <w:t xml:space="preserve">developments </w:t>
      </w:r>
      <w:r w:rsidR="00F31D2D">
        <w:rPr>
          <w:rFonts w:ascii="Arial" w:hAnsi="Arial" w:cs="Arial"/>
        </w:rPr>
        <w:t>in</w:t>
      </w:r>
      <w:r w:rsidR="00605116" w:rsidRPr="00605116">
        <w:rPr>
          <w:rFonts w:ascii="Arial" w:hAnsi="Arial" w:cs="Arial"/>
        </w:rPr>
        <w:t xml:space="preserve"> Canada</w:t>
      </w:r>
      <w:r w:rsidR="00D566A0">
        <w:rPr>
          <w:rFonts w:ascii="Arial" w:hAnsi="Arial" w:cs="Arial"/>
        </w:rPr>
        <w:t xml:space="preserve">. </w:t>
      </w:r>
    </w:p>
    <w:p w14:paraId="50B2936E" w14:textId="7193C395" w:rsidR="00B47A3A" w:rsidRPr="00974EA3" w:rsidRDefault="001513E2" w:rsidP="00785257">
      <w:pPr>
        <w:rPr>
          <w:rFonts w:ascii="Arial" w:hAnsi="Arial" w:cs="Arial"/>
        </w:rPr>
      </w:pPr>
      <w:r>
        <w:rPr>
          <w:rFonts w:ascii="Arial" w:hAnsi="Arial" w:cs="Arial"/>
        </w:rPr>
        <w:t>As an advocacy organization, the AFN has no inherent authority of its own but receives regular delegated mandates from First Nations</w:t>
      </w:r>
      <w:r w:rsidR="00AC24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</w:t>
      </w:r>
      <w:hyperlink r:id="rId10" w:history="1">
        <w:r w:rsidRPr="00C13035">
          <w:rPr>
            <w:rStyle w:val="Hyperlink"/>
            <w:rFonts w:ascii="Arial" w:hAnsi="Arial" w:cs="Arial"/>
          </w:rPr>
          <w:t xml:space="preserve">mandates relating to advocacy </w:t>
        </w:r>
        <w:r w:rsidR="00C13035" w:rsidRPr="00C13035">
          <w:rPr>
            <w:rStyle w:val="Hyperlink"/>
            <w:rFonts w:ascii="Arial" w:hAnsi="Arial" w:cs="Arial"/>
          </w:rPr>
          <w:t>on</w:t>
        </w:r>
        <w:r w:rsidRPr="00C13035">
          <w:rPr>
            <w:rStyle w:val="Hyperlink"/>
            <w:rFonts w:ascii="Arial" w:hAnsi="Arial" w:cs="Arial"/>
          </w:rPr>
          <w:t xml:space="preserve"> the </w:t>
        </w:r>
        <w:r w:rsidR="00AC2433">
          <w:rPr>
            <w:rStyle w:val="Hyperlink"/>
            <w:rFonts w:ascii="Arial" w:hAnsi="Arial" w:cs="Arial"/>
          </w:rPr>
          <w:t xml:space="preserve">UN </w:t>
        </w:r>
        <w:r w:rsidRPr="00C13035">
          <w:rPr>
            <w:rStyle w:val="Hyperlink"/>
            <w:rFonts w:ascii="Arial" w:hAnsi="Arial" w:cs="Arial"/>
          </w:rPr>
          <w:t>Declaration</w:t>
        </w:r>
      </w:hyperlink>
      <w:r>
        <w:rPr>
          <w:rFonts w:ascii="Arial" w:hAnsi="Arial" w:cs="Arial"/>
        </w:rPr>
        <w:t xml:space="preserve">. </w:t>
      </w:r>
      <w:r w:rsidR="00C13035">
        <w:rPr>
          <w:rFonts w:ascii="Arial" w:hAnsi="Arial" w:cs="Arial"/>
        </w:rPr>
        <w:t xml:space="preserve">For example, </w:t>
      </w:r>
      <w:r w:rsidR="00B47A3A">
        <w:rPr>
          <w:rFonts w:ascii="Arial" w:hAnsi="Arial" w:cs="Arial"/>
        </w:rPr>
        <w:t>First Nations have</w:t>
      </w:r>
      <w:r w:rsidR="00B47A3A" w:rsidRPr="00974EA3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 xml:space="preserve">repeatedly </w:t>
      </w:r>
      <w:r w:rsidR="00B47A3A" w:rsidRPr="00974EA3">
        <w:rPr>
          <w:rFonts w:ascii="Arial" w:hAnsi="Arial" w:cs="Arial"/>
        </w:rPr>
        <w:t>called for the</w:t>
      </w:r>
      <w:r w:rsidR="008C3020">
        <w:rPr>
          <w:rFonts w:ascii="Arial" w:hAnsi="Arial" w:cs="Arial"/>
        </w:rPr>
        <w:t>ir</w:t>
      </w:r>
      <w:r w:rsidR="00B47A3A" w:rsidRPr="00974EA3">
        <w:rPr>
          <w:rFonts w:ascii="Arial" w:hAnsi="Arial" w:cs="Arial"/>
        </w:rPr>
        <w:t xml:space="preserve"> full participation in implementation of the Declaration and for resourcing of First Nations</w:t>
      </w:r>
      <w:r>
        <w:rPr>
          <w:rFonts w:ascii="Arial" w:hAnsi="Arial" w:cs="Arial"/>
        </w:rPr>
        <w:t xml:space="preserve"> rights holders</w:t>
      </w:r>
      <w:r w:rsidR="00B47A3A" w:rsidRPr="00974EA3">
        <w:rPr>
          <w:rFonts w:ascii="Arial" w:hAnsi="Arial" w:cs="Arial"/>
        </w:rPr>
        <w:t xml:space="preserve"> to ensur</w:t>
      </w:r>
      <w:r>
        <w:rPr>
          <w:rFonts w:ascii="Arial" w:hAnsi="Arial" w:cs="Arial"/>
        </w:rPr>
        <w:t>e</w:t>
      </w:r>
      <w:r w:rsidR="00B47A3A" w:rsidRPr="00974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their </w:t>
      </w:r>
      <w:r w:rsidR="00B47A3A" w:rsidRPr="00974EA3">
        <w:rPr>
          <w:rFonts w:ascii="Arial" w:hAnsi="Arial" w:cs="Arial"/>
        </w:rPr>
        <w:t xml:space="preserve">meaningful consent-based participation in co-development of </w:t>
      </w:r>
      <w:r w:rsidR="00AC2433">
        <w:rPr>
          <w:rFonts w:ascii="Arial" w:hAnsi="Arial" w:cs="Arial"/>
        </w:rPr>
        <w:t xml:space="preserve">UN </w:t>
      </w:r>
      <w:r w:rsidR="00B47A3A">
        <w:rPr>
          <w:rFonts w:ascii="Arial" w:hAnsi="Arial" w:cs="Arial"/>
        </w:rPr>
        <w:t xml:space="preserve">Declaration </w:t>
      </w:r>
      <w:r w:rsidR="00B47A3A" w:rsidRPr="00974EA3">
        <w:rPr>
          <w:rFonts w:ascii="Arial" w:hAnsi="Arial" w:cs="Arial"/>
        </w:rPr>
        <w:t xml:space="preserve">action plans. </w:t>
      </w:r>
      <w:r w:rsidR="00B47A3A">
        <w:rPr>
          <w:rFonts w:ascii="Arial" w:hAnsi="Arial" w:cs="Arial"/>
        </w:rPr>
        <w:t xml:space="preserve">(See for example, </w:t>
      </w:r>
      <w:hyperlink r:id="rId11" w:history="1">
        <w:r w:rsidR="00B47A3A" w:rsidRPr="008A24F8">
          <w:rPr>
            <w:rStyle w:val="Hyperlink"/>
            <w:rFonts w:ascii="Arial" w:hAnsi="Arial" w:cs="Arial"/>
          </w:rPr>
          <w:t>AFN Res. 12/2022</w:t>
        </w:r>
      </w:hyperlink>
      <w:r w:rsidR="00B47A3A">
        <w:rPr>
          <w:rFonts w:ascii="Arial" w:hAnsi="Arial" w:cs="Arial"/>
        </w:rPr>
        <w:t>)</w:t>
      </w:r>
      <w:r>
        <w:rPr>
          <w:rFonts w:ascii="Arial" w:hAnsi="Arial" w:cs="Arial"/>
        </w:rPr>
        <w:t>. First Nations also</w:t>
      </w:r>
      <w:r w:rsidR="00B47A3A">
        <w:rPr>
          <w:rFonts w:ascii="Arial" w:hAnsi="Arial" w:cs="Arial"/>
        </w:rPr>
        <w:t xml:space="preserve"> called for all levels of government to take </w:t>
      </w:r>
      <w:r w:rsidR="00B47A3A" w:rsidRPr="001B5A35">
        <w:rPr>
          <w:rFonts w:ascii="Arial" w:hAnsi="Arial" w:cs="Arial"/>
        </w:rPr>
        <w:t xml:space="preserve">every action necessary to immediately ensure </w:t>
      </w:r>
      <w:r w:rsidR="00B47A3A">
        <w:rPr>
          <w:rFonts w:ascii="Arial" w:hAnsi="Arial" w:cs="Arial"/>
        </w:rPr>
        <w:t xml:space="preserve">all </w:t>
      </w:r>
      <w:r w:rsidR="00B47A3A" w:rsidRPr="001B5A35">
        <w:rPr>
          <w:rFonts w:ascii="Arial" w:hAnsi="Arial" w:cs="Arial"/>
        </w:rPr>
        <w:t>laws and policies are consistent with the UN Declaration</w:t>
      </w:r>
      <w:r w:rsidR="00B47A3A">
        <w:rPr>
          <w:rFonts w:ascii="Arial" w:hAnsi="Arial" w:cs="Arial"/>
        </w:rPr>
        <w:t xml:space="preserve"> (</w:t>
      </w:r>
      <w:hyperlink r:id="rId12" w:history="1">
        <w:r w:rsidR="00B47A3A" w:rsidRPr="00AD3BC2">
          <w:rPr>
            <w:rStyle w:val="Hyperlink"/>
            <w:rFonts w:ascii="Arial" w:hAnsi="Arial" w:cs="Arial"/>
          </w:rPr>
          <w:t>AFN Res 13/2022</w:t>
        </w:r>
      </w:hyperlink>
      <w:r w:rsidR="00B47A3A">
        <w:rPr>
          <w:rFonts w:ascii="Arial" w:hAnsi="Arial" w:cs="Arial"/>
        </w:rPr>
        <w:t xml:space="preserve">). In </w:t>
      </w:r>
      <w:r w:rsidR="00B47A3A" w:rsidRPr="00974EA3">
        <w:rPr>
          <w:rFonts w:ascii="Arial" w:hAnsi="Arial" w:cs="Arial"/>
        </w:rPr>
        <w:t>December 2023, the AFN established a standing Chiefs Committee on the Declaration charged with reporting back to First Nations</w:t>
      </w:r>
      <w:r w:rsidR="00AC2433">
        <w:rPr>
          <w:rFonts w:ascii="Arial" w:hAnsi="Arial" w:cs="Arial"/>
        </w:rPr>
        <w:t>-</w:t>
      </w:r>
      <w:r w:rsidR="00B47A3A" w:rsidRPr="00974EA3">
        <w:rPr>
          <w:rFonts w:ascii="Arial" w:hAnsi="Arial" w:cs="Arial"/>
        </w:rPr>
        <w:t>in</w:t>
      </w:r>
      <w:r w:rsidR="00AC2433">
        <w:rPr>
          <w:rFonts w:ascii="Arial" w:hAnsi="Arial" w:cs="Arial"/>
        </w:rPr>
        <w:t>-</w:t>
      </w:r>
      <w:r w:rsidR="00B47A3A" w:rsidRPr="00974EA3">
        <w:rPr>
          <w:rFonts w:ascii="Arial" w:hAnsi="Arial" w:cs="Arial"/>
        </w:rPr>
        <w:t>Assembly on the status of implementation in Canada and to seek adequate resources to support First Nations</w:t>
      </w:r>
      <w:r w:rsidR="00B47A3A">
        <w:rPr>
          <w:rFonts w:ascii="Arial" w:hAnsi="Arial" w:cs="Arial"/>
        </w:rPr>
        <w:t xml:space="preserve"> rights holders</w:t>
      </w:r>
      <w:r w:rsidR="00B47A3A" w:rsidRPr="00974EA3">
        <w:rPr>
          <w:rFonts w:ascii="Arial" w:hAnsi="Arial" w:cs="Arial"/>
        </w:rPr>
        <w:t xml:space="preserve"> (</w:t>
      </w:r>
      <w:hyperlink r:id="rId13" w:history="1">
        <w:r w:rsidR="00B47A3A" w:rsidRPr="00E64B5C">
          <w:rPr>
            <w:rStyle w:val="Hyperlink"/>
            <w:rFonts w:ascii="Arial" w:hAnsi="Arial" w:cs="Arial"/>
          </w:rPr>
          <w:t>AFN Res. 78/2023</w:t>
        </w:r>
      </w:hyperlink>
      <w:r w:rsidR="00B47A3A" w:rsidRPr="00974EA3">
        <w:rPr>
          <w:rFonts w:ascii="Arial" w:hAnsi="Arial" w:cs="Arial"/>
        </w:rPr>
        <w:t>).</w:t>
      </w:r>
    </w:p>
    <w:p w14:paraId="6DCEBDB2" w14:textId="7658FDD6" w:rsidR="00B47A3A" w:rsidRPr="00BC103F" w:rsidRDefault="001513E2" w:rsidP="00785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47A3A">
        <w:rPr>
          <w:rFonts w:ascii="Arial" w:hAnsi="Arial" w:cs="Arial"/>
        </w:rPr>
        <w:t xml:space="preserve">AFN notes that in its </w:t>
      </w:r>
      <w:r>
        <w:rPr>
          <w:rFonts w:ascii="Arial" w:hAnsi="Arial" w:cs="Arial"/>
        </w:rPr>
        <w:t xml:space="preserve">engagement </w:t>
      </w:r>
      <w:r w:rsidR="00B47A3A">
        <w:rPr>
          <w:rFonts w:ascii="Arial" w:hAnsi="Arial" w:cs="Arial"/>
        </w:rPr>
        <w:t>dialogue with First Nations, Canada</w:t>
      </w:r>
      <w:r>
        <w:rPr>
          <w:rFonts w:ascii="Arial" w:hAnsi="Arial" w:cs="Arial"/>
        </w:rPr>
        <w:t xml:space="preserve"> essentially</w:t>
      </w:r>
      <w:r w:rsidR="00B47A3A">
        <w:rPr>
          <w:rFonts w:ascii="Arial" w:hAnsi="Arial" w:cs="Arial"/>
        </w:rPr>
        <w:t xml:space="preserve"> characterized its first federal Declaration </w:t>
      </w:r>
      <w:hyperlink r:id="rId14" w:history="1">
        <w:r w:rsidR="00B47A3A" w:rsidRPr="006022C1">
          <w:rPr>
            <w:rStyle w:val="Hyperlink"/>
            <w:rFonts w:ascii="Arial" w:hAnsi="Arial" w:cs="Arial"/>
          </w:rPr>
          <w:t>Action Plan</w:t>
        </w:r>
      </w:hyperlink>
      <w:r w:rsidR="00B47A3A">
        <w:rPr>
          <w:rFonts w:ascii="Arial" w:hAnsi="Arial" w:cs="Arial"/>
        </w:rPr>
        <w:t xml:space="preserve"> as a placeholder that requires more work and </w:t>
      </w:r>
      <w:r w:rsidR="00C13035">
        <w:rPr>
          <w:rFonts w:ascii="Arial" w:hAnsi="Arial" w:cs="Arial"/>
        </w:rPr>
        <w:t xml:space="preserve">also </w:t>
      </w:r>
      <w:r w:rsidR="00B47A3A">
        <w:rPr>
          <w:rFonts w:ascii="Arial" w:hAnsi="Arial" w:cs="Arial"/>
        </w:rPr>
        <w:t xml:space="preserve">acknowledged that funding to support all interested First Nations in engagement was not made available. Funding </w:t>
      </w:r>
      <w:r w:rsidR="00AC2433">
        <w:rPr>
          <w:rFonts w:ascii="Arial" w:hAnsi="Arial" w:cs="Arial"/>
        </w:rPr>
        <w:t>was</w:t>
      </w:r>
      <w:r w:rsidR="00B47A3A">
        <w:rPr>
          <w:rFonts w:ascii="Arial" w:hAnsi="Arial" w:cs="Arial"/>
        </w:rPr>
        <w:t xml:space="preserve"> promised to support First Nations in the ongoing review and development of the federal Action Plan. </w:t>
      </w:r>
    </w:p>
    <w:p w14:paraId="1A12F1B1" w14:textId="7CF85D93" w:rsidR="00AC2433" w:rsidRDefault="001513E2" w:rsidP="00574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recent years, there have been notable legislative and judicial developments in Canada relating to implementation of the </w:t>
      </w:r>
      <w:r w:rsidR="00AC2433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Declaration. </w:t>
      </w:r>
      <w:r w:rsidR="00C579AB" w:rsidRPr="0057428B">
        <w:rPr>
          <w:rFonts w:ascii="Arial" w:hAnsi="Arial" w:cs="Arial"/>
        </w:rPr>
        <w:t xml:space="preserve">First Nations </w:t>
      </w:r>
      <w:r w:rsidR="00F77F91" w:rsidRPr="0057428B">
        <w:rPr>
          <w:rFonts w:ascii="Arial" w:hAnsi="Arial" w:cs="Arial"/>
        </w:rPr>
        <w:t xml:space="preserve">have </w:t>
      </w:r>
      <w:r w:rsidR="00940A7B">
        <w:rPr>
          <w:rFonts w:ascii="Arial" w:hAnsi="Arial" w:cs="Arial"/>
        </w:rPr>
        <w:t>mounted</w:t>
      </w:r>
      <w:r w:rsidR="00A8589B" w:rsidRPr="0057428B">
        <w:rPr>
          <w:rFonts w:ascii="Arial" w:hAnsi="Arial" w:cs="Arial"/>
        </w:rPr>
        <w:t xml:space="preserve"> sustained</w:t>
      </w:r>
      <w:r w:rsidR="00563394" w:rsidRPr="0057428B">
        <w:rPr>
          <w:rFonts w:ascii="Arial" w:hAnsi="Arial" w:cs="Arial"/>
        </w:rPr>
        <w:t xml:space="preserve"> advocacy</w:t>
      </w:r>
      <w:r w:rsidR="00FC6809" w:rsidRPr="0057428B">
        <w:rPr>
          <w:rFonts w:ascii="Arial" w:hAnsi="Arial" w:cs="Arial"/>
        </w:rPr>
        <w:t xml:space="preserve"> </w:t>
      </w:r>
      <w:r w:rsidR="008339A4" w:rsidRPr="0057428B">
        <w:rPr>
          <w:rFonts w:ascii="Arial" w:hAnsi="Arial" w:cs="Arial"/>
        </w:rPr>
        <w:t xml:space="preserve">to </w:t>
      </w:r>
      <w:r w:rsidR="00B47A3A">
        <w:rPr>
          <w:rFonts w:ascii="Arial" w:hAnsi="Arial" w:cs="Arial"/>
        </w:rPr>
        <w:t xml:space="preserve">secure several </w:t>
      </w:r>
      <w:r w:rsidR="00B23E98" w:rsidRPr="0057428B">
        <w:rPr>
          <w:rFonts w:ascii="Arial" w:hAnsi="Arial" w:cs="Arial"/>
        </w:rPr>
        <w:t>statutory commitments</w:t>
      </w:r>
      <w:r w:rsidR="00E15BF2" w:rsidRPr="0057428B">
        <w:rPr>
          <w:rFonts w:ascii="Arial" w:hAnsi="Arial" w:cs="Arial"/>
        </w:rPr>
        <w:t xml:space="preserve"> </w:t>
      </w:r>
      <w:r w:rsidR="0094258E" w:rsidRPr="0057428B">
        <w:rPr>
          <w:rFonts w:ascii="Arial" w:hAnsi="Arial" w:cs="Arial"/>
        </w:rPr>
        <w:t xml:space="preserve">to full implementation of the </w:t>
      </w:r>
      <w:r w:rsidR="00AC2433">
        <w:rPr>
          <w:rFonts w:ascii="Arial" w:hAnsi="Arial" w:cs="Arial"/>
        </w:rPr>
        <w:t xml:space="preserve">UN </w:t>
      </w:r>
      <w:r w:rsidR="0094258E" w:rsidRPr="0057428B">
        <w:rPr>
          <w:rFonts w:ascii="Arial" w:hAnsi="Arial" w:cs="Arial"/>
        </w:rPr>
        <w:t xml:space="preserve">Declaration. To date, </w:t>
      </w:r>
      <w:r w:rsidR="00E15146">
        <w:rPr>
          <w:rFonts w:ascii="Arial" w:hAnsi="Arial" w:cs="Arial"/>
        </w:rPr>
        <w:t xml:space="preserve">First Nations have succeeded in </w:t>
      </w:r>
      <w:r w:rsidR="00593BAA">
        <w:rPr>
          <w:rFonts w:ascii="Arial" w:hAnsi="Arial" w:cs="Arial"/>
        </w:rPr>
        <w:t xml:space="preserve">securing passage of </w:t>
      </w:r>
      <w:r w:rsidR="00E109D1" w:rsidRPr="0057428B">
        <w:rPr>
          <w:rFonts w:ascii="Arial" w:hAnsi="Arial" w:cs="Arial"/>
        </w:rPr>
        <w:t xml:space="preserve">such </w:t>
      </w:r>
      <w:r w:rsidR="00FD11F5" w:rsidRPr="0057428B">
        <w:rPr>
          <w:rFonts w:ascii="Arial" w:hAnsi="Arial" w:cs="Arial"/>
        </w:rPr>
        <w:t>legislation</w:t>
      </w:r>
      <w:r w:rsidR="00F77F91" w:rsidRPr="0057428B">
        <w:rPr>
          <w:rFonts w:ascii="Arial" w:hAnsi="Arial" w:cs="Arial"/>
        </w:rPr>
        <w:t xml:space="preserve"> </w:t>
      </w:r>
      <w:r w:rsidR="00593BAA">
        <w:rPr>
          <w:rFonts w:ascii="Arial" w:hAnsi="Arial" w:cs="Arial"/>
        </w:rPr>
        <w:t>federally</w:t>
      </w:r>
      <w:r w:rsidR="00F77F91" w:rsidRPr="0057428B">
        <w:rPr>
          <w:rFonts w:ascii="Arial" w:hAnsi="Arial" w:cs="Arial"/>
        </w:rPr>
        <w:t xml:space="preserve"> </w:t>
      </w:r>
      <w:r w:rsidR="002F3899">
        <w:rPr>
          <w:rFonts w:ascii="Arial" w:hAnsi="Arial" w:cs="Arial"/>
        </w:rPr>
        <w:t>(</w:t>
      </w:r>
      <w:hyperlink r:id="rId15" w:history="1">
        <w:r w:rsidR="00E109D1" w:rsidRPr="00426413">
          <w:rPr>
            <w:rStyle w:val="Hyperlink"/>
            <w:rFonts w:ascii="Arial" w:hAnsi="Arial" w:cs="Arial"/>
          </w:rPr>
          <w:t>2021</w:t>
        </w:r>
      </w:hyperlink>
      <w:r w:rsidR="00E109D1" w:rsidRPr="0057428B">
        <w:rPr>
          <w:rFonts w:ascii="Arial" w:hAnsi="Arial" w:cs="Arial"/>
        </w:rPr>
        <w:t>)</w:t>
      </w:r>
      <w:r w:rsidR="003841E6">
        <w:rPr>
          <w:rFonts w:ascii="Arial" w:hAnsi="Arial" w:cs="Arial"/>
        </w:rPr>
        <w:t>,</w:t>
      </w:r>
      <w:r w:rsidR="00F77F91" w:rsidRPr="0057428B">
        <w:rPr>
          <w:rFonts w:ascii="Arial" w:hAnsi="Arial" w:cs="Arial"/>
        </w:rPr>
        <w:t xml:space="preserve"> </w:t>
      </w:r>
      <w:r w:rsidR="002F3899">
        <w:rPr>
          <w:rFonts w:ascii="Arial" w:hAnsi="Arial" w:cs="Arial"/>
        </w:rPr>
        <w:t>in British Columbia</w:t>
      </w:r>
      <w:r w:rsidR="00D068FF" w:rsidRPr="0057428B">
        <w:rPr>
          <w:rFonts w:ascii="Arial" w:hAnsi="Arial" w:cs="Arial"/>
        </w:rPr>
        <w:t xml:space="preserve"> </w:t>
      </w:r>
      <w:r w:rsidR="002F3899">
        <w:rPr>
          <w:rFonts w:ascii="Arial" w:hAnsi="Arial" w:cs="Arial"/>
        </w:rPr>
        <w:t>(</w:t>
      </w:r>
      <w:hyperlink r:id="rId16" w:history="1">
        <w:r w:rsidR="00580A76" w:rsidRPr="00716839">
          <w:rPr>
            <w:rStyle w:val="Hyperlink"/>
            <w:rFonts w:ascii="Arial" w:hAnsi="Arial" w:cs="Arial"/>
          </w:rPr>
          <w:t>2019</w:t>
        </w:r>
      </w:hyperlink>
      <w:r w:rsidR="00A96CFE" w:rsidRPr="0057428B">
        <w:rPr>
          <w:rFonts w:ascii="Arial" w:hAnsi="Arial" w:cs="Arial"/>
        </w:rPr>
        <w:t>)</w:t>
      </w:r>
      <w:r w:rsidR="003841E6">
        <w:rPr>
          <w:rFonts w:ascii="Arial" w:hAnsi="Arial" w:cs="Arial"/>
        </w:rPr>
        <w:t>,</w:t>
      </w:r>
      <w:r w:rsidR="007A4306">
        <w:rPr>
          <w:rFonts w:ascii="Arial" w:hAnsi="Arial" w:cs="Arial"/>
        </w:rPr>
        <w:t xml:space="preserve"> </w:t>
      </w:r>
      <w:r w:rsidR="00522F3B" w:rsidRPr="0057428B">
        <w:rPr>
          <w:rFonts w:ascii="Arial" w:hAnsi="Arial" w:cs="Arial"/>
        </w:rPr>
        <w:t xml:space="preserve">and </w:t>
      </w:r>
      <w:r w:rsidR="00166B36">
        <w:rPr>
          <w:rFonts w:ascii="Arial" w:hAnsi="Arial" w:cs="Arial"/>
        </w:rPr>
        <w:t>in the Northwest Territories</w:t>
      </w:r>
      <w:r w:rsidR="00AA69B0">
        <w:rPr>
          <w:rFonts w:ascii="Arial" w:hAnsi="Arial" w:cs="Arial"/>
        </w:rPr>
        <w:t xml:space="preserve"> (NWT)</w:t>
      </w:r>
      <w:r w:rsidR="00522F3B" w:rsidRPr="0057428B">
        <w:rPr>
          <w:rFonts w:ascii="Arial" w:hAnsi="Arial" w:cs="Arial"/>
        </w:rPr>
        <w:t xml:space="preserve"> </w:t>
      </w:r>
      <w:r w:rsidR="00166B36">
        <w:rPr>
          <w:rFonts w:ascii="Arial" w:hAnsi="Arial" w:cs="Arial"/>
        </w:rPr>
        <w:t>(</w:t>
      </w:r>
      <w:hyperlink r:id="rId17" w:history="1">
        <w:r w:rsidR="007A39DF" w:rsidRPr="008E7C51">
          <w:rPr>
            <w:rStyle w:val="Hyperlink"/>
            <w:rFonts w:ascii="Arial" w:hAnsi="Arial" w:cs="Arial"/>
          </w:rPr>
          <w:t>2023</w:t>
        </w:r>
      </w:hyperlink>
      <w:r w:rsidR="00166B36">
        <w:rPr>
          <w:rFonts w:ascii="Arial" w:hAnsi="Arial" w:cs="Arial"/>
        </w:rPr>
        <w:t>)</w:t>
      </w:r>
      <w:r w:rsidR="00485FE1">
        <w:rPr>
          <w:rFonts w:ascii="Arial" w:hAnsi="Arial" w:cs="Arial"/>
        </w:rPr>
        <w:t xml:space="preserve">. </w:t>
      </w:r>
      <w:r w:rsidR="008C2587" w:rsidRPr="0057428B">
        <w:rPr>
          <w:rFonts w:ascii="Arial" w:hAnsi="Arial" w:cs="Arial"/>
        </w:rPr>
        <w:t>The</w:t>
      </w:r>
      <w:r w:rsidR="00AA69B0">
        <w:rPr>
          <w:rFonts w:ascii="Arial" w:hAnsi="Arial" w:cs="Arial"/>
        </w:rPr>
        <w:t xml:space="preserve"> NWT</w:t>
      </w:r>
      <w:r w:rsidR="008C2587" w:rsidRPr="0057428B">
        <w:rPr>
          <w:rFonts w:ascii="Arial" w:hAnsi="Arial" w:cs="Arial"/>
        </w:rPr>
        <w:t xml:space="preserve"> legislation </w:t>
      </w:r>
      <w:r w:rsidR="00AA69B0">
        <w:rPr>
          <w:rFonts w:ascii="Arial" w:hAnsi="Arial" w:cs="Arial"/>
        </w:rPr>
        <w:t>c</w:t>
      </w:r>
      <w:r w:rsidR="008C2587" w:rsidRPr="0057428B">
        <w:rPr>
          <w:rFonts w:ascii="Arial" w:hAnsi="Arial" w:cs="Arial"/>
        </w:rPr>
        <w:t xml:space="preserve">ontains </w:t>
      </w:r>
      <w:r w:rsidR="00B47A3A">
        <w:rPr>
          <w:rFonts w:ascii="Arial" w:hAnsi="Arial" w:cs="Arial"/>
        </w:rPr>
        <w:t xml:space="preserve">a process </w:t>
      </w:r>
      <w:r>
        <w:rPr>
          <w:rFonts w:ascii="Arial" w:hAnsi="Arial" w:cs="Arial"/>
        </w:rPr>
        <w:t xml:space="preserve">element </w:t>
      </w:r>
      <w:r w:rsidR="00430841" w:rsidRPr="0057428B">
        <w:rPr>
          <w:rFonts w:ascii="Arial" w:hAnsi="Arial" w:cs="Arial"/>
        </w:rPr>
        <w:t xml:space="preserve">not </w:t>
      </w:r>
      <w:r w:rsidR="00B47A3A">
        <w:rPr>
          <w:rFonts w:ascii="Arial" w:hAnsi="Arial" w:cs="Arial"/>
        </w:rPr>
        <w:t>contained</w:t>
      </w:r>
      <w:r w:rsidR="00430841" w:rsidRPr="0057428B">
        <w:rPr>
          <w:rFonts w:ascii="Arial" w:hAnsi="Arial" w:cs="Arial"/>
        </w:rPr>
        <w:t xml:space="preserve"> in </w:t>
      </w:r>
      <w:r w:rsidR="00524B68" w:rsidRPr="0057428B">
        <w:rPr>
          <w:rFonts w:ascii="Arial" w:hAnsi="Arial" w:cs="Arial"/>
        </w:rPr>
        <w:t xml:space="preserve">the </w:t>
      </w:r>
      <w:r w:rsidR="00430841" w:rsidRPr="0057428B">
        <w:rPr>
          <w:rFonts w:ascii="Arial" w:hAnsi="Arial" w:cs="Arial"/>
        </w:rPr>
        <w:t xml:space="preserve">federal </w:t>
      </w:r>
      <w:r w:rsidR="00524B68" w:rsidRPr="0057428B">
        <w:rPr>
          <w:rFonts w:ascii="Arial" w:hAnsi="Arial" w:cs="Arial"/>
        </w:rPr>
        <w:t xml:space="preserve">implementing </w:t>
      </w:r>
      <w:r w:rsidR="00430841" w:rsidRPr="0057428B">
        <w:rPr>
          <w:rFonts w:ascii="Arial" w:hAnsi="Arial" w:cs="Arial"/>
        </w:rPr>
        <w:t>legislation</w:t>
      </w:r>
      <w:r w:rsidR="003841E6">
        <w:rPr>
          <w:rFonts w:ascii="Arial" w:hAnsi="Arial" w:cs="Arial"/>
        </w:rPr>
        <w:t xml:space="preserve">; </w:t>
      </w:r>
      <w:r w:rsidR="00430841" w:rsidRPr="0057428B">
        <w:rPr>
          <w:rFonts w:ascii="Arial" w:hAnsi="Arial" w:cs="Arial"/>
        </w:rPr>
        <w:t xml:space="preserve">it </w:t>
      </w:r>
      <w:r w:rsidR="00E12C30" w:rsidRPr="0057428B">
        <w:rPr>
          <w:rFonts w:ascii="Arial" w:hAnsi="Arial" w:cs="Arial"/>
        </w:rPr>
        <w:t xml:space="preserve">requires </w:t>
      </w:r>
      <w:r w:rsidR="00B47A3A">
        <w:rPr>
          <w:rFonts w:ascii="Arial" w:hAnsi="Arial" w:cs="Arial"/>
        </w:rPr>
        <w:t>the tabling of</w:t>
      </w:r>
      <w:r w:rsidR="00E12C30" w:rsidRPr="0057428B">
        <w:rPr>
          <w:rFonts w:ascii="Arial" w:hAnsi="Arial" w:cs="Arial"/>
        </w:rPr>
        <w:t xml:space="preserve"> </w:t>
      </w:r>
      <w:r w:rsidR="00DF73D4" w:rsidRPr="0057428B">
        <w:rPr>
          <w:rFonts w:ascii="Arial" w:hAnsi="Arial" w:cs="Arial"/>
        </w:rPr>
        <w:t xml:space="preserve">a Statement of Consistency prepared by the Attorney General indicating </w:t>
      </w:r>
      <w:r w:rsidR="001C3180" w:rsidRPr="0057428B">
        <w:rPr>
          <w:rFonts w:ascii="Arial" w:hAnsi="Arial" w:cs="Arial"/>
        </w:rPr>
        <w:t>whether</w:t>
      </w:r>
      <w:r w:rsidR="00DF73D4" w:rsidRPr="0057428B">
        <w:rPr>
          <w:rFonts w:ascii="Arial" w:hAnsi="Arial" w:cs="Arial"/>
        </w:rPr>
        <w:t>, in</w:t>
      </w:r>
      <w:r w:rsidR="001624AD" w:rsidRPr="0057428B">
        <w:rPr>
          <w:rFonts w:ascii="Arial" w:hAnsi="Arial" w:cs="Arial"/>
        </w:rPr>
        <w:t xml:space="preserve"> their opinion, the bill is consistent with the </w:t>
      </w:r>
      <w:r w:rsidR="00AC2433">
        <w:rPr>
          <w:rFonts w:ascii="Arial" w:hAnsi="Arial" w:cs="Arial"/>
        </w:rPr>
        <w:t xml:space="preserve">UN </w:t>
      </w:r>
      <w:r w:rsidR="001624AD" w:rsidRPr="0057428B">
        <w:rPr>
          <w:rFonts w:ascii="Arial" w:hAnsi="Arial" w:cs="Arial"/>
        </w:rPr>
        <w:t xml:space="preserve">Declaration and </w:t>
      </w:r>
      <w:r w:rsidR="00B47A3A">
        <w:rPr>
          <w:rFonts w:ascii="Arial" w:hAnsi="Arial" w:cs="Arial"/>
        </w:rPr>
        <w:t xml:space="preserve">with </w:t>
      </w:r>
      <w:r w:rsidR="001624AD" w:rsidRPr="0057428B">
        <w:rPr>
          <w:rFonts w:ascii="Arial" w:hAnsi="Arial" w:cs="Arial"/>
        </w:rPr>
        <w:t>the rights</w:t>
      </w:r>
      <w:r w:rsidR="00744F42" w:rsidRPr="0057428B">
        <w:rPr>
          <w:rFonts w:ascii="Arial" w:hAnsi="Arial" w:cs="Arial"/>
        </w:rPr>
        <w:t xml:space="preserve"> of Indigenous </w:t>
      </w:r>
      <w:r w:rsidR="003841E6">
        <w:rPr>
          <w:rFonts w:ascii="Arial" w:hAnsi="Arial" w:cs="Arial"/>
        </w:rPr>
        <w:t>P</w:t>
      </w:r>
      <w:r w:rsidR="00744F42" w:rsidRPr="0057428B">
        <w:rPr>
          <w:rFonts w:ascii="Arial" w:hAnsi="Arial" w:cs="Arial"/>
        </w:rPr>
        <w:t>eoples</w:t>
      </w:r>
      <w:r w:rsidR="001624AD" w:rsidRPr="0057428B">
        <w:rPr>
          <w:rFonts w:ascii="Arial" w:hAnsi="Arial" w:cs="Arial"/>
        </w:rPr>
        <w:t xml:space="preserve"> recognized and affirmed </w:t>
      </w:r>
      <w:r w:rsidR="00744F42" w:rsidRPr="0057428B">
        <w:rPr>
          <w:rFonts w:ascii="Arial" w:hAnsi="Arial" w:cs="Arial"/>
        </w:rPr>
        <w:t>by Canada’s Constitution</w:t>
      </w:r>
      <w:r w:rsidR="001624AD" w:rsidRPr="0057428B">
        <w:rPr>
          <w:rFonts w:ascii="Arial" w:hAnsi="Arial" w:cs="Arial"/>
        </w:rPr>
        <w:t>.</w:t>
      </w:r>
      <w:r w:rsidR="000F204C" w:rsidRPr="0057428B">
        <w:rPr>
          <w:rFonts w:ascii="Arial" w:hAnsi="Arial" w:cs="Arial"/>
        </w:rPr>
        <w:t xml:space="preserve"> </w:t>
      </w:r>
    </w:p>
    <w:p w14:paraId="5D42E14D" w14:textId="13AAFEE6" w:rsidR="00555EFE" w:rsidRDefault="00B47A3A" w:rsidP="0057428B">
      <w:pPr>
        <w:rPr>
          <w:rFonts w:ascii="Arial" w:hAnsi="Arial" w:cs="Arial"/>
        </w:rPr>
      </w:pPr>
      <w:r>
        <w:rPr>
          <w:rFonts w:ascii="Arial" w:hAnsi="Arial" w:cs="Arial"/>
        </w:rPr>
        <w:t>Notable also</w:t>
      </w:r>
      <w:r w:rsidR="00555EFE">
        <w:rPr>
          <w:rFonts w:ascii="Arial" w:hAnsi="Arial" w:cs="Arial"/>
        </w:rPr>
        <w:t>,</w:t>
      </w:r>
      <w:r w:rsidR="00020F26">
        <w:rPr>
          <w:rFonts w:ascii="Arial" w:hAnsi="Arial" w:cs="Arial"/>
        </w:rPr>
        <w:t xml:space="preserve"> the NWT legislation </w:t>
      </w:r>
      <w:r w:rsidR="00F41960">
        <w:rPr>
          <w:rFonts w:ascii="Arial" w:hAnsi="Arial" w:cs="Arial"/>
        </w:rPr>
        <w:t>calls</w:t>
      </w:r>
      <w:r w:rsidR="00C6707F">
        <w:rPr>
          <w:rFonts w:ascii="Arial" w:hAnsi="Arial" w:cs="Arial"/>
        </w:rPr>
        <w:t xml:space="preserve"> for</w:t>
      </w:r>
      <w:r w:rsidR="00020F26">
        <w:rPr>
          <w:rFonts w:ascii="Arial" w:hAnsi="Arial" w:cs="Arial"/>
        </w:rPr>
        <w:t xml:space="preserve"> “reasonable” efforts</w:t>
      </w:r>
      <w:r w:rsidR="00E8717C">
        <w:rPr>
          <w:rFonts w:ascii="Arial" w:hAnsi="Arial" w:cs="Arial"/>
        </w:rPr>
        <w:t xml:space="preserve"> to be made</w:t>
      </w:r>
      <w:r w:rsidR="00A92A0A">
        <w:rPr>
          <w:rFonts w:ascii="Arial" w:hAnsi="Arial" w:cs="Arial"/>
        </w:rPr>
        <w:t xml:space="preserve"> to achieve consistency</w:t>
      </w:r>
      <w:r w:rsidR="00F41960">
        <w:rPr>
          <w:rFonts w:ascii="Arial" w:hAnsi="Arial" w:cs="Arial"/>
        </w:rPr>
        <w:t xml:space="preserve"> with the Declaration</w:t>
      </w:r>
      <w:r w:rsidR="00AC2433">
        <w:rPr>
          <w:rFonts w:ascii="Arial" w:hAnsi="Arial" w:cs="Arial"/>
        </w:rPr>
        <w:t>—</w:t>
      </w:r>
      <w:r w:rsidR="00A92A0A">
        <w:rPr>
          <w:rFonts w:ascii="Arial" w:hAnsi="Arial" w:cs="Arial"/>
        </w:rPr>
        <w:t>rather than</w:t>
      </w:r>
      <w:r w:rsidR="00F41960">
        <w:rPr>
          <w:rFonts w:ascii="Arial" w:hAnsi="Arial" w:cs="Arial"/>
        </w:rPr>
        <w:t xml:space="preserve"> the</w:t>
      </w:r>
      <w:r w:rsidR="00A92A0A">
        <w:rPr>
          <w:rFonts w:ascii="Arial" w:hAnsi="Arial" w:cs="Arial"/>
        </w:rPr>
        <w:t xml:space="preserve"> “all measures necessary” </w:t>
      </w:r>
      <w:r w:rsidR="00F41960">
        <w:rPr>
          <w:rFonts w:ascii="Arial" w:hAnsi="Arial" w:cs="Arial"/>
        </w:rPr>
        <w:t xml:space="preserve">standard </w:t>
      </w:r>
      <w:r w:rsidR="00F41960">
        <w:rPr>
          <w:rFonts w:ascii="Arial" w:hAnsi="Arial" w:cs="Arial"/>
        </w:rPr>
        <w:lastRenderedPageBreak/>
        <w:t xml:space="preserve">expressed in </w:t>
      </w:r>
      <w:r w:rsidR="00555EFE">
        <w:rPr>
          <w:rFonts w:ascii="Arial" w:hAnsi="Arial" w:cs="Arial"/>
        </w:rPr>
        <w:t>the federal and BC statutes</w:t>
      </w:r>
      <w:r w:rsidR="00FE468F">
        <w:rPr>
          <w:rFonts w:ascii="Arial" w:hAnsi="Arial" w:cs="Arial"/>
        </w:rPr>
        <w:t xml:space="preserve">. </w:t>
      </w:r>
      <w:r w:rsidR="00884D94" w:rsidRPr="0055117A">
        <w:rPr>
          <w:rFonts w:ascii="Arial" w:hAnsi="Arial" w:cs="Arial"/>
        </w:rPr>
        <w:t>The NWT</w:t>
      </w:r>
      <w:r w:rsidR="00360D18" w:rsidRPr="0055117A">
        <w:rPr>
          <w:rFonts w:ascii="Arial" w:hAnsi="Arial" w:cs="Arial"/>
        </w:rPr>
        <w:t xml:space="preserve"> </w:t>
      </w:r>
      <w:r w:rsidR="0055117A" w:rsidRPr="0055117A">
        <w:rPr>
          <w:rFonts w:ascii="Arial" w:hAnsi="Arial" w:cs="Arial"/>
        </w:rPr>
        <w:t xml:space="preserve">implementation legislation </w:t>
      </w:r>
      <w:r>
        <w:rPr>
          <w:rFonts w:ascii="Arial" w:hAnsi="Arial" w:cs="Arial"/>
        </w:rPr>
        <w:t>states</w:t>
      </w:r>
      <w:r w:rsidR="00360D18" w:rsidRPr="0055117A">
        <w:rPr>
          <w:rFonts w:ascii="Arial" w:hAnsi="Arial" w:cs="Arial"/>
        </w:rPr>
        <w:t xml:space="preserve"> </w:t>
      </w:r>
      <w:r w:rsidR="00D75E57" w:rsidRPr="0055117A">
        <w:rPr>
          <w:rFonts w:ascii="Arial" w:hAnsi="Arial" w:cs="Arial"/>
        </w:rPr>
        <w:t xml:space="preserve">that the laws of </w:t>
      </w:r>
      <w:r w:rsidR="00AC2433">
        <w:rPr>
          <w:rFonts w:ascii="Arial" w:hAnsi="Arial" w:cs="Arial"/>
        </w:rPr>
        <w:t xml:space="preserve">the </w:t>
      </w:r>
      <w:r w:rsidR="00D75E57" w:rsidRPr="0055117A">
        <w:rPr>
          <w:rFonts w:ascii="Arial" w:hAnsi="Arial" w:cs="Arial"/>
        </w:rPr>
        <w:t xml:space="preserve">NWT </w:t>
      </w:r>
      <w:r>
        <w:rPr>
          <w:rFonts w:ascii="Arial" w:hAnsi="Arial" w:cs="Arial"/>
        </w:rPr>
        <w:t xml:space="preserve">must </w:t>
      </w:r>
      <w:r w:rsidR="00D75E57" w:rsidRPr="0055117A">
        <w:rPr>
          <w:rFonts w:ascii="Arial" w:hAnsi="Arial" w:cs="Arial"/>
        </w:rPr>
        <w:t>be interpreted</w:t>
      </w:r>
      <w:r w:rsidR="0055117A">
        <w:rPr>
          <w:rFonts w:ascii="Arial" w:hAnsi="Arial" w:cs="Arial"/>
        </w:rPr>
        <w:t>,</w:t>
      </w:r>
      <w:r w:rsidR="00D75E57" w:rsidRPr="0055117A">
        <w:rPr>
          <w:rFonts w:ascii="Arial" w:hAnsi="Arial" w:cs="Arial"/>
        </w:rPr>
        <w:t xml:space="preserve"> and applied</w:t>
      </w:r>
      <w:r w:rsidR="0055117A">
        <w:rPr>
          <w:rFonts w:ascii="Arial" w:hAnsi="Arial" w:cs="Arial"/>
        </w:rPr>
        <w:t>,</w:t>
      </w:r>
      <w:r w:rsidR="00D75E57" w:rsidRPr="0055117A">
        <w:rPr>
          <w:rFonts w:ascii="Arial" w:hAnsi="Arial" w:cs="Arial"/>
        </w:rPr>
        <w:t xml:space="preserve"> in a manner consistent</w:t>
      </w:r>
      <w:r w:rsidR="00C4590E" w:rsidRPr="0055117A">
        <w:rPr>
          <w:rFonts w:ascii="Arial" w:hAnsi="Arial" w:cs="Arial"/>
        </w:rPr>
        <w:t xml:space="preserve"> with the</w:t>
      </w:r>
      <w:r w:rsidR="00AC2433">
        <w:rPr>
          <w:rFonts w:ascii="Arial" w:hAnsi="Arial" w:cs="Arial"/>
        </w:rPr>
        <w:t xml:space="preserve"> UN</w:t>
      </w:r>
      <w:r w:rsidR="00C4590E" w:rsidRPr="0055117A">
        <w:rPr>
          <w:rFonts w:ascii="Arial" w:hAnsi="Arial" w:cs="Arial"/>
        </w:rPr>
        <w:t xml:space="preserve"> Declaration</w:t>
      </w:r>
      <w:r w:rsidR="009A3717" w:rsidRPr="0055117A">
        <w:rPr>
          <w:rFonts w:ascii="Arial" w:hAnsi="Arial" w:cs="Arial"/>
        </w:rPr>
        <w:t>.</w:t>
      </w:r>
      <w:r w:rsidR="00C4590E">
        <w:rPr>
          <w:rFonts w:ascii="Arial" w:hAnsi="Arial" w:cs="Arial"/>
        </w:rPr>
        <w:t xml:space="preserve"> </w:t>
      </w:r>
      <w:r w:rsidR="00C13035">
        <w:rPr>
          <w:rFonts w:ascii="Arial" w:hAnsi="Arial" w:cs="Arial"/>
        </w:rPr>
        <w:t>Further, a</w:t>
      </w:r>
      <w:r w:rsidR="00BD1449">
        <w:rPr>
          <w:rFonts w:ascii="Arial" w:hAnsi="Arial" w:cs="Arial"/>
        </w:rPr>
        <w:t xml:space="preserve">t </w:t>
      </w:r>
      <w:r w:rsidR="00BD1449" w:rsidRPr="0057428B">
        <w:rPr>
          <w:rFonts w:ascii="Arial" w:hAnsi="Arial" w:cs="Arial"/>
        </w:rPr>
        <w:t>federal</w:t>
      </w:r>
      <w:r w:rsidR="00C13035">
        <w:rPr>
          <w:rFonts w:ascii="Arial" w:hAnsi="Arial" w:cs="Arial"/>
        </w:rPr>
        <w:t>/</w:t>
      </w:r>
      <w:r w:rsidR="00BD1449" w:rsidRPr="0057428B">
        <w:rPr>
          <w:rFonts w:ascii="Arial" w:hAnsi="Arial" w:cs="Arial"/>
        </w:rPr>
        <w:t>provincial</w:t>
      </w:r>
      <w:r w:rsidR="00C13035">
        <w:rPr>
          <w:rFonts w:ascii="Arial" w:hAnsi="Arial" w:cs="Arial"/>
        </w:rPr>
        <w:t>/territorial</w:t>
      </w:r>
      <w:r w:rsidR="00BD1449" w:rsidRPr="0057428B">
        <w:rPr>
          <w:rFonts w:ascii="Arial" w:hAnsi="Arial" w:cs="Arial"/>
        </w:rPr>
        <w:t xml:space="preserve"> level</w:t>
      </w:r>
      <w:r w:rsidR="00BD1449">
        <w:rPr>
          <w:rFonts w:ascii="Arial" w:hAnsi="Arial" w:cs="Arial"/>
        </w:rPr>
        <w:t xml:space="preserve">s, </w:t>
      </w:r>
      <w:r w:rsidR="00EF7700">
        <w:rPr>
          <w:rFonts w:ascii="Arial" w:hAnsi="Arial" w:cs="Arial"/>
        </w:rPr>
        <w:t>dozens</w:t>
      </w:r>
      <w:r w:rsidR="00BD1449">
        <w:rPr>
          <w:rFonts w:ascii="Arial" w:hAnsi="Arial" w:cs="Arial"/>
        </w:rPr>
        <w:t xml:space="preserve"> of </w:t>
      </w:r>
      <w:r w:rsidR="00255F0E" w:rsidRPr="0057428B">
        <w:rPr>
          <w:rFonts w:ascii="Arial" w:hAnsi="Arial" w:cs="Arial"/>
        </w:rPr>
        <w:t xml:space="preserve">references to the </w:t>
      </w:r>
      <w:r w:rsidR="00AC2433">
        <w:rPr>
          <w:rFonts w:ascii="Arial" w:hAnsi="Arial" w:cs="Arial"/>
        </w:rPr>
        <w:t xml:space="preserve">UN </w:t>
      </w:r>
      <w:r w:rsidR="00255F0E" w:rsidRPr="0057428B">
        <w:rPr>
          <w:rFonts w:ascii="Arial" w:hAnsi="Arial" w:cs="Arial"/>
        </w:rPr>
        <w:t xml:space="preserve">Declaration </w:t>
      </w:r>
      <w:r w:rsidR="00AC2433">
        <w:rPr>
          <w:rFonts w:ascii="Arial" w:hAnsi="Arial" w:cs="Arial"/>
        </w:rPr>
        <w:t xml:space="preserve">exist </w:t>
      </w:r>
      <w:r w:rsidR="00255F0E" w:rsidRPr="0057428B">
        <w:rPr>
          <w:rFonts w:ascii="Arial" w:hAnsi="Arial" w:cs="Arial"/>
        </w:rPr>
        <w:t>in</w:t>
      </w:r>
      <w:r w:rsidR="00255F0E">
        <w:rPr>
          <w:rFonts w:ascii="Arial" w:hAnsi="Arial" w:cs="Arial"/>
        </w:rPr>
        <w:t xml:space="preserve"> </w:t>
      </w:r>
      <w:r w:rsidR="008C2175">
        <w:rPr>
          <w:rFonts w:ascii="Arial" w:hAnsi="Arial" w:cs="Arial"/>
        </w:rPr>
        <w:t>sectoral legislation</w:t>
      </w:r>
      <w:r w:rsidR="00AC2433">
        <w:rPr>
          <w:rFonts w:ascii="Arial" w:hAnsi="Arial" w:cs="Arial"/>
        </w:rPr>
        <w:t>—</w:t>
      </w:r>
      <w:r w:rsidR="00255F0E" w:rsidRPr="0057428B">
        <w:rPr>
          <w:rFonts w:ascii="Arial" w:hAnsi="Arial" w:cs="Arial"/>
        </w:rPr>
        <w:t xml:space="preserve">both </w:t>
      </w:r>
      <w:r w:rsidR="00255F0E">
        <w:rPr>
          <w:rFonts w:ascii="Arial" w:hAnsi="Arial" w:cs="Arial"/>
        </w:rPr>
        <w:t xml:space="preserve">laws of general application </w:t>
      </w:r>
      <w:r w:rsidR="00C13035">
        <w:rPr>
          <w:rFonts w:ascii="Arial" w:hAnsi="Arial" w:cs="Arial"/>
        </w:rPr>
        <w:t>and</w:t>
      </w:r>
      <w:r w:rsidR="00255F0E">
        <w:rPr>
          <w:rFonts w:ascii="Arial" w:hAnsi="Arial" w:cs="Arial"/>
        </w:rPr>
        <w:t xml:space="preserve"> laws specific</w:t>
      </w:r>
      <w:r w:rsidR="00585E0D">
        <w:rPr>
          <w:rFonts w:ascii="Arial" w:hAnsi="Arial" w:cs="Arial"/>
        </w:rPr>
        <w:t>ally relating</w:t>
      </w:r>
      <w:r w:rsidR="00255F0E">
        <w:rPr>
          <w:rFonts w:ascii="Arial" w:hAnsi="Arial" w:cs="Arial"/>
        </w:rPr>
        <w:t xml:space="preserve"> to Indigenous </w:t>
      </w:r>
      <w:r w:rsidR="00AC2433">
        <w:rPr>
          <w:rFonts w:ascii="Arial" w:hAnsi="Arial" w:cs="Arial"/>
        </w:rPr>
        <w:t>P</w:t>
      </w:r>
      <w:r w:rsidR="00255F0E">
        <w:rPr>
          <w:rFonts w:ascii="Arial" w:hAnsi="Arial" w:cs="Arial"/>
        </w:rPr>
        <w:t>eoples</w:t>
      </w:r>
      <w:r w:rsidR="00255F0E" w:rsidRPr="0057428B">
        <w:rPr>
          <w:rFonts w:ascii="Arial" w:hAnsi="Arial" w:cs="Arial"/>
        </w:rPr>
        <w:t>.</w:t>
      </w:r>
      <w:r w:rsidR="00FA2B5C">
        <w:rPr>
          <w:rFonts w:ascii="Arial" w:hAnsi="Arial" w:cs="Arial"/>
        </w:rPr>
        <w:t xml:space="preserve"> While many of these are restricted to preambles, </w:t>
      </w:r>
      <w:r w:rsidR="001513E2">
        <w:rPr>
          <w:rFonts w:ascii="Arial" w:hAnsi="Arial" w:cs="Arial"/>
        </w:rPr>
        <w:t xml:space="preserve">several </w:t>
      </w:r>
      <w:r w:rsidR="00485A18">
        <w:rPr>
          <w:rFonts w:ascii="Arial" w:hAnsi="Arial" w:cs="Arial"/>
        </w:rPr>
        <w:t>references</w:t>
      </w:r>
      <w:r w:rsidR="00AC2433">
        <w:rPr>
          <w:rFonts w:ascii="Arial" w:hAnsi="Arial" w:cs="Arial"/>
        </w:rPr>
        <w:t xml:space="preserve"> exist</w:t>
      </w:r>
      <w:r w:rsidR="00485A18">
        <w:rPr>
          <w:rFonts w:ascii="Arial" w:hAnsi="Arial" w:cs="Arial"/>
        </w:rPr>
        <w:t xml:space="preserve"> in operative clauses</w:t>
      </w:r>
      <w:r w:rsidR="001513E2">
        <w:rPr>
          <w:rFonts w:ascii="Arial" w:hAnsi="Arial" w:cs="Arial"/>
        </w:rPr>
        <w:t xml:space="preserve">. This reflects the </w:t>
      </w:r>
      <w:r w:rsidR="0047392A">
        <w:rPr>
          <w:rFonts w:ascii="Arial" w:hAnsi="Arial" w:cs="Arial"/>
        </w:rPr>
        <w:t xml:space="preserve">effective advocacy </w:t>
      </w:r>
      <w:r w:rsidR="001513E2">
        <w:rPr>
          <w:rFonts w:ascii="Arial" w:hAnsi="Arial" w:cs="Arial"/>
        </w:rPr>
        <w:t>of</w:t>
      </w:r>
      <w:r w:rsidR="0047392A">
        <w:rPr>
          <w:rFonts w:ascii="Arial" w:hAnsi="Arial" w:cs="Arial"/>
        </w:rPr>
        <w:t xml:space="preserve"> Indigenous </w:t>
      </w:r>
      <w:r w:rsidR="00AC2433">
        <w:rPr>
          <w:rFonts w:ascii="Arial" w:hAnsi="Arial" w:cs="Arial"/>
        </w:rPr>
        <w:t>P</w:t>
      </w:r>
      <w:r w:rsidR="0047392A">
        <w:rPr>
          <w:rFonts w:ascii="Arial" w:hAnsi="Arial" w:cs="Arial"/>
        </w:rPr>
        <w:t xml:space="preserve">eoples </w:t>
      </w:r>
      <w:r w:rsidR="0047392A" w:rsidRPr="0057428B">
        <w:rPr>
          <w:rFonts w:ascii="Arial" w:hAnsi="Arial" w:cs="Arial"/>
        </w:rPr>
        <w:t>an</w:t>
      </w:r>
      <w:r w:rsidR="0047392A">
        <w:rPr>
          <w:rFonts w:ascii="Arial" w:hAnsi="Arial" w:cs="Arial"/>
        </w:rPr>
        <w:t xml:space="preserve">d </w:t>
      </w:r>
      <w:r w:rsidR="00706825">
        <w:rPr>
          <w:rFonts w:ascii="Arial" w:hAnsi="Arial" w:cs="Arial"/>
        </w:rPr>
        <w:t>a greater</w:t>
      </w:r>
      <w:r w:rsidR="0047392A" w:rsidRPr="0057428B">
        <w:rPr>
          <w:rFonts w:ascii="Arial" w:hAnsi="Arial" w:cs="Arial"/>
        </w:rPr>
        <w:t xml:space="preserve"> awareness of </w:t>
      </w:r>
      <w:r w:rsidR="0047392A">
        <w:rPr>
          <w:rFonts w:ascii="Arial" w:hAnsi="Arial" w:cs="Arial"/>
        </w:rPr>
        <w:t xml:space="preserve">the importance of the </w:t>
      </w:r>
      <w:r w:rsidR="00AC2433">
        <w:rPr>
          <w:rFonts w:ascii="Arial" w:hAnsi="Arial" w:cs="Arial"/>
        </w:rPr>
        <w:t xml:space="preserve">UN </w:t>
      </w:r>
      <w:r w:rsidR="0047392A">
        <w:rPr>
          <w:rFonts w:ascii="Arial" w:hAnsi="Arial" w:cs="Arial"/>
        </w:rPr>
        <w:t>Declaration’s minimum human rights standards to lawmaking and policy in Canada</w:t>
      </w:r>
      <w:r w:rsidR="0047392A" w:rsidRPr="0057428B">
        <w:rPr>
          <w:rFonts w:ascii="Arial" w:hAnsi="Arial" w:cs="Arial"/>
        </w:rPr>
        <w:t>.</w:t>
      </w:r>
      <w:r w:rsidR="00255F0E">
        <w:rPr>
          <w:rStyle w:val="FootnoteReference"/>
          <w:rFonts w:ascii="Arial" w:hAnsi="Arial" w:cs="Arial"/>
        </w:rPr>
        <w:footnoteReference w:id="2"/>
      </w:r>
      <w:r w:rsidR="00255F0E" w:rsidRPr="0057428B">
        <w:rPr>
          <w:rFonts w:ascii="Arial" w:hAnsi="Arial" w:cs="Arial"/>
        </w:rPr>
        <w:t xml:space="preserve"> </w:t>
      </w:r>
    </w:p>
    <w:p w14:paraId="3EB0F388" w14:textId="46E97443" w:rsidR="00AC2433" w:rsidRDefault="00AC2433" w:rsidP="0057428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717C">
        <w:rPr>
          <w:rFonts w:ascii="Arial" w:hAnsi="Arial" w:cs="Arial"/>
        </w:rPr>
        <w:t xml:space="preserve">n obstacle to </w:t>
      </w:r>
      <w:r w:rsidR="00DB059D">
        <w:rPr>
          <w:rFonts w:ascii="Arial" w:hAnsi="Arial" w:cs="Arial"/>
        </w:rPr>
        <w:t>meaningful</w:t>
      </w:r>
      <w:r w:rsidR="00E8717C">
        <w:rPr>
          <w:rFonts w:ascii="Arial" w:hAnsi="Arial" w:cs="Arial"/>
        </w:rPr>
        <w:t xml:space="preserve"> implementation</w:t>
      </w:r>
      <w:r w:rsidR="00BD35F7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 xml:space="preserve">UN </w:t>
      </w:r>
      <w:r w:rsidR="00BD35F7">
        <w:rPr>
          <w:rFonts w:ascii="Arial" w:hAnsi="Arial" w:cs="Arial"/>
        </w:rPr>
        <w:t>Declaration in Canada</w:t>
      </w:r>
      <w:r w:rsidR="00E8717C">
        <w:rPr>
          <w:rFonts w:ascii="Arial" w:hAnsi="Arial" w:cs="Arial"/>
        </w:rPr>
        <w:t xml:space="preserve"> is a lack of proper understanding </w:t>
      </w:r>
      <w:r w:rsidR="00BD35F7">
        <w:rPr>
          <w:rFonts w:ascii="Arial" w:hAnsi="Arial" w:cs="Arial"/>
        </w:rPr>
        <w:t>by</w:t>
      </w:r>
      <w:r w:rsidR="00FB7F7A">
        <w:rPr>
          <w:rFonts w:ascii="Arial" w:hAnsi="Arial" w:cs="Arial"/>
        </w:rPr>
        <w:t xml:space="preserve"> </w:t>
      </w:r>
      <w:r w:rsidR="00C13035">
        <w:rPr>
          <w:rFonts w:ascii="Arial" w:hAnsi="Arial" w:cs="Arial"/>
        </w:rPr>
        <w:t xml:space="preserve">some </w:t>
      </w:r>
      <w:r w:rsidR="00FB7F7A">
        <w:rPr>
          <w:rFonts w:ascii="Arial" w:hAnsi="Arial" w:cs="Arial"/>
        </w:rPr>
        <w:t>members of the public service, the judiciary</w:t>
      </w:r>
      <w:r w:rsidR="007F17BA">
        <w:rPr>
          <w:rFonts w:ascii="Arial" w:hAnsi="Arial" w:cs="Arial"/>
        </w:rPr>
        <w:t>,</w:t>
      </w:r>
      <w:r w:rsidR="00FB7F7A">
        <w:rPr>
          <w:rFonts w:ascii="Arial" w:hAnsi="Arial" w:cs="Arial"/>
        </w:rPr>
        <w:t xml:space="preserve"> and public office holders</w:t>
      </w:r>
      <w:r w:rsidR="005F2328">
        <w:rPr>
          <w:rFonts w:ascii="Arial" w:hAnsi="Arial" w:cs="Arial"/>
        </w:rPr>
        <w:t xml:space="preserve"> </w:t>
      </w:r>
      <w:r w:rsidR="00E8717C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UN </w:t>
      </w:r>
      <w:r w:rsidR="00E8717C">
        <w:rPr>
          <w:rFonts w:ascii="Arial" w:hAnsi="Arial" w:cs="Arial"/>
        </w:rPr>
        <w:t>Declaration’s legal effect in Canada</w:t>
      </w:r>
      <w:r w:rsidR="004900CD">
        <w:rPr>
          <w:rFonts w:ascii="Arial" w:hAnsi="Arial" w:cs="Arial"/>
        </w:rPr>
        <w:t>.</w:t>
      </w:r>
      <w:r w:rsidR="00E8717C">
        <w:rPr>
          <w:rFonts w:ascii="Arial" w:hAnsi="Arial" w:cs="Arial"/>
        </w:rPr>
        <w:t xml:space="preserve"> Too often, a tendency </w:t>
      </w:r>
      <w:r>
        <w:rPr>
          <w:rFonts w:ascii="Arial" w:hAnsi="Arial" w:cs="Arial"/>
        </w:rPr>
        <w:t xml:space="preserve">exists </w:t>
      </w:r>
      <w:r w:rsidR="00E8717C">
        <w:rPr>
          <w:rFonts w:ascii="Arial" w:hAnsi="Arial" w:cs="Arial"/>
        </w:rPr>
        <w:t xml:space="preserve">to simply </w:t>
      </w:r>
      <w:r w:rsidR="005F2328">
        <w:rPr>
          <w:rFonts w:ascii="Arial" w:hAnsi="Arial" w:cs="Arial"/>
        </w:rPr>
        <w:t>state</w:t>
      </w:r>
      <w:r w:rsidR="00E8717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UN </w:t>
      </w:r>
      <w:r w:rsidR="00E8717C">
        <w:rPr>
          <w:rFonts w:ascii="Arial" w:hAnsi="Arial" w:cs="Arial"/>
        </w:rPr>
        <w:t>Declaration is not</w:t>
      </w:r>
      <w:r w:rsidR="007F17BA">
        <w:rPr>
          <w:rFonts w:ascii="Arial" w:hAnsi="Arial" w:cs="Arial"/>
        </w:rPr>
        <w:t>,</w:t>
      </w:r>
      <w:r w:rsidR="00E8717C">
        <w:rPr>
          <w:rFonts w:ascii="Arial" w:hAnsi="Arial" w:cs="Arial"/>
        </w:rPr>
        <w:t xml:space="preserve"> in itself</w:t>
      </w:r>
      <w:r w:rsidR="00426413">
        <w:rPr>
          <w:rFonts w:ascii="Arial" w:hAnsi="Arial" w:cs="Arial"/>
        </w:rPr>
        <w:t>,</w:t>
      </w:r>
      <w:r w:rsidR="00E8717C">
        <w:rPr>
          <w:rFonts w:ascii="Arial" w:hAnsi="Arial" w:cs="Arial"/>
        </w:rPr>
        <w:t xml:space="preserve"> formally legally binding and to leave discussion there.</w:t>
      </w:r>
      <w:r w:rsidR="00B25F39">
        <w:rPr>
          <w:rFonts w:ascii="Arial" w:hAnsi="Arial" w:cs="Arial"/>
        </w:rPr>
        <w:t xml:space="preserve"> </w:t>
      </w:r>
    </w:p>
    <w:p w14:paraId="0F31F1B3" w14:textId="051DF6CD" w:rsidR="00AC2433" w:rsidRDefault="00E8717C" w:rsidP="0057428B">
      <w:pPr>
        <w:rPr>
          <w:rFonts w:ascii="Arial" w:hAnsi="Arial" w:cs="Arial"/>
        </w:rPr>
      </w:pPr>
      <w:r>
        <w:rPr>
          <w:rFonts w:ascii="Arial" w:hAnsi="Arial" w:cs="Arial"/>
        </w:rPr>
        <w:t>First Nations have pointed out in litigation</w:t>
      </w:r>
      <w:r w:rsidR="008648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in policy and legislative discussions, </w:t>
      </w:r>
      <w:r w:rsidR="00B25F39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</w:t>
      </w:r>
      <w:r w:rsidR="00AC2433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Declaration nevertheless has </w:t>
      </w:r>
      <w:r w:rsidRPr="00C13035">
        <w:rPr>
          <w:rFonts w:ascii="Arial" w:hAnsi="Arial" w:cs="Arial"/>
          <w:u w:val="single"/>
        </w:rPr>
        <w:t xml:space="preserve">legal </w:t>
      </w:r>
      <w:r w:rsidRPr="00B17498">
        <w:rPr>
          <w:rFonts w:ascii="Arial" w:hAnsi="Arial" w:cs="Arial"/>
          <w:u w:val="single"/>
        </w:rPr>
        <w:t>effect</w:t>
      </w:r>
      <w:r>
        <w:rPr>
          <w:rFonts w:ascii="Arial" w:hAnsi="Arial" w:cs="Arial"/>
        </w:rPr>
        <w:t xml:space="preserve"> in Canada: first</w:t>
      </w:r>
      <w:r w:rsidR="008B58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an interpretive aid consistent with Canada’s </w:t>
      </w:r>
      <w:r w:rsidR="00DA50DC">
        <w:rPr>
          <w:rFonts w:ascii="Arial" w:hAnsi="Arial" w:cs="Arial"/>
        </w:rPr>
        <w:t xml:space="preserve">judicial </w:t>
      </w:r>
      <w:r>
        <w:rPr>
          <w:rFonts w:ascii="Arial" w:hAnsi="Arial" w:cs="Arial"/>
        </w:rPr>
        <w:t>treatment of international human rights instruments</w:t>
      </w:r>
      <w:r w:rsidR="008B581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second, several provisions of the </w:t>
      </w:r>
      <w:r w:rsidR="00AC2433">
        <w:rPr>
          <w:rFonts w:ascii="Arial" w:hAnsi="Arial" w:cs="Arial"/>
        </w:rPr>
        <w:t xml:space="preserve">UN </w:t>
      </w:r>
      <w:r w:rsidRPr="003C5648">
        <w:rPr>
          <w:rFonts w:ascii="Arial" w:hAnsi="Arial" w:cs="Arial"/>
        </w:rPr>
        <w:t>Declaration</w:t>
      </w:r>
      <w:r>
        <w:rPr>
          <w:rFonts w:ascii="Arial" w:hAnsi="Arial" w:cs="Arial"/>
        </w:rPr>
        <w:t xml:space="preserve"> form part of </w:t>
      </w:r>
      <w:r w:rsidRPr="003C5648">
        <w:rPr>
          <w:rFonts w:ascii="Arial" w:hAnsi="Arial" w:cs="Arial"/>
        </w:rPr>
        <w:t>customary international law</w:t>
      </w:r>
      <w:r w:rsidR="008648AC">
        <w:rPr>
          <w:rFonts w:ascii="Arial" w:hAnsi="Arial" w:cs="Arial"/>
        </w:rPr>
        <w:t xml:space="preserve"> (</w:t>
      </w:r>
      <w:r w:rsidR="002A5C0A">
        <w:rPr>
          <w:rFonts w:ascii="Arial" w:hAnsi="Arial" w:cs="Arial"/>
        </w:rPr>
        <w:t>making such provisions binding on Canada)</w:t>
      </w:r>
      <w:r>
        <w:rPr>
          <w:rFonts w:ascii="Arial" w:hAnsi="Arial" w:cs="Arial"/>
        </w:rPr>
        <w:t>; third</w:t>
      </w:r>
      <w:r w:rsidR="000C44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legal requirement in Canada of the honour of the Crown in its dealings with Indigenous </w:t>
      </w:r>
      <w:r w:rsidR="00AC2433">
        <w:rPr>
          <w:rFonts w:ascii="Arial" w:hAnsi="Arial" w:cs="Arial"/>
        </w:rPr>
        <w:t>P</w:t>
      </w:r>
      <w:r>
        <w:rPr>
          <w:rFonts w:ascii="Arial" w:hAnsi="Arial" w:cs="Arial"/>
        </w:rPr>
        <w:t>eoples</w:t>
      </w:r>
      <w:r w:rsidR="00B846C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 fourth, the federal </w:t>
      </w:r>
      <w:r w:rsidRPr="001B30D6">
        <w:rPr>
          <w:rFonts w:ascii="Arial" w:hAnsi="Arial" w:cs="Arial"/>
          <w:i/>
          <w:iCs/>
        </w:rPr>
        <w:t>United Nations Declaration on the Rights of Indigenous Peoples Act</w:t>
      </w:r>
      <w:r>
        <w:rPr>
          <w:rFonts w:ascii="Arial" w:hAnsi="Arial" w:cs="Arial"/>
        </w:rPr>
        <w:t xml:space="preserve"> </w:t>
      </w:r>
      <w:r w:rsidR="002A01B5">
        <w:rPr>
          <w:rFonts w:ascii="Arial" w:hAnsi="Arial" w:cs="Arial"/>
        </w:rPr>
        <w:t>arguably has</w:t>
      </w:r>
      <w:r>
        <w:rPr>
          <w:rFonts w:ascii="Arial" w:hAnsi="Arial" w:cs="Arial"/>
        </w:rPr>
        <w:t xml:space="preserve"> quasi-constitutional status</w:t>
      </w:r>
      <w:r w:rsidR="00841E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A01B5">
        <w:rPr>
          <w:rFonts w:ascii="Arial" w:hAnsi="Arial" w:cs="Arial"/>
        </w:rPr>
        <w:t>similar to</w:t>
      </w:r>
      <w:r>
        <w:rPr>
          <w:rFonts w:ascii="Arial" w:hAnsi="Arial" w:cs="Arial"/>
        </w:rPr>
        <w:t xml:space="preserve"> the </w:t>
      </w:r>
      <w:r w:rsidRPr="001B30D6">
        <w:rPr>
          <w:rFonts w:ascii="Arial" w:hAnsi="Arial" w:cs="Arial"/>
          <w:i/>
          <w:iCs/>
        </w:rPr>
        <w:t>Canadian Human Rights Act</w:t>
      </w:r>
      <w:r>
        <w:rPr>
          <w:rFonts w:ascii="Arial" w:hAnsi="Arial" w:cs="Arial"/>
        </w:rPr>
        <w:t xml:space="preserve">. </w:t>
      </w:r>
    </w:p>
    <w:p w14:paraId="33D7CCCF" w14:textId="0BB9C18C" w:rsidR="00E8717C" w:rsidRDefault="00E8717C" w:rsidP="00574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Notably, the </w:t>
      </w:r>
      <w:r w:rsidRPr="00684674">
        <w:rPr>
          <w:rFonts w:ascii="Arial" w:hAnsi="Arial" w:cs="Arial"/>
        </w:rPr>
        <w:t xml:space="preserve">Parliament </w:t>
      </w:r>
      <w:r>
        <w:rPr>
          <w:rFonts w:ascii="Arial" w:hAnsi="Arial" w:cs="Arial"/>
        </w:rPr>
        <w:t xml:space="preserve">of Canada </w:t>
      </w:r>
      <w:r w:rsidRPr="00684674">
        <w:rPr>
          <w:rFonts w:ascii="Arial" w:hAnsi="Arial" w:cs="Arial"/>
        </w:rPr>
        <w:t>has affirmed the Declaration “as a source for the interpretation of Canadian law” and</w:t>
      </w:r>
      <w:r>
        <w:rPr>
          <w:rFonts w:ascii="Arial" w:hAnsi="Arial" w:cs="Arial"/>
        </w:rPr>
        <w:t xml:space="preserve"> as</w:t>
      </w:r>
      <w:r w:rsidRPr="00684674">
        <w:rPr>
          <w:rFonts w:ascii="Arial" w:hAnsi="Arial" w:cs="Arial"/>
        </w:rPr>
        <w:t xml:space="preserve"> “a universal international human rights instrument with application in Canadian law.”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Pr="0068467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Province of British Columbia</w:t>
      </w:r>
      <w:r w:rsidRPr="00684674">
        <w:rPr>
          <w:rFonts w:ascii="Arial" w:hAnsi="Arial" w:cs="Arial"/>
        </w:rPr>
        <w:t xml:space="preserve"> has amended </w:t>
      </w:r>
      <w:r>
        <w:rPr>
          <w:rFonts w:ascii="Arial" w:hAnsi="Arial" w:cs="Arial"/>
        </w:rPr>
        <w:t>its</w:t>
      </w:r>
      <w:r w:rsidRPr="00684674">
        <w:rPr>
          <w:rFonts w:ascii="Arial" w:hAnsi="Arial" w:cs="Arial"/>
        </w:rPr>
        <w:t xml:space="preserve"> </w:t>
      </w:r>
      <w:hyperlink r:id="rId18" w:history="1">
        <w:r w:rsidRPr="00850B82">
          <w:rPr>
            <w:rStyle w:val="Hyperlink"/>
            <w:rFonts w:ascii="Arial" w:hAnsi="Arial" w:cs="Arial"/>
          </w:rPr>
          <w:t>Interpretation Act</w:t>
        </w:r>
      </w:hyperlink>
      <w:r w:rsidRPr="00684674">
        <w:rPr>
          <w:rFonts w:ascii="Arial" w:hAnsi="Arial" w:cs="Arial"/>
        </w:rPr>
        <w:t xml:space="preserve"> to require courts to construe every BC law and regulation as being consistent with the</w:t>
      </w:r>
      <w:r w:rsidR="00AC2433">
        <w:rPr>
          <w:rFonts w:ascii="Arial" w:hAnsi="Arial" w:cs="Arial"/>
        </w:rPr>
        <w:t xml:space="preserve"> UN</w:t>
      </w:r>
      <w:r w:rsidRPr="00684674">
        <w:rPr>
          <w:rFonts w:ascii="Arial" w:hAnsi="Arial" w:cs="Arial"/>
        </w:rPr>
        <w:t xml:space="preserve"> Declaration.</w:t>
      </w:r>
      <w:r>
        <w:rPr>
          <w:rFonts w:ascii="Arial" w:hAnsi="Arial" w:cs="Arial"/>
        </w:rPr>
        <w:t xml:space="preserve"> A bill to amend the federal Interpretation Act</w:t>
      </w:r>
      <w:r w:rsidR="001513E2" w:rsidRPr="001513E2">
        <w:rPr>
          <w:rFonts w:ascii="Arial" w:hAnsi="Arial" w:cs="Arial"/>
        </w:rPr>
        <w:t xml:space="preserve"> </w:t>
      </w:r>
      <w:r w:rsidR="001513E2">
        <w:rPr>
          <w:rFonts w:ascii="Arial" w:hAnsi="Arial" w:cs="Arial"/>
        </w:rPr>
        <w:t>in a similar way</w:t>
      </w:r>
      <w:r w:rsidR="00124491">
        <w:rPr>
          <w:rFonts w:ascii="Arial" w:hAnsi="Arial" w:cs="Arial"/>
        </w:rPr>
        <w:t xml:space="preserve"> (</w:t>
      </w:r>
      <w:hyperlink r:id="rId19" w:history="1">
        <w:r w:rsidR="00124491" w:rsidRPr="00D500EC">
          <w:rPr>
            <w:rStyle w:val="Hyperlink"/>
            <w:rFonts w:ascii="Arial" w:hAnsi="Arial" w:cs="Arial"/>
          </w:rPr>
          <w:t>S-13</w:t>
        </w:r>
      </w:hyperlink>
      <w:r w:rsidR="0012449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currently before the Parliament</w:t>
      </w:r>
      <w:r w:rsidR="00A86837">
        <w:rPr>
          <w:rFonts w:ascii="Arial" w:hAnsi="Arial" w:cs="Arial"/>
        </w:rPr>
        <w:t xml:space="preserve"> of Canada</w:t>
      </w:r>
      <w:r>
        <w:rPr>
          <w:rFonts w:ascii="Arial" w:hAnsi="Arial" w:cs="Arial"/>
        </w:rPr>
        <w:t>.</w:t>
      </w:r>
    </w:p>
    <w:p w14:paraId="443379A5" w14:textId="78B85504" w:rsidR="006613FA" w:rsidRDefault="00C1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Unfortunately, </w:t>
      </w:r>
      <w:r w:rsidRPr="00550CC4">
        <w:rPr>
          <w:rFonts w:ascii="Arial" w:hAnsi="Arial" w:cs="Arial"/>
        </w:rPr>
        <w:t xml:space="preserve">First Nations </w:t>
      </w:r>
      <w:r>
        <w:rPr>
          <w:rFonts w:ascii="Arial" w:hAnsi="Arial" w:cs="Arial"/>
        </w:rPr>
        <w:t xml:space="preserve">must </w:t>
      </w:r>
      <w:r w:rsidR="007F17BA">
        <w:rPr>
          <w:rFonts w:ascii="Arial" w:hAnsi="Arial" w:cs="Arial"/>
        </w:rPr>
        <w:t xml:space="preserve">still </w:t>
      </w:r>
      <w:r>
        <w:rPr>
          <w:rFonts w:ascii="Arial" w:hAnsi="Arial" w:cs="Arial"/>
        </w:rPr>
        <w:t>undertake considerable costly</w:t>
      </w:r>
      <w:r w:rsidRPr="00550CC4">
        <w:rPr>
          <w:rFonts w:ascii="Arial" w:hAnsi="Arial" w:cs="Arial"/>
        </w:rPr>
        <w:t xml:space="preserve"> litigat</w:t>
      </w:r>
      <w:r>
        <w:rPr>
          <w:rFonts w:ascii="Arial" w:hAnsi="Arial" w:cs="Arial"/>
        </w:rPr>
        <w:t xml:space="preserve">ion to seek remedies and redress respecting our rights on </w:t>
      </w:r>
      <w:r w:rsidRPr="00550CC4">
        <w:rPr>
          <w:rFonts w:ascii="Arial" w:hAnsi="Arial" w:cs="Arial"/>
        </w:rPr>
        <w:t>a case</w:t>
      </w:r>
      <w:r>
        <w:rPr>
          <w:rFonts w:ascii="Arial" w:hAnsi="Arial" w:cs="Arial"/>
        </w:rPr>
        <w:t>-</w:t>
      </w:r>
      <w:r w:rsidRPr="00550CC4">
        <w:rPr>
          <w:rFonts w:ascii="Arial" w:hAnsi="Arial" w:cs="Arial"/>
        </w:rPr>
        <w:t>by-case basis</w:t>
      </w:r>
      <w:r>
        <w:rPr>
          <w:rFonts w:ascii="Arial" w:hAnsi="Arial" w:cs="Arial"/>
        </w:rPr>
        <w:t>.</w:t>
      </w:r>
      <w:r w:rsidRPr="006E7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Resource regulation is a frequent, but by no means, only point of friction. This situation does not advance the ends of the </w:t>
      </w:r>
      <w:r w:rsidR="00AC2433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Declaration</w:t>
      </w:r>
      <w:r w:rsidR="00AC2433">
        <w:rPr>
          <w:rFonts w:ascii="Arial" w:hAnsi="Arial" w:cs="Arial"/>
        </w:rPr>
        <w:t>. A</w:t>
      </w:r>
      <w:r w:rsidR="00203C28">
        <w:rPr>
          <w:rFonts w:ascii="Arial" w:hAnsi="Arial" w:cs="Arial"/>
        </w:rPr>
        <w:t xml:space="preserve">nother challenge is </w:t>
      </w:r>
      <w:r w:rsidR="00AC6DD0">
        <w:rPr>
          <w:rFonts w:ascii="Arial" w:hAnsi="Arial" w:cs="Arial"/>
        </w:rPr>
        <w:t xml:space="preserve">the current </w:t>
      </w:r>
      <w:r w:rsidR="00594200">
        <w:rPr>
          <w:rFonts w:ascii="Arial" w:hAnsi="Arial" w:cs="Arial"/>
        </w:rPr>
        <w:t xml:space="preserve">inconsistency in judicial analysis </w:t>
      </w:r>
      <w:r w:rsidR="00C10506">
        <w:rPr>
          <w:rFonts w:ascii="Arial" w:hAnsi="Arial" w:cs="Arial"/>
        </w:rPr>
        <w:t>respecting the legal effect of the</w:t>
      </w:r>
      <w:r w:rsidR="00AC2433">
        <w:rPr>
          <w:rFonts w:ascii="Arial" w:hAnsi="Arial" w:cs="Arial"/>
        </w:rPr>
        <w:t xml:space="preserve"> UN</w:t>
      </w:r>
      <w:r w:rsidR="00C10506">
        <w:rPr>
          <w:rFonts w:ascii="Arial" w:hAnsi="Arial" w:cs="Arial"/>
        </w:rPr>
        <w:t xml:space="preserve"> </w:t>
      </w:r>
      <w:r w:rsidR="00594200">
        <w:rPr>
          <w:rFonts w:ascii="Arial" w:hAnsi="Arial" w:cs="Arial"/>
        </w:rPr>
        <w:t>Declaration</w:t>
      </w:r>
      <w:r w:rsidR="002128BE">
        <w:rPr>
          <w:rFonts w:ascii="Arial" w:hAnsi="Arial" w:cs="Arial"/>
        </w:rPr>
        <w:t xml:space="preserve"> in Canada</w:t>
      </w:r>
      <w:r w:rsidR="00594200">
        <w:rPr>
          <w:rFonts w:ascii="Arial" w:hAnsi="Arial" w:cs="Arial"/>
        </w:rPr>
        <w:t>.</w:t>
      </w:r>
      <w:r w:rsidR="00AC6DD0">
        <w:rPr>
          <w:rFonts w:ascii="Arial" w:hAnsi="Arial" w:cs="Arial"/>
        </w:rPr>
        <w:t xml:space="preserve"> </w:t>
      </w:r>
      <w:r w:rsidR="00A74F56">
        <w:rPr>
          <w:rFonts w:ascii="Arial" w:hAnsi="Arial" w:cs="Arial"/>
        </w:rPr>
        <w:t>Th</w:t>
      </w:r>
      <w:r w:rsidR="00AC6DD0">
        <w:rPr>
          <w:rFonts w:ascii="Arial" w:hAnsi="Arial" w:cs="Arial"/>
        </w:rPr>
        <w:t>is</w:t>
      </w:r>
      <w:r w:rsidR="000F7975">
        <w:rPr>
          <w:rFonts w:ascii="Arial" w:hAnsi="Arial" w:cs="Arial"/>
        </w:rPr>
        <w:t xml:space="preserve"> is</w:t>
      </w:r>
      <w:r w:rsidR="00AC6DD0">
        <w:rPr>
          <w:rFonts w:ascii="Arial" w:hAnsi="Arial" w:cs="Arial"/>
        </w:rPr>
        <w:t xml:space="preserve"> illustrated </w:t>
      </w:r>
      <w:r w:rsidR="000F7975">
        <w:rPr>
          <w:rFonts w:ascii="Arial" w:hAnsi="Arial" w:cs="Arial"/>
        </w:rPr>
        <w:t xml:space="preserve">briefly </w:t>
      </w:r>
      <w:r w:rsidR="002128BE">
        <w:rPr>
          <w:rFonts w:ascii="Arial" w:hAnsi="Arial" w:cs="Arial"/>
        </w:rPr>
        <w:t>but</w:t>
      </w:r>
      <w:r w:rsidR="000F7975">
        <w:rPr>
          <w:rFonts w:ascii="Arial" w:hAnsi="Arial" w:cs="Arial"/>
        </w:rPr>
        <w:t xml:space="preserve"> not exhaustive</w:t>
      </w:r>
      <w:r w:rsidR="00AC2433">
        <w:rPr>
          <w:rFonts w:ascii="Arial" w:hAnsi="Arial" w:cs="Arial"/>
        </w:rPr>
        <w:t>ly</w:t>
      </w:r>
      <w:r w:rsidR="000F7975">
        <w:rPr>
          <w:rFonts w:ascii="Arial" w:hAnsi="Arial" w:cs="Arial"/>
        </w:rPr>
        <w:t>,</w:t>
      </w:r>
      <w:r w:rsidR="00AC6DD0">
        <w:rPr>
          <w:rFonts w:ascii="Arial" w:hAnsi="Arial" w:cs="Arial"/>
        </w:rPr>
        <w:t xml:space="preserve"> below.</w:t>
      </w:r>
    </w:p>
    <w:p w14:paraId="436E76F4" w14:textId="35E48B59" w:rsidR="00F67216" w:rsidRPr="004A5444" w:rsidRDefault="00912FEB">
      <w:pPr>
        <w:rPr>
          <w:rFonts w:ascii="Arial" w:hAnsi="Arial" w:cs="Arial"/>
          <w:strike/>
        </w:rPr>
      </w:pPr>
      <w:r>
        <w:rPr>
          <w:rFonts w:ascii="Arial" w:hAnsi="Arial" w:cs="Arial"/>
        </w:rPr>
        <w:t>In a</w:t>
      </w:r>
      <w:r w:rsidR="0006195B">
        <w:rPr>
          <w:rFonts w:ascii="Arial" w:hAnsi="Arial" w:cs="Arial"/>
        </w:rPr>
        <w:t xml:space="preserve">n historic 2016 decision </w:t>
      </w:r>
      <w:r w:rsidR="00B47A3A">
        <w:rPr>
          <w:rFonts w:ascii="Arial" w:hAnsi="Arial" w:cs="Arial"/>
        </w:rPr>
        <w:t>that found</w:t>
      </w:r>
      <w:r w:rsidR="00AB205B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 xml:space="preserve">that </w:t>
      </w:r>
      <w:r w:rsidR="0006195B">
        <w:rPr>
          <w:rFonts w:ascii="Arial" w:hAnsi="Arial" w:cs="Arial"/>
        </w:rPr>
        <w:t>Canada</w:t>
      </w:r>
      <w:r w:rsidR="00AB205B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 xml:space="preserve">has been discriminating </w:t>
      </w:r>
      <w:r w:rsidR="00AB205B">
        <w:rPr>
          <w:rFonts w:ascii="Arial" w:hAnsi="Arial" w:cs="Arial"/>
        </w:rPr>
        <w:t>on grounds of race in First Nations child welfare service</w:t>
      </w:r>
      <w:r w:rsidR="00B47A3A">
        <w:rPr>
          <w:rFonts w:ascii="Arial" w:hAnsi="Arial" w:cs="Arial"/>
        </w:rPr>
        <w:t xml:space="preserve"> funding and decision-making</w:t>
      </w:r>
      <w:r w:rsidR="00AB205B">
        <w:rPr>
          <w:rFonts w:ascii="Arial" w:hAnsi="Arial" w:cs="Arial"/>
        </w:rPr>
        <w:t>, t</w:t>
      </w:r>
      <w:r w:rsidR="00F67216" w:rsidRPr="0058203B">
        <w:rPr>
          <w:rFonts w:ascii="Arial" w:hAnsi="Arial" w:cs="Arial"/>
        </w:rPr>
        <w:t xml:space="preserve">he Canadian </w:t>
      </w:r>
      <w:r w:rsidR="00F67216" w:rsidRPr="0058203B">
        <w:rPr>
          <w:rFonts w:ascii="Arial" w:hAnsi="Arial" w:cs="Arial"/>
        </w:rPr>
        <w:lastRenderedPageBreak/>
        <w:t xml:space="preserve">Human Rights Tribunal (CHRT) </w:t>
      </w:r>
      <w:r w:rsidR="00F67216">
        <w:rPr>
          <w:rFonts w:ascii="Arial" w:hAnsi="Arial" w:cs="Arial"/>
        </w:rPr>
        <w:t>concluded</w:t>
      </w:r>
      <w:r w:rsidR="00F67216" w:rsidRPr="0058203B">
        <w:rPr>
          <w:rFonts w:ascii="Arial" w:hAnsi="Arial" w:cs="Arial"/>
        </w:rPr>
        <w:t xml:space="preserve"> that national legislation must be interpreted </w:t>
      </w:r>
      <w:r w:rsidR="00594F49">
        <w:rPr>
          <w:rFonts w:ascii="Arial" w:hAnsi="Arial" w:cs="Arial"/>
        </w:rPr>
        <w:t xml:space="preserve">in a manner </w:t>
      </w:r>
      <w:r w:rsidR="00F67216" w:rsidRPr="0058203B">
        <w:rPr>
          <w:rFonts w:ascii="Arial" w:hAnsi="Arial" w:cs="Arial"/>
        </w:rPr>
        <w:t xml:space="preserve">harmonious with Canada’s international law commitments, including </w:t>
      </w:r>
      <w:r w:rsidR="00F67216">
        <w:rPr>
          <w:rFonts w:ascii="Arial" w:hAnsi="Arial" w:cs="Arial"/>
        </w:rPr>
        <w:t xml:space="preserve">the </w:t>
      </w:r>
      <w:r w:rsidR="00AC2433">
        <w:rPr>
          <w:rFonts w:ascii="Arial" w:hAnsi="Arial" w:cs="Arial"/>
        </w:rPr>
        <w:t xml:space="preserve">UN </w:t>
      </w:r>
      <w:r w:rsidR="00F67216">
        <w:rPr>
          <w:rFonts w:ascii="Arial" w:hAnsi="Arial" w:cs="Arial"/>
        </w:rPr>
        <w:t>Declaration</w:t>
      </w:r>
      <w:r w:rsidR="00F67216" w:rsidRPr="0058203B">
        <w:rPr>
          <w:rFonts w:ascii="Arial" w:hAnsi="Arial" w:cs="Arial"/>
        </w:rPr>
        <w:t>.</w:t>
      </w:r>
      <w:r w:rsidR="00124491">
        <w:rPr>
          <w:rStyle w:val="FootnoteReference"/>
          <w:rFonts w:ascii="Arial" w:hAnsi="Arial" w:cs="Arial"/>
        </w:rPr>
        <w:footnoteReference w:id="4"/>
      </w:r>
      <w:r w:rsidR="00F67216" w:rsidRPr="0058203B">
        <w:rPr>
          <w:rFonts w:ascii="Arial" w:hAnsi="Arial" w:cs="Arial"/>
        </w:rPr>
        <w:t xml:space="preserve"> </w:t>
      </w:r>
    </w:p>
    <w:p w14:paraId="13D2922C" w14:textId="77777777" w:rsidR="00AC2433" w:rsidRDefault="00F6164C" w:rsidP="00253E3E">
      <w:pPr>
        <w:rPr>
          <w:rFonts w:ascii="Arial" w:hAnsi="Arial" w:cs="Arial"/>
        </w:rPr>
      </w:pPr>
      <w:r w:rsidRPr="00F6164C">
        <w:rPr>
          <w:rFonts w:ascii="Arial" w:hAnsi="Arial" w:cs="Arial"/>
        </w:rPr>
        <w:t xml:space="preserve">In </w:t>
      </w:r>
      <w:hyperlink r:id="rId20" w:history="1">
        <w:r w:rsidRPr="00363E63">
          <w:rPr>
            <w:rStyle w:val="Hyperlink"/>
            <w:rFonts w:ascii="Arial" w:hAnsi="Arial" w:cs="Arial"/>
            <w:i/>
            <w:iCs/>
          </w:rPr>
          <w:t>Renvoi à la Cour d’appel du Québec relatif à la Loi concernant les enfants, les jeunes et les familles des Premières Nations, des Inuits et des Métis</w:t>
        </w:r>
      </w:hyperlink>
      <w:r w:rsidRPr="00F6164C">
        <w:rPr>
          <w:rFonts w:ascii="Arial" w:hAnsi="Arial" w:cs="Arial"/>
        </w:rPr>
        <w:t xml:space="preserve">, the Quebec Court of Appeal relied on </w:t>
      </w:r>
      <w:r w:rsidR="00A97231">
        <w:rPr>
          <w:rFonts w:ascii="Arial" w:hAnsi="Arial" w:cs="Arial"/>
        </w:rPr>
        <w:t xml:space="preserve">the </w:t>
      </w:r>
      <w:r w:rsidR="00AC2433">
        <w:rPr>
          <w:rFonts w:ascii="Arial" w:hAnsi="Arial" w:cs="Arial"/>
        </w:rPr>
        <w:t xml:space="preserve">UN </w:t>
      </w:r>
      <w:r w:rsidR="00A97231">
        <w:rPr>
          <w:rFonts w:ascii="Arial" w:hAnsi="Arial" w:cs="Arial"/>
        </w:rPr>
        <w:t>Declaration</w:t>
      </w:r>
      <w:r w:rsidRPr="00F6164C">
        <w:rPr>
          <w:rFonts w:ascii="Arial" w:hAnsi="Arial" w:cs="Arial"/>
        </w:rPr>
        <w:t xml:space="preserve"> to </w:t>
      </w:r>
      <w:r w:rsidR="00A97231">
        <w:rPr>
          <w:rFonts w:ascii="Arial" w:hAnsi="Arial" w:cs="Arial"/>
        </w:rPr>
        <w:t>support</w:t>
      </w:r>
      <w:r w:rsidRPr="00F6164C">
        <w:rPr>
          <w:rFonts w:ascii="Arial" w:hAnsi="Arial" w:cs="Arial"/>
        </w:rPr>
        <w:t xml:space="preserve"> its analysis that s</w:t>
      </w:r>
      <w:r w:rsidR="00AC2433">
        <w:rPr>
          <w:rFonts w:ascii="Arial" w:hAnsi="Arial" w:cs="Arial"/>
        </w:rPr>
        <w:t>ection</w:t>
      </w:r>
      <w:r w:rsidRPr="00F6164C">
        <w:rPr>
          <w:rFonts w:ascii="Arial" w:hAnsi="Arial" w:cs="Arial"/>
        </w:rPr>
        <w:t xml:space="preserve"> 35 of the </w:t>
      </w:r>
      <w:r w:rsidRPr="00AA2F33">
        <w:rPr>
          <w:rFonts w:ascii="Arial" w:hAnsi="Arial" w:cs="Arial"/>
          <w:i/>
          <w:iCs/>
        </w:rPr>
        <w:t>Constitution Act, 1982</w:t>
      </w:r>
      <w:r w:rsidRPr="00F6164C">
        <w:rPr>
          <w:rFonts w:ascii="Arial" w:hAnsi="Arial" w:cs="Arial"/>
        </w:rPr>
        <w:t xml:space="preserve"> include</w:t>
      </w:r>
      <w:r w:rsidR="00E9672C">
        <w:rPr>
          <w:rFonts w:ascii="Arial" w:hAnsi="Arial" w:cs="Arial"/>
        </w:rPr>
        <w:t>s</w:t>
      </w:r>
      <w:r w:rsidRPr="00F6164C">
        <w:rPr>
          <w:rFonts w:ascii="Arial" w:hAnsi="Arial" w:cs="Arial"/>
        </w:rPr>
        <w:t xml:space="preserve"> </w:t>
      </w:r>
      <w:r w:rsidR="00077C66">
        <w:rPr>
          <w:rFonts w:ascii="Arial" w:hAnsi="Arial" w:cs="Arial"/>
        </w:rPr>
        <w:t xml:space="preserve">a </w:t>
      </w:r>
      <w:r w:rsidRPr="00F6164C">
        <w:rPr>
          <w:rFonts w:ascii="Arial" w:hAnsi="Arial" w:cs="Arial"/>
        </w:rPr>
        <w:t xml:space="preserve">right of self-government over child and family services (para 61). The Court articulated a clear harmony between </w:t>
      </w:r>
      <w:r w:rsidR="00077C66">
        <w:rPr>
          <w:rFonts w:ascii="Arial" w:hAnsi="Arial" w:cs="Arial"/>
        </w:rPr>
        <w:t xml:space="preserve">the </w:t>
      </w:r>
      <w:r w:rsidR="00AC2433">
        <w:rPr>
          <w:rFonts w:ascii="Arial" w:hAnsi="Arial" w:cs="Arial"/>
        </w:rPr>
        <w:t xml:space="preserve">UN </w:t>
      </w:r>
      <w:r w:rsidR="00077C66">
        <w:rPr>
          <w:rFonts w:ascii="Arial" w:hAnsi="Arial" w:cs="Arial"/>
        </w:rPr>
        <w:t>Declaration</w:t>
      </w:r>
      <w:r w:rsidRPr="00F6164C">
        <w:rPr>
          <w:rFonts w:ascii="Arial" w:hAnsi="Arial" w:cs="Arial"/>
        </w:rPr>
        <w:t xml:space="preserve"> and the s</w:t>
      </w:r>
      <w:r w:rsidR="00AC2433">
        <w:rPr>
          <w:rFonts w:ascii="Arial" w:hAnsi="Arial" w:cs="Arial"/>
        </w:rPr>
        <w:t>ection</w:t>
      </w:r>
      <w:r w:rsidRPr="00F6164C">
        <w:rPr>
          <w:rFonts w:ascii="Arial" w:hAnsi="Arial" w:cs="Arial"/>
        </w:rPr>
        <w:t xml:space="preserve"> 35 right to self-government, noting that </w:t>
      </w:r>
      <w:r w:rsidR="008B47C8">
        <w:rPr>
          <w:rFonts w:ascii="Arial" w:hAnsi="Arial" w:cs="Arial"/>
        </w:rPr>
        <w:t xml:space="preserve">the </w:t>
      </w:r>
      <w:r w:rsidR="00AC2433">
        <w:rPr>
          <w:rFonts w:ascii="Arial" w:hAnsi="Arial" w:cs="Arial"/>
        </w:rPr>
        <w:t xml:space="preserve">UN </w:t>
      </w:r>
      <w:r w:rsidR="008B47C8">
        <w:rPr>
          <w:rFonts w:ascii="Arial" w:hAnsi="Arial" w:cs="Arial"/>
        </w:rPr>
        <w:t>Declaration</w:t>
      </w:r>
      <w:r w:rsidRPr="00F6164C">
        <w:rPr>
          <w:rFonts w:ascii="Arial" w:hAnsi="Arial" w:cs="Arial"/>
        </w:rPr>
        <w:t xml:space="preserve"> confirms Indigenous </w:t>
      </w:r>
      <w:r w:rsidR="00AC2433">
        <w:rPr>
          <w:rFonts w:ascii="Arial" w:hAnsi="Arial" w:cs="Arial"/>
        </w:rPr>
        <w:t>P</w:t>
      </w:r>
      <w:r w:rsidR="00E23912">
        <w:rPr>
          <w:rFonts w:ascii="Arial" w:hAnsi="Arial" w:cs="Arial"/>
        </w:rPr>
        <w:t xml:space="preserve">eoples’ </w:t>
      </w:r>
      <w:r w:rsidRPr="00F6164C">
        <w:rPr>
          <w:rFonts w:ascii="Arial" w:hAnsi="Arial" w:cs="Arial"/>
        </w:rPr>
        <w:t xml:space="preserve">autonomy over decision-making in respect of child and family matters. </w:t>
      </w:r>
    </w:p>
    <w:p w14:paraId="1A2C5A6A" w14:textId="7B50762D" w:rsidR="00DE456B" w:rsidRDefault="00F6164C" w:rsidP="00253E3E">
      <w:pPr>
        <w:rPr>
          <w:rFonts w:ascii="Arial" w:hAnsi="Arial" w:cs="Arial"/>
        </w:rPr>
      </w:pPr>
      <w:r w:rsidRPr="00F6164C">
        <w:rPr>
          <w:rFonts w:ascii="Arial" w:hAnsi="Arial" w:cs="Arial"/>
        </w:rPr>
        <w:t>Th</w:t>
      </w:r>
      <w:r w:rsidR="00AC2433">
        <w:rPr>
          <w:rFonts w:ascii="Arial" w:hAnsi="Arial" w:cs="Arial"/>
        </w:rPr>
        <w:t>e Quebec</w:t>
      </w:r>
      <w:r w:rsidRPr="00F6164C">
        <w:rPr>
          <w:rFonts w:ascii="Arial" w:hAnsi="Arial" w:cs="Arial"/>
        </w:rPr>
        <w:t xml:space="preserve"> Court </w:t>
      </w:r>
      <w:r w:rsidR="00AC2433">
        <w:rPr>
          <w:rFonts w:ascii="Arial" w:hAnsi="Arial" w:cs="Arial"/>
        </w:rPr>
        <w:t xml:space="preserve">of Appeal </w:t>
      </w:r>
      <w:r w:rsidRPr="00F6164C">
        <w:rPr>
          <w:rFonts w:ascii="Arial" w:hAnsi="Arial" w:cs="Arial"/>
        </w:rPr>
        <w:t xml:space="preserve">also </w:t>
      </w:r>
      <w:r w:rsidR="001820EE">
        <w:rPr>
          <w:rFonts w:ascii="Arial" w:hAnsi="Arial" w:cs="Arial"/>
        </w:rPr>
        <w:t>found</w:t>
      </w:r>
      <w:r w:rsidRPr="00F6164C">
        <w:rPr>
          <w:rFonts w:ascii="Arial" w:hAnsi="Arial" w:cs="Arial"/>
        </w:rPr>
        <w:t xml:space="preserve"> that although </w:t>
      </w:r>
      <w:r w:rsidR="00E23912">
        <w:rPr>
          <w:rFonts w:ascii="Arial" w:hAnsi="Arial" w:cs="Arial"/>
        </w:rPr>
        <w:t xml:space="preserve">the </w:t>
      </w:r>
      <w:r w:rsidR="00AC2433">
        <w:rPr>
          <w:rFonts w:ascii="Arial" w:hAnsi="Arial" w:cs="Arial"/>
        </w:rPr>
        <w:t xml:space="preserve">UN </w:t>
      </w:r>
      <w:r w:rsidR="00E23912">
        <w:rPr>
          <w:rFonts w:ascii="Arial" w:hAnsi="Arial" w:cs="Arial"/>
        </w:rPr>
        <w:t>Declaration</w:t>
      </w:r>
      <w:r w:rsidRPr="00F6164C">
        <w:rPr>
          <w:rFonts w:ascii="Arial" w:hAnsi="Arial" w:cs="Arial"/>
        </w:rPr>
        <w:t xml:space="preserve"> is non-binding </w:t>
      </w:r>
      <w:r w:rsidR="00D416B8">
        <w:rPr>
          <w:rFonts w:ascii="Arial" w:hAnsi="Arial" w:cs="Arial"/>
        </w:rPr>
        <w:t xml:space="preserve">as </w:t>
      </w:r>
      <w:r w:rsidR="00302848">
        <w:rPr>
          <w:rFonts w:ascii="Arial" w:hAnsi="Arial" w:cs="Arial"/>
        </w:rPr>
        <w:t xml:space="preserve">an </w:t>
      </w:r>
      <w:r w:rsidR="00D416B8">
        <w:rPr>
          <w:rFonts w:ascii="Arial" w:hAnsi="Arial" w:cs="Arial"/>
        </w:rPr>
        <w:t>international instrument</w:t>
      </w:r>
      <w:r w:rsidRPr="00F6164C">
        <w:rPr>
          <w:rFonts w:ascii="Arial" w:hAnsi="Arial" w:cs="Arial"/>
        </w:rPr>
        <w:t xml:space="preserve">, it has been implemented as part of a federal normative order through </w:t>
      </w:r>
      <w:r w:rsidR="00E609F0">
        <w:rPr>
          <w:rFonts w:ascii="Arial" w:hAnsi="Arial" w:cs="Arial"/>
        </w:rPr>
        <w:t>federal legislation</w:t>
      </w:r>
      <w:r w:rsidRPr="00F6164C">
        <w:rPr>
          <w:rFonts w:ascii="Arial" w:hAnsi="Arial" w:cs="Arial"/>
        </w:rPr>
        <w:t xml:space="preserve">, which states that Indigenous </w:t>
      </w:r>
      <w:r w:rsidR="00302848">
        <w:rPr>
          <w:rFonts w:ascii="Arial" w:hAnsi="Arial" w:cs="Arial"/>
        </w:rPr>
        <w:t>P</w:t>
      </w:r>
      <w:r w:rsidRPr="00F6164C">
        <w:rPr>
          <w:rFonts w:ascii="Arial" w:hAnsi="Arial" w:cs="Arial"/>
        </w:rPr>
        <w:t>eoples have the right to autonomy or self-government in matters relating to their internal and local affairs (para 512). Th</w:t>
      </w:r>
      <w:r w:rsidR="00302848">
        <w:rPr>
          <w:rFonts w:ascii="Arial" w:hAnsi="Arial" w:cs="Arial"/>
        </w:rPr>
        <w:t>at</w:t>
      </w:r>
      <w:r w:rsidRPr="00F6164C">
        <w:rPr>
          <w:rFonts w:ascii="Arial" w:hAnsi="Arial" w:cs="Arial"/>
        </w:rPr>
        <w:t xml:space="preserve"> </w:t>
      </w:r>
      <w:r w:rsidR="0062329F">
        <w:rPr>
          <w:rFonts w:ascii="Arial" w:hAnsi="Arial" w:cs="Arial"/>
        </w:rPr>
        <w:t>Court’s</w:t>
      </w:r>
      <w:r w:rsidR="007E57D0">
        <w:rPr>
          <w:rFonts w:ascii="Arial" w:hAnsi="Arial" w:cs="Arial"/>
        </w:rPr>
        <w:t xml:space="preserve"> </w:t>
      </w:r>
      <w:r w:rsidRPr="00F6164C">
        <w:rPr>
          <w:rFonts w:ascii="Arial" w:hAnsi="Arial" w:cs="Arial"/>
        </w:rPr>
        <w:t>analysis</w:t>
      </w:r>
      <w:r w:rsidR="0062329F">
        <w:rPr>
          <w:rFonts w:ascii="Arial" w:hAnsi="Arial" w:cs="Arial"/>
        </w:rPr>
        <w:t xml:space="preserve"> of the </w:t>
      </w:r>
      <w:r w:rsidR="00302848">
        <w:rPr>
          <w:rFonts w:ascii="Arial" w:hAnsi="Arial" w:cs="Arial"/>
        </w:rPr>
        <w:t xml:space="preserve">UN </w:t>
      </w:r>
      <w:r w:rsidR="0062329F">
        <w:rPr>
          <w:rFonts w:ascii="Arial" w:hAnsi="Arial" w:cs="Arial"/>
        </w:rPr>
        <w:t>Declaration and</w:t>
      </w:r>
      <w:r w:rsidR="00565EE4">
        <w:rPr>
          <w:rFonts w:ascii="Arial" w:hAnsi="Arial" w:cs="Arial"/>
        </w:rPr>
        <w:t xml:space="preserve"> the </w:t>
      </w:r>
      <w:r w:rsidR="00565EE4" w:rsidRPr="001820EE">
        <w:rPr>
          <w:rFonts w:ascii="Arial" w:hAnsi="Arial" w:cs="Arial"/>
          <w:i/>
          <w:iCs/>
        </w:rPr>
        <w:t>UN Declaration on the Rights of Indigenous Peoples Act</w:t>
      </w:r>
      <w:r w:rsidR="00325AB0">
        <w:rPr>
          <w:rFonts w:ascii="Arial" w:hAnsi="Arial" w:cs="Arial"/>
        </w:rPr>
        <w:t xml:space="preserve"> </w:t>
      </w:r>
      <w:r w:rsidR="003C6C0A">
        <w:rPr>
          <w:rFonts w:ascii="Arial" w:hAnsi="Arial" w:cs="Arial"/>
        </w:rPr>
        <w:t xml:space="preserve">led the Court to conclude </w:t>
      </w:r>
      <w:r w:rsidR="002A5967">
        <w:rPr>
          <w:rFonts w:ascii="Arial" w:hAnsi="Arial" w:cs="Arial"/>
        </w:rPr>
        <w:t>t</w:t>
      </w:r>
      <w:r w:rsidRPr="00F6164C">
        <w:rPr>
          <w:rFonts w:ascii="Arial" w:hAnsi="Arial" w:cs="Arial"/>
        </w:rPr>
        <w:t xml:space="preserve">hat the right of self-government over child and family services applies to all Indigenous </w:t>
      </w:r>
      <w:r w:rsidR="00302848">
        <w:rPr>
          <w:rFonts w:ascii="Arial" w:hAnsi="Arial" w:cs="Arial"/>
        </w:rPr>
        <w:t>P</w:t>
      </w:r>
      <w:r w:rsidRPr="00F6164C">
        <w:rPr>
          <w:rFonts w:ascii="Arial" w:hAnsi="Arial" w:cs="Arial"/>
        </w:rPr>
        <w:t>eople</w:t>
      </w:r>
      <w:r w:rsidR="00302848">
        <w:rPr>
          <w:rFonts w:ascii="Arial" w:hAnsi="Arial" w:cs="Arial"/>
        </w:rPr>
        <w:t>s—</w:t>
      </w:r>
      <w:r w:rsidRPr="00F6164C">
        <w:rPr>
          <w:rFonts w:ascii="Arial" w:hAnsi="Arial" w:cs="Arial"/>
        </w:rPr>
        <w:t>moving beyond the application of Indigenous rights on a case by case and group-specific basis (para 506).</w:t>
      </w:r>
      <w:r w:rsidR="00723C36">
        <w:rPr>
          <w:rFonts w:ascii="Arial" w:hAnsi="Arial" w:cs="Arial"/>
        </w:rPr>
        <w:t xml:space="preserve"> </w:t>
      </w:r>
      <w:r w:rsidR="00E42C8C">
        <w:rPr>
          <w:rFonts w:ascii="Arial" w:hAnsi="Arial" w:cs="Arial"/>
        </w:rPr>
        <w:t xml:space="preserve">An appeal </w:t>
      </w:r>
      <w:r w:rsidR="0012467C">
        <w:rPr>
          <w:rFonts w:ascii="Arial" w:hAnsi="Arial" w:cs="Arial"/>
        </w:rPr>
        <w:t xml:space="preserve">by Quebec </w:t>
      </w:r>
      <w:r w:rsidR="00E42C8C">
        <w:rPr>
          <w:rFonts w:ascii="Arial" w:hAnsi="Arial" w:cs="Arial"/>
        </w:rPr>
        <w:t xml:space="preserve">of </w:t>
      </w:r>
      <w:r w:rsidR="00E130B9">
        <w:rPr>
          <w:rFonts w:ascii="Arial" w:hAnsi="Arial" w:cs="Arial"/>
        </w:rPr>
        <w:t xml:space="preserve">this </w:t>
      </w:r>
      <w:r w:rsidR="0012467C">
        <w:rPr>
          <w:rFonts w:ascii="Arial" w:hAnsi="Arial" w:cs="Arial"/>
        </w:rPr>
        <w:t>decision</w:t>
      </w:r>
      <w:r w:rsidR="00E42C8C">
        <w:rPr>
          <w:rFonts w:ascii="Arial" w:hAnsi="Arial" w:cs="Arial"/>
        </w:rPr>
        <w:t xml:space="preserve"> </w:t>
      </w:r>
      <w:r w:rsidR="00302848">
        <w:rPr>
          <w:rFonts w:ascii="Arial" w:hAnsi="Arial" w:cs="Arial"/>
        </w:rPr>
        <w:t>was</w:t>
      </w:r>
      <w:r w:rsidR="00E42C8C">
        <w:rPr>
          <w:rFonts w:ascii="Arial" w:hAnsi="Arial" w:cs="Arial"/>
        </w:rPr>
        <w:t xml:space="preserve"> heard by the Supreme Court of Canada</w:t>
      </w:r>
      <w:r w:rsidR="002F4FAE">
        <w:rPr>
          <w:rFonts w:ascii="Arial" w:hAnsi="Arial" w:cs="Arial"/>
        </w:rPr>
        <w:t xml:space="preserve"> (SCC)</w:t>
      </w:r>
      <w:r w:rsidR="00F52808">
        <w:rPr>
          <w:rFonts w:ascii="Arial" w:hAnsi="Arial" w:cs="Arial"/>
        </w:rPr>
        <w:t xml:space="preserve">. </w:t>
      </w:r>
      <w:r w:rsidR="00302848">
        <w:rPr>
          <w:rFonts w:ascii="Arial" w:hAnsi="Arial" w:cs="Arial"/>
        </w:rPr>
        <w:t>At the time of writing, t</w:t>
      </w:r>
      <w:r w:rsidR="002F4FAE">
        <w:rPr>
          <w:rFonts w:ascii="Arial" w:hAnsi="Arial" w:cs="Arial"/>
        </w:rPr>
        <w:t xml:space="preserve">he SCC </w:t>
      </w:r>
      <w:r w:rsidR="00FE39E8">
        <w:rPr>
          <w:rFonts w:ascii="Arial" w:hAnsi="Arial" w:cs="Arial"/>
        </w:rPr>
        <w:t xml:space="preserve">decision </w:t>
      </w:r>
      <w:r w:rsidR="00302848">
        <w:rPr>
          <w:rFonts w:ascii="Arial" w:hAnsi="Arial" w:cs="Arial"/>
        </w:rPr>
        <w:t>had not been</w:t>
      </w:r>
      <w:r w:rsidR="00FE39E8">
        <w:rPr>
          <w:rFonts w:ascii="Arial" w:hAnsi="Arial" w:cs="Arial"/>
        </w:rPr>
        <w:t xml:space="preserve"> issued.</w:t>
      </w:r>
      <w:r w:rsidR="004174DB">
        <w:rPr>
          <w:rFonts w:ascii="Arial" w:hAnsi="Arial" w:cs="Arial"/>
        </w:rPr>
        <w:t xml:space="preserve"> </w:t>
      </w:r>
    </w:p>
    <w:p w14:paraId="75AEB375" w14:textId="3C9F9611" w:rsidR="00A74F56" w:rsidRDefault="00000000" w:rsidP="00253E3E">
      <w:pPr>
        <w:rPr>
          <w:rFonts w:ascii="Arial" w:hAnsi="Arial" w:cs="Arial"/>
        </w:rPr>
      </w:pPr>
      <w:hyperlink r:id="rId21" w:history="1">
        <w:r w:rsidR="00A74F56" w:rsidRPr="00C0150E">
          <w:rPr>
            <w:rStyle w:val="Hyperlink"/>
            <w:rFonts w:ascii="Arial" w:hAnsi="Arial" w:cs="Arial"/>
            <w:i/>
            <w:iCs/>
          </w:rPr>
          <w:t>Gitxaala</w:t>
        </w:r>
        <w:r w:rsidR="00A74F56" w:rsidRPr="00C0150E">
          <w:rPr>
            <w:rStyle w:val="Hyperlink"/>
            <w:rFonts w:ascii="Arial" w:hAnsi="Arial" w:cs="Arial"/>
          </w:rPr>
          <w:t xml:space="preserve"> v </w:t>
        </w:r>
        <w:r w:rsidR="00A74F56" w:rsidRPr="00C0150E">
          <w:rPr>
            <w:rStyle w:val="Hyperlink"/>
            <w:rFonts w:ascii="Arial" w:hAnsi="Arial" w:cs="Arial"/>
            <w:i/>
            <w:iCs/>
          </w:rPr>
          <w:t>British Columbia</w:t>
        </w:r>
      </w:hyperlink>
      <w:r w:rsidR="00A74F56" w:rsidRPr="00202905">
        <w:rPr>
          <w:rFonts w:ascii="Arial" w:hAnsi="Arial" w:cs="Arial"/>
          <w:i/>
          <w:iCs/>
        </w:rPr>
        <w:t xml:space="preserve"> (Chief Gold Commissioner)</w:t>
      </w:r>
      <w:r w:rsidR="00A74F56">
        <w:rPr>
          <w:rFonts w:ascii="Arial" w:hAnsi="Arial" w:cs="Arial"/>
        </w:rPr>
        <w:t xml:space="preserve"> considered the legal status of the </w:t>
      </w:r>
      <w:r w:rsidR="00302848">
        <w:rPr>
          <w:rFonts w:ascii="Arial" w:hAnsi="Arial" w:cs="Arial"/>
        </w:rPr>
        <w:t xml:space="preserve">UN </w:t>
      </w:r>
      <w:r w:rsidR="00A74F56">
        <w:rPr>
          <w:rFonts w:ascii="Arial" w:hAnsi="Arial" w:cs="Arial"/>
        </w:rPr>
        <w:t xml:space="preserve">Declaration and the effects of B.C.’s </w:t>
      </w:r>
      <w:r w:rsidR="00A74F56" w:rsidRPr="005E6002">
        <w:rPr>
          <w:rFonts w:ascii="Arial" w:hAnsi="Arial" w:cs="Arial"/>
          <w:i/>
          <w:iCs/>
        </w:rPr>
        <w:t>Declaration on the Rights of Indigenous Peoples Act</w:t>
      </w:r>
      <w:r w:rsidR="00A74F56">
        <w:rPr>
          <w:rFonts w:ascii="Arial" w:hAnsi="Arial" w:cs="Arial"/>
          <w:i/>
          <w:iCs/>
        </w:rPr>
        <w:t xml:space="preserve"> </w:t>
      </w:r>
      <w:r w:rsidR="00A74F56" w:rsidRPr="00E27623">
        <w:rPr>
          <w:rFonts w:ascii="Arial" w:hAnsi="Arial" w:cs="Arial"/>
        </w:rPr>
        <w:t>(</w:t>
      </w:r>
      <w:r w:rsidR="00A74F56" w:rsidRPr="00302848">
        <w:rPr>
          <w:rFonts w:ascii="Arial" w:hAnsi="Arial" w:cs="Arial"/>
        </w:rPr>
        <w:t>DRIPA</w:t>
      </w:r>
      <w:r w:rsidR="00A74F56" w:rsidRPr="00E27623">
        <w:rPr>
          <w:rFonts w:ascii="Arial" w:hAnsi="Arial" w:cs="Arial"/>
        </w:rPr>
        <w:t>)</w:t>
      </w:r>
      <w:r w:rsidR="00A74F56">
        <w:rPr>
          <w:rFonts w:ascii="Arial" w:hAnsi="Arial" w:cs="Arial"/>
        </w:rPr>
        <w:t>.</w:t>
      </w:r>
      <w:r w:rsidR="00A74F56" w:rsidRPr="00253E3E">
        <w:rPr>
          <w:rFonts w:ascii="Arial" w:hAnsi="Arial" w:cs="Arial"/>
        </w:rPr>
        <w:t xml:space="preserve"> </w:t>
      </w:r>
      <w:r w:rsidR="00A74F56">
        <w:rPr>
          <w:rFonts w:ascii="Arial" w:hAnsi="Arial" w:cs="Arial"/>
        </w:rPr>
        <w:t xml:space="preserve">Among other findings, </w:t>
      </w:r>
      <w:r w:rsidR="008B47C8">
        <w:rPr>
          <w:rFonts w:ascii="Arial" w:hAnsi="Arial" w:cs="Arial"/>
        </w:rPr>
        <w:t xml:space="preserve">the B.C. </w:t>
      </w:r>
      <w:r w:rsidR="008552FD">
        <w:rPr>
          <w:rFonts w:ascii="Arial" w:hAnsi="Arial" w:cs="Arial"/>
        </w:rPr>
        <w:t>S</w:t>
      </w:r>
      <w:r w:rsidR="00302848">
        <w:rPr>
          <w:rFonts w:ascii="Arial" w:hAnsi="Arial" w:cs="Arial"/>
        </w:rPr>
        <w:t xml:space="preserve">upreme </w:t>
      </w:r>
      <w:r w:rsidR="008552FD" w:rsidRPr="00E15BF2">
        <w:rPr>
          <w:rFonts w:ascii="Arial" w:hAnsi="Arial" w:cs="Arial"/>
        </w:rPr>
        <w:t>Court</w:t>
      </w:r>
      <w:r w:rsidR="00A74F56" w:rsidRPr="00E15BF2">
        <w:rPr>
          <w:rFonts w:ascii="Arial" w:hAnsi="Arial" w:cs="Arial"/>
        </w:rPr>
        <w:t xml:space="preserve"> held that </w:t>
      </w:r>
      <w:r w:rsidR="004B1073">
        <w:rPr>
          <w:rFonts w:ascii="Arial" w:hAnsi="Arial" w:cs="Arial"/>
        </w:rPr>
        <w:t>DRIPA</w:t>
      </w:r>
      <w:r w:rsidR="00A74F56" w:rsidRPr="00E15BF2">
        <w:rPr>
          <w:rFonts w:ascii="Arial" w:hAnsi="Arial" w:cs="Arial"/>
        </w:rPr>
        <w:t xml:space="preserve"> does not implement </w:t>
      </w:r>
      <w:r w:rsidR="00A74F56">
        <w:rPr>
          <w:rFonts w:ascii="Arial" w:hAnsi="Arial" w:cs="Arial"/>
        </w:rPr>
        <w:t xml:space="preserve">the </w:t>
      </w:r>
      <w:r w:rsidR="00302848">
        <w:rPr>
          <w:rFonts w:ascii="Arial" w:hAnsi="Arial" w:cs="Arial"/>
        </w:rPr>
        <w:t xml:space="preserve">UN </w:t>
      </w:r>
      <w:r w:rsidR="00A74F56">
        <w:rPr>
          <w:rFonts w:ascii="Arial" w:hAnsi="Arial" w:cs="Arial"/>
        </w:rPr>
        <w:t>Declaration</w:t>
      </w:r>
      <w:r w:rsidR="00A74F56" w:rsidRPr="00E15BF2">
        <w:rPr>
          <w:rFonts w:ascii="Arial" w:hAnsi="Arial" w:cs="Arial"/>
        </w:rPr>
        <w:t xml:space="preserve"> into the</w:t>
      </w:r>
      <w:r w:rsidR="00A74F56">
        <w:rPr>
          <w:rFonts w:ascii="Arial" w:hAnsi="Arial" w:cs="Arial"/>
        </w:rPr>
        <w:t xml:space="preserve"> </w:t>
      </w:r>
      <w:r w:rsidR="00A74F56" w:rsidRPr="00E15BF2">
        <w:rPr>
          <w:rFonts w:ascii="Arial" w:hAnsi="Arial" w:cs="Arial"/>
        </w:rPr>
        <w:t>law of B.C.</w:t>
      </w:r>
      <w:r w:rsidR="00A74F56">
        <w:rPr>
          <w:rFonts w:ascii="Arial" w:hAnsi="Arial" w:cs="Arial"/>
        </w:rPr>
        <w:t>, nor</w:t>
      </w:r>
      <w:r w:rsidR="00A74F56" w:rsidRPr="00E15BF2">
        <w:rPr>
          <w:rFonts w:ascii="Arial" w:hAnsi="Arial" w:cs="Arial"/>
        </w:rPr>
        <w:t xml:space="preserve"> require the court to interpret whether the laws of B.C. are “consistent” with </w:t>
      </w:r>
      <w:r w:rsidR="00A74F56">
        <w:rPr>
          <w:rFonts w:ascii="Arial" w:hAnsi="Arial" w:cs="Arial"/>
        </w:rPr>
        <w:t xml:space="preserve">the </w:t>
      </w:r>
      <w:r w:rsidR="00302848">
        <w:rPr>
          <w:rFonts w:ascii="Arial" w:hAnsi="Arial" w:cs="Arial"/>
        </w:rPr>
        <w:t xml:space="preserve">UN </w:t>
      </w:r>
      <w:r w:rsidR="00A74F56">
        <w:rPr>
          <w:rFonts w:ascii="Arial" w:hAnsi="Arial" w:cs="Arial"/>
        </w:rPr>
        <w:t>Declaration</w:t>
      </w:r>
      <w:r w:rsidR="00A74F56" w:rsidRPr="00E15BF2">
        <w:rPr>
          <w:rFonts w:ascii="Arial" w:hAnsi="Arial" w:cs="Arial"/>
        </w:rPr>
        <w:t>.</w:t>
      </w:r>
      <w:r w:rsidR="00A74F56">
        <w:rPr>
          <w:rFonts w:ascii="Arial" w:hAnsi="Arial" w:cs="Arial"/>
        </w:rPr>
        <w:t xml:space="preserve"> T</w:t>
      </w:r>
      <w:r w:rsidR="00A74F56" w:rsidRPr="00E15BF2">
        <w:rPr>
          <w:rFonts w:ascii="Arial" w:hAnsi="Arial" w:cs="Arial"/>
        </w:rPr>
        <w:t xml:space="preserve">he court </w:t>
      </w:r>
      <w:r w:rsidR="003F006B">
        <w:rPr>
          <w:rFonts w:ascii="Arial" w:hAnsi="Arial" w:cs="Arial"/>
        </w:rPr>
        <w:t>made other important findings concerning the province’s</w:t>
      </w:r>
      <w:r w:rsidR="00A74F56">
        <w:rPr>
          <w:rFonts w:ascii="Arial" w:hAnsi="Arial" w:cs="Arial"/>
        </w:rPr>
        <w:t xml:space="preserve"> </w:t>
      </w:r>
      <w:r w:rsidR="00667720">
        <w:rPr>
          <w:rFonts w:ascii="Arial" w:hAnsi="Arial" w:cs="Arial"/>
        </w:rPr>
        <w:t xml:space="preserve">constitutional </w:t>
      </w:r>
      <w:r w:rsidR="00A74F56" w:rsidRPr="00E15BF2">
        <w:rPr>
          <w:rFonts w:ascii="Arial" w:hAnsi="Arial" w:cs="Arial"/>
        </w:rPr>
        <w:t xml:space="preserve">duty to consult. </w:t>
      </w:r>
      <w:hyperlink r:id="rId22" w:history="1">
        <w:r w:rsidR="00A74F56" w:rsidRPr="00BB3392">
          <w:rPr>
            <w:rStyle w:val="Hyperlink"/>
            <w:rFonts w:ascii="Arial" w:hAnsi="Arial" w:cs="Arial"/>
          </w:rPr>
          <w:t>Gitxaala Nation announced</w:t>
        </w:r>
      </w:hyperlink>
      <w:r w:rsidR="00A74F56">
        <w:rPr>
          <w:rFonts w:ascii="Arial" w:hAnsi="Arial" w:cs="Arial"/>
        </w:rPr>
        <w:t xml:space="preserve"> it is appealing the court’s disappointing findings on the legal effect of B.C.’s </w:t>
      </w:r>
      <w:r w:rsidR="00A74F56" w:rsidRPr="00302848">
        <w:rPr>
          <w:rFonts w:ascii="Arial" w:hAnsi="Arial" w:cs="Arial"/>
          <w:i/>
          <w:iCs/>
        </w:rPr>
        <w:t>Declaration on the Rights of Indigenous Peoples Act</w:t>
      </w:r>
      <w:r w:rsidR="00A74F56">
        <w:rPr>
          <w:rFonts w:ascii="Arial" w:hAnsi="Arial" w:cs="Arial"/>
        </w:rPr>
        <w:t>.</w:t>
      </w:r>
    </w:p>
    <w:p w14:paraId="43A0E371" w14:textId="7583D432" w:rsidR="008920FD" w:rsidRDefault="00A21ACD" w:rsidP="00253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Another </w:t>
      </w:r>
      <w:r w:rsidR="00B47A3A">
        <w:rPr>
          <w:rFonts w:ascii="Arial" w:hAnsi="Arial" w:cs="Arial"/>
        </w:rPr>
        <w:t xml:space="preserve">clear </w:t>
      </w:r>
      <w:r>
        <w:rPr>
          <w:rFonts w:ascii="Arial" w:hAnsi="Arial" w:cs="Arial"/>
        </w:rPr>
        <w:t>reality is that b</w:t>
      </w:r>
      <w:r w:rsidR="00BC3001">
        <w:rPr>
          <w:rFonts w:ascii="Arial" w:hAnsi="Arial" w:cs="Arial"/>
        </w:rPr>
        <w:t xml:space="preserve">udget decisions </w:t>
      </w:r>
      <w:r w:rsidR="00361BDE">
        <w:rPr>
          <w:rFonts w:ascii="Arial" w:hAnsi="Arial" w:cs="Arial"/>
        </w:rPr>
        <w:t xml:space="preserve">by States </w:t>
      </w:r>
      <w:r w:rsidR="00BC3001">
        <w:rPr>
          <w:rFonts w:ascii="Arial" w:hAnsi="Arial" w:cs="Arial"/>
        </w:rPr>
        <w:t xml:space="preserve">can </w:t>
      </w:r>
      <w:r w:rsidR="00183226">
        <w:rPr>
          <w:rFonts w:ascii="Arial" w:hAnsi="Arial" w:cs="Arial"/>
        </w:rPr>
        <w:t xml:space="preserve">impair or advance </w:t>
      </w:r>
      <w:r w:rsidR="008807A6">
        <w:rPr>
          <w:rFonts w:ascii="Arial" w:hAnsi="Arial" w:cs="Arial"/>
        </w:rPr>
        <w:t xml:space="preserve">implementation of the </w:t>
      </w:r>
      <w:r w:rsidR="00302848">
        <w:rPr>
          <w:rFonts w:ascii="Arial" w:hAnsi="Arial" w:cs="Arial"/>
        </w:rPr>
        <w:t xml:space="preserve">UN </w:t>
      </w:r>
      <w:r w:rsidR="008807A6">
        <w:rPr>
          <w:rFonts w:ascii="Arial" w:hAnsi="Arial" w:cs="Arial"/>
        </w:rPr>
        <w:t xml:space="preserve">Declaration. In Canada, </w:t>
      </w:r>
      <w:r w:rsidR="00302848">
        <w:rPr>
          <w:rFonts w:ascii="Arial" w:hAnsi="Arial" w:cs="Arial"/>
        </w:rPr>
        <w:t xml:space="preserve">annual federal spending on priorities relating to Indigenous </w:t>
      </w:r>
      <w:r w:rsidR="00E27623">
        <w:rPr>
          <w:rFonts w:ascii="Arial" w:hAnsi="Arial" w:cs="Arial"/>
        </w:rPr>
        <w:t>P</w:t>
      </w:r>
      <w:r w:rsidR="00302848">
        <w:rPr>
          <w:rFonts w:ascii="Arial" w:hAnsi="Arial" w:cs="Arial"/>
        </w:rPr>
        <w:t>eoples has notably</w:t>
      </w:r>
      <w:r w:rsidR="00F84D78">
        <w:rPr>
          <w:rFonts w:ascii="Arial" w:hAnsi="Arial" w:cs="Arial"/>
        </w:rPr>
        <w:t xml:space="preserve"> increase</w:t>
      </w:r>
      <w:r w:rsidR="00302848">
        <w:rPr>
          <w:rFonts w:ascii="Arial" w:hAnsi="Arial" w:cs="Arial"/>
        </w:rPr>
        <w:t>d</w:t>
      </w:r>
      <w:r w:rsidR="00DB6344">
        <w:rPr>
          <w:rFonts w:ascii="Arial" w:hAnsi="Arial" w:cs="Arial"/>
        </w:rPr>
        <w:t xml:space="preserve"> since 2015</w:t>
      </w:r>
      <w:r w:rsidR="00855BC3">
        <w:rPr>
          <w:rFonts w:ascii="Arial" w:hAnsi="Arial" w:cs="Arial"/>
        </w:rPr>
        <w:t xml:space="preserve">. </w:t>
      </w:r>
      <w:r w:rsidR="00936761" w:rsidRPr="00936761">
        <w:rPr>
          <w:rFonts w:ascii="Arial" w:hAnsi="Arial" w:cs="Arial"/>
        </w:rPr>
        <w:t>Nevertheless</w:t>
      </w:r>
      <w:r w:rsidR="00850B82">
        <w:rPr>
          <w:rFonts w:ascii="Arial" w:hAnsi="Arial" w:cs="Arial"/>
        </w:rPr>
        <w:t>,</w:t>
      </w:r>
      <w:r w:rsidR="006A467B">
        <w:rPr>
          <w:rFonts w:ascii="Arial" w:hAnsi="Arial" w:cs="Arial"/>
        </w:rPr>
        <w:t xml:space="preserve"> a </w:t>
      </w:r>
      <w:r w:rsidR="00416C6D">
        <w:rPr>
          <w:rFonts w:ascii="Arial" w:hAnsi="Arial" w:cs="Arial"/>
        </w:rPr>
        <w:t>serious obstacle to implementation</w:t>
      </w:r>
      <w:r w:rsidR="006A467B">
        <w:rPr>
          <w:rFonts w:ascii="Arial" w:hAnsi="Arial" w:cs="Arial"/>
        </w:rPr>
        <w:t xml:space="preserve"> of the </w:t>
      </w:r>
      <w:r w:rsidR="00302848">
        <w:rPr>
          <w:rFonts w:ascii="Arial" w:hAnsi="Arial" w:cs="Arial"/>
        </w:rPr>
        <w:t xml:space="preserve">UN </w:t>
      </w:r>
      <w:r w:rsidR="006A467B">
        <w:rPr>
          <w:rFonts w:ascii="Arial" w:hAnsi="Arial" w:cs="Arial"/>
        </w:rPr>
        <w:t>Declaration</w:t>
      </w:r>
      <w:r w:rsidR="00416C6D">
        <w:rPr>
          <w:rFonts w:ascii="Arial" w:hAnsi="Arial" w:cs="Arial"/>
        </w:rPr>
        <w:t xml:space="preserve"> is the </w:t>
      </w:r>
      <w:r w:rsidR="00DE560D">
        <w:rPr>
          <w:rFonts w:ascii="Arial" w:hAnsi="Arial" w:cs="Arial"/>
        </w:rPr>
        <w:t xml:space="preserve">outstanding gap in </w:t>
      </w:r>
      <w:r w:rsidR="00416C6D">
        <w:rPr>
          <w:rFonts w:ascii="Arial" w:hAnsi="Arial" w:cs="Arial"/>
        </w:rPr>
        <w:t>resourcing of First Nations governments</w:t>
      </w:r>
      <w:r w:rsidR="00CC7829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 xml:space="preserve">for </w:t>
      </w:r>
      <w:r w:rsidR="00416C6D">
        <w:rPr>
          <w:rFonts w:ascii="Arial" w:hAnsi="Arial" w:cs="Arial"/>
        </w:rPr>
        <w:t>essential services such as clean water, infrastructure</w:t>
      </w:r>
      <w:r w:rsidR="00DE560D">
        <w:rPr>
          <w:rFonts w:ascii="Arial" w:hAnsi="Arial" w:cs="Arial"/>
        </w:rPr>
        <w:t xml:space="preserve">, </w:t>
      </w:r>
      <w:r w:rsidR="00416C6D">
        <w:rPr>
          <w:rFonts w:ascii="Arial" w:hAnsi="Arial" w:cs="Arial"/>
        </w:rPr>
        <w:t>policing</w:t>
      </w:r>
      <w:r w:rsidR="00DE560D">
        <w:rPr>
          <w:rFonts w:ascii="Arial" w:hAnsi="Arial" w:cs="Arial"/>
        </w:rPr>
        <w:t>, fire and other emergency services</w:t>
      </w:r>
      <w:r w:rsidR="00302848">
        <w:rPr>
          <w:rFonts w:ascii="Arial" w:hAnsi="Arial" w:cs="Arial"/>
        </w:rPr>
        <w:t>,</w:t>
      </w:r>
      <w:r w:rsidR="00C4394A">
        <w:rPr>
          <w:rFonts w:ascii="Arial" w:hAnsi="Arial" w:cs="Arial"/>
        </w:rPr>
        <w:t xml:space="preserve"> </w:t>
      </w:r>
      <w:r w:rsidR="00FB548E">
        <w:rPr>
          <w:rFonts w:ascii="Arial" w:hAnsi="Arial" w:cs="Arial"/>
        </w:rPr>
        <w:t>and</w:t>
      </w:r>
      <w:r w:rsidR="00C4394A">
        <w:rPr>
          <w:rFonts w:ascii="Arial" w:hAnsi="Arial" w:cs="Arial"/>
        </w:rPr>
        <w:t xml:space="preserve"> housing</w:t>
      </w:r>
      <w:r w:rsidR="00416C6D">
        <w:rPr>
          <w:rFonts w:ascii="Arial" w:hAnsi="Arial" w:cs="Arial"/>
        </w:rPr>
        <w:t>.</w:t>
      </w:r>
      <w:r w:rsidR="001A13BC">
        <w:rPr>
          <w:rFonts w:ascii="Arial" w:hAnsi="Arial" w:cs="Arial"/>
        </w:rPr>
        <w:t xml:space="preserve"> </w:t>
      </w:r>
      <w:r w:rsidR="008920FD">
        <w:rPr>
          <w:rFonts w:ascii="Arial" w:hAnsi="Arial" w:cs="Arial"/>
        </w:rPr>
        <w:t>In 2022, t</w:t>
      </w:r>
      <w:r w:rsidR="008920FD" w:rsidRPr="008920FD">
        <w:rPr>
          <w:rFonts w:ascii="Arial" w:hAnsi="Arial" w:cs="Arial"/>
        </w:rPr>
        <w:t xml:space="preserve">he CHRT found that </w:t>
      </w:r>
      <w:r w:rsidR="00FB548E">
        <w:rPr>
          <w:rFonts w:ascii="Arial" w:hAnsi="Arial" w:cs="Arial"/>
        </w:rPr>
        <w:t xml:space="preserve">the </w:t>
      </w:r>
      <w:r w:rsidR="008920FD" w:rsidRPr="008920FD">
        <w:rPr>
          <w:rFonts w:ascii="Arial" w:hAnsi="Arial" w:cs="Arial"/>
        </w:rPr>
        <w:t xml:space="preserve">under-funding of First Nations Policing is a breach of the Canadian Human Rights Act </w:t>
      </w:r>
      <w:r w:rsidR="00FB548E">
        <w:rPr>
          <w:rFonts w:ascii="Arial" w:hAnsi="Arial" w:cs="Arial"/>
        </w:rPr>
        <w:t>(</w:t>
      </w:r>
      <w:r w:rsidR="008920FD" w:rsidRPr="008920FD">
        <w:rPr>
          <w:rFonts w:ascii="Arial" w:hAnsi="Arial" w:cs="Arial"/>
        </w:rPr>
        <w:t xml:space="preserve">the </w:t>
      </w:r>
      <w:hyperlink r:id="rId23" w:anchor="_Toc99363472" w:history="1">
        <w:r w:rsidR="008920FD" w:rsidRPr="008920FD">
          <w:rPr>
            <w:rStyle w:val="Hyperlink"/>
            <w:rFonts w:ascii="Arial" w:hAnsi="Arial" w:cs="Arial"/>
            <w:i/>
            <w:iCs/>
          </w:rPr>
          <w:t>Dominique</w:t>
        </w:r>
      </w:hyperlink>
      <w:r w:rsidR="008920FD" w:rsidRPr="008920FD">
        <w:rPr>
          <w:rFonts w:ascii="Arial" w:hAnsi="Arial" w:cs="Arial"/>
        </w:rPr>
        <w:t xml:space="preserve"> case</w:t>
      </w:r>
      <w:r w:rsidR="00FB548E">
        <w:rPr>
          <w:rFonts w:ascii="Arial" w:hAnsi="Arial" w:cs="Arial"/>
        </w:rPr>
        <w:t>)</w:t>
      </w:r>
      <w:r w:rsidR="008920FD" w:rsidRPr="008920FD">
        <w:rPr>
          <w:rFonts w:ascii="Arial" w:hAnsi="Arial" w:cs="Arial"/>
        </w:rPr>
        <w:t>.</w:t>
      </w:r>
      <w:r w:rsidR="00BA472C">
        <w:rPr>
          <w:rFonts w:ascii="Arial" w:hAnsi="Arial" w:cs="Arial"/>
        </w:rPr>
        <w:t xml:space="preserve"> </w:t>
      </w:r>
      <w:hyperlink r:id="rId24" w:anchor="par116" w:history="1">
        <w:r w:rsidR="002A5967" w:rsidRPr="002A5967">
          <w:rPr>
            <w:rStyle w:val="Hyperlink"/>
            <w:rFonts w:ascii="Arial" w:hAnsi="Arial" w:cs="Arial"/>
            <w:i/>
            <w:iCs/>
          </w:rPr>
          <w:t>Takuhikan</w:t>
        </w:r>
        <w:r w:rsidR="002A5967" w:rsidRPr="002A5967">
          <w:rPr>
            <w:rStyle w:val="Hyperlink"/>
            <w:rFonts w:ascii="Arial" w:hAnsi="Arial" w:cs="Arial"/>
          </w:rPr>
          <w:t xml:space="preserve"> c. </w:t>
        </w:r>
        <w:r w:rsidR="002A5967" w:rsidRPr="002A5967">
          <w:rPr>
            <w:rStyle w:val="Hyperlink"/>
            <w:rFonts w:ascii="Arial" w:hAnsi="Arial" w:cs="Arial"/>
            <w:i/>
            <w:iCs/>
          </w:rPr>
          <w:t>Procureur général du Québec</w:t>
        </w:r>
      </w:hyperlink>
      <w:r w:rsidR="002A5967">
        <w:rPr>
          <w:rFonts w:ascii="Arial" w:hAnsi="Arial" w:cs="Arial"/>
        </w:rPr>
        <w:t xml:space="preserve"> </w:t>
      </w:r>
      <w:r w:rsidR="00B15565">
        <w:rPr>
          <w:rFonts w:ascii="Arial" w:hAnsi="Arial" w:cs="Arial"/>
        </w:rPr>
        <w:lastRenderedPageBreak/>
        <w:t>also</w:t>
      </w:r>
      <w:r w:rsidR="00BA472C">
        <w:rPr>
          <w:rFonts w:ascii="Arial" w:hAnsi="Arial" w:cs="Arial"/>
        </w:rPr>
        <w:t xml:space="preserve"> challenges </w:t>
      </w:r>
      <w:r w:rsidR="002F5562">
        <w:rPr>
          <w:rFonts w:ascii="Arial" w:hAnsi="Arial" w:cs="Arial"/>
        </w:rPr>
        <w:t>government</w:t>
      </w:r>
      <w:r w:rsidR="00B15565">
        <w:rPr>
          <w:rFonts w:ascii="Arial" w:hAnsi="Arial" w:cs="Arial"/>
        </w:rPr>
        <w:t xml:space="preserve"> performance of legal obligations in relation to </w:t>
      </w:r>
      <w:r w:rsidR="00153F12">
        <w:rPr>
          <w:rFonts w:ascii="Arial" w:hAnsi="Arial" w:cs="Arial"/>
        </w:rPr>
        <w:t>First Nations</w:t>
      </w:r>
      <w:r w:rsidR="00201C11">
        <w:rPr>
          <w:rFonts w:ascii="Arial" w:hAnsi="Arial" w:cs="Arial"/>
        </w:rPr>
        <w:t xml:space="preserve"> </w:t>
      </w:r>
      <w:r w:rsidR="002A5967">
        <w:rPr>
          <w:rFonts w:ascii="Arial" w:hAnsi="Arial" w:cs="Arial"/>
        </w:rPr>
        <w:t>police funding agreements</w:t>
      </w:r>
      <w:r w:rsidR="00201C11">
        <w:rPr>
          <w:rFonts w:ascii="Arial" w:hAnsi="Arial" w:cs="Arial"/>
        </w:rPr>
        <w:t xml:space="preserve"> </w:t>
      </w:r>
      <w:r w:rsidR="00B54881">
        <w:rPr>
          <w:rFonts w:ascii="Arial" w:hAnsi="Arial" w:cs="Arial"/>
        </w:rPr>
        <w:t>and is</w:t>
      </w:r>
      <w:r w:rsidR="002A5967">
        <w:rPr>
          <w:rFonts w:ascii="Arial" w:hAnsi="Arial" w:cs="Arial"/>
        </w:rPr>
        <w:t xml:space="preserve"> on appeal to the Supreme Court of Canada.</w:t>
      </w:r>
      <w:r w:rsidR="006A6BD5">
        <w:rPr>
          <w:rFonts w:ascii="Arial" w:hAnsi="Arial" w:cs="Arial"/>
        </w:rPr>
        <w:t xml:space="preserve"> </w:t>
      </w:r>
    </w:p>
    <w:p w14:paraId="2DDD4BB2" w14:textId="77777777" w:rsidR="00302848" w:rsidRDefault="00302848" w:rsidP="00253E3E">
      <w:pPr>
        <w:rPr>
          <w:rFonts w:ascii="Arial" w:hAnsi="Arial" w:cs="Arial"/>
        </w:rPr>
      </w:pPr>
      <w:r>
        <w:rPr>
          <w:rFonts w:ascii="Arial" w:hAnsi="Arial" w:cs="Arial"/>
        </w:rPr>
        <w:t>First Nations are pursuing s</w:t>
      </w:r>
      <w:r w:rsidR="007E5DC6">
        <w:rPr>
          <w:rFonts w:ascii="Arial" w:hAnsi="Arial" w:cs="Arial"/>
        </w:rPr>
        <w:t>e</w:t>
      </w:r>
      <w:r w:rsidR="00D86D21">
        <w:rPr>
          <w:rFonts w:ascii="Arial" w:hAnsi="Arial" w:cs="Arial"/>
        </w:rPr>
        <w:t>ctoral legislation</w:t>
      </w:r>
      <w:r w:rsidR="00152305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 xml:space="preserve">as a strategy to </w:t>
      </w:r>
      <w:r w:rsidR="00D86D21">
        <w:rPr>
          <w:rFonts w:ascii="Arial" w:hAnsi="Arial" w:cs="Arial"/>
        </w:rPr>
        <w:t xml:space="preserve">address </w:t>
      </w:r>
      <w:r w:rsidR="00C5484A">
        <w:rPr>
          <w:rFonts w:ascii="Arial" w:hAnsi="Arial" w:cs="Arial"/>
        </w:rPr>
        <w:t xml:space="preserve">some of </w:t>
      </w:r>
      <w:r>
        <w:rPr>
          <w:rFonts w:ascii="Arial" w:hAnsi="Arial" w:cs="Arial"/>
        </w:rPr>
        <w:t xml:space="preserve">the </w:t>
      </w:r>
      <w:r w:rsidR="00452C84">
        <w:rPr>
          <w:rFonts w:ascii="Arial" w:hAnsi="Arial" w:cs="Arial"/>
        </w:rPr>
        <w:t xml:space="preserve">funding </w:t>
      </w:r>
      <w:r w:rsidR="00C36206">
        <w:rPr>
          <w:rFonts w:ascii="Arial" w:hAnsi="Arial" w:cs="Arial"/>
        </w:rPr>
        <w:t>gaps</w:t>
      </w:r>
      <w:r w:rsidR="00B47A3A">
        <w:rPr>
          <w:rFonts w:ascii="Arial" w:hAnsi="Arial" w:cs="Arial"/>
        </w:rPr>
        <w:t xml:space="preserve"> in essential services</w:t>
      </w:r>
      <w:r w:rsidR="00452C84">
        <w:rPr>
          <w:rFonts w:ascii="Arial" w:hAnsi="Arial" w:cs="Arial"/>
        </w:rPr>
        <w:t>.</w:t>
      </w:r>
      <w:r w:rsidR="002A2662"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>Federally, d</w:t>
      </w:r>
      <w:r w:rsidR="005D4C3D">
        <w:rPr>
          <w:rFonts w:ascii="Arial" w:hAnsi="Arial" w:cs="Arial"/>
        </w:rPr>
        <w:t xml:space="preserve">iscussions </w:t>
      </w:r>
      <w:r w:rsidR="00E25983">
        <w:rPr>
          <w:rFonts w:ascii="Arial" w:hAnsi="Arial" w:cs="Arial"/>
        </w:rPr>
        <w:t xml:space="preserve">were opened </w:t>
      </w:r>
      <w:r w:rsidR="005D4C3D">
        <w:rPr>
          <w:rFonts w:ascii="Arial" w:hAnsi="Arial" w:cs="Arial"/>
        </w:rPr>
        <w:t xml:space="preserve">on </w:t>
      </w:r>
      <w:r w:rsidR="00BC0743">
        <w:rPr>
          <w:rFonts w:ascii="Arial" w:hAnsi="Arial" w:cs="Arial"/>
        </w:rPr>
        <w:t>the content</w:t>
      </w:r>
      <w:r w:rsidR="00B47A3A">
        <w:rPr>
          <w:rFonts w:ascii="Arial" w:hAnsi="Arial" w:cs="Arial"/>
        </w:rPr>
        <w:t xml:space="preserve"> </w:t>
      </w:r>
      <w:r w:rsidR="00BC0743">
        <w:rPr>
          <w:rFonts w:ascii="Arial" w:hAnsi="Arial" w:cs="Arial"/>
        </w:rPr>
        <w:t xml:space="preserve">of </w:t>
      </w:r>
      <w:r w:rsidR="005D4C3D">
        <w:rPr>
          <w:rFonts w:ascii="Arial" w:hAnsi="Arial" w:cs="Arial"/>
        </w:rPr>
        <w:t xml:space="preserve">legislation to </w:t>
      </w:r>
      <w:r w:rsidR="000958EA">
        <w:rPr>
          <w:rFonts w:ascii="Arial" w:hAnsi="Arial" w:cs="Arial"/>
        </w:rPr>
        <w:t>support</w:t>
      </w:r>
      <w:r w:rsidR="005D4C3D">
        <w:rPr>
          <w:rFonts w:ascii="Arial" w:hAnsi="Arial" w:cs="Arial"/>
        </w:rPr>
        <w:t xml:space="preserve"> First Nations policing as an essential service</w:t>
      </w:r>
      <w:r w:rsidR="00B47A3A">
        <w:rPr>
          <w:rFonts w:ascii="Arial" w:hAnsi="Arial" w:cs="Arial"/>
        </w:rPr>
        <w:t xml:space="preserve">. This table </w:t>
      </w:r>
      <w:r w:rsidR="000958EA">
        <w:rPr>
          <w:rFonts w:ascii="Arial" w:hAnsi="Arial" w:cs="Arial"/>
        </w:rPr>
        <w:t>has</w:t>
      </w:r>
      <w:r w:rsidR="005D4C3D">
        <w:rPr>
          <w:rFonts w:ascii="Arial" w:hAnsi="Arial" w:cs="Arial"/>
        </w:rPr>
        <w:t xml:space="preserve"> been stymied by a </w:t>
      </w:r>
      <w:r w:rsidR="000958EA">
        <w:rPr>
          <w:rFonts w:ascii="Arial" w:hAnsi="Arial" w:cs="Arial"/>
        </w:rPr>
        <w:t xml:space="preserve">refusal of </w:t>
      </w:r>
      <w:r w:rsidR="00DB7238">
        <w:rPr>
          <w:rFonts w:ascii="Arial" w:hAnsi="Arial" w:cs="Arial"/>
        </w:rPr>
        <w:t xml:space="preserve">the </w:t>
      </w:r>
      <w:r w:rsidR="00B47A3A">
        <w:rPr>
          <w:rFonts w:ascii="Arial" w:hAnsi="Arial" w:cs="Arial"/>
        </w:rPr>
        <w:t>federal government</w:t>
      </w:r>
      <w:r w:rsidR="00DB7238">
        <w:rPr>
          <w:rFonts w:ascii="Arial" w:hAnsi="Arial" w:cs="Arial"/>
        </w:rPr>
        <w:t xml:space="preserve"> </w:t>
      </w:r>
      <w:r w:rsidR="005D4C3D">
        <w:rPr>
          <w:rFonts w:ascii="Arial" w:hAnsi="Arial" w:cs="Arial"/>
        </w:rPr>
        <w:t>to acknowledge the inherent jurisdiction of First Nations</w:t>
      </w:r>
      <w:r w:rsidR="00DB7238">
        <w:rPr>
          <w:rFonts w:ascii="Arial" w:hAnsi="Arial" w:cs="Arial"/>
        </w:rPr>
        <w:t xml:space="preserve"> over policing in our communities</w:t>
      </w:r>
      <w:r w:rsidR="000F4594">
        <w:rPr>
          <w:rFonts w:ascii="Arial" w:hAnsi="Arial" w:cs="Arial"/>
        </w:rPr>
        <w:t xml:space="preserve">. </w:t>
      </w:r>
    </w:p>
    <w:p w14:paraId="4435B043" w14:textId="31FD90DA" w:rsidR="00C13035" w:rsidRDefault="00EE1A4A" w:rsidP="00253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37BF7">
        <w:rPr>
          <w:rFonts w:ascii="Arial" w:hAnsi="Arial" w:cs="Arial"/>
        </w:rPr>
        <w:t xml:space="preserve">federal </w:t>
      </w:r>
      <w:r>
        <w:rPr>
          <w:rFonts w:ascii="Arial" w:hAnsi="Arial" w:cs="Arial"/>
        </w:rPr>
        <w:t xml:space="preserve">bill on </w:t>
      </w:r>
      <w:r w:rsidR="002A2662">
        <w:rPr>
          <w:rFonts w:ascii="Arial" w:hAnsi="Arial" w:cs="Arial"/>
        </w:rPr>
        <w:t>water and infrastructure</w:t>
      </w:r>
      <w:r>
        <w:rPr>
          <w:rFonts w:ascii="Arial" w:hAnsi="Arial" w:cs="Arial"/>
        </w:rPr>
        <w:t xml:space="preserve"> </w:t>
      </w:r>
      <w:r w:rsidR="00B47A3A">
        <w:rPr>
          <w:rFonts w:ascii="Arial" w:hAnsi="Arial" w:cs="Arial"/>
        </w:rPr>
        <w:t>was recently tabled in</w:t>
      </w:r>
      <w:r w:rsidR="00D37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Parliament</w:t>
      </w:r>
      <w:r w:rsidR="00594FB6">
        <w:rPr>
          <w:rFonts w:ascii="Arial" w:hAnsi="Arial" w:cs="Arial"/>
        </w:rPr>
        <w:t xml:space="preserve"> (</w:t>
      </w:r>
      <w:hyperlink r:id="rId25" w:history="1">
        <w:r w:rsidR="004E2C31" w:rsidRPr="004E2C31">
          <w:rPr>
            <w:rStyle w:val="Hyperlink"/>
            <w:rFonts w:ascii="Arial" w:hAnsi="Arial" w:cs="Arial"/>
          </w:rPr>
          <w:t xml:space="preserve">Bill C-61, </w:t>
        </w:r>
        <w:r w:rsidR="00594FB6" w:rsidRPr="004E2C31">
          <w:rPr>
            <w:rStyle w:val="Hyperlink"/>
            <w:rFonts w:ascii="Arial" w:hAnsi="Arial" w:cs="Arial"/>
          </w:rPr>
          <w:t>First Nations Clean Water Act</w:t>
        </w:r>
      </w:hyperlink>
      <w:r w:rsidR="00594FB6">
        <w:rPr>
          <w:rFonts w:ascii="Arial" w:hAnsi="Arial" w:cs="Arial"/>
        </w:rPr>
        <w:t>)</w:t>
      </w:r>
      <w:r w:rsidR="008D0884">
        <w:rPr>
          <w:rFonts w:ascii="Arial" w:hAnsi="Arial" w:cs="Arial"/>
        </w:rPr>
        <w:t>.</w:t>
      </w:r>
      <w:r w:rsidR="004E2C31">
        <w:rPr>
          <w:rFonts w:ascii="Arial" w:hAnsi="Arial" w:cs="Arial"/>
        </w:rPr>
        <w:t xml:space="preserve"> </w:t>
      </w:r>
      <w:r w:rsidR="009544E0">
        <w:rPr>
          <w:rFonts w:ascii="Arial" w:hAnsi="Arial" w:cs="Arial"/>
        </w:rPr>
        <w:t xml:space="preserve">The Bill contains references to the </w:t>
      </w:r>
      <w:r w:rsidR="00302848">
        <w:rPr>
          <w:rFonts w:ascii="Arial" w:hAnsi="Arial" w:cs="Arial"/>
        </w:rPr>
        <w:t>UN D</w:t>
      </w:r>
      <w:r w:rsidR="009544E0">
        <w:rPr>
          <w:rFonts w:ascii="Arial" w:hAnsi="Arial" w:cs="Arial"/>
        </w:rPr>
        <w:t>eclaration in its preamble, purpose clause</w:t>
      </w:r>
      <w:r w:rsidR="00302848">
        <w:rPr>
          <w:rFonts w:ascii="Arial" w:hAnsi="Arial" w:cs="Arial"/>
        </w:rPr>
        <w:t>,</w:t>
      </w:r>
      <w:r w:rsidR="009544E0">
        <w:rPr>
          <w:rFonts w:ascii="Arial" w:hAnsi="Arial" w:cs="Arial"/>
        </w:rPr>
        <w:t xml:space="preserve"> </w:t>
      </w:r>
      <w:r w:rsidR="009F196F">
        <w:rPr>
          <w:rFonts w:ascii="Arial" w:hAnsi="Arial" w:cs="Arial"/>
        </w:rPr>
        <w:t xml:space="preserve">and </w:t>
      </w:r>
      <w:r w:rsidR="005B054A">
        <w:rPr>
          <w:rFonts w:ascii="Arial" w:hAnsi="Arial" w:cs="Arial"/>
        </w:rPr>
        <w:t xml:space="preserve">an operative provision relating to free, </w:t>
      </w:r>
      <w:r w:rsidR="0018363E">
        <w:rPr>
          <w:rFonts w:ascii="Arial" w:hAnsi="Arial" w:cs="Arial"/>
        </w:rPr>
        <w:t>prior,</w:t>
      </w:r>
      <w:r w:rsidR="005B054A">
        <w:rPr>
          <w:rFonts w:ascii="Arial" w:hAnsi="Arial" w:cs="Arial"/>
        </w:rPr>
        <w:t xml:space="preserve"> and informed consent</w:t>
      </w:r>
      <w:r w:rsidR="0038475F">
        <w:rPr>
          <w:rFonts w:ascii="Arial" w:hAnsi="Arial" w:cs="Arial"/>
        </w:rPr>
        <w:t>. The latter</w:t>
      </w:r>
      <w:r w:rsidR="005B054A">
        <w:rPr>
          <w:rFonts w:ascii="Arial" w:hAnsi="Arial" w:cs="Arial"/>
        </w:rPr>
        <w:t xml:space="preserve"> requires decisions </w:t>
      </w:r>
      <w:r w:rsidR="009F196F">
        <w:rPr>
          <w:rFonts w:ascii="Arial" w:hAnsi="Arial" w:cs="Arial"/>
        </w:rPr>
        <w:t xml:space="preserve">under the proposal act </w:t>
      </w:r>
      <w:r w:rsidR="005B054A">
        <w:rPr>
          <w:rFonts w:ascii="Arial" w:hAnsi="Arial" w:cs="Arial"/>
        </w:rPr>
        <w:t xml:space="preserve">“to be </w:t>
      </w:r>
      <w:r w:rsidR="005B054A" w:rsidRPr="0038475F">
        <w:rPr>
          <w:rFonts w:ascii="Arial" w:hAnsi="Arial" w:cs="Arial"/>
          <w:u w:val="single"/>
        </w:rPr>
        <w:t>guided</w:t>
      </w:r>
      <w:r w:rsidR="005B054A">
        <w:rPr>
          <w:rFonts w:ascii="Arial" w:hAnsi="Arial" w:cs="Arial"/>
        </w:rPr>
        <w:t xml:space="preserve"> by</w:t>
      </w:r>
      <w:r w:rsidR="00B116DC">
        <w:rPr>
          <w:rFonts w:ascii="Arial" w:hAnsi="Arial" w:cs="Arial"/>
        </w:rPr>
        <w:t xml:space="preserve"> the principle” of </w:t>
      </w:r>
      <w:r w:rsidR="005B054A">
        <w:rPr>
          <w:rFonts w:ascii="Arial" w:hAnsi="Arial" w:cs="Arial"/>
        </w:rPr>
        <w:t>FPIC</w:t>
      </w:r>
      <w:r w:rsidR="00302848">
        <w:rPr>
          <w:rFonts w:ascii="Arial" w:hAnsi="Arial" w:cs="Arial"/>
        </w:rPr>
        <w:t>—</w:t>
      </w:r>
      <w:r w:rsidR="005B054A">
        <w:rPr>
          <w:rFonts w:ascii="Arial" w:hAnsi="Arial" w:cs="Arial"/>
        </w:rPr>
        <w:t xml:space="preserve">rather </w:t>
      </w:r>
      <w:r w:rsidR="00302848">
        <w:rPr>
          <w:rFonts w:ascii="Arial" w:hAnsi="Arial" w:cs="Arial"/>
        </w:rPr>
        <w:t xml:space="preserve">than </w:t>
      </w:r>
      <w:r w:rsidR="00B116DC">
        <w:rPr>
          <w:rFonts w:ascii="Arial" w:hAnsi="Arial" w:cs="Arial"/>
        </w:rPr>
        <w:t>the standard of consistency with the</w:t>
      </w:r>
      <w:r w:rsidR="00302848">
        <w:rPr>
          <w:rFonts w:ascii="Arial" w:hAnsi="Arial" w:cs="Arial"/>
        </w:rPr>
        <w:t xml:space="preserve"> UN</w:t>
      </w:r>
      <w:r w:rsidR="00B116DC">
        <w:rPr>
          <w:rFonts w:ascii="Arial" w:hAnsi="Arial" w:cs="Arial"/>
        </w:rPr>
        <w:t xml:space="preserve"> Declaration that is </w:t>
      </w:r>
      <w:r w:rsidR="0038475F">
        <w:rPr>
          <w:rFonts w:ascii="Arial" w:hAnsi="Arial" w:cs="Arial"/>
        </w:rPr>
        <w:t xml:space="preserve">actually </w:t>
      </w:r>
      <w:r w:rsidR="00B116DC">
        <w:rPr>
          <w:rFonts w:ascii="Arial" w:hAnsi="Arial" w:cs="Arial"/>
        </w:rPr>
        <w:t>articulated in the bill’s purpose clause</w:t>
      </w:r>
      <w:r w:rsidR="009F196F">
        <w:rPr>
          <w:rFonts w:ascii="Arial" w:hAnsi="Arial" w:cs="Arial"/>
        </w:rPr>
        <w:t xml:space="preserve"> in 4(c)</w:t>
      </w:r>
      <w:r w:rsidR="005B054A">
        <w:rPr>
          <w:rFonts w:ascii="Arial" w:hAnsi="Arial" w:cs="Arial"/>
        </w:rPr>
        <w:t xml:space="preserve">. </w:t>
      </w:r>
      <w:r w:rsidR="0038475F">
        <w:rPr>
          <w:rFonts w:ascii="Arial" w:hAnsi="Arial" w:cs="Arial"/>
        </w:rPr>
        <w:t xml:space="preserve">The </w:t>
      </w:r>
      <w:r w:rsidR="00F319C1">
        <w:rPr>
          <w:rFonts w:ascii="Arial" w:hAnsi="Arial" w:cs="Arial"/>
        </w:rPr>
        <w:t xml:space="preserve">Bill </w:t>
      </w:r>
      <w:r w:rsidR="0038475F">
        <w:rPr>
          <w:rFonts w:ascii="Arial" w:hAnsi="Arial" w:cs="Arial"/>
        </w:rPr>
        <w:t xml:space="preserve">also </w:t>
      </w:r>
      <w:r w:rsidR="00CB4096" w:rsidRPr="00CB4096">
        <w:rPr>
          <w:rFonts w:ascii="Arial" w:hAnsi="Arial" w:cs="Arial"/>
        </w:rPr>
        <w:t>affirm</w:t>
      </w:r>
      <w:r w:rsidR="0038475F">
        <w:rPr>
          <w:rFonts w:ascii="Arial" w:hAnsi="Arial" w:cs="Arial"/>
        </w:rPr>
        <w:t>s</w:t>
      </w:r>
      <w:r w:rsidR="00CB4096" w:rsidRPr="00CB4096">
        <w:rPr>
          <w:rFonts w:ascii="Arial" w:hAnsi="Arial" w:cs="Arial"/>
        </w:rPr>
        <w:t xml:space="preserve"> that the inherent right to self-government, recognized and affirmed by section 35 of the </w:t>
      </w:r>
      <w:r w:rsidR="00CB4096" w:rsidRPr="00F851AF">
        <w:rPr>
          <w:rFonts w:ascii="Arial" w:hAnsi="Arial" w:cs="Arial"/>
          <w:i/>
          <w:iCs/>
        </w:rPr>
        <w:t>Constitution Act, 1982</w:t>
      </w:r>
      <w:r w:rsidR="00CB4096" w:rsidRPr="00CB4096">
        <w:rPr>
          <w:rFonts w:ascii="Arial" w:hAnsi="Arial" w:cs="Arial"/>
        </w:rPr>
        <w:t xml:space="preserve">, includes the jurisdiction of First Nations in relation to water, source water, drinking water, </w:t>
      </w:r>
      <w:r w:rsidR="0018363E" w:rsidRPr="00CB4096">
        <w:rPr>
          <w:rFonts w:ascii="Arial" w:hAnsi="Arial" w:cs="Arial"/>
        </w:rPr>
        <w:t>wastewater,</w:t>
      </w:r>
      <w:r w:rsidR="00CB4096" w:rsidRPr="00CB4096">
        <w:rPr>
          <w:rFonts w:ascii="Arial" w:hAnsi="Arial" w:cs="Arial"/>
        </w:rPr>
        <w:t xml:space="preserve"> and related infrastructure on, in</w:t>
      </w:r>
      <w:r w:rsidR="0018363E">
        <w:rPr>
          <w:rFonts w:ascii="Arial" w:hAnsi="Arial" w:cs="Arial"/>
        </w:rPr>
        <w:t>,</w:t>
      </w:r>
      <w:r w:rsidR="00CB4096" w:rsidRPr="00CB4096">
        <w:rPr>
          <w:rFonts w:ascii="Arial" w:hAnsi="Arial" w:cs="Arial"/>
        </w:rPr>
        <w:t xml:space="preserve"> and under First Nation</w:t>
      </w:r>
      <w:r w:rsidR="00302848">
        <w:rPr>
          <w:rFonts w:ascii="Arial" w:hAnsi="Arial" w:cs="Arial"/>
        </w:rPr>
        <w:t>s</w:t>
      </w:r>
      <w:r w:rsidR="00CB4096" w:rsidRPr="00CB4096">
        <w:rPr>
          <w:rFonts w:ascii="Arial" w:hAnsi="Arial" w:cs="Arial"/>
        </w:rPr>
        <w:t xml:space="preserve"> lands</w:t>
      </w:r>
      <w:r w:rsidR="00754310">
        <w:rPr>
          <w:rFonts w:ascii="Arial" w:hAnsi="Arial" w:cs="Arial"/>
        </w:rPr>
        <w:t xml:space="preserve">. It would </w:t>
      </w:r>
      <w:r w:rsidR="00CD15F0">
        <w:rPr>
          <w:rFonts w:ascii="Arial" w:hAnsi="Arial" w:cs="Arial"/>
        </w:rPr>
        <w:t>articulate</w:t>
      </w:r>
      <w:r w:rsidR="00DF18A4">
        <w:rPr>
          <w:rFonts w:ascii="Arial" w:hAnsi="Arial" w:cs="Arial"/>
        </w:rPr>
        <w:t xml:space="preserve"> </w:t>
      </w:r>
      <w:r w:rsidR="00CB4096" w:rsidRPr="00CB4096">
        <w:rPr>
          <w:rFonts w:ascii="Arial" w:hAnsi="Arial" w:cs="Arial"/>
        </w:rPr>
        <w:t>principles, such as substantive equality, to guide the provision for First Nations of clean and safe drinking water and the effective treatment and disposal of wastewater on First Nation</w:t>
      </w:r>
      <w:r w:rsidR="00302848">
        <w:rPr>
          <w:rFonts w:ascii="Arial" w:hAnsi="Arial" w:cs="Arial"/>
        </w:rPr>
        <w:t>s</w:t>
      </w:r>
      <w:r w:rsidR="00CB4096" w:rsidRPr="00CB4096">
        <w:rPr>
          <w:rFonts w:ascii="Arial" w:hAnsi="Arial" w:cs="Arial"/>
        </w:rPr>
        <w:t xml:space="preserve"> lands. </w:t>
      </w:r>
      <w:r w:rsidR="00302848">
        <w:rPr>
          <w:rFonts w:ascii="Arial" w:hAnsi="Arial" w:cs="Arial"/>
        </w:rPr>
        <w:t>R</w:t>
      </w:r>
      <w:r w:rsidR="00FA3524">
        <w:rPr>
          <w:rFonts w:ascii="Arial" w:hAnsi="Arial" w:cs="Arial"/>
        </w:rPr>
        <w:t>eal</w:t>
      </w:r>
      <w:r w:rsidR="0011019C">
        <w:rPr>
          <w:rFonts w:ascii="Arial" w:hAnsi="Arial" w:cs="Arial"/>
        </w:rPr>
        <w:t xml:space="preserve"> concerns </w:t>
      </w:r>
      <w:r w:rsidR="00302848">
        <w:rPr>
          <w:rFonts w:ascii="Arial" w:hAnsi="Arial" w:cs="Arial"/>
        </w:rPr>
        <w:t xml:space="preserve">remain </w:t>
      </w:r>
      <w:r w:rsidR="0011019C">
        <w:rPr>
          <w:rFonts w:ascii="Arial" w:hAnsi="Arial" w:cs="Arial"/>
        </w:rPr>
        <w:t>among First Nations about</w:t>
      </w:r>
      <w:r w:rsidR="00430BCE">
        <w:rPr>
          <w:rFonts w:ascii="Arial" w:hAnsi="Arial" w:cs="Arial"/>
        </w:rPr>
        <w:t xml:space="preserve"> secur</w:t>
      </w:r>
      <w:r w:rsidR="00DF18A4">
        <w:rPr>
          <w:rFonts w:ascii="Arial" w:hAnsi="Arial" w:cs="Arial"/>
        </w:rPr>
        <w:t>ing</w:t>
      </w:r>
      <w:r w:rsidR="0011019C">
        <w:rPr>
          <w:rFonts w:ascii="Arial" w:hAnsi="Arial" w:cs="Arial"/>
        </w:rPr>
        <w:t xml:space="preserve"> </w:t>
      </w:r>
      <w:r w:rsidR="0032400F">
        <w:rPr>
          <w:rFonts w:ascii="Arial" w:hAnsi="Arial" w:cs="Arial"/>
        </w:rPr>
        <w:t xml:space="preserve">the </w:t>
      </w:r>
      <w:r w:rsidR="00CF3148">
        <w:rPr>
          <w:rFonts w:ascii="Arial" w:hAnsi="Arial" w:cs="Arial"/>
        </w:rPr>
        <w:t>budgetary</w:t>
      </w:r>
      <w:r w:rsidR="00C5095D">
        <w:rPr>
          <w:rFonts w:ascii="Arial" w:hAnsi="Arial" w:cs="Arial"/>
        </w:rPr>
        <w:t xml:space="preserve"> and statutory</w:t>
      </w:r>
      <w:r w:rsidR="00CF3148">
        <w:rPr>
          <w:rFonts w:ascii="Arial" w:hAnsi="Arial" w:cs="Arial"/>
        </w:rPr>
        <w:t xml:space="preserve"> </w:t>
      </w:r>
      <w:r w:rsidR="00430BCE">
        <w:rPr>
          <w:rFonts w:ascii="Arial" w:hAnsi="Arial" w:cs="Arial"/>
        </w:rPr>
        <w:t>commitments</w:t>
      </w:r>
      <w:r w:rsidR="00CF3148">
        <w:rPr>
          <w:rFonts w:ascii="Arial" w:hAnsi="Arial" w:cs="Arial"/>
        </w:rPr>
        <w:t xml:space="preserve"> to ensure the objectives of the Bill are in fact met.</w:t>
      </w:r>
    </w:p>
    <w:p w14:paraId="331408BB" w14:textId="67AAD5B5" w:rsidR="00D85C20" w:rsidRDefault="00C13035" w:rsidP="00253E3E">
      <w:pPr>
        <w:rPr>
          <w:rFonts w:ascii="Arial" w:hAnsi="Arial" w:cs="Arial"/>
        </w:rPr>
      </w:pPr>
      <w:r w:rsidRPr="00C13035">
        <w:rPr>
          <w:rFonts w:ascii="Arial" w:hAnsi="Arial" w:cs="Arial"/>
        </w:rPr>
        <w:t xml:space="preserve">States should be encouraged to adopt a human rights-based approach to budget-making decisions. Human rights-based approaches to budget decisions in national budgets, along with appropriate nation-to-nation funding arrangements, </w:t>
      </w:r>
      <w:r>
        <w:rPr>
          <w:rFonts w:ascii="Arial" w:hAnsi="Arial" w:cs="Arial"/>
        </w:rPr>
        <w:t xml:space="preserve">and statutory funding commitments </w:t>
      </w:r>
      <w:r w:rsidRPr="00C13035">
        <w:rPr>
          <w:rFonts w:ascii="Arial" w:hAnsi="Arial" w:cs="Arial"/>
        </w:rPr>
        <w:t xml:space="preserve">can be a tool to </w:t>
      </w:r>
      <w:r>
        <w:rPr>
          <w:rFonts w:ascii="Arial" w:hAnsi="Arial" w:cs="Arial"/>
        </w:rPr>
        <w:t>promote and track</w:t>
      </w:r>
      <w:r w:rsidRPr="00C13035">
        <w:rPr>
          <w:rFonts w:ascii="Arial" w:hAnsi="Arial" w:cs="Arial"/>
        </w:rPr>
        <w:t xml:space="preserve"> government accountability and advance human rights compliance under the </w:t>
      </w:r>
      <w:r w:rsidR="00302848">
        <w:rPr>
          <w:rFonts w:ascii="Arial" w:hAnsi="Arial" w:cs="Arial"/>
        </w:rPr>
        <w:t xml:space="preserve">UN </w:t>
      </w:r>
      <w:r w:rsidRPr="00C13035">
        <w:rPr>
          <w:rFonts w:ascii="Arial" w:hAnsi="Arial" w:cs="Arial"/>
        </w:rPr>
        <w:t>Declaration. Articles 4, 39</w:t>
      </w:r>
      <w:r w:rsidR="0018363E">
        <w:rPr>
          <w:rFonts w:ascii="Arial" w:hAnsi="Arial" w:cs="Arial"/>
        </w:rPr>
        <w:t>,</w:t>
      </w:r>
      <w:r w:rsidRPr="00C13035">
        <w:rPr>
          <w:rFonts w:ascii="Arial" w:hAnsi="Arial" w:cs="Arial"/>
        </w:rPr>
        <w:t xml:space="preserve"> and 43 of the</w:t>
      </w:r>
      <w:r w:rsidR="00302848">
        <w:rPr>
          <w:rFonts w:ascii="Arial" w:hAnsi="Arial" w:cs="Arial"/>
        </w:rPr>
        <w:t xml:space="preserve"> UN</w:t>
      </w:r>
      <w:r w:rsidRPr="00C13035">
        <w:rPr>
          <w:rFonts w:ascii="Arial" w:hAnsi="Arial" w:cs="Arial"/>
        </w:rPr>
        <w:t xml:space="preserve"> Declaration are relevant here.</w:t>
      </w:r>
    </w:p>
    <w:p w14:paraId="1AEF070D" w14:textId="6CE340EC" w:rsidR="0038475F" w:rsidRDefault="0038475F" w:rsidP="00785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Nations have had to bring a </w:t>
      </w:r>
      <w:r w:rsidR="00C13035">
        <w:rPr>
          <w:rFonts w:ascii="Arial" w:hAnsi="Arial" w:cs="Arial"/>
        </w:rPr>
        <w:t xml:space="preserve">broad </w:t>
      </w:r>
      <w:r>
        <w:rPr>
          <w:rFonts w:ascii="Arial" w:hAnsi="Arial" w:cs="Arial"/>
        </w:rPr>
        <w:t>range of class action lawsuits, representative actions</w:t>
      </w:r>
      <w:r w:rsidR="003028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other litigation, seeking compensation for individual and collective harms</w:t>
      </w:r>
      <w:r w:rsidR="003028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well as substantive policy and program reform to prevent future breaches.</w:t>
      </w:r>
      <w:r w:rsidR="00C130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Unfortunately, litigation remains an essential tool for First Nations to drive and force change on pressing rights issues</w:t>
      </w:r>
      <w:r w:rsidR="00C13035">
        <w:rPr>
          <w:rFonts w:ascii="Arial" w:hAnsi="Arial" w:cs="Arial"/>
        </w:rPr>
        <w:t xml:space="preserve"> in Canada</w:t>
      </w:r>
      <w:r>
        <w:rPr>
          <w:rFonts w:ascii="Arial" w:hAnsi="Arial" w:cs="Arial"/>
        </w:rPr>
        <w:t>.</w:t>
      </w:r>
      <w:r w:rsidR="00C130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E65C37C" w14:textId="1BC423A1" w:rsidR="003C7AD2" w:rsidRDefault="004C3AD2" w:rsidP="00785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31682">
        <w:rPr>
          <w:rFonts w:ascii="Arial" w:hAnsi="Arial" w:cs="Arial"/>
        </w:rPr>
        <w:t>sense</w:t>
      </w:r>
      <w:r>
        <w:rPr>
          <w:rFonts w:ascii="Arial" w:hAnsi="Arial" w:cs="Arial"/>
        </w:rPr>
        <w:t xml:space="preserve"> of the scope</w:t>
      </w:r>
      <w:r w:rsidR="0094647A">
        <w:rPr>
          <w:rFonts w:ascii="Arial" w:hAnsi="Arial" w:cs="Arial"/>
        </w:rPr>
        <w:t xml:space="preserve"> </w:t>
      </w:r>
      <w:r w:rsidR="00182127">
        <w:rPr>
          <w:rFonts w:ascii="Arial" w:hAnsi="Arial" w:cs="Arial"/>
        </w:rPr>
        <w:t xml:space="preserve">and depth </w:t>
      </w:r>
      <w:r w:rsidR="00076B60">
        <w:rPr>
          <w:rFonts w:ascii="Arial" w:hAnsi="Arial" w:cs="Arial"/>
        </w:rPr>
        <w:t xml:space="preserve">of </w:t>
      </w:r>
      <w:r w:rsidR="00182127">
        <w:rPr>
          <w:rFonts w:ascii="Arial" w:hAnsi="Arial" w:cs="Arial"/>
        </w:rPr>
        <w:t xml:space="preserve">denial </w:t>
      </w:r>
      <w:r w:rsidR="00857940">
        <w:rPr>
          <w:rFonts w:ascii="Arial" w:hAnsi="Arial" w:cs="Arial"/>
        </w:rPr>
        <w:t xml:space="preserve">and </w:t>
      </w:r>
      <w:r w:rsidR="00182127">
        <w:rPr>
          <w:rFonts w:ascii="Arial" w:hAnsi="Arial" w:cs="Arial"/>
        </w:rPr>
        <w:t xml:space="preserve">delay in </w:t>
      </w:r>
      <w:r w:rsidR="00961D54">
        <w:rPr>
          <w:rFonts w:ascii="Arial" w:hAnsi="Arial" w:cs="Arial"/>
        </w:rPr>
        <w:t>respecting</w:t>
      </w:r>
      <w:r w:rsidR="001D5649">
        <w:rPr>
          <w:rFonts w:ascii="Arial" w:hAnsi="Arial" w:cs="Arial"/>
        </w:rPr>
        <w:t xml:space="preserve"> </w:t>
      </w:r>
      <w:r w:rsidR="0038475F">
        <w:rPr>
          <w:rFonts w:ascii="Arial" w:hAnsi="Arial" w:cs="Arial"/>
        </w:rPr>
        <w:t xml:space="preserve">and implementing </w:t>
      </w:r>
      <w:r w:rsidR="00FC0BE1">
        <w:rPr>
          <w:rFonts w:ascii="Arial" w:hAnsi="Arial" w:cs="Arial"/>
        </w:rPr>
        <w:t xml:space="preserve">Indigenous </w:t>
      </w:r>
      <w:r w:rsidR="00302848">
        <w:rPr>
          <w:rFonts w:ascii="Arial" w:hAnsi="Arial" w:cs="Arial"/>
        </w:rPr>
        <w:t>P</w:t>
      </w:r>
      <w:r w:rsidR="00FC0BE1">
        <w:rPr>
          <w:rFonts w:ascii="Arial" w:hAnsi="Arial" w:cs="Arial"/>
        </w:rPr>
        <w:t>eoples</w:t>
      </w:r>
      <w:r w:rsidR="001972E6">
        <w:rPr>
          <w:rFonts w:ascii="Arial" w:hAnsi="Arial" w:cs="Arial"/>
        </w:rPr>
        <w:t>’</w:t>
      </w:r>
      <w:r w:rsidR="00FC0BE1">
        <w:rPr>
          <w:rFonts w:ascii="Arial" w:hAnsi="Arial" w:cs="Arial"/>
        </w:rPr>
        <w:t xml:space="preserve"> </w:t>
      </w:r>
      <w:r w:rsidR="001D5649">
        <w:rPr>
          <w:rFonts w:ascii="Arial" w:hAnsi="Arial" w:cs="Arial"/>
        </w:rPr>
        <w:t>rights</w:t>
      </w:r>
      <w:r w:rsidR="00D4401B">
        <w:rPr>
          <w:rFonts w:ascii="Arial" w:hAnsi="Arial" w:cs="Arial"/>
        </w:rPr>
        <w:t xml:space="preserve"> (</w:t>
      </w:r>
      <w:r w:rsidR="00F23857">
        <w:rPr>
          <w:rFonts w:ascii="Arial" w:hAnsi="Arial" w:cs="Arial"/>
        </w:rPr>
        <w:t>collective and individual</w:t>
      </w:r>
      <w:r w:rsidR="00D4401B">
        <w:rPr>
          <w:rFonts w:ascii="Arial" w:hAnsi="Arial" w:cs="Arial"/>
        </w:rPr>
        <w:t xml:space="preserve">) </w:t>
      </w:r>
      <w:r w:rsidR="00CD1DC7">
        <w:rPr>
          <w:rFonts w:ascii="Arial" w:hAnsi="Arial" w:cs="Arial"/>
        </w:rPr>
        <w:t xml:space="preserve">is evident in </w:t>
      </w:r>
      <w:r w:rsidR="007731D5">
        <w:rPr>
          <w:rFonts w:ascii="Arial" w:hAnsi="Arial" w:cs="Arial"/>
        </w:rPr>
        <w:t>the</w:t>
      </w:r>
      <w:r w:rsidR="008C78E3">
        <w:rPr>
          <w:rFonts w:ascii="Arial" w:hAnsi="Arial" w:cs="Arial"/>
        </w:rPr>
        <w:t xml:space="preserve"> escalating </w:t>
      </w:r>
      <w:r w:rsidR="00C13035">
        <w:rPr>
          <w:rFonts w:ascii="Arial" w:hAnsi="Arial" w:cs="Arial"/>
        </w:rPr>
        <w:t xml:space="preserve">estimates of Canada’s </w:t>
      </w:r>
      <w:r w:rsidR="008C78E3">
        <w:rPr>
          <w:rFonts w:ascii="Arial" w:hAnsi="Arial" w:cs="Arial"/>
        </w:rPr>
        <w:t>contingent liability</w:t>
      </w:r>
      <w:r w:rsidR="00C13035">
        <w:rPr>
          <w:rFonts w:ascii="Arial" w:hAnsi="Arial" w:cs="Arial"/>
        </w:rPr>
        <w:t xml:space="preserve">. </w:t>
      </w:r>
      <w:r w:rsidR="00D66F88">
        <w:rPr>
          <w:rFonts w:ascii="Arial" w:hAnsi="Arial" w:cs="Arial"/>
        </w:rPr>
        <w:t>In 2023, Canada reported that</w:t>
      </w:r>
      <w:r w:rsidR="00F21029" w:rsidRPr="00F21029">
        <w:rPr>
          <w:rFonts w:ascii="Arial" w:hAnsi="Arial" w:cs="Arial"/>
        </w:rPr>
        <w:t xml:space="preserve"> 95</w:t>
      </w:r>
      <w:r w:rsidR="00043C08">
        <w:rPr>
          <w:rFonts w:ascii="Arial" w:hAnsi="Arial" w:cs="Arial"/>
        </w:rPr>
        <w:t xml:space="preserve"> </w:t>
      </w:r>
      <w:r w:rsidR="00F21029" w:rsidRPr="00F21029">
        <w:rPr>
          <w:rFonts w:ascii="Arial" w:hAnsi="Arial" w:cs="Arial"/>
        </w:rPr>
        <w:t xml:space="preserve">percent </w:t>
      </w:r>
      <w:r w:rsidR="00D66F88">
        <w:rPr>
          <w:rFonts w:ascii="Arial" w:hAnsi="Arial" w:cs="Arial"/>
        </w:rPr>
        <w:t xml:space="preserve">of </w:t>
      </w:r>
      <w:r w:rsidR="0038475F">
        <w:rPr>
          <w:rFonts w:ascii="Arial" w:hAnsi="Arial" w:cs="Arial"/>
        </w:rPr>
        <w:t>federal</w:t>
      </w:r>
      <w:r w:rsidR="00D66F88">
        <w:rPr>
          <w:rFonts w:ascii="Arial" w:hAnsi="Arial" w:cs="Arial"/>
        </w:rPr>
        <w:t xml:space="preserve"> contingent </w:t>
      </w:r>
      <w:r w:rsidR="00710531">
        <w:rPr>
          <w:rFonts w:ascii="Arial" w:hAnsi="Arial" w:cs="Arial"/>
        </w:rPr>
        <w:t>liabilities</w:t>
      </w:r>
      <w:r w:rsidR="00043C08">
        <w:rPr>
          <w:rFonts w:ascii="Arial" w:hAnsi="Arial" w:cs="Arial"/>
        </w:rPr>
        <w:t>, amounting to $76 billion</w:t>
      </w:r>
      <w:r w:rsidR="00F21029" w:rsidRPr="00F21029">
        <w:rPr>
          <w:rFonts w:ascii="Arial" w:hAnsi="Arial" w:cs="Arial"/>
        </w:rPr>
        <w:t xml:space="preserve"> </w:t>
      </w:r>
      <w:r w:rsidR="00EE4666">
        <w:rPr>
          <w:rFonts w:ascii="Arial" w:hAnsi="Arial" w:cs="Arial"/>
        </w:rPr>
        <w:t xml:space="preserve">relate </w:t>
      </w:r>
      <w:r w:rsidR="008563D0">
        <w:rPr>
          <w:rFonts w:ascii="Arial" w:hAnsi="Arial" w:cs="Arial"/>
        </w:rPr>
        <w:t xml:space="preserve">primarily </w:t>
      </w:r>
      <w:r w:rsidR="00EE4666">
        <w:rPr>
          <w:rFonts w:ascii="Arial" w:hAnsi="Arial" w:cs="Arial"/>
        </w:rPr>
        <w:t>to settlement of</w:t>
      </w:r>
      <w:r w:rsidR="00CD48F6">
        <w:rPr>
          <w:rFonts w:ascii="Arial" w:hAnsi="Arial" w:cs="Arial"/>
        </w:rPr>
        <w:t xml:space="preserve"> </w:t>
      </w:r>
      <w:r w:rsidR="00F21029" w:rsidRPr="00F21029">
        <w:rPr>
          <w:rFonts w:ascii="Arial" w:hAnsi="Arial" w:cs="Arial"/>
        </w:rPr>
        <w:t xml:space="preserve">Indigenous </w:t>
      </w:r>
      <w:r w:rsidR="00302848">
        <w:rPr>
          <w:rFonts w:ascii="Arial" w:hAnsi="Arial" w:cs="Arial"/>
        </w:rPr>
        <w:t>P</w:t>
      </w:r>
      <w:r w:rsidR="00996326">
        <w:rPr>
          <w:rFonts w:ascii="Arial" w:hAnsi="Arial" w:cs="Arial"/>
        </w:rPr>
        <w:t xml:space="preserve">eoples’ </w:t>
      </w:r>
      <w:r w:rsidR="00CD48F6">
        <w:rPr>
          <w:rFonts w:ascii="Arial" w:hAnsi="Arial" w:cs="Arial"/>
        </w:rPr>
        <w:t xml:space="preserve">rights and claims </w:t>
      </w:r>
      <w:r w:rsidR="00F21029" w:rsidRPr="00F21029">
        <w:rPr>
          <w:rFonts w:ascii="Arial" w:hAnsi="Arial" w:cs="Arial"/>
        </w:rPr>
        <w:t>against the Crown</w:t>
      </w:r>
      <w:r w:rsidR="00B840A6">
        <w:rPr>
          <w:rFonts w:ascii="Arial" w:hAnsi="Arial" w:cs="Arial"/>
        </w:rPr>
        <w:t xml:space="preserve"> (</w:t>
      </w:r>
      <w:r w:rsidR="00C13035">
        <w:rPr>
          <w:rFonts w:ascii="Arial" w:hAnsi="Arial" w:cs="Arial"/>
        </w:rPr>
        <w:t xml:space="preserve">but also include </w:t>
      </w:r>
      <w:r w:rsidR="00A3606E">
        <w:rPr>
          <w:rFonts w:ascii="Arial" w:hAnsi="Arial" w:cs="Arial"/>
        </w:rPr>
        <w:t>loan guarantees</w:t>
      </w:r>
      <w:r w:rsidR="00D4487F">
        <w:rPr>
          <w:rFonts w:ascii="Arial" w:hAnsi="Arial" w:cs="Arial"/>
        </w:rPr>
        <w:t>)</w:t>
      </w:r>
      <w:r w:rsidR="00F21029" w:rsidRPr="00F21029">
        <w:rPr>
          <w:rFonts w:ascii="Arial" w:hAnsi="Arial" w:cs="Arial"/>
        </w:rPr>
        <w:t>.</w:t>
      </w:r>
      <w:r w:rsidR="0089478F">
        <w:rPr>
          <w:rFonts w:ascii="Arial" w:hAnsi="Arial" w:cs="Arial"/>
        </w:rPr>
        <w:t xml:space="preserve"> </w:t>
      </w:r>
      <w:r w:rsidR="00B8525D">
        <w:rPr>
          <w:rFonts w:ascii="Arial" w:hAnsi="Arial" w:cs="Arial"/>
        </w:rPr>
        <w:t>Behind this number</w:t>
      </w:r>
      <w:r w:rsidR="00C13035">
        <w:rPr>
          <w:rFonts w:ascii="Arial" w:hAnsi="Arial" w:cs="Arial"/>
        </w:rPr>
        <w:t xml:space="preserve"> </w:t>
      </w:r>
      <w:r w:rsidR="00B8525D">
        <w:rPr>
          <w:rFonts w:ascii="Arial" w:hAnsi="Arial" w:cs="Arial"/>
        </w:rPr>
        <w:t>is a lot of suffering</w:t>
      </w:r>
      <w:r w:rsidR="0008207E">
        <w:rPr>
          <w:rFonts w:ascii="Arial" w:hAnsi="Arial" w:cs="Arial"/>
        </w:rPr>
        <w:t xml:space="preserve"> by First Nations seeking to access </w:t>
      </w:r>
      <w:r w:rsidR="0008207E">
        <w:rPr>
          <w:rFonts w:ascii="Arial" w:hAnsi="Arial" w:cs="Arial"/>
        </w:rPr>
        <w:lastRenderedPageBreak/>
        <w:t xml:space="preserve">and exercise </w:t>
      </w:r>
      <w:r w:rsidR="0038475F">
        <w:rPr>
          <w:rFonts w:ascii="Arial" w:hAnsi="Arial" w:cs="Arial"/>
        </w:rPr>
        <w:t xml:space="preserve">their </w:t>
      </w:r>
      <w:r w:rsidR="0008207E">
        <w:rPr>
          <w:rFonts w:ascii="Arial" w:hAnsi="Arial" w:cs="Arial"/>
        </w:rPr>
        <w:t>rights</w:t>
      </w:r>
      <w:r w:rsidR="0038475F">
        <w:rPr>
          <w:rFonts w:ascii="Arial" w:hAnsi="Arial" w:cs="Arial"/>
        </w:rPr>
        <w:t xml:space="preserve"> as peoples</w:t>
      </w:r>
      <w:r w:rsidR="00C13035">
        <w:rPr>
          <w:rFonts w:ascii="Arial" w:hAnsi="Arial" w:cs="Arial"/>
        </w:rPr>
        <w:t>,</w:t>
      </w:r>
      <w:r w:rsidR="0038475F">
        <w:rPr>
          <w:rFonts w:ascii="Arial" w:hAnsi="Arial" w:cs="Arial"/>
        </w:rPr>
        <w:t xml:space="preserve"> as well as individual human rights</w:t>
      </w:r>
      <w:r w:rsidR="00B8525D">
        <w:rPr>
          <w:rFonts w:ascii="Arial" w:hAnsi="Arial" w:cs="Arial"/>
        </w:rPr>
        <w:t xml:space="preserve">. </w:t>
      </w:r>
      <w:r w:rsidR="00120A07">
        <w:rPr>
          <w:rFonts w:ascii="Arial" w:hAnsi="Arial" w:cs="Arial"/>
        </w:rPr>
        <w:t xml:space="preserve">The </w:t>
      </w:r>
      <w:r w:rsidR="00B93EB0">
        <w:rPr>
          <w:rFonts w:ascii="Arial" w:hAnsi="Arial" w:cs="Arial"/>
        </w:rPr>
        <w:t>escalating</w:t>
      </w:r>
      <w:r w:rsidR="001641C0">
        <w:rPr>
          <w:rFonts w:ascii="Arial" w:hAnsi="Arial" w:cs="Arial"/>
        </w:rPr>
        <w:t xml:space="preserve"> </w:t>
      </w:r>
      <w:r w:rsidR="00120A07">
        <w:rPr>
          <w:rFonts w:ascii="Arial" w:hAnsi="Arial" w:cs="Arial"/>
        </w:rPr>
        <w:t xml:space="preserve">trend </w:t>
      </w:r>
      <w:r w:rsidR="004A582C">
        <w:rPr>
          <w:rFonts w:ascii="Arial" w:hAnsi="Arial" w:cs="Arial"/>
        </w:rPr>
        <w:t xml:space="preserve">in </w:t>
      </w:r>
      <w:r w:rsidR="00B840A6">
        <w:rPr>
          <w:rFonts w:ascii="Arial" w:hAnsi="Arial" w:cs="Arial"/>
        </w:rPr>
        <w:t>federal contingent liability</w:t>
      </w:r>
      <w:r w:rsidR="004A582C">
        <w:rPr>
          <w:rFonts w:ascii="Arial" w:hAnsi="Arial" w:cs="Arial"/>
        </w:rPr>
        <w:t xml:space="preserve"> </w:t>
      </w:r>
      <w:r w:rsidR="00302848">
        <w:rPr>
          <w:rFonts w:ascii="Arial" w:hAnsi="Arial" w:cs="Arial"/>
        </w:rPr>
        <w:t>was</w:t>
      </w:r>
      <w:r w:rsidR="004A582C">
        <w:rPr>
          <w:rFonts w:ascii="Arial" w:hAnsi="Arial" w:cs="Arial"/>
        </w:rPr>
        <w:t xml:space="preserve"> noted by Canada’s </w:t>
      </w:r>
      <w:hyperlink r:id="rId26" w:anchor=":~:text=Supplementary%20Estimates%20(B)%2C%202023%2D24%20outlines%20an%20additional,a%20total%20of%20%243.9%20billion." w:history="1">
        <w:r w:rsidR="004A582C" w:rsidRPr="0055419B">
          <w:rPr>
            <w:rStyle w:val="Hyperlink"/>
            <w:rFonts w:ascii="Arial" w:hAnsi="Arial" w:cs="Arial"/>
          </w:rPr>
          <w:t>Parliamentary Budget Officer.</w:t>
        </w:r>
      </w:hyperlink>
      <w:r w:rsidR="00041468">
        <w:rPr>
          <w:rStyle w:val="Hyperlink"/>
          <w:rFonts w:ascii="Arial" w:hAnsi="Arial" w:cs="Arial"/>
        </w:rPr>
        <w:t xml:space="preserve"> </w:t>
      </w:r>
    </w:p>
    <w:p w14:paraId="7AEF0444" w14:textId="18E53719" w:rsidR="00C13035" w:rsidRDefault="00381656" w:rsidP="00C13035">
      <w:pPr>
        <w:rPr>
          <w:rFonts w:ascii="Arial" w:hAnsi="Arial" w:cs="Arial"/>
        </w:rPr>
      </w:pPr>
      <w:r>
        <w:rPr>
          <w:rFonts w:ascii="Arial" w:hAnsi="Arial" w:cs="Arial"/>
        </w:rPr>
        <w:t>Further</w:t>
      </w:r>
      <w:r w:rsidR="005724E4">
        <w:rPr>
          <w:rFonts w:ascii="Arial" w:hAnsi="Arial" w:cs="Arial"/>
        </w:rPr>
        <w:t xml:space="preserve">, </w:t>
      </w:r>
      <w:r w:rsidR="0055653A">
        <w:rPr>
          <w:rFonts w:ascii="Arial" w:hAnsi="Arial" w:cs="Arial"/>
        </w:rPr>
        <w:t xml:space="preserve">even </w:t>
      </w:r>
      <w:r w:rsidR="00CC1C58">
        <w:rPr>
          <w:rFonts w:ascii="Arial" w:hAnsi="Arial" w:cs="Arial"/>
        </w:rPr>
        <w:t>where</w:t>
      </w:r>
      <w:r w:rsidR="005724E4">
        <w:rPr>
          <w:rFonts w:ascii="Arial" w:hAnsi="Arial" w:cs="Arial"/>
        </w:rPr>
        <w:t xml:space="preserve"> </w:t>
      </w:r>
      <w:r w:rsidR="00DA2898">
        <w:rPr>
          <w:rFonts w:ascii="Arial" w:hAnsi="Arial" w:cs="Arial"/>
        </w:rPr>
        <w:t xml:space="preserve">a process for “co-development” </w:t>
      </w:r>
      <w:r>
        <w:rPr>
          <w:rFonts w:ascii="Arial" w:hAnsi="Arial" w:cs="Arial"/>
        </w:rPr>
        <w:t xml:space="preserve">of legislative or policy reform </w:t>
      </w:r>
      <w:r w:rsidR="00DA2898">
        <w:rPr>
          <w:rFonts w:ascii="Arial" w:hAnsi="Arial" w:cs="Arial"/>
        </w:rPr>
        <w:t xml:space="preserve">is </w:t>
      </w:r>
      <w:r w:rsidR="009B50AE">
        <w:rPr>
          <w:rFonts w:ascii="Arial" w:hAnsi="Arial" w:cs="Arial"/>
        </w:rPr>
        <w:t>launched</w:t>
      </w:r>
      <w:r w:rsidR="00CC1C58">
        <w:rPr>
          <w:rFonts w:ascii="Arial" w:hAnsi="Arial" w:cs="Arial"/>
        </w:rPr>
        <w:t>,</w:t>
      </w:r>
      <w:r w:rsidR="00DA2898">
        <w:rPr>
          <w:rFonts w:ascii="Arial" w:hAnsi="Arial" w:cs="Arial"/>
        </w:rPr>
        <w:t xml:space="preserve"> </w:t>
      </w:r>
      <w:r w:rsidR="005724E4">
        <w:rPr>
          <w:rFonts w:ascii="Arial" w:hAnsi="Arial" w:cs="Arial"/>
        </w:rPr>
        <w:t>significant</w:t>
      </w:r>
      <w:r w:rsidR="00DA2898">
        <w:rPr>
          <w:rFonts w:ascii="Arial" w:hAnsi="Arial" w:cs="Arial"/>
        </w:rPr>
        <w:t xml:space="preserve"> </w:t>
      </w:r>
      <w:r w:rsidR="00614441">
        <w:rPr>
          <w:rFonts w:ascii="Arial" w:hAnsi="Arial" w:cs="Arial"/>
        </w:rPr>
        <w:t xml:space="preserve">challenges </w:t>
      </w:r>
      <w:r w:rsidR="0038475F">
        <w:rPr>
          <w:rFonts w:ascii="Arial" w:hAnsi="Arial" w:cs="Arial"/>
        </w:rPr>
        <w:t xml:space="preserve">for First Nations rights holders </w:t>
      </w:r>
      <w:r w:rsidR="00C13035">
        <w:rPr>
          <w:rFonts w:ascii="Arial" w:hAnsi="Arial" w:cs="Arial"/>
        </w:rPr>
        <w:t>often</w:t>
      </w:r>
      <w:r w:rsidR="00102DDB">
        <w:rPr>
          <w:rFonts w:ascii="Arial" w:hAnsi="Arial" w:cs="Arial"/>
        </w:rPr>
        <w:t xml:space="preserve"> </w:t>
      </w:r>
      <w:r w:rsidR="0038475F">
        <w:rPr>
          <w:rFonts w:ascii="Arial" w:hAnsi="Arial" w:cs="Arial"/>
        </w:rPr>
        <w:t xml:space="preserve">arise </w:t>
      </w:r>
      <w:r w:rsidR="00BC0743">
        <w:rPr>
          <w:rFonts w:ascii="Arial" w:hAnsi="Arial" w:cs="Arial"/>
        </w:rPr>
        <w:t>in how</w:t>
      </w:r>
      <w:r w:rsidR="0038475F">
        <w:rPr>
          <w:rFonts w:ascii="Arial" w:hAnsi="Arial" w:cs="Arial"/>
        </w:rPr>
        <w:t xml:space="preserve"> </w:t>
      </w:r>
      <w:r w:rsidR="00FB24EE">
        <w:rPr>
          <w:rFonts w:ascii="Arial" w:hAnsi="Arial" w:cs="Arial"/>
        </w:rPr>
        <w:t>State</w:t>
      </w:r>
      <w:r w:rsidR="00BC0743">
        <w:rPr>
          <w:rFonts w:ascii="Arial" w:hAnsi="Arial" w:cs="Arial"/>
        </w:rPr>
        <w:t>s</w:t>
      </w:r>
      <w:r w:rsidR="00FB24EE">
        <w:rPr>
          <w:rFonts w:ascii="Arial" w:hAnsi="Arial" w:cs="Arial"/>
        </w:rPr>
        <w:t xml:space="preserve"> </w:t>
      </w:r>
      <w:r w:rsidR="00BC0743">
        <w:rPr>
          <w:rFonts w:ascii="Arial" w:hAnsi="Arial" w:cs="Arial"/>
        </w:rPr>
        <w:t xml:space="preserve">regard their </w:t>
      </w:r>
      <w:r w:rsidR="00FB24EE">
        <w:rPr>
          <w:rFonts w:ascii="Arial" w:hAnsi="Arial" w:cs="Arial"/>
        </w:rPr>
        <w:t>obligations to engage in</w:t>
      </w:r>
      <w:r w:rsidR="00D4632D">
        <w:rPr>
          <w:rFonts w:ascii="Arial" w:hAnsi="Arial" w:cs="Arial"/>
        </w:rPr>
        <w:t xml:space="preserve"> “consultation and cooperation” and </w:t>
      </w:r>
      <w:r w:rsidR="00FB24EE">
        <w:rPr>
          <w:rFonts w:ascii="Arial" w:hAnsi="Arial" w:cs="Arial"/>
        </w:rPr>
        <w:t>obtain</w:t>
      </w:r>
      <w:r w:rsidR="00D37012">
        <w:rPr>
          <w:rFonts w:ascii="Arial" w:hAnsi="Arial" w:cs="Arial"/>
        </w:rPr>
        <w:t xml:space="preserve"> (not merely “seek”) </w:t>
      </w:r>
      <w:r w:rsidR="00D4632D">
        <w:rPr>
          <w:rFonts w:ascii="Arial" w:hAnsi="Arial" w:cs="Arial"/>
        </w:rPr>
        <w:t>consent</w:t>
      </w:r>
      <w:r w:rsidR="00BC0743">
        <w:rPr>
          <w:rFonts w:ascii="Arial" w:hAnsi="Arial" w:cs="Arial"/>
        </w:rPr>
        <w:t xml:space="preserve"> (Articles 18 and 19)</w:t>
      </w:r>
      <w:r w:rsidR="00C13035">
        <w:rPr>
          <w:rFonts w:ascii="Arial" w:hAnsi="Arial" w:cs="Arial"/>
        </w:rPr>
        <w:t>, such as:</w:t>
      </w:r>
    </w:p>
    <w:p w14:paraId="634B86C8" w14:textId="75BF7840" w:rsidR="00614441" w:rsidRPr="00C13035" w:rsidRDefault="002144DC" w:rsidP="00C130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3035">
        <w:rPr>
          <w:rFonts w:ascii="Arial" w:hAnsi="Arial" w:cs="Arial"/>
        </w:rPr>
        <w:t xml:space="preserve">Failure </w:t>
      </w:r>
      <w:r w:rsidR="00E25613" w:rsidRPr="00C13035">
        <w:rPr>
          <w:rFonts w:ascii="Arial" w:hAnsi="Arial" w:cs="Arial"/>
        </w:rPr>
        <w:t>to design engagement and consultation process</w:t>
      </w:r>
      <w:r w:rsidRPr="00C13035">
        <w:rPr>
          <w:rFonts w:ascii="Arial" w:hAnsi="Arial" w:cs="Arial"/>
        </w:rPr>
        <w:t>es</w:t>
      </w:r>
      <w:r w:rsidR="00E25613" w:rsidRPr="00C13035">
        <w:rPr>
          <w:rFonts w:ascii="Arial" w:hAnsi="Arial" w:cs="Arial"/>
        </w:rPr>
        <w:t xml:space="preserve"> </w:t>
      </w:r>
      <w:r w:rsidR="00876419" w:rsidRPr="00C13035">
        <w:rPr>
          <w:rFonts w:ascii="Arial" w:hAnsi="Arial" w:cs="Arial"/>
        </w:rPr>
        <w:t xml:space="preserve">in ways that would </w:t>
      </w:r>
      <w:r w:rsidR="008B28CB" w:rsidRPr="00C13035">
        <w:rPr>
          <w:rFonts w:ascii="Arial" w:hAnsi="Arial" w:cs="Arial"/>
        </w:rPr>
        <w:t xml:space="preserve">effectively </w:t>
      </w:r>
      <w:r w:rsidR="00DB73B5" w:rsidRPr="00C13035">
        <w:rPr>
          <w:rFonts w:ascii="Arial" w:hAnsi="Arial" w:cs="Arial"/>
        </w:rPr>
        <w:t>ensur</w:t>
      </w:r>
      <w:r w:rsidR="00876419" w:rsidRPr="00C13035">
        <w:rPr>
          <w:rFonts w:ascii="Arial" w:hAnsi="Arial" w:cs="Arial"/>
        </w:rPr>
        <w:t>e</w:t>
      </w:r>
      <w:r w:rsidR="00DB73B5" w:rsidRPr="00C13035">
        <w:rPr>
          <w:rFonts w:ascii="Arial" w:hAnsi="Arial" w:cs="Arial"/>
        </w:rPr>
        <w:t xml:space="preserve"> </w:t>
      </w:r>
      <w:r w:rsidR="00E25613" w:rsidRPr="00C13035">
        <w:rPr>
          <w:rFonts w:ascii="Arial" w:hAnsi="Arial" w:cs="Arial"/>
        </w:rPr>
        <w:t xml:space="preserve">all rights-holders </w:t>
      </w:r>
      <w:r w:rsidR="00DB73B5" w:rsidRPr="00C13035">
        <w:rPr>
          <w:rFonts w:ascii="Arial" w:hAnsi="Arial" w:cs="Arial"/>
        </w:rPr>
        <w:t xml:space="preserve">can </w:t>
      </w:r>
      <w:r w:rsidR="008C3086" w:rsidRPr="00C13035">
        <w:rPr>
          <w:rFonts w:ascii="Arial" w:hAnsi="Arial" w:cs="Arial"/>
        </w:rPr>
        <w:t>have meaningful input</w:t>
      </w:r>
      <w:r w:rsidR="00DB73B5" w:rsidRPr="00C13035">
        <w:rPr>
          <w:rFonts w:ascii="Arial" w:hAnsi="Arial" w:cs="Arial"/>
        </w:rPr>
        <w:t>, receive information in a timely way</w:t>
      </w:r>
      <w:r w:rsidR="00C402A0">
        <w:rPr>
          <w:rFonts w:ascii="Arial" w:hAnsi="Arial" w:cs="Arial"/>
        </w:rPr>
        <w:t>,</w:t>
      </w:r>
      <w:r w:rsidR="00B33B95" w:rsidRPr="00C13035">
        <w:rPr>
          <w:rFonts w:ascii="Arial" w:hAnsi="Arial" w:cs="Arial"/>
        </w:rPr>
        <w:t xml:space="preserve"> and </w:t>
      </w:r>
      <w:r w:rsidR="00C13035">
        <w:rPr>
          <w:rFonts w:ascii="Arial" w:hAnsi="Arial" w:cs="Arial"/>
        </w:rPr>
        <w:t xml:space="preserve">can </w:t>
      </w:r>
      <w:r w:rsidR="00B33B95" w:rsidRPr="00C13035">
        <w:rPr>
          <w:rFonts w:ascii="Arial" w:hAnsi="Arial" w:cs="Arial"/>
        </w:rPr>
        <w:t>express consent or withhold conse</w:t>
      </w:r>
      <w:r w:rsidR="0031168E" w:rsidRPr="00C13035">
        <w:rPr>
          <w:rFonts w:ascii="Arial" w:hAnsi="Arial" w:cs="Arial"/>
        </w:rPr>
        <w:t>nt</w:t>
      </w:r>
      <w:r w:rsidR="00B33B95" w:rsidRPr="00C13035">
        <w:rPr>
          <w:rFonts w:ascii="Arial" w:hAnsi="Arial" w:cs="Arial"/>
        </w:rPr>
        <w:t xml:space="preserve"> to outcom</w:t>
      </w:r>
      <w:r w:rsidR="00F04110" w:rsidRPr="00C13035">
        <w:rPr>
          <w:rFonts w:ascii="Arial" w:hAnsi="Arial" w:cs="Arial"/>
        </w:rPr>
        <w:t>es;</w:t>
      </w:r>
    </w:p>
    <w:p w14:paraId="5EC30D2D" w14:textId="4B3B718E" w:rsidR="00CD33D2" w:rsidRDefault="00813E34" w:rsidP="00E25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Lack of</w:t>
      </w:r>
      <w:r w:rsidR="00171E3D">
        <w:rPr>
          <w:rFonts w:ascii="Arial" w:hAnsi="Arial" w:cs="Arial"/>
        </w:rPr>
        <w:t xml:space="preserve"> </w:t>
      </w:r>
      <w:r w:rsidR="00F947B7">
        <w:rPr>
          <w:rFonts w:ascii="Arial" w:hAnsi="Arial" w:cs="Arial"/>
        </w:rPr>
        <w:t xml:space="preserve">sufficient mandates from Cabinet </w:t>
      </w:r>
      <w:r w:rsidR="008E511B">
        <w:rPr>
          <w:rFonts w:ascii="Arial" w:hAnsi="Arial" w:cs="Arial"/>
        </w:rPr>
        <w:t>to ensure</w:t>
      </w:r>
      <w:r w:rsidR="00CD33D2">
        <w:rPr>
          <w:rFonts w:ascii="Arial" w:hAnsi="Arial" w:cs="Arial"/>
        </w:rPr>
        <w:t xml:space="preserve"> senior officials </w:t>
      </w:r>
      <w:r w:rsidR="007436A2">
        <w:rPr>
          <w:rFonts w:ascii="Arial" w:hAnsi="Arial" w:cs="Arial"/>
        </w:rPr>
        <w:t xml:space="preserve">have authority to </w:t>
      </w:r>
      <w:r w:rsidR="008E511B">
        <w:rPr>
          <w:rFonts w:ascii="Arial" w:hAnsi="Arial" w:cs="Arial"/>
        </w:rPr>
        <w:t>engage fully</w:t>
      </w:r>
      <w:r w:rsidR="0038475F">
        <w:rPr>
          <w:rFonts w:ascii="Arial" w:hAnsi="Arial" w:cs="Arial"/>
        </w:rPr>
        <w:t xml:space="preserve">, </w:t>
      </w:r>
      <w:r w:rsidR="008E511B">
        <w:rPr>
          <w:rFonts w:ascii="Arial" w:hAnsi="Arial" w:cs="Arial"/>
        </w:rPr>
        <w:t>substantively</w:t>
      </w:r>
      <w:r w:rsidR="0038475F">
        <w:rPr>
          <w:rFonts w:ascii="Arial" w:hAnsi="Arial" w:cs="Arial"/>
        </w:rPr>
        <w:t xml:space="preserve">, and cooperatively </w:t>
      </w:r>
      <w:r w:rsidR="008E511B">
        <w:rPr>
          <w:rFonts w:ascii="Arial" w:hAnsi="Arial" w:cs="Arial"/>
        </w:rPr>
        <w:t xml:space="preserve">with First Nations on </w:t>
      </w:r>
      <w:r w:rsidR="0038475F">
        <w:rPr>
          <w:rFonts w:ascii="Arial" w:hAnsi="Arial" w:cs="Arial"/>
        </w:rPr>
        <w:t xml:space="preserve">all aspects of </w:t>
      </w:r>
      <w:r w:rsidR="008E511B">
        <w:rPr>
          <w:rFonts w:ascii="Arial" w:hAnsi="Arial" w:cs="Arial"/>
        </w:rPr>
        <w:t xml:space="preserve">policy </w:t>
      </w:r>
      <w:r w:rsidR="00224BDF">
        <w:rPr>
          <w:rFonts w:ascii="Arial" w:hAnsi="Arial" w:cs="Arial"/>
        </w:rPr>
        <w:t>development</w:t>
      </w:r>
      <w:r w:rsidR="008E511B">
        <w:rPr>
          <w:rFonts w:ascii="Arial" w:hAnsi="Arial" w:cs="Arial"/>
        </w:rPr>
        <w:t xml:space="preserve"> and legislative drafting</w:t>
      </w:r>
      <w:r w:rsidR="00BB7267">
        <w:rPr>
          <w:rFonts w:ascii="Arial" w:hAnsi="Arial" w:cs="Arial"/>
        </w:rPr>
        <w:t>;</w:t>
      </w:r>
      <w:r w:rsidR="00CD33D2">
        <w:rPr>
          <w:rFonts w:ascii="Arial" w:hAnsi="Arial" w:cs="Arial"/>
        </w:rPr>
        <w:t xml:space="preserve"> </w:t>
      </w:r>
    </w:p>
    <w:p w14:paraId="7E0F7B94" w14:textId="17A20690" w:rsidR="00E25613" w:rsidRDefault="00131006" w:rsidP="00E25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Resistance </w:t>
      </w:r>
      <w:r w:rsidR="00F04110">
        <w:rPr>
          <w:rFonts w:ascii="Arial" w:hAnsi="Arial" w:cs="Arial"/>
        </w:rPr>
        <w:t>to First Nations’ proposals</w:t>
      </w:r>
      <w:r w:rsidR="00E25613">
        <w:rPr>
          <w:rFonts w:ascii="Arial" w:hAnsi="Arial" w:cs="Arial"/>
        </w:rPr>
        <w:t xml:space="preserve"> for consent-based mechanisms </w:t>
      </w:r>
      <w:r w:rsidR="00C619F4">
        <w:rPr>
          <w:rFonts w:ascii="Arial" w:hAnsi="Arial" w:cs="Arial"/>
        </w:rPr>
        <w:t xml:space="preserve">and redress mechanisms </w:t>
      </w:r>
      <w:r w:rsidR="00C67EE5">
        <w:rPr>
          <w:rFonts w:ascii="Arial" w:hAnsi="Arial" w:cs="Arial"/>
        </w:rPr>
        <w:t xml:space="preserve">to ensure compliance with </w:t>
      </w:r>
      <w:r w:rsidR="00D674C9">
        <w:rPr>
          <w:rFonts w:ascii="Arial" w:hAnsi="Arial" w:cs="Arial"/>
        </w:rPr>
        <w:t xml:space="preserve">the </w:t>
      </w:r>
      <w:r w:rsidR="00C402A0">
        <w:rPr>
          <w:rFonts w:ascii="Arial" w:hAnsi="Arial" w:cs="Arial"/>
        </w:rPr>
        <w:t xml:space="preserve">UN </w:t>
      </w:r>
      <w:r w:rsidR="00D674C9">
        <w:rPr>
          <w:rFonts w:ascii="Arial" w:hAnsi="Arial" w:cs="Arial"/>
        </w:rPr>
        <w:t>Declaration’s standards;</w:t>
      </w:r>
      <w:r w:rsidR="00C123E8">
        <w:rPr>
          <w:rFonts w:ascii="Arial" w:hAnsi="Arial" w:cs="Arial"/>
        </w:rPr>
        <w:t xml:space="preserve"> </w:t>
      </w:r>
    </w:p>
    <w:p w14:paraId="6A2B854D" w14:textId="2E18DD72" w:rsidR="00C123E8" w:rsidRDefault="008223B0" w:rsidP="00C619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Zero-sum negotiating mentalities </w:t>
      </w:r>
      <w:r w:rsidR="00746181">
        <w:rPr>
          <w:rFonts w:ascii="Arial" w:hAnsi="Arial" w:cs="Arial"/>
        </w:rPr>
        <w:t>respecting power and decision-making</w:t>
      </w:r>
      <w:r w:rsidR="001C3180">
        <w:rPr>
          <w:rFonts w:ascii="Arial" w:hAnsi="Arial" w:cs="Arial"/>
        </w:rPr>
        <w:t>;</w:t>
      </w:r>
    </w:p>
    <w:p w14:paraId="3BA45F80" w14:textId="17FD8A27" w:rsidR="00C13035" w:rsidRDefault="00224BDF" w:rsidP="0018363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4EE2">
        <w:rPr>
          <w:rFonts w:ascii="Arial" w:hAnsi="Arial" w:cs="Arial"/>
        </w:rPr>
        <w:t xml:space="preserve">ontinued reliance on </w:t>
      </w:r>
      <w:r>
        <w:rPr>
          <w:rFonts w:ascii="Arial" w:hAnsi="Arial" w:cs="Arial"/>
        </w:rPr>
        <w:t xml:space="preserve">colonial </w:t>
      </w:r>
      <w:r w:rsidR="001C7F6C">
        <w:rPr>
          <w:rFonts w:ascii="Arial" w:hAnsi="Arial" w:cs="Arial"/>
        </w:rPr>
        <w:t xml:space="preserve">assumptions embedded in the racist </w:t>
      </w:r>
      <w:r w:rsidR="00A22230">
        <w:rPr>
          <w:rFonts w:ascii="Arial" w:hAnsi="Arial" w:cs="Arial"/>
        </w:rPr>
        <w:t xml:space="preserve">legal doctrines such as the </w:t>
      </w:r>
      <w:r w:rsidR="00C84EE2">
        <w:rPr>
          <w:rFonts w:ascii="Arial" w:hAnsi="Arial" w:cs="Arial"/>
        </w:rPr>
        <w:t>Doctrine</w:t>
      </w:r>
      <w:r w:rsidR="00A22230">
        <w:rPr>
          <w:rFonts w:ascii="Arial" w:hAnsi="Arial" w:cs="Arial"/>
        </w:rPr>
        <w:t>s</w:t>
      </w:r>
      <w:r w:rsidR="00C84EE2">
        <w:rPr>
          <w:rFonts w:ascii="Arial" w:hAnsi="Arial" w:cs="Arial"/>
        </w:rPr>
        <w:t xml:space="preserve"> of Discovery</w:t>
      </w:r>
      <w:r w:rsidR="00A22230">
        <w:rPr>
          <w:rFonts w:ascii="Arial" w:hAnsi="Arial" w:cs="Arial"/>
        </w:rPr>
        <w:t xml:space="preserve"> and Terra Nulli</w:t>
      </w:r>
      <w:r w:rsidR="0018363E">
        <w:rPr>
          <w:rFonts w:ascii="Arial" w:hAnsi="Arial" w:cs="Arial"/>
        </w:rPr>
        <w:t>us</w:t>
      </w:r>
      <w:r w:rsidR="00C402A0">
        <w:rPr>
          <w:rFonts w:ascii="Arial" w:hAnsi="Arial" w:cs="Arial"/>
        </w:rPr>
        <w:t>,</w:t>
      </w:r>
      <w:r w:rsidR="00644CCE">
        <w:rPr>
          <w:rStyle w:val="FootnoteReference"/>
          <w:rFonts w:ascii="Arial" w:hAnsi="Arial" w:cs="Arial"/>
        </w:rPr>
        <w:footnoteReference w:id="5"/>
      </w:r>
      <w:r w:rsidR="00C84EE2">
        <w:rPr>
          <w:rFonts w:ascii="Arial" w:hAnsi="Arial" w:cs="Arial"/>
        </w:rPr>
        <w:t xml:space="preserve"> </w:t>
      </w:r>
      <w:r w:rsidR="0038475F">
        <w:rPr>
          <w:rFonts w:ascii="Arial" w:hAnsi="Arial" w:cs="Arial"/>
        </w:rPr>
        <w:t xml:space="preserve">which are </w:t>
      </w:r>
      <w:r w:rsidR="00C84EE2">
        <w:rPr>
          <w:rFonts w:ascii="Arial" w:hAnsi="Arial" w:cs="Arial"/>
        </w:rPr>
        <w:t xml:space="preserve">explicitly condemned in the </w:t>
      </w:r>
      <w:r w:rsidR="0058168C">
        <w:rPr>
          <w:rFonts w:ascii="Arial" w:hAnsi="Arial" w:cs="Arial"/>
        </w:rPr>
        <w:t xml:space="preserve">preamble of the </w:t>
      </w:r>
      <w:r w:rsidR="00C84EE2">
        <w:rPr>
          <w:rFonts w:ascii="Arial" w:hAnsi="Arial" w:cs="Arial"/>
        </w:rPr>
        <w:t xml:space="preserve">federal </w:t>
      </w:r>
      <w:r w:rsidR="00E818AE" w:rsidRPr="000F3D0A">
        <w:rPr>
          <w:rFonts w:ascii="Arial" w:hAnsi="Arial" w:cs="Arial"/>
          <w:i/>
          <w:iCs/>
        </w:rPr>
        <w:t>United Nations Declaration on the Rights of Indigenous Peoples Act</w:t>
      </w:r>
      <w:r w:rsidR="00C84EE2">
        <w:rPr>
          <w:rFonts w:ascii="Arial" w:hAnsi="Arial" w:cs="Arial"/>
        </w:rPr>
        <w:t>.</w:t>
      </w:r>
    </w:p>
    <w:p w14:paraId="5157FBE2" w14:textId="77777777" w:rsidR="0018363E" w:rsidRPr="0018363E" w:rsidRDefault="0018363E" w:rsidP="0018363E">
      <w:pPr>
        <w:spacing w:after="0"/>
        <w:rPr>
          <w:rFonts w:ascii="Arial" w:hAnsi="Arial" w:cs="Arial"/>
        </w:rPr>
      </w:pPr>
    </w:p>
    <w:p w14:paraId="2F808D26" w14:textId="297C60D9" w:rsidR="00CC1B68" w:rsidRPr="00CF3A6B" w:rsidRDefault="00C87CF8">
      <w:pPr>
        <w:rPr>
          <w:rFonts w:ascii="Arial" w:hAnsi="Arial" w:cs="Arial"/>
          <w:b/>
          <w:bCs/>
        </w:rPr>
      </w:pPr>
      <w:r w:rsidRPr="00CF3A6B">
        <w:rPr>
          <w:rFonts w:ascii="Arial" w:hAnsi="Arial" w:cs="Arial"/>
          <w:b/>
          <w:bCs/>
        </w:rPr>
        <w:t>Recommendations:</w:t>
      </w:r>
    </w:p>
    <w:p w14:paraId="5A08999D" w14:textId="77777777" w:rsidR="00C402A0" w:rsidRDefault="00C402A0" w:rsidP="00960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AFN recommends that: </w:t>
      </w:r>
    </w:p>
    <w:p w14:paraId="3DCD68F6" w14:textId="5850C993" w:rsidR="00AC3ADF" w:rsidRPr="00C402A0" w:rsidRDefault="00857685" w:rsidP="00C402A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402A0">
        <w:rPr>
          <w:rFonts w:ascii="Arial" w:hAnsi="Arial" w:cs="Arial"/>
        </w:rPr>
        <w:t xml:space="preserve">EMRIP and the broader UN system </w:t>
      </w:r>
      <w:r w:rsidR="002E33B9" w:rsidRPr="00C402A0">
        <w:rPr>
          <w:rFonts w:ascii="Arial" w:hAnsi="Arial" w:cs="Arial"/>
        </w:rPr>
        <w:t xml:space="preserve">continue </w:t>
      </w:r>
      <w:r w:rsidR="00F27E2E" w:rsidRPr="00C402A0">
        <w:rPr>
          <w:rFonts w:ascii="Arial" w:hAnsi="Arial" w:cs="Arial"/>
        </w:rPr>
        <w:t>examining Canada’s compliance</w:t>
      </w:r>
      <w:r w:rsidR="00082705" w:rsidRPr="00C402A0">
        <w:rPr>
          <w:rFonts w:ascii="Arial" w:hAnsi="Arial" w:cs="Arial"/>
        </w:rPr>
        <w:t xml:space="preserve"> (at all levels of government)</w:t>
      </w:r>
      <w:r w:rsidR="00F27E2E" w:rsidRPr="00C402A0">
        <w:rPr>
          <w:rFonts w:ascii="Arial" w:hAnsi="Arial" w:cs="Arial"/>
        </w:rPr>
        <w:t xml:space="preserve"> with the </w:t>
      </w:r>
      <w:r w:rsidR="00C13035" w:rsidRPr="00C402A0">
        <w:rPr>
          <w:rFonts w:ascii="Arial" w:hAnsi="Arial" w:cs="Arial"/>
        </w:rPr>
        <w:t>rights and</w:t>
      </w:r>
      <w:r w:rsidR="00F27E2E" w:rsidRPr="00C402A0">
        <w:rPr>
          <w:rFonts w:ascii="Arial" w:hAnsi="Arial" w:cs="Arial"/>
        </w:rPr>
        <w:t xml:space="preserve"> standards </w:t>
      </w:r>
      <w:r w:rsidR="00C13035" w:rsidRPr="00C402A0">
        <w:rPr>
          <w:rFonts w:ascii="Arial" w:hAnsi="Arial" w:cs="Arial"/>
        </w:rPr>
        <w:t>in</w:t>
      </w:r>
      <w:r w:rsidR="00F27E2E" w:rsidRPr="00C402A0">
        <w:rPr>
          <w:rFonts w:ascii="Arial" w:hAnsi="Arial" w:cs="Arial"/>
        </w:rPr>
        <w:t xml:space="preserve"> the </w:t>
      </w:r>
      <w:r w:rsidR="00C402A0">
        <w:rPr>
          <w:rFonts w:ascii="Arial" w:hAnsi="Arial" w:cs="Arial"/>
        </w:rPr>
        <w:t xml:space="preserve">UN </w:t>
      </w:r>
      <w:r w:rsidR="00F27E2E" w:rsidRPr="00C402A0">
        <w:rPr>
          <w:rFonts w:ascii="Arial" w:hAnsi="Arial" w:cs="Arial"/>
        </w:rPr>
        <w:t>Declaration</w:t>
      </w:r>
      <w:r w:rsidR="00810AD7" w:rsidRPr="00C402A0">
        <w:rPr>
          <w:rFonts w:ascii="Arial" w:hAnsi="Arial" w:cs="Arial"/>
        </w:rPr>
        <w:t>; and</w:t>
      </w:r>
      <w:r w:rsidR="00C13035" w:rsidRPr="00C402A0">
        <w:rPr>
          <w:rFonts w:ascii="Arial" w:hAnsi="Arial" w:cs="Arial"/>
        </w:rPr>
        <w:t xml:space="preserve"> continue urging Canada to f</w:t>
      </w:r>
      <w:r w:rsidR="0038475F" w:rsidRPr="00C402A0">
        <w:rPr>
          <w:rFonts w:ascii="Arial" w:hAnsi="Arial" w:cs="Arial"/>
        </w:rPr>
        <w:t xml:space="preserve">ully </w:t>
      </w:r>
      <w:r w:rsidR="00983028" w:rsidRPr="00C402A0">
        <w:rPr>
          <w:rFonts w:ascii="Arial" w:hAnsi="Arial" w:cs="Arial"/>
        </w:rPr>
        <w:t xml:space="preserve">implement </w:t>
      </w:r>
      <w:r w:rsidR="00101175" w:rsidRPr="00C402A0">
        <w:rPr>
          <w:rFonts w:ascii="Arial" w:hAnsi="Arial" w:cs="Arial"/>
        </w:rPr>
        <w:t>all Calls to Action of t</w:t>
      </w:r>
      <w:r w:rsidR="005A3202" w:rsidRPr="00C402A0">
        <w:rPr>
          <w:rFonts w:ascii="Arial" w:hAnsi="Arial" w:cs="Arial"/>
        </w:rPr>
        <w:t xml:space="preserve">he Truth and Reconciliation Commission of Canada and the </w:t>
      </w:r>
      <w:r w:rsidR="00101175" w:rsidRPr="00C402A0">
        <w:rPr>
          <w:rFonts w:ascii="Arial" w:hAnsi="Arial" w:cs="Arial"/>
        </w:rPr>
        <w:t xml:space="preserve">Calls to Justice of the </w:t>
      </w:r>
      <w:r w:rsidR="005A3202" w:rsidRPr="00C402A0">
        <w:rPr>
          <w:rFonts w:ascii="Arial" w:hAnsi="Arial" w:cs="Arial"/>
        </w:rPr>
        <w:t>National Inquiry into Missing and Murdered Indigenous Women and Girls.</w:t>
      </w:r>
      <w:r w:rsidR="00470A38" w:rsidRPr="00C402A0">
        <w:rPr>
          <w:rFonts w:ascii="Arial" w:hAnsi="Arial" w:cs="Arial"/>
        </w:rPr>
        <w:t xml:space="preserve"> </w:t>
      </w:r>
    </w:p>
    <w:p w14:paraId="68E6F8C6" w14:textId="773084C6" w:rsidR="00C13035" w:rsidRPr="00C402A0" w:rsidRDefault="00F07456" w:rsidP="00C402A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402A0">
        <w:rPr>
          <w:rFonts w:ascii="Arial" w:hAnsi="Arial" w:cs="Arial"/>
        </w:rPr>
        <w:t xml:space="preserve"> EMRIP</w:t>
      </w:r>
      <w:r w:rsidR="00E55D3B" w:rsidRPr="00C402A0">
        <w:rPr>
          <w:rFonts w:ascii="Arial" w:hAnsi="Arial" w:cs="Arial"/>
        </w:rPr>
        <w:t xml:space="preserve"> </w:t>
      </w:r>
      <w:r w:rsidR="00960BA4" w:rsidRPr="00C402A0">
        <w:rPr>
          <w:rFonts w:ascii="Arial" w:hAnsi="Arial" w:cs="Arial"/>
        </w:rPr>
        <w:t>recommend</w:t>
      </w:r>
      <w:r w:rsidR="00E55D3B" w:rsidRPr="00C402A0">
        <w:rPr>
          <w:rFonts w:ascii="Arial" w:hAnsi="Arial" w:cs="Arial"/>
        </w:rPr>
        <w:t xml:space="preserve"> </w:t>
      </w:r>
      <w:r w:rsidR="00FB205B" w:rsidRPr="00C402A0">
        <w:rPr>
          <w:rFonts w:ascii="Arial" w:hAnsi="Arial" w:cs="Arial"/>
        </w:rPr>
        <w:t xml:space="preserve">that </w:t>
      </w:r>
      <w:r w:rsidR="005130BD" w:rsidRPr="00C402A0">
        <w:rPr>
          <w:rFonts w:ascii="Arial" w:hAnsi="Arial" w:cs="Arial"/>
        </w:rPr>
        <w:t xml:space="preserve">when requested by Indigenous </w:t>
      </w:r>
      <w:r w:rsidR="00C402A0">
        <w:rPr>
          <w:rFonts w:ascii="Arial" w:hAnsi="Arial" w:cs="Arial"/>
        </w:rPr>
        <w:t>P</w:t>
      </w:r>
      <w:r w:rsidR="005130BD" w:rsidRPr="00C402A0">
        <w:rPr>
          <w:rFonts w:ascii="Arial" w:hAnsi="Arial" w:cs="Arial"/>
        </w:rPr>
        <w:t>eoples,</w:t>
      </w:r>
      <w:r w:rsidR="00E55D3B" w:rsidRPr="00C402A0">
        <w:rPr>
          <w:rFonts w:ascii="Arial" w:hAnsi="Arial" w:cs="Arial"/>
        </w:rPr>
        <w:t xml:space="preserve"> </w:t>
      </w:r>
      <w:r w:rsidR="00FB205B" w:rsidRPr="00C402A0">
        <w:rPr>
          <w:rFonts w:ascii="Arial" w:hAnsi="Arial" w:cs="Arial"/>
        </w:rPr>
        <w:t xml:space="preserve">States </w:t>
      </w:r>
      <w:r w:rsidR="003E317F" w:rsidRPr="00C402A0">
        <w:rPr>
          <w:rFonts w:ascii="Arial" w:hAnsi="Arial" w:cs="Arial"/>
        </w:rPr>
        <w:t>establish joint</w:t>
      </w:r>
      <w:r w:rsidR="0038475F" w:rsidRPr="00C402A0">
        <w:rPr>
          <w:rFonts w:ascii="Arial" w:hAnsi="Arial" w:cs="Arial"/>
        </w:rPr>
        <w:t xml:space="preserve">ly designed </w:t>
      </w:r>
      <w:r w:rsidR="003E317F" w:rsidRPr="00C402A0">
        <w:rPr>
          <w:rFonts w:ascii="Arial" w:hAnsi="Arial" w:cs="Arial"/>
        </w:rPr>
        <w:t>review processes</w:t>
      </w:r>
      <w:r w:rsidR="00A441C2" w:rsidRPr="00C402A0">
        <w:rPr>
          <w:rFonts w:ascii="Arial" w:hAnsi="Arial" w:cs="Arial"/>
        </w:rPr>
        <w:t xml:space="preserve"> with Indigenous </w:t>
      </w:r>
      <w:r w:rsidR="003841E6">
        <w:rPr>
          <w:rFonts w:ascii="Arial" w:hAnsi="Arial" w:cs="Arial"/>
        </w:rPr>
        <w:t>P</w:t>
      </w:r>
      <w:r w:rsidR="00A441C2" w:rsidRPr="00C402A0">
        <w:rPr>
          <w:rFonts w:ascii="Arial" w:hAnsi="Arial" w:cs="Arial"/>
        </w:rPr>
        <w:t>eoples</w:t>
      </w:r>
      <w:r w:rsidR="003E317F" w:rsidRPr="00C402A0">
        <w:rPr>
          <w:rFonts w:ascii="Arial" w:hAnsi="Arial" w:cs="Arial"/>
        </w:rPr>
        <w:t xml:space="preserve"> to </w:t>
      </w:r>
      <w:r w:rsidR="00FA6061" w:rsidRPr="00C402A0">
        <w:rPr>
          <w:rFonts w:ascii="Arial" w:hAnsi="Arial" w:cs="Arial"/>
        </w:rPr>
        <w:t xml:space="preserve">re-examine </w:t>
      </w:r>
      <w:r w:rsidR="005130BD" w:rsidRPr="00C402A0">
        <w:rPr>
          <w:rFonts w:ascii="Arial" w:hAnsi="Arial" w:cs="Arial"/>
        </w:rPr>
        <w:t>law</w:t>
      </w:r>
      <w:r w:rsidR="00FA6061" w:rsidRPr="00C402A0">
        <w:rPr>
          <w:rFonts w:ascii="Arial" w:hAnsi="Arial" w:cs="Arial"/>
        </w:rPr>
        <w:t xml:space="preserve"> and policy </w:t>
      </w:r>
      <w:r w:rsidR="00761BBE" w:rsidRPr="00C402A0">
        <w:rPr>
          <w:rFonts w:ascii="Arial" w:hAnsi="Arial" w:cs="Arial"/>
        </w:rPr>
        <w:t>for the purpose of</w:t>
      </w:r>
      <w:r w:rsidR="005130BD" w:rsidRPr="00C402A0">
        <w:rPr>
          <w:rFonts w:ascii="Arial" w:hAnsi="Arial" w:cs="Arial"/>
        </w:rPr>
        <w:t xml:space="preserve"> root</w:t>
      </w:r>
      <w:r w:rsidR="001F3C8F" w:rsidRPr="00C402A0">
        <w:rPr>
          <w:rFonts w:ascii="Arial" w:hAnsi="Arial" w:cs="Arial"/>
        </w:rPr>
        <w:t>ing</w:t>
      </w:r>
      <w:r w:rsidR="005130BD" w:rsidRPr="00C402A0">
        <w:rPr>
          <w:rFonts w:ascii="Arial" w:hAnsi="Arial" w:cs="Arial"/>
        </w:rPr>
        <w:t xml:space="preserve"> </w:t>
      </w:r>
      <w:r w:rsidR="00D33F71" w:rsidRPr="00C402A0">
        <w:rPr>
          <w:rFonts w:ascii="Arial" w:hAnsi="Arial" w:cs="Arial"/>
        </w:rPr>
        <w:t>out</w:t>
      </w:r>
      <w:r w:rsidR="005130BD" w:rsidRPr="00C402A0">
        <w:rPr>
          <w:rFonts w:ascii="Arial" w:hAnsi="Arial" w:cs="Arial"/>
        </w:rPr>
        <w:t xml:space="preserve"> </w:t>
      </w:r>
      <w:r w:rsidR="008F5656" w:rsidRPr="00C402A0">
        <w:rPr>
          <w:rFonts w:ascii="Arial" w:hAnsi="Arial" w:cs="Arial"/>
        </w:rPr>
        <w:t>remaining elements</w:t>
      </w:r>
      <w:r w:rsidR="001F3C8F" w:rsidRPr="00C402A0">
        <w:rPr>
          <w:rFonts w:ascii="Arial" w:hAnsi="Arial" w:cs="Arial"/>
        </w:rPr>
        <w:t xml:space="preserve">, </w:t>
      </w:r>
      <w:r w:rsidR="008F5656" w:rsidRPr="00C402A0">
        <w:rPr>
          <w:rFonts w:ascii="Arial" w:hAnsi="Arial" w:cs="Arial"/>
        </w:rPr>
        <w:t>impacts</w:t>
      </w:r>
      <w:r w:rsidR="00C402A0">
        <w:rPr>
          <w:rFonts w:ascii="Arial" w:hAnsi="Arial" w:cs="Arial"/>
        </w:rPr>
        <w:t>,</w:t>
      </w:r>
      <w:r w:rsidR="008F5656" w:rsidRPr="00C402A0">
        <w:rPr>
          <w:rFonts w:ascii="Arial" w:hAnsi="Arial" w:cs="Arial"/>
        </w:rPr>
        <w:t xml:space="preserve"> </w:t>
      </w:r>
      <w:r w:rsidR="001F3C8F" w:rsidRPr="00C402A0">
        <w:rPr>
          <w:rFonts w:ascii="Arial" w:hAnsi="Arial" w:cs="Arial"/>
        </w:rPr>
        <w:t xml:space="preserve">and influences </w:t>
      </w:r>
      <w:r w:rsidR="008F5656" w:rsidRPr="00C402A0">
        <w:rPr>
          <w:rFonts w:ascii="Arial" w:hAnsi="Arial" w:cs="Arial"/>
        </w:rPr>
        <w:t xml:space="preserve">of </w:t>
      </w:r>
      <w:r w:rsidR="00D33F71" w:rsidRPr="00C402A0">
        <w:rPr>
          <w:rFonts w:ascii="Arial" w:hAnsi="Arial" w:cs="Arial"/>
        </w:rPr>
        <w:t>racist legal</w:t>
      </w:r>
      <w:r w:rsidR="008F5656" w:rsidRPr="00C402A0">
        <w:rPr>
          <w:rFonts w:ascii="Arial" w:hAnsi="Arial" w:cs="Arial"/>
        </w:rPr>
        <w:t xml:space="preserve"> doctrines</w:t>
      </w:r>
      <w:r w:rsidR="001F3C8F" w:rsidRPr="00C402A0">
        <w:rPr>
          <w:rFonts w:ascii="Arial" w:hAnsi="Arial" w:cs="Arial"/>
        </w:rPr>
        <w:t xml:space="preserve">, </w:t>
      </w:r>
      <w:r w:rsidR="00D33F71" w:rsidRPr="00C402A0">
        <w:rPr>
          <w:rFonts w:ascii="Arial" w:hAnsi="Arial" w:cs="Arial"/>
        </w:rPr>
        <w:t>such as the Doctrines of Discovery and Terra Nullius</w:t>
      </w:r>
      <w:r w:rsidR="00A441C2" w:rsidRPr="00C402A0">
        <w:rPr>
          <w:rFonts w:ascii="Arial" w:hAnsi="Arial" w:cs="Arial"/>
        </w:rPr>
        <w:t>.</w:t>
      </w:r>
    </w:p>
    <w:sectPr w:rsidR="00C13035" w:rsidRPr="00C402A0">
      <w:footerReference w:type="even" r:id="rId27"/>
      <w:foot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35A6" w14:textId="77777777" w:rsidR="003D10E1" w:rsidRDefault="003D10E1" w:rsidP="003918BE">
      <w:pPr>
        <w:spacing w:after="0" w:line="240" w:lineRule="auto"/>
      </w:pPr>
      <w:r>
        <w:separator/>
      </w:r>
    </w:p>
  </w:endnote>
  <w:endnote w:type="continuationSeparator" w:id="0">
    <w:p w14:paraId="221A5319" w14:textId="77777777" w:rsidR="003D10E1" w:rsidRDefault="003D10E1" w:rsidP="0039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948973"/>
      <w:docPartObj>
        <w:docPartGallery w:val="Page Numbers (Bottom of Page)"/>
        <w:docPartUnique/>
      </w:docPartObj>
    </w:sdtPr>
    <w:sdtContent>
      <w:p w14:paraId="14CBC7C0" w14:textId="61E3E146" w:rsidR="001513E2" w:rsidRDefault="001513E2" w:rsidP="001516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169A4D" w14:textId="77777777" w:rsidR="001513E2" w:rsidRDefault="00151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891439"/>
      <w:docPartObj>
        <w:docPartGallery w:val="Page Numbers (Bottom of Page)"/>
        <w:docPartUnique/>
      </w:docPartObj>
    </w:sdtPr>
    <w:sdtContent>
      <w:p w14:paraId="264D7F4E" w14:textId="7D3C8BA4" w:rsidR="001513E2" w:rsidRDefault="001513E2" w:rsidP="001516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197380" w14:textId="77777777" w:rsidR="001513E2" w:rsidRDefault="0015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55DC" w14:textId="77777777" w:rsidR="003D10E1" w:rsidRDefault="003D10E1" w:rsidP="003918BE">
      <w:pPr>
        <w:spacing w:after="0" w:line="240" w:lineRule="auto"/>
      </w:pPr>
      <w:r>
        <w:separator/>
      </w:r>
    </w:p>
  </w:footnote>
  <w:footnote w:type="continuationSeparator" w:id="0">
    <w:p w14:paraId="14241D3C" w14:textId="77777777" w:rsidR="003D10E1" w:rsidRDefault="003D10E1" w:rsidP="003918BE">
      <w:pPr>
        <w:spacing w:after="0" w:line="240" w:lineRule="auto"/>
      </w:pPr>
      <w:r>
        <w:continuationSeparator/>
      </w:r>
    </w:p>
  </w:footnote>
  <w:footnote w:id="1">
    <w:p w14:paraId="435C50AB" w14:textId="6EBCAF38" w:rsidR="003918BE" w:rsidRDefault="003918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73A05" w:rsidRPr="00273A05">
        <w:t xml:space="preserve">Article 38 </w:t>
      </w:r>
      <w:r w:rsidR="00273A05">
        <w:t>provides</w:t>
      </w:r>
      <w:r w:rsidR="00273A05" w:rsidRPr="00273A05">
        <w:t xml:space="preserve"> “</w:t>
      </w:r>
      <w:r w:rsidR="00273A05">
        <w:t>S</w:t>
      </w:r>
      <w:r w:rsidR="00273A05" w:rsidRPr="00273A05">
        <w:t>tates, in consultation and cooperation with indigenous peoples, shall take the appropriate measures, including legislative measures, to achieve the ends of the Declaration.”</w:t>
      </w:r>
    </w:p>
  </w:footnote>
  <w:footnote w:id="2">
    <w:p w14:paraId="04D117C5" w14:textId="01FE507A" w:rsidR="00255F0E" w:rsidRDefault="00255F0E">
      <w:pPr>
        <w:pStyle w:val="FootnoteText"/>
      </w:pPr>
      <w:r w:rsidRPr="00D12D40">
        <w:rPr>
          <w:rStyle w:val="FootnoteReference"/>
        </w:rPr>
        <w:footnoteRef/>
      </w:r>
      <w:r w:rsidRPr="00D12D40">
        <w:t xml:space="preserve"> </w:t>
      </w:r>
      <w:r w:rsidR="00044F7C" w:rsidRPr="00D12D40">
        <w:t xml:space="preserve">A </w:t>
      </w:r>
      <w:r w:rsidRPr="00D12D40">
        <w:t xml:space="preserve">detailed list of examples can be provided </w:t>
      </w:r>
      <w:r w:rsidR="00852A9D">
        <w:t>to EMRIP</w:t>
      </w:r>
      <w:r w:rsidR="00A4648D">
        <w:t xml:space="preserve">, </w:t>
      </w:r>
      <w:r w:rsidRPr="00D12D40">
        <w:t>upon requ</w:t>
      </w:r>
      <w:r w:rsidR="00A4648D">
        <w:t>est, as space here does not allow</w:t>
      </w:r>
      <w:r w:rsidRPr="00D12D40">
        <w:t>.</w:t>
      </w:r>
      <w:r>
        <w:t xml:space="preserve"> </w:t>
      </w:r>
    </w:p>
  </w:footnote>
  <w:footnote w:id="3">
    <w:p w14:paraId="36B64538" w14:textId="1650FD73" w:rsidR="00E8717C" w:rsidRDefault="00E871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A0DDC">
        <w:rPr>
          <w:i/>
          <w:iCs/>
          <w:lang w:val="en-US"/>
        </w:rPr>
        <w:t>United Nations Declaration on the Rights of Indigenous Peoples Act</w:t>
      </w:r>
      <w:r w:rsidR="00EA0DDC">
        <w:rPr>
          <w:lang w:val="en-US"/>
        </w:rPr>
        <w:t xml:space="preserve">, </w:t>
      </w:r>
      <w:hyperlink r:id="rId1" w:history="1">
        <w:r w:rsidR="00EA0DDC" w:rsidRPr="0054190B">
          <w:rPr>
            <w:rStyle w:val="Hyperlink"/>
            <w:lang w:val="en-US"/>
          </w:rPr>
          <w:t>SC 2021, c 14</w:t>
        </w:r>
      </w:hyperlink>
      <w:r w:rsidR="00EA0DDC">
        <w:rPr>
          <w:rStyle w:val="Hyperlink"/>
          <w:lang w:val="en-US"/>
        </w:rPr>
        <w:t xml:space="preserve"> .</w:t>
      </w:r>
    </w:p>
  </w:footnote>
  <w:footnote w:id="4">
    <w:p w14:paraId="6B86773A" w14:textId="55599EF7" w:rsidR="00124491" w:rsidRDefault="001244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"/>
          <w:rFonts w:ascii="Calibri" w:hAnsi="Calibri" w:cs="Calibri"/>
          <w:i/>
          <w:iCs/>
        </w:rPr>
        <w:t>First Nations Child and Family Caring Society of Canada et al v Attorney General of Canada (for the Minister of Northern Affairs Canada)</w:t>
      </w:r>
      <w:r>
        <w:rPr>
          <w:rStyle w:val="normaltextrun"/>
          <w:rFonts w:ascii="Calibri" w:hAnsi="Calibri" w:cs="Calibri"/>
        </w:rPr>
        <w:t>,</w:t>
      </w:r>
      <w:r>
        <w:rPr>
          <w:rStyle w:val="apple-converted-space"/>
          <w:rFonts w:ascii="Calibri" w:hAnsi="Calibri" w:cs="Calibri"/>
        </w:rPr>
        <w:t> </w:t>
      </w:r>
      <w:hyperlink r:id="rId2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2016 CHRT 2</w:t>
        </w:r>
      </w:hyperlink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(26 January 2016)</w:t>
      </w:r>
      <w:r>
        <w:rPr>
          <w:rStyle w:val="apple-converted-space"/>
          <w:rFonts w:ascii="Calibri" w:hAnsi="Calibri" w:cs="Calibri"/>
        </w:rPr>
        <w:t>.</w:t>
      </w:r>
    </w:p>
  </w:footnote>
  <w:footnote w:id="5">
    <w:p w14:paraId="14B40E8E" w14:textId="7B4EAA76" w:rsidR="00644CCE" w:rsidRDefault="00644C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0853" w:rsidRPr="00E20853">
        <w:t>Borrows, J. (2015). The durability of terra nullius: Tsilhqot'in Nation v. British Columbia. </w:t>
      </w:r>
      <w:r w:rsidR="00E20853" w:rsidRPr="00E20853">
        <w:rPr>
          <w:i/>
          <w:iCs/>
        </w:rPr>
        <w:t>UBCL Rev.</w:t>
      </w:r>
      <w:r w:rsidR="00E20853" w:rsidRPr="00E20853">
        <w:t>, </w:t>
      </w:r>
      <w:r w:rsidR="00E20853" w:rsidRPr="00E20853">
        <w:rPr>
          <w:i/>
          <w:iCs/>
        </w:rPr>
        <w:t>48</w:t>
      </w:r>
      <w:r w:rsidR="00E20853" w:rsidRPr="00E20853">
        <w:t>, 701.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85A"/>
    <w:multiLevelType w:val="hybridMultilevel"/>
    <w:tmpl w:val="265E3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822"/>
    <w:multiLevelType w:val="hybridMultilevel"/>
    <w:tmpl w:val="2BA6D2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A8E4EE3"/>
    <w:multiLevelType w:val="hybridMultilevel"/>
    <w:tmpl w:val="4446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7ABB"/>
    <w:multiLevelType w:val="hybridMultilevel"/>
    <w:tmpl w:val="5BD8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F649D"/>
    <w:multiLevelType w:val="hybridMultilevel"/>
    <w:tmpl w:val="682A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4216">
    <w:abstractNumId w:val="4"/>
  </w:num>
  <w:num w:numId="2" w16cid:durableId="554045621">
    <w:abstractNumId w:val="2"/>
  </w:num>
  <w:num w:numId="3" w16cid:durableId="78602981">
    <w:abstractNumId w:val="3"/>
  </w:num>
  <w:num w:numId="4" w16cid:durableId="57747682">
    <w:abstractNumId w:val="1"/>
  </w:num>
  <w:num w:numId="5" w16cid:durableId="13024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4"/>
    <w:rsid w:val="00003266"/>
    <w:rsid w:val="0000361F"/>
    <w:rsid w:val="00003B80"/>
    <w:rsid w:val="000067E3"/>
    <w:rsid w:val="00007204"/>
    <w:rsid w:val="00015A92"/>
    <w:rsid w:val="00020F26"/>
    <w:rsid w:val="0002157C"/>
    <w:rsid w:val="0002163B"/>
    <w:rsid w:val="00024143"/>
    <w:rsid w:val="0003245E"/>
    <w:rsid w:val="0003480E"/>
    <w:rsid w:val="00037916"/>
    <w:rsid w:val="00041208"/>
    <w:rsid w:val="00041468"/>
    <w:rsid w:val="00043C08"/>
    <w:rsid w:val="00044DD7"/>
    <w:rsid w:val="00044F7C"/>
    <w:rsid w:val="00045D48"/>
    <w:rsid w:val="000464B6"/>
    <w:rsid w:val="000523D8"/>
    <w:rsid w:val="00056CD2"/>
    <w:rsid w:val="0006195B"/>
    <w:rsid w:val="00061B67"/>
    <w:rsid w:val="0006235C"/>
    <w:rsid w:val="00062ACF"/>
    <w:rsid w:val="00063891"/>
    <w:rsid w:val="000646A9"/>
    <w:rsid w:val="000657D7"/>
    <w:rsid w:val="00066429"/>
    <w:rsid w:val="000731D7"/>
    <w:rsid w:val="00074DE1"/>
    <w:rsid w:val="00076281"/>
    <w:rsid w:val="000766A7"/>
    <w:rsid w:val="00076B60"/>
    <w:rsid w:val="00077C66"/>
    <w:rsid w:val="00077CCF"/>
    <w:rsid w:val="0008207E"/>
    <w:rsid w:val="0008240D"/>
    <w:rsid w:val="00082705"/>
    <w:rsid w:val="00083118"/>
    <w:rsid w:val="00092CAF"/>
    <w:rsid w:val="00093BE3"/>
    <w:rsid w:val="00093F39"/>
    <w:rsid w:val="000958EA"/>
    <w:rsid w:val="000A1308"/>
    <w:rsid w:val="000B1298"/>
    <w:rsid w:val="000B1544"/>
    <w:rsid w:val="000B47F7"/>
    <w:rsid w:val="000C1A4B"/>
    <w:rsid w:val="000C27E4"/>
    <w:rsid w:val="000C2AC8"/>
    <w:rsid w:val="000C44AD"/>
    <w:rsid w:val="000C4501"/>
    <w:rsid w:val="000C4CD1"/>
    <w:rsid w:val="000C7223"/>
    <w:rsid w:val="000D1445"/>
    <w:rsid w:val="000D1F6C"/>
    <w:rsid w:val="000D598C"/>
    <w:rsid w:val="000D5A96"/>
    <w:rsid w:val="000D6E7A"/>
    <w:rsid w:val="000E01D1"/>
    <w:rsid w:val="000E0E68"/>
    <w:rsid w:val="000E6B07"/>
    <w:rsid w:val="000F0445"/>
    <w:rsid w:val="000F1486"/>
    <w:rsid w:val="000F204C"/>
    <w:rsid w:val="000F3104"/>
    <w:rsid w:val="000F3D0A"/>
    <w:rsid w:val="000F4594"/>
    <w:rsid w:val="000F45EE"/>
    <w:rsid w:val="000F4DA2"/>
    <w:rsid w:val="000F57FA"/>
    <w:rsid w:val="000F660C"/>
    <w:rsid w:val="000F68B3"/>
    <w:rsid w:val="000F7975"/>
    <w:rsid w:val="00101175"/>
    <w:rsid w:val="00102DDB"/>
    <w:rsid w:val="0011019C"/>
    <w:rsid w:val="00110DF1"/>
    <w:rsid w:val="001118A5"/>
    <w:rsid w:val="00113303"/>
    <w:rsid w:val="00113CE1"/>
    <w:rsid w:val="001141E2"/>
    <w:rsid w:val="00117C45"/>
    <w:rsid w:val="00117E81"/>
    <w:rsid w:val="00120A07"/>
    <w:rsid w:val="00121ACF"/>
    <w:rsid w:val="00123A35"/>
    <w:rsid w:val="00124491"/>
    <w:rsid w:val="00124623"/>
    <w:rsid w:val="0012467C"/>
    <w:rsid w:val="00124F1F"/>
    <w:rsid w:val="00131006"/>
    <w:rsid w:val="00132163"/>
    <w:rsid w:val="00140D9B"/>
    <w:rsid w:val="001415FB"/>
    <w:rsid w:val="001475FB"/>
    <w:rsid w:val="00147627"/>
    <w:rsid w:val="001513E2"/>
    <w:rsid w:val="00151834"/>
    <w:rsid w:val="00152305"/>
    <w:rsid w:val="00152A8D"/>
    <w:rsid w:val="00153F12"/>
    <w:rsid w:val="001573C1"/>
    <w:rsid w:val="0015794E"/>
    <w:rsid w:val="001624AD"/>
    <w:rsid w:val="00163223"/>
    <w:rsid w:val="001641C0"/>
    <w:rsid w:val="00166B36"/>
    <w:rsid w:val="0017108C"/>
    <w:rsid w:val="00171B4F"/>
    <w:rsid w:val="00171E3D"/>
    <w:rsid w:val="00177C2D"/>
    <w:rsid w:val="001820EE"/>
    <w:rsid w:val="00182127"/>
    <w:rsid w:val="0018233D"/>
    <w:rsid w:val="00182590"/>
    <w:rsid w:val="00183226"/>
    <w:rsid w:val="0018363E"/>
    <w:rsid w:val="001849D7"/>
    <w:rsid w:val="00194626"/>
    <w:rsid w:val="00196233"/>
    <w:rsid w:val="001972E6"/>
    <w:rsid w:val="00197B87"/>
    <w:rsid w:val="001A13BC"/>
    <w:rsid w:val="001A2597"/>
    <w:rsid w:val="001A4042"/>
    <w:rsid w:val="001A461B"/>
    <w:rsid w:val="001A6909"/>
    <w:rsid w:val="001B06C8"/>
    <w:rsid w:val="001B30D6"/>
    <w:rsid w:val="001B5812"/>
    <w:rsid w:val="001B5A35"/>
    <w:rsid w:val="001B5A69"/>
    <w:rsid w:val="001B7CE2"/>
    <w:rsid w:val="001C1ED7"/>
    <w:rsid w:val="001C3180"/>
    <w:rsid w:val="001C75F8"/>
    <w:rsid w:val="001C7F6C"/>
    <w:rsid w:val="001D5649"/>
    <w:rsid w:val="001D5E2A"/>
    <w:rsid w:val="001D756A"/>
    <w:rsid w:val="001D7796"/>
    <w:rsid w:val="001E184B"/>
    <w:rsid w:val="001F33DC"/>
    <w:rsid w:val="001F3C8F"/>
    <w:rsid w:val="001F4075"/>
    <w:rsid w:val="001F7B5B"/>
    <w:rsid w:val="00201C11"/>
    <w:rsid w:val="002021C4"/>
    <w:rsid w:val="00202905"/>
    <w:rsid w:val="00203C28"/>
    <w:rsid w:val="00204149"/>
    <w:rsid w:val="0020691E"/>
    <w:rsid w:val="00206BF4"/>
    <w:rsid w:val="002079F9"/>
    <w:rsid w:val="002128BE"/>
    <w:rsid w:val="002141B9"/>
    <w:rsid w:val="002144DC"/>
    <w:rsid w:val="0021526D"/>
    <w:rsid w:val="00222882"/>
    <w:rsid w:val="002246D0"/>
    <w:rsid w:val="00224BDF"/>
    <w:rsid w:val="00227F75"/>
    <w:rsid w:val="00240E6F"/>
    <w:rsid w:val="00245009"/>
    <w:rsid w:val="002456E8"/>
    <w:rsid w:val="0025031C"/>
    <w:rsid w:val="00250AB6"/>
    <w:rsid w:val="00253A5C"/>
    <w:rsid w:val="00253E3E"/>
    <w:rsid w:val="00255F0E"/>
    <w:rsid w:val="00257847"/>
    <w:rsid w:val="00260F33"/>
    <w:rsid w:val="00265194"/>
    <w:rsid w:val="002674C6"/>
    <w:rsid w:val="00273A05"/>
    <w:rsid w:val="0027638B"/>
    <w:rsid w:val="00277126"/>
    <w:rsid w:val="00286F5B"/>
    <w:rsid w:val="00294E9C"/>
    <w:rsid w:val="002A01B5"/>
    <w:rsid w:val="002A037D"/>
    <w:rsid w:val="002A095A"/>
    <w:rsid w:val="002A1ED1"/>
    <w:rsid w:val="002A2662"/>
    <w:rsid w:val="002A36AF"/>
    <w:rsid w:val="002A5967"/>
    <w:rsid w:val="002A5C0A"/>
    <w:rsid w:val="002A65E5"/>
    <w:rsid w:val="002B38B2"/>
    <w:rsid w:val="002B3D79"/>
    <w:rsid w:val="002B49C8"/>
    <w:rsid w:val="002B4D1D"/>
    <w:rsid w:val="002B6888"/>
    <w:rsid w:val="002B7CE0"/>
    <w:rsid w:val="002C7EE0"/>
    <w:rsid w:val="002D147A"/>
    <w:rsid w:val="002D53D8"/>
    <w:rsid w:val="002D5F3D"/>
    <w:rsid w:val="002D67B2"/>
    <w:rsid w:val="002D6CA6"/>
    <w:rsid w:val="002D7F7A"/>
    <w:rsid w:val="002E33B9"/>
    <w:rsid w:val="002E4B05"/>
    <w:rsid w:val="002E6593"/>
    <w:rsid w:val="002F1472"/>
    <w:rsid w:val="002F3899"/>
    <w:rsid w:val="002F4FAE"/>
    <w:rsid w:val="002F5562"/>
    <w:rsid w:val="002F5B95"/>
    <w:rsid w:val="0030087A"/>
    <w:rsid w:val="00302848"/>
    <w:rsid w:val="00307083"/>
    <w:rsid w:val="003072E1"/>
    <w:rsid w:val="0031168E"/>
    <w:rsid w:val="0031626D"/>
    <w:rsid w:val="00320985"/>
    <w:rsid w:val="003211FA"/>
    <w:rsid w:val="00321BEB"/>
    <w:rsid w:val="0032400F"/>
    <w:rsid w:val="00325AB0"/>
    <w:rsid w:val="003265DA"/>
    <w:rsid w:val="00331682"/>
    <w:rsid w:val="00331AE9"/>
    <w:rsid w:val="00332CEC"/>
    <w:rsid w:val="003356E5"/>
    <w:rsid w:val="003401DD"/>
    <w:rsid w:val="00340C28"/>
    <w:rsid w:val="00356ED2"/>
    <w:rsid w:val="003579C4"/>
    <w:rsid w:val="00360D18"/>
    <w:rsid w:val="00361724"/>
    <w:rsid w:val="00361BDE"/>
    <w:rsid w:val="00363E63"/>
    <w:rsid w:val="003646F5"/>
    <w:rsid w:val="00364739"/>
    <w:rsid w:val="0036541F"/>
    <w:rsid w:val="00371CE7"/>
    <w:rsid w:val="003734B9"/>
    <w:rsid w:val="00373AAB"/>
    <w:rsid w:val="00374EAF"/>
    <w:rsid w:val="00374FFE"/>
    <w:rsid w:val="00375334"/>
    <w:rsid w:val="00381656"/>
    <w:rsid w:val="00382DED"/>
    <w:rsid w:val="003841E6"/>
    <w:rsid w:val="0038456E"/>
    <w:rsid w:val="0038475F"/>
    <w:rsid w:val="00386751"/>
    <w:rsid w:val="003918BE"/>
    <w:rsid w:val="00393D0B"/>
    <w:rsid w:val="003978E2"/>
    <w:rsid w:val="003A1CA5"/>
    <w:rsid w:val="003A523D"/>
    <w:rsid w:val="003B04BE"/>
    <w:rsid w:val="003B557E"/>
    <w:rsid w:val="003B6613"/>
    <w:rsid w:val="003B7621"/>
    <w:rsid w:val="003C5648"/>
    <w:rsid w:val="003C6C0A"/>
    <w:rsid w:val="003C7AD2"/>
    <w:rsid w:val="003D087B"/>
    <w:rsid w:val="003D0D5B"/>
    <w:rsid w:val="003D10E1"/>
    <w:rsid w:val="003D2E67"/>
    <w:rsid w:val="003D4DB0"/>
    <w:rsid w:val="003E11C0"/>
    <w:rsid w:val="003E317F"/>
    <w:rsid w:val="003E5C94"/>
    <w:rsid w:val="003F006B"/>
    <w:rsid w:val="003F3D1E"/>
    <w:rsid w:val="003F49BC"/>
    <w:rsid w:val="00401E8E"/>
    <w:rsid w:val="00402B75"/>
    <w:rsid w:val="00402EC2"/>
    <w:rsid w:val="00416392"/>
    <w:rsid w:val="004167F5"/>
    <w:rsid w:val="00416C6D"/>
    <w:rsid w:val="004174DB"/>
    <w:rsid w:val="00420547"/>
    <w:rsid w:val="00421C71"/>
    <w:rsid w:val="00425737"/>
    <w:rsid w:val="00426413"/>
    <w:rsid w:val="00426943"/>
    <w:rsid w:val="00430841"/>
    <w:rsid w:val="00430BCE"/>
    <w:rsid w:val="0043329D"/>
    <w:rsid w:val="0044263E"/>
    <w:rsid w:val="00443C75"/>
    <w:rsid w:val="00452C84"/>
    <w:rsid w:val="004542AC"/>
    <w:rsid w:val="00456DE5"/>
    <w:rsid w:val="0045743F"/>
    <w:rsid w:val="00467AAB"/>
    <w:rsid w:val="00470A38"/>
    <w:rsid w:val="0047392A"/>
    <w:rsid w:val="004747B5"/>
    <w:rsid w:val="004765C3"/>
    <w:rsid w:val="00476F3D"/>
    <w:rsid w:val="00483244"/>
    <w:rsid w:val="00485A18"/>
    <w:rsid w:val="00485FE1"/>
    <w:rsid w:val="004862C9"/>
    <w:rsid w:val="004900CD"/>
    <w:rsid w:val="00492FA7"/>
    <w:rsid w:val="004A0D25"/>
    <w:rsid w:val="004A220F"/>
    <w:rsid w:val="004A5444"/>
    <w:rsid w:val="004A582C"/>
    <w:rsid w:val="004A753A"/>
    <w:rsid w:val="004B05B7"/>
    <w:rsid w:val="004B1073"/>
    <w:rsid w:val="004B5F99"/>
    <w:rsid w:val="004C03D2"/>
    <w:rsid w:val="004C3AD2"/>
    <w:rsid w:val="004C48B0"/>
    <w:rsid w:val="004C4B82"/>
    <w:rsid w:val="004C562A"/>
    <w:rsid w:val="004D1FB0"/>
    <w:rsid w:val="004D4071"/>
    <w:rsid w:val="004D5118"/>
    <w:rsid w:val="004E0764"/>
    <w:rsid w:val="004E21F9"/>
    <w:rsid w:val="004E2C31"/>
    <w:rsid w:val="004E2F39"/>
    <w:rsid w:val="004E3026"/>
    <w:rsid w:val="004E4D7D"/>
    <w:rsid w:val="004E6CF5"/>
    <w:rsid w:val="004E6FD9"/>
    <w:rsid w:val="004F02FA"/>
    <w:rsid w:val="004F25FE"/>
    <w:rsid w:val="004F3CDA"/>
    <w:rsid w:val="004F3F5E"/>
    <w:rsid w:val="005009D4"/>
    <w:rsid w:val="00500A45"/>
    <w:rsid w:val="00500E5A"/>
    <w:rsid w:val="00504F9F"/>
    <w:rsid w:val="00511D23"/>
    <w:rsid w:val="005130BD"/>
    <w:rsid w:val="005131A1"/>
    <w:rsid w:val="005141E6"/>
    <w:rsid w:val="00514479"/>
    <w:rsid w:val="00517BFE"/>
    <w:rsid w:val="00521BD8"/>
    <w:rsid w:val="00522F3B"/>
    <w:rsid w:val="00524B68"/>
    <w:rsid w:val="00525433"/>
    <w:rsid w:val="005262C0"/>
    <w:rsid w:val="00527AAA"/>
    <w:rsid w:val="00530CEC"/>
    <w:rsid w:val="0053426D"/>
    <w:rsid w:val="005431A3"/>
    <w:rsid w:val="005434A5"/>
    <w:rsid w:val="005451CE"/>
    <w:rsid w:val="005456D0"/>
    <w:rsid w:val="00547A96"/>
    <w:rsid w:val="00550CC4"/>
    <w:rsid w:val="0055117A"/>
    <w:rsid w:val="0055419B"/>
    <w:rsid w:val="00555EFE"/>
    <w:rsid w:val="0055653A"/>
    <w:rsid w:val="00557B96"/>
    <w:rsid w:val="00560D82"/>
    <w:rsid w:val="00562993"/>
    <w:rsid w:val="00563394"/>
    <w:rsid w:val="00565EE4"/>
    <w:rsid w:val="00571D6F"/>
    <w:rsid w:val="005724E4"/>
    <w:rsid w:val="00573B99"/>
    <w:rsid w:val="00573CFF"/>
    <w:rsid w:val="0057428B"/>
    <w:rsid w:val="00574575"/>
    <w:rsid w:val="00575799"/>
    <w:rsid w:val="00575A48"/>
    <w:rsid w:val="00580A76"/>
    <w:rsid w:val="0058168C"/>
    <w:rsid w:val="0058203B"/>
    <w:rsid w:val="00583C23"/>
    <w:rsid w:val="00585E0D"/>
    <w:rsid w:val="00586F3D"/>
    <w:rsid w:val="005872F3"/>
    <w:rsid w:val="005938DD"/>
    <w:rsid w:val="00593BAA"/>
    <w:rsid w:val="00594200"/>
    <w:rsid w:val="00594F49"/>
    <w:rsid w:val="00594FB6"/>
    <w:rsid w:val="005A3202"/>
    <w:rsid w:val="005A3B80"/>
    <w:rsid w:val="005B054A"/>
    <w:rsid w:val="005B2DC6"/>
    <w:rsid w:val="005B5B33"/>
    <w:rsid w:val="005C4F87"/>
    <w:rsid w:val="005D4C3D"/>
    <w:rsid w:val="005D78E4"/>
    <w:rsid w:val="005E4C1F"/>
    <w:rsid w:val="005E6002"/>
    <w:rsid w:val="005E75A6"/>
    <w:rsid w:val="005F2328"/>
    <w:rsid w:val="005F6923"/>
    <w:rsid w:val="006022C1"/>
    <w:rsid w:val="00603CA0"/>
    <w:rsid w:val="00605116"/>
    <w:rsid w:val="006052E5"/>
    <w:rsid w:val="00607606"/>
    <w:rsid w:val="00607815"/>
    <w:rsid w:val="006115B1"/>
    <w:rsid w:val="00614199"/>
    <w:rsid w:val="00614441"/>
    <w:rsid w:val="0061665D"/>
    <w:rsid w:val="0061796B"/>
    <w:rsid w:val="00620FBE"/>
    <w:rsid w:val="00621C7F"/>
    <w:rsid w:val="0062329F"/>
    <w:rsid w:val="00624516"/>
    <w:rsid w:val="00626E9A"/>
    <w:rsid w:val="00627317"/>
    <w:rsid w:val="00630A39"/>
    <w:rsid w:val="00632859"/>
    <w:rsid w:val="00633F10"/>
    <w:rsid w:val="0063438D"/>
    <w:rsid w:val="00637F74"/>
    <w:rsid w:val="0064223B"/>
    <w:rsid w:val="00642292"/>
    <w:rsid w:val="00644CCE"/>
    <w:rsid w:val="00655DB1"/>
    <w:rsid w:val="006613FA"/>
    <w:rsid w:val="006642D1"/>
    <w:rsid w:val="00665244"/>
    <w:rsid w:val="006656B5"/>
    <w:rsid w:val="00667720"/>
    <w:rsid w:val="00674722"/>
    <w:rsid w:val="00680C77"/>
    <w:rsid w:val="00681D9A"/>
    <w:rsid w:val="00684674"/>
    <w:rsid w:val="0069108E"/>
    <w:rsid w:val="00691C4E"/>
    <w:rsid w:val="006929E5"/>
    <w:rsid w:val="006957C4"/>
    <w:rsid w:val="00695FBD"/>
    <w:rsid w:val="006A467B"/>
    <w:rsid w:val="006A6BD5"/>
    <w:rsid w:val="006A6E87"/>
    <w:rsid w:val="006B1C73"/>
    <w:rsid w:val="006B2941"/>
    <w:rsid w:val="006B2A93"/>
    <w:rsid w:val="006B545D"/>
    <w:rsid w:val="006B5AA8"/>
    <w:rsid w:val="006B6E45"/>
    <w:rsid w:val="006B7402"/>
    <w:rsid w:val="006B7CB3"/>
    <w:rsid w:val="006C26A6"/>
    <w:rsid w:val="006C2FB7"/>
    <w:rsid w:val="006C4BCA"/>
    <w:rsid w:val="006D513E"/>
    <w:rsid w:val="006D6831"/>
    <w:rsid w:val="006D7FF6"/>
    <w:rsid w:val="006E1833"/>
    <w:rsid w:val="006E5932"/>
    <w:rsid w:val="006E796F"/>
    <w:rsid w:val="006E7C54"/>
    <w:rsid w:val="006F018D"/>
    <w:rsid w:val="006F3338"/>
    <w:rsid w:val="006F3886"/>
    <w:rsid w:val="006F7307"/>
    <w:rsid w:val="00700FE7"/>
    <w:rsid w:val="0070141E"/>
    <w:rsid w:val="00702EA9"/>
    <w:rsid w:val="00706825"/>
    <w:rsid w:val="00710531"/>
    <w:rsid w:val="00716839"/>
    <w:rsid w:val="00721A81"/>
    <w:rsid w:val="00721AFA"/>
    <w:rsid w:val="00723C36"/>
    <w:rsid w:val="00723E35"/>
    <w:rsid w:val="00723F1D"/>
    <w:rsid w:val="00724634"/>
    <w:rsid w:val="0072720C"/>
    <w:rsid w:val="00727B1B"/>
    <w:rsid w:val="007300C7"/>
    <w:rsid w:val="0073396B"/>
    <w:rsid w:val="007407DF"/>
    <w:rsid w:val="00742F68"/>
    <w:rsid w:val="007436A2"/>
    <w:rsid w:val="00744F42"/>
    <w:rsid w:val="00745793"/>
    <w:rsid w:val="00746181"/>
    <w:rsid w:val="00746CD8"/>
    <w:rsid w:val="00747598"/>
    <w:rsid w:val="007528E0"/>
    <w:rsid w:val="007532BE"/>
    <w:rsid w:val="00753481"/>
    <w:rsid w:val="00753934"/>
    <w:rsid w:val="00754310"/>
    <w:rsid w:val="00755D39"/>
    <w:rsid w:val="00761BBE"/>
    <w:rsid w:val="007654DD"/>
    <w:rsid w:val="00765502"/>
    <w:rsid w:val="007731D5"/>
    <w:rsid w:val="0077405B"/>
    <w:rsid w:val="00781B99"/>
    <w:rsid w:val="00782FE1"/>
    <w:rsid w:val="007860D2"/>
    <w:rsid w:val="0078789B"/>
    <w:rsid w:val="00790D1E"/>
    <w:rsid w:val="00791035"/>
    <w:rsid w:val="007936C5"/>
    <w:rsid w:val="007A39DF"/>
    <w:rsid w:val="007A3B46"/>
    <w:rsid w:val="007A4306"/>
    <w:rsid w:val="007B2069"/>
    <w:rsid w:val="007B3F45"/>
    <w:rsid w:val="007B799E"/>
    <w:rsid w:val="007C6B8F"/>
    <w:rsid w:val="007D71C4"/>
    <w:rsid w:val="007E3BF0"/>
    <w:rsid w:val="007E57D0"/>
    <w:rsid w:val="007E5DC6"/>
    <w:rsid w:val="007F00E8"/>
    <w:rsid w:val="007F17BA"/>
    <w:rsid w:val="007F2158"/>
    <w:rsid w:val="007F3CF1"/>
    <w:rsid w:val="007F40CB"/>
    <w:rsid w:val="007F5274"/>
    <w:rsid w:val="007F6A6F"/>
    <w:rsid w:val="00801870"/>
    <w:rsid w:val="0080331B"/>
    <w:rsid w:val="0080431E"/>
    <w:rsid w:val="0081091C"/>
    <w:rsid w:val="00810AD7"/>
    <w:rsid w:val="00813E34"/>
    <w:rsid w:val="00814CD9"/>
    <w:rsid w:val="00814D6D"/>
    <w:rsid w:val="0082135B"/>
    <w:rsid w:val="00821C9D"/>
    <w:rsid w:val="008223B0"/>
    <w:rsid w:val="00822564"/>
    <w:rsid w:val="00823B74"/>
    <w:rsid w:val="00826026"/>
    <w:rsid w:val="008330FA"/>
    <w:rsid w:val="00833144"/>
    <w:rsid w:val="008339A4"/>
    <w:rsid w:val="00841EF5"/>
    <w:rsid w:val="00845909"/>
    <w:rsid w:val="00847771"/>
    <w:rsid w:val="00847911"/>
    <w:rsid w:val="00850B82"/>
    <w:rsid w:val="00852A9D"/>
    <w:rsid w:val="00853C1E"/>
    <w:rsid w:val="008552FD"/>
    <w:rsid w:val="00855BC3"/>
    <w:rsid w:val="008563D0"/>
    <w:rsid w:val="00857685"/>
    <w:rsid w:val="00857940"/>
    <w:rsid w:val="00862183"/>
    <w:rsid w:val="00862E83"/>
    <w:rsid w:val="00862F07"/>
    <w:rsid w:val="008646A8"/>
    <w:rsid w:val="008648AC"/>
    <w:rsid w:val="00870390"/>
    <w:rsid w:val="0087366C"/>
    <w:rsid w:val="00875CF9"/>
    <w:rsid w:val="00876419"/>
    <w:rsid w:val="00876915"/>
    <w:rsid w:val="00877D3A"/>
    <w:rsid w:val="008807A6"/>
    <w:rsid w:val="00884D94"/>
    <w:rsid w:val="008920FD"/>
    <w:rsid w:val="00893502"/>
    <w:rsid w:val="008935BB"/>
    <w:rsid w:val="0089478F"/>
    <w:rsid w:val="008A00CE"/>
    <w:rsid w:val="008A24F8"/>
    <w:rsid w:val="008A3DC6"/>
    <w:rsid w:val="008A55A4"/>
    <w:rsid w:val="008B28CB"/>
    <w:rsid w:val="008B47C8"/>
    <w:rsid w:val="008B4B09"/>
    <w:rsid w:val="008B5813"/>
    <w:rsid w:val="008B73D7"/>
    <w:rsid w:val="008C1ED5"/>
    <w:rsid w:val="008C2175"/>
    <w:rsid w:val="008C2587"/>
    <w:rsid w:val="008C3020"/>
    <w:rsid w:val="008C3086"/>
    <w:rsid w:val="008C559D"/>
    <w:rsid w:val="008C56C1"/>
    <w:rsid w:val="008C6111"/>
    <w:rsid w:val="008C779A"/>
    <w:rsid w:val="008C78E3"/>
    <w:rsid w:val="008C7A7E"/>
    <w:rsid w:val="008D0884"/>
    <w:rsid w:val="008D66AA"/>
    <w:rsid w:val="008D6E7F"/>
    <w:rsid w:val="008E12D9"/>
    <w:rsid w:val="008E1CDA"/>
    <w:rsid w:val="008E511B"/>
    <w:rsid w:val="008E5D22"/>
    <w:rsid w:val="008E61E3"/>
    <w:rsid w:val="008E7C51"/>
    <w:rsid w:val="008F152B"/>
    <w:rsid w:val="008F1DA7"/>
    <w:rsid w:val="008F5656"/>
    <w:rsid w:val="008F59E8"/>
    <w:rsid w:val="008F64D5"/>
    <w:rsid w:val="00900313"/>
    <w:rsid w:val="009012C9"/>
    <w:rsid w:val="00905887"/>
    <w:rsid w:val="00911BD7"/>
    <w:rsid w:val="00912FEB"/>
    <w:rsid w:val="00913545"/>
    <w:rsid w:val="00916C42"/>
    <w:rsid w:val="00936761"/>
    <w:rsid w:val="00937BA3"/>
    <w:rsid w:val="00940A7B"/>
    <w:rsid w:val="0094258E"/>
    <w:rsid w:val="0094647A"/>
    <w:rsid w:val="00947020"/>
    <w:rsid w:val="00947FAD"/>
    <w:rsid w:val="009511A1"/>
    <w:rsid w:val="009511FC"/>
    <w:rsid w:val="00954240"/>
    <w:rsid w:val="009544E0"/>
    <w:rsid w:val="0095538D"/>
    <w:rsid w:val="009578DE"/>
    <w:rsid w:val="00960245"/>
    <w:rsid w:val="00960BA4"/>
    <w:rsid w:val="00961801"/>
    <w:rsid w:val="00961D54"/>
    <w:rsid w:val="00961FAE"/>
    <w:rsid w:val="009647BF"/>
    <w:rsid w:val="00966DC0"/>
    <w:rsid w:val="009709D8"/>
    <w:rsid w:val="009728EC"/>
    <w:rsid w:val="009733A7"/>
    <w:rsid w:val="00973BC7"/>
    <w:rsid w:val="00974EA3"/>
    <w:rsid w:val="009758F7"/>
    <w:rsid w:val="009773FB"/>
    <w:rsid w:val="00983028"/>
    <w:rsid w:val="00983F8F"/>
    <w:rsid w:val="0098604D"/>
    <w:rsid w:val="009903B8"/>
    <w:rsid w:val="009924F7"/>
    <w:rsid w:val="00992B69"/>
    <w:rsid w:val="00996326"/>
    <w:rsid w:val="009A181B"/>
    <w:rsid w:val="009A1F8C"/>
    <w:rsid w:val="009A2604"/>
    <w:rsid w:val="009A3717"/>
    <w:rsid w:val="009A4889"/>
    <w:rsid w:val="009A53CE"/>
    <w:rsid w:val="009B0375"/>
    <w:rsid w:val="009B0BD1"/>
    <w:rsid w:val="009B50AE"/>
    <w:rsid w:val="009B5F30"/>
    <w:rsid w:val="009C15A0"/>
    <w:rsid w:val="009C7901"/>
    <w:rsid w:val="009C797E"/>
    <w:rsid w:val="009D09F5"/>
    <w:rsid w:val="009D2C51"/>
    <w:rsid w:val="009D31B9"/>
    <w:rsid w:val="009D61AF"/>
    <w:rsid w:val="009D62C7"/>
    <w:rsid w:val="009D7568"/>
    <w:rsid w:val="009E1992"/>
    <w:rsid w:val="009E5236"/>
    <w:rsid w:val="009F196F"/>
    <w:rsid w:val="009F6687"/>
    <w:rsid w:val="009F6ED7"/>
    <w:rsid w:val="00A03908"/>
    <w:rsid w:val="00A045D5"/>
    <w:rsid w:val="00A04F98"/>
    <w:rsid w:val="00A05460"/>
    <w:rsid w:val="00A06DF3"/>
    <w:rsid w:val="00A14CDA"/>
    <w:rsid w:val="00A17E0C"/>
    <w:rsid w:val="00A21ACD"/>
    <w:rsid w:val="00A22230"/>
    <w:rsid w:val="00A226A7"/>
    <w:rsid w:val="00A23605"/>
    <w:rsid w:val="00A25576"/>
    <w:rsid w:val="00A26185"/>
    <w:rsid w:val="00A2702B"/>
    <w:rsid w:val="00A27F5E"/>
    <w:rsid w:val="00A32DD8"/>
    <w:rsid w:val="00A33E94"/>
    <w:rsid w:val="00A346E1"/>
    <w:rsid w:val="00A35D5B"/>
    <w:rsid w:val="00A3606E"/>
    <w:rsid w:val="00A441C2"/>
    <w:rsid w:val="00A44FB5"/>
    <w:rsid w:val="00A45B93"/>
    <w:rsid w:val="00A4648D"/>
    <w:rsid w:val="00A533B3"/>
    <w:rsid w:val="00A608F5"/>
    <w:rsid w:val="00A60A48"/>
    <w:rsid w:val="00A62C94"/>
    <w:rsid w:val="00A715A2"/>
    <w:rsid w:val="00A7276F"/>
    <w:rsid w:val="00A74F56"/>
    <w:rsid w:val="00A8589B"/>
    <w:rsid w:val="00A85A69"/>
    <w:rsid w:val="00A86837"/>
    <w:rsid w:val="00A86B0B"/>
    <w:rsid w:val="00A875A9"/>
    <w:rsid w:val="00A90865"/>
    <w:rsid w:val="00A92A0A"/>
    <w:rsid w:val="00A94EF4"/>
    <w:rsid w:val="00A96ACD"/>
    <w:rsid w:val="00A96CFE"/>
    <w:rsid w:val="00A97231"/>
    <w:rsid w:val="00A97FE0"/>
    <w:rsid w:val="00AA2F33"/>
    <w:rsid w:val="00AA47B0"/>
    <w:rsid w:val="00AA69B0"/>
    <w:rsid w:val="00AA7725"/>
    <w:rsid w:val="00AB205B"/>
    <w:rsid w:val="00AB2498"/>
    <w:rsid w:val="00AB44AD"/>
    <w:rsid w:val="00AB670A"/>
    <w:rsid w:val="00AC2433"/>
    <w:rsid w:val="00AC3ADF"/>
    <w:rsid w:val="00AC5DD8"/>
    <w:rsid w:val="00AC69A2"/>
    <w:rsid w:val="00AC6DD0"/>
    <w:rsid w:val="00AD3BC2"/>
    <w:rsid w:val="00AD55BD"/>
    <w:rsid w:val="00AE5523"/>
    <w:rsid w:val="00AF7D2B"/>
    <w:rsid w:val="00B015B4"/>
    <w:rsid w:val="00B040C1"/>
    <w:rsid w:val="00B042D2"/>
    <w:rsid w:val="00B116DC"/>
    <w:rsid w:val="00B12D03"/>
    <w:rsid w:val="00B139A9"/>
    <w:rsid w:val="00B13B9A"/>
    <w:rsid w:val="00B15565"/>
    <w:rsid w:val="00B156A4"/>
    <w:rsid w:val="00B15EB3"/>
    <w:rsid w:val="00B1659D"/>
    <w:rsid w:val="00B17498"/>
    <w:rsid w:val="00B20DD9"/>
    <w:rsid w:val="00B23DEF"/>
    <w:rsid w:val="00B23E98"/>
    <w:rsid w:val="00B25F39"/>
    <w:rsid w:val="00B32395"/>
    <w:rsid w:val="00B33B95"/>
    <w:rsid w:val="00B41953"/>
    <w:rsid w:val="00B45DBA"/>
    <w:rsid w:val="00B47535"/>
    <w:rsid w:val="00B47A3A"/>
    <w:rsid w:val="00B52744"/>
    <w:rsid w:val="00B54881"/>
    <w:rsid w:val="00B64412"/>
    <w:rsid w:val="00B70D40"/>
    <w:rsid w:val="00B72350"/>
    <w:rsid w:val="00B744F8"/>
    <w:rsid w:val="00B76A48"/>
    <w:rsid w:val="00B840A6"/>
    <w:rsid w:val="00B846CB"/>
    <w:rsid w:val="00B8525D"/>
    <w:rsid w:val="00B86A8A"/>
    <w:rsid w:val="00B916D1"/>
    <w:rsid w:val="00B92F14"/>
    <w:rsid w:val="00B93EB0"/>
    <w:rsid w:val="00B96073"/>
    <w:rsid w:val="00B97140"/>
    <w:rsid w:val="00BA2A58"/>
    <w:rsid w:val="00BA472C"/>
    <w:rsid w:val="00BA569A"/>
    <w:rsid w:val="00BA614F"/>
    <w:rsid w:val="00BB20A2"/>
    <w:rsid w:val="00BB2753"/>
    <w:rsid w:val="00BB3392"/>
    <w:rsid w:val="00BB4024"/>
    <w:rsid w:val="00BB6405"/>
    <w:rsid w:val="00BB7267"/>
    <w:rsid w:val="00BC0743"/>
    <w:rsid w:val="00BC103F"/>
    <w:rsid w:val="00BC3001"/>
    <w:rsid w:val="00BC32E5"/>
    <w:rsid w:val="00BC423A"/>
    <w:rsid w:val="00BC47DE"/>
    <w:rsid w:val="00BC4EFD"/>
    <w:rsid w:val="00BC69D7"/>
    <w:rsid w:val="00BD1449"/>
    <w:rsid w:val="00BD1E41"/>
    <w:rsid w:val="00BD220A"/>
    <w:rsid w:val="00BD35F7"/>
    <w:rsid w:val="00BD5F6D"/>
    <w:rsid w:val="00BD6723"/>
    <w:rsid w:val="00BD6DF7"/>
    <w:rsid w:val="00BE1768"/>
    <w:rsid w:val="00BE1EAA"/>
    <w:rsid w:val="00BE2DF5"/>
    <w:rsid w:val="00BE3566"/>
    <w:rsid w:val="00BF17E8"/>
    <w:rsid w:val="00BF3861"/>
    <w:rsid w:val="00BF45A7"/>
    <w:rsid w:val="00C0150E"/>
    <w:rsid w:val="00C037D3"/>
    <w:rsid w:val="00C10506"/>
    <w:rsid w:val="00C123E8"/>
    <w:rsid w:val="00C13035"/>
    <w:rsid w:val="00C2095B"/>
    <w:rsid w:val="00C26CA0"/>
    <w:rsid w:val="00C279E4"/>
    <w:rsid w:val="00C311EC"/>
    <w:rsid w:val="00C32760"/>
    <w:rsid w:val="00C36206"/>
    <w:rsid w:val="00C36992"/>
    <w:rsid w:val="00C3725D"/>
    <w:rsid w:val="00C402A0"/>
    <w:rsid w:val="00C4112F"/>
    <w:rsid w:val="00C4394A"/>
    <w:rsid w:val="00C4590E"/>
    <w:rsid w:val="00C5095D"/>
    <w:rsid w:val="00C515DB"/>
    <w:rsid w:val="00C530EF"/>
    <w:rsid w:val="00C53355"/>
    <w:rsid w:val="00C53FEF"/>
    <w:rsid w:val="00C5484A"/>
    <w:rsid w:val="00C579AB"/>
    <w:rsid w:val="00C6089A"/>
    <w:rsid w:val="00C619F4"/>
    <w:rsid w:val="00C621A6"/>
    <w:rsid w:val="00C6707F"/>
    <w:rsid w:val="00C67EE5"/>
    <w:rsid w:val="00C7030F"/>
    <w:rsid w:val="00C70818"/>
    <w:rsid w:val="00C70FC4"/>
    <w:rsid w:val="00C73F39"/>
    <w:rsid w:val="00C8198E"/>
    <w:rsid w:val="00C820E7"/>
    <w:rsid w:val="00C83E9C"/>
    <w:rsid w:val="00C84EE2"/>
    <w:rsid w:val="00C85A3F"/>
    <w:rsid w:val="00C87CF8"/>
    <w:rsid w:val="00C936BE"/>
    <w:rsid w:val="00C97432"/>
    <w:rsid w:val="00CA6366"/>
    <w:rsid w:val="00CB3164"/>
    <w:rsid w:val="00CB4096"/>
    <w:rsid w:val="00CB571F"/>
    <w:rsid w:val="00CC1B68"/>
    <w:rsid w:val="00CC1C58"/>
    <w:rsid w:val="00CC291B"/>
    <w:rsid w:val="00CC2BCB"/>
    <w:rsid w:val="00CC7829"/>
    <w:rsid w:val="00CC7DB7"/>
    <w:rsid w:val="00CD0392"/>
    <w:rsid w:val="00CD0F89"/>
    <w:rsid w:val="00CD15F0"/>
    <w:rsid w:val="00CD1DC7"/>
    <w:rsid w:val="00CD33D2"/>
    <w:rsid w:val="00CD3414"/>
    <w:rsid w:val="00CD48F6"/>
    <w:rsid w:val="00CE2BD3"/>
    <w:rsid w:val="00CE5F64"/>
    <w:rsid w:val="00CF3148"/>
    <w:rsid w:val="00CF3A6B"/>
    <w:rsid w:val="00CF5997"/>
    <w:rsid w:val="00CF7303"/>
    <w:rsid w:val="00CF76C8"/>
    <w:rsid w:val="00D024D1"/>
    <w:rsid w:val="00D02C59"/>
    <w:rsid w:val="00D03BE7"/>
    <w:rsid w:val="00D068FF"/>
    <w:rsid w:val="00D10963"/>
    <w:rsid w:val="00D12D40"/>
    <w:rsid w:val="00D13317"/>
    <w:rsid w:val="00D15054"/>
    <w:rsid w:val="00D15B5B"/>
    <w:rsid w:val="00D20880"/>
    <w:rsid w:val="00D20BC4"/>
    <w:rsid w:val="00D21EB6"/>
    <w:rsid w:val="00D22D22"/>
    <w:rsid w:val="00D25D50"/>
    <w:rsid w:val="00D26967"/>
    <w:rsid w:val="00D27048"/>
    <w:rsid w:val="00D30E3E"/>
    <w:rsid w:val="00D32810"/>
    <w:rsid w:val="00D33F71"/>
    <w:rsid w:val="00D36992"/>
    <w:rsid w:val="00D37012"/>
    <w:rsid w:val="00D37BF7"/>
    <w:rsid w:val="00D40B47"/>
    <w:rsid w:val="00D416B8"/>
    <w:rsid w:val="00D41C65"/>
    <w:rsid w:val="00D42E21"/>
    <w:rsid w:val="00D4401B"/>
    <w:rsid w:val="00D4487F"/>
    <w:rsid w:val="00D4632D"/>
    <w:rsid w:val="00D47E3C"/>
    <w:rsid w:val="00D500EC"/>
    <w:rsid w:val="00D50CD4"/>
    <w:rsid w:val="00D5146D"/>
    <w:rsid w:val="00D526AB"/>
    <w:rsid w:val="00D566A0"/>
    <w:rsid w:val="00D621B3"/>
    <w:rsid w:val="00D65F8D"/>
    <w:rsid w:val="00D66842"/>
    <w:rsid w:val="00D66F88"/>
    <w:rsid w:val="00D674C9"/>
    <w:rsid w:val="00D75E57"/>
    <w:rsid w:val="00D76CD8"/>
    <w:rsid w:val="00D828A1"/>
    <w:rsid w:val="00D8531B"/>
    <w:rsid w:val="00D85C20"/>
    <w:rsid w:val="00D86D21"/>
    <w:rsid w:val="00D92E76"/>
    <w:rsid w:val="00D965C7"/>
    <w:rsid w:val="00D96FDB"/>
    <w:rsid w:val="00D975EE"/>
    <w:rsid w:val="00DA23C8"/>
    <w:rsid w:val="00DA2472"/>
    <w:rsid w:val="00DA2898"/>
    <w:rsid w:val="00DA2AE4"/>
    <w:rsid w:val="00DA44CE"/>
    <w:rsid w:val="00DA46D0"/>
    <w:rsid w:val="00DA50DC"/>
    <w:rsid w:val="00DA6FFD"/>
    <w:rsid w:val="00DB059D"/>
    <w:rsid w:val="00DB1496"/>
    <w:rsid w:val="00DB1DE2"/>
    <w:rsid w:val="00DB5229"/>
    <w:rsid w:val="00DB6344"/>
    <w:rsid w:val="00DB7238"/>
    <w:rsid w:val="00DB73B5"/>
    <w:rsid w:val="00DB795C"/>
    <w:rsid w:val="00DC0633"/>
    <w:rsid w:val="00DC5CD9"/>
    <w:rsid w:val="00DC6D45"/>
    <w:rsid w:val="00DD2770"/>
    <w:rsid w:val="00DE456B"/>
    <w:rsid w:val="00DE50C9"/>
    <w:rsid w:val="00DE560D"/>
    <w:rsid w:val="00DE78FF"/>
    <w:rsid w:val="00DF0150"/>
    <w:rsid w:val="00DF18A4"/>
    <w:rsid w:val="00DF1C02"/>
    <w:rsid w:val="00DF2CE6"/>
    <w:rsid w:val="00DF3981"/>
    <w:rsid w:val="00DF5EDF"/>
    <w:rsid w:val="00DF5EE2"/>
    <w:rsid w:val="00DF6FE4"/>
    <w:rsid w:val="00DF712E"/>
    <w:rsid w:val="00DF73D4"/>
    <w:rsid w:val="00E0355F"/>
    <w:rsid w:val="00E109D1"/>
    <w:rsid w:val="00E10BCB"/>
    <w:rsid w:val="00E10C1E"/>
    <w:rsid w:val="00E12C30"/>
    <w:rsid w:val="00E130B9"/>
    <w:rsid w:val="00E15146"/>
    <w:rsid w:val="00E15BF2"/>
    <w:rsid w:val="00E20504"/>
    <w:rsid w:val="00E20853"/>
    <w:rsid w:val="00E23912"/>
    <w:rsid w:val="00E23A67"/>
    <w:rsid w:val="00E25613"/>
    <w:rsid w:val="00E25983"/>
    <w:rsid w:val="00E25C80"/>
    <w:rsid w:val="00E27623"/>
    <w:rsid w:val="00E335BD"/>
    <w:rsid w:val="00E335CA"/>
    <w:rsid w:val="00E33F43"/>
    <w:rsid w:val="00E33F54"/>
    <w:rsid w:val="00E34C07"/>
    <w:rsid w:val="00E34C4E"/>
    <w:rsid w:val="00E42618"/>
    <w:rsid w:val="00E42C8C"/>
    <w:rsid w:val="00E430B4"/>
    <w:rsid w:val="00E432F7"/>
    <w:rsid w:val="00E43FC3"/>
    <w:rsid w:val="00E44164"/>
    <w:rsid w:val="00E4503D"/>
    <w:rsid w:val="00E47B59"/>
    <w:rsid w:val="00E516F4"/>
    <w:rsid w:val="00E55D3B"/>
    <w:rsid w:val="00E57F6B"/>
    <w:rsid w:val="00E609F0"/>
    <w:rsid w:val="00E6164B"/>
    <w:rsid w:val="00E61FCB"/>
    <w:rsid w:val="00E64B5C"/>
    <w:rsid w:val="00E70460"/>
    <w:rsid w:val="00E70627"/>
    <w:rsid w:val="00E731B4"/>
    <w:rsid w:val="00E733CD"/>
    <w:rsid w:val="00E73BD9"/>
    <w:rsid w:val="00E73FF9"/>
    <w:rsid w:val="00E818AE"/>
    <w:rsid w:val="00E834FC"/>
    <w:rsid w:val="00E84D64"/>
    <w:rsid w:val="00E85718"/>
    <w:rsid w:val="00E8717C"/>
    <w:rsid w:val="00E9672C"/>
    <w:rsid w:val="00EA07EC"/>
    <w:rsid w:val="00EA0DDC"/>
    <w:rsid w:val="00EA56AB"/>
    <w:rsid w:val="00EB00D1"/>
    <w:rsid w:val="00EB0544"/>
    <w:rsid w:val="00EB2801"/>
    <w:rsid w:val="00EC0276"/>
    <w:rsid w:val="00EC5546"/>
    <w:rsid w:val="00EC5A11"/>
    <w:rsid w:val="00EC7416"/>
    <w:rsid w:val="00EC7D6E"/>
    <w:rsid w:val="00ED6809"/>
    <w:rsid w:val="00EE1A4A"/>
    <w:rsid w:val="00EE22C7"/>
    <w:rsid w:val="00EE33B4"/>
    <w:rsid w:val="00EE4165"/>
    <w:rsid w:val="00EE4666"/>
    <w:rsid w:val="00EE46F8"/>
    <w:rsid w:val="00EE4DF1"/>
    <w:rsid w:val="00EF3A3F"/>
    <w:rsid w:val="00EF7700"/>
    <w:rsid w:val="00F02AE4"/>
    <w:rsid w:val="00F04110"/>
    <w:rsid w:val="00F04F49"/>
    <w:rsid w:val="00F07456"/>
    <w:rsid w:val="00F13106"/>
    <w:rsid w:val="00F13B5E"/>
    <w:rsid w:val="00F15F7F"/>
    <w:rsid w:val="00F21029"/>
    <w:rsid w:val="00F23857"/>
    <w:rsid w:val="00F245D0"/>
    <w:rsid w:val="00F274C9"/>
    <w:rsid w:val="00F27E2E"/>
    <w:rsid w:val="00F319C1"/>
    <w:rsid w:val="00F31D2D"/>
    <w:rsid w:val="00F33CC5"/>
    <w:rsid w:val="00F34D59"/>
    <w:rsid w:val="00F40074"/>
    <w:rsid w:val="00F40E18"/>
    <w:rsid w:val="00F41209"/>
    <w:rsid w:val="00F41960"/>
    <w:rsid w:val="00F52808"/>
    <w:rsid w:val="00F5347F"/>
    <w:rsid w:val="00F53621"/>
    <w:rsid w:val="00F56C8A"/>
    <w:rsid w:val="00F60CA7"/>
    <w:rsid w:val="00F6164C"/>
    <w:rsid w:val="00F6677D"/>
    <w:rsid w:val="00F67216"/>
    <w:rsid w:val="00F67770"/>
    <w:rsid w:val="00F77F91"/>
    <w:rsid w:val="00F80777"/>
    <w:rsid w:val="00F81B20"/>
    <w:rsid w:val="00F84D78"/>
    <w:rsid w:val="00F851AF"/>
    <w:rsid w:val="00F905BD"/>
    <w:rsid w:val="00F92211"/>
    <w:rsid w:val="00F93BAD"/>
    <w:rsid w:val="00F947B7"/>
    <w:rsid w:val="00F952A4"/>
    <w:rsid w:val="00FA2B5C"/>
    <w:rsid w:val="00FA3524"/>
    <w:rsid w:val="00FA6061"/>
    <w:rsid w:val="00FA6996"/>
    <w:rsid w:val="00FB1DB0"/>
    <w:rsid w:val="00FB205B"/>
    <w:rsid w:val="00FB24EE"/>
    <w:rsid w:val="00FB260F"/>
    <w:rsid w:val="00FB2ECC"/>
    <w:rsid w:val="00FB34DD"/>
    <w:rsid w:val="00FB3BDA"/>
    <w:rsid w:val="00FB548E"/>
    <w:rsid w:val="00FB6560"/>
    <w:rsid w:val="00FB7142"/>
    <w:rsid w:val="00FB7F7A"/>
    <w:rsid w:val="00FC0BE1"/>
    <w:rsid w:val="00FC17CB"/>
    <w:rsid w:val="00FC229B"/>
    <w:rsid w:val="00FC5D76"/>
    <w:rsid w:val="00FC6809"/>
    <w:rsid w:val="00FC78B4"/>
    <w:rsid w:val="00FD11F5"/>
    <w:rsid w:val="00FD5577"/>
    <w:rsid w:val="00FE2231"/>
    <w:rsid w:val="00FE33D8"/>
    <w:rsid w:val="00FE39E8"/>
    <w:rsid w:val="00FE468F"/>
    <w:rsid w:val="00FE55C9"/>
    <w:rsid w:val="00FF3941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457A9"/>
  <w15:chartTrackingRefBased/>
  <w15:docId w15:val="{5E744B23-9055-CE49-B724-E0BCC45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CD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3F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8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43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3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4306"/>
    <w:rPr>
      <w:vertAlign w:val="superscript"/>
    </w:rPr>
  </w:style>
  <w:style w:type="character" w:customStyle="1" w:styleId="normaltextrun">
    <w:name w:val="normaltextrun"/>
    <w:basedOn w:val="DefaultParagraphFont"/>
    <w:rsid w:val="00124491"/>
  </w:style>
  <w:style w:type="character" w:customStyle="1" w:styleId="apple-converted-space">
    <w:name w:val="apple-converted-space"/>
    <w:basedOn w:val="DefaultParagraphFont"/>
    <w:rsid w:val="00124491"/>
  </w:style>
  <w:style w:type="character" w:customStyle="1" w:styleId="eop">
    <w:name w:val="eop"/>
    <w:basedOn w:val="DefaultParagraphFont"/>
    <w:rsid w:val="00124491"/>
  </w:style>
  <w:style w:type="character" w:customStyle="1" w:styleId="superscript">
    <w:name w:val="superscript"/>
    <w:basedOn w:val="DefaultParagraphFont"/>
    <w:rsid w:val="00066429"/>
  </w:style>
  <w:style w:type="character" w:styleId="FollowedHyperlink">
    <w:name w:val="FollowedHyperlink"/>
    <w:basedOn w:val="DefaultParagraphFont"/>
    <w:uiPriority w:val="99"/>
    <w:semiHidden/>
    <w:unhideWhenUsed/>
    <w:rsid w:val="008920F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E2"/>
  </w:style>
  <w:style w:type="paragraph" w:styleId="Footer">
    <w:name w:val="footer"/>
    <w:basedOn w:val="Normal"/>
    <w:link w:val="FooterChar"/>
    <w:uiPriority w:val="99"/>
    <w:unhideWhenUsed/>
    <w:rsid w:val="0015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E2"/>
  </w:style>
  <w:style w:type="character" w:styleId="PageNumber">
    <w:name w:val="page number"/>
    <w:basedOn w:val="DefaultParagraphFont"/>
    <w:uiPriority w:val="99"/>
    <w:semiHidden/>
    <w:unhideWhenUsed/>
    <w:rsid w:val="0015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fn.bynder.com/m/b0e11cd9212f055/original/78-2023-Establishing-a-Chiefs-Committee-on-the-UN-Declaration-Act.pdf" TargetMode="External"/><Relationship Id="rId18" Type="http://schemas.openxmlformats.org/officeDocument/2006/relationships/hyperlink" Target="https://www.bclaws.gov.bc.ca/civix/document/id/complete/statreg/96238_01" TargetMode="External"/><Relationship Id="rId26" Type="http://schemas.openxmlformats.org/officeDocument/2006/relationships/hyperlink" Target="https://www.pbo-dpb.ca/en/publications/RP-2324-021-S--supplementary-estimates-b-2023-24--budget-supplementaire-depenses-b-2023-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ccourts.ca/jdb-txt/sc/23/16/2023BCSC1680.htm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afn.bynder.com/m/1be108beb371b03/original/13-2022-First-Nations-Priorities-to-Guide-the-Crown-s-Implementation-of-the-UN-Declaration-on-the-Rights-of-Indigenous-Peoples.pdf" TargetMode="External"/><Relationship Id="rId17" Type="http://schemas.openxmlformats.org/officeDocument/2006/relationships/hyperlink" Target="https://www.canlii.org/en/nt/laws/stat/snwt-2023-c-36/latest/snwt-2023-c-36.html" TargetMode="External"/><Relationship Id="rId25" Type="http://schemas.openxmlformats.org/officeDocument/2006/relationships/hyperlink" Target="https://www.parl.ca/Content/Bills/441/Government/C-61/C-61_1/C-61_1.PDF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bclaws.gov.bc.ca/civix/document/id/complete/statreg/19044" TargetMode="External"/><Relationship Id="rId20" Type="http://schemas.openxmlformats.org/officeDocument/2006/relationships/hyperlink" Target="https://courdappelduquebec.ca/fileadmin/Fichiers_client/Jugement/renvoi_-_avis_rendu_le_10-02-2022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fn.bynder.com/m/3604d3ac553a7bef/original/12-2022-Call-for-Full-First-Nations-Participation-in-the-Implementation-of-the-UN-Declaration.pdf" TargetMode="External"/><Relationship Id="rId24" Type="http://schemas.openxmlformats.org/officeDocument/2006/relationships/hyperlink" Target="https://www.canlii.org/en/qc/qcca/doc/2022/2022qcca1699/2022qcca1699.html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laws-lois.justice.gc.ca/eng/acts/U-2.2/" TargetMode="External"/><Relationship Id="rId23" Type="http://schemas.openxmlformats.org/officeDocument/2006/relationships/hyperlink" Target="https://www.canlii.org/en/ca/chrt/doc/2022/2022chrt4/2022chrt4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fn.bynder.com/m/10c0667d8e0bb381/original/AFN-Mandates-to-Support-Essential-Elements-Measures.pdf" TargetMode="External"/><Relationship Id="rId19" Type="http://schemas.openxmlformats.org/officeDocument/2006/relationships/hyperlink" Target="https://www.parl.ca/legisinfo/en/bill/44-1/s-13" TargetMode="External"/><Relationship Id="rId31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calls-for-input/2024/call-inputs-study-laws-legislation-policies-constitutions-judicial-decisions" TargetMode="External"/><Relationship Id="rId14" Type="http://schemas.openxmlformats.org/officeDocument/2006/relationships/hyperlink" Target="https://www.justice.gc.ca/eng/declaration/ap-pa/ah/index.html" TargetMode="External"/><Relationship Id="rId22" Type="http://schemas.openxmlformats.org/officeDocument/2006/relationships/hyperlink" Target="https://gitxaalanation.com/gitxaala-nation-appeals-courts-refusal-to-apply-undrip-and-stop-unconstitutional-mineral-tenure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nlii.org/en/ca/chrt/doc/2016/2016chrt2/2016chrt2.html?resultIndex=1&amp;resultId=2355455bfff943aa8f90ecedc370d8e3&amp;searchId=6946235aa03e40be88604defd1f3aa9c&amp;searchUrlHash=AAAAAQAMMjAxNiBDSFJUIDIgAAAAAAE" TargetMode="External"/><Relationship Id="rId1" Type="http://schemas.openxmlformats.org/officeDocument/2006/relationships/hyperlink" Target="https://laws-lois.justice.gc.ca/eng/acts/U-2.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2924FF23-EF89-6648-AC70-08F1C97AE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F3028-C7EB-4DB0-B03E-F17D06019668}"/>
</file>

<file path=customXml/itemProps3.xml><?xml version="1.0" encoding="utf-8"?>
<ds:datastoreItem xmlns:ds="http://schemas.openxmlformats.org/officeDocument/2006/customXml" ds:itemID="{5C60BBE8-C6A8-4130-AB9A-8C2EEC56CDCC}"/>
</file>

<file path=customXml/itemProps4.xml><?xml version="1.0" encoding="utf-8"?>
<ds:datastoreItem xmlns:ds="http://schemas.openxmlformats.org/officeDocument/2006/customXml" ds:itemID="{BB9252D6-352A-4C50-BC21-31C402E18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Cornet</dc:creator>
  <cp:keywords/>
  <dc:description/>
  <cp:lastModifiedBy>Amanda Bruce</cp:lastModifiedBy>
  <cp:revision>9</cp:revision>
  <dcterms:created xsi:type="dcterms:W3CDTF">2024-02-05T21:02:00Z</dcterms:created>
  <dcterms:modified xsi:type="dcterms:W3CDTF">2024-02-13T14:26:00Z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