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260BA" w:rsidR="00D847EA" w:rsidRDefault="0003429D" w14:paraId="70E3AEA8" w14:textId="1778A3AE">
      <w:pPr>
        <w:spacing w:line="240" w:lineRule="auto"/>
        <w:ind w:left="-425" w:right="-466"/>
        <w:jc w:val="center"/>
        <w:rPr>
          <w:rFonts w:ascii="Times New Roman" w:hAnsi="Times New Roman" w:eastAsia="Times New Roman" w:cs="Times New Roman"/>
          <w:b/>
        </w:rPr>
      </w:pPr>
      <w:r w:rsidRPr="00B260BA">
        <w:rPr>
          <w:rFonts w:ascii="Times New Roman" w:hAnsi="Times New Roman" w:eastAsia="Times New Roman" w:cs="Times New Roman"/>
          <w:b/>
        </w:rPr>
        <w:t>Réponse à l’appel aux contributions lancé par le Mécanisme d’experts sur les droits des peuples autochtones  </w:t>
      </w:r>
    </w:p>
    <w:p w:rsidRPr="00B260BA" w:rsidR="004C14F8" w:rsidRDefault="004C14F8" w14:paraId="0A2C03E9" w14:textId="77777777">
      <w:pPr>
        <w:spacing w:line="240" w:lineRule="auto"/>
        <w:ind w:left="-425" w:right="-466"/>
        <w:jc w:val="center"/>
        <w:rPr>
          <w:rFonts w:ascii="Times New Roman" w:hAnsi="Times New Roman" w:eastAsia="Times New Roman" w:cs="Times New Roman"/>
          <w:b/>
        </w:rPr>
      </w:pPr>
    </w:p>
    <w:p w:rsidRPr="00B260BA" w:rsidR="00D847EA" w:rsidRDefault="0003429D" w14:paraId="69B0663A" w14:textId="77777777">
      <w:pPr>
        <w:spacing w:line="240" w:lineRule="auto"/>
        <w:ind w:left="-425" w:right="-466"/>
        <w:jc w:val="center"/>
        <w:rPr>
          <w:rFonts w:ascii="Times New Roman" w:hAnsi="Times New Roman" w:eastAsia="Times New Roman" w:cs="Times New Roman"/>
          <w:b/>
          <w:i/>
        </w:rPr>
      </w:pPr>
      <w:r w:rsidRPr="00B260BA">
        <w:rPr>
          <w:rFonts w:ascii="Times New Roman" w:hAnsi="Times New Roman" w:eastAsia="Times New Roman" w:cs="Times New Roman"/>
          <w:b/>
          <w:i/>
        </w:rPr>
        <w:t>Clinique de droit international d’Assas</w:t>
      </w:r>
    </w:p>
    <w:p w:rsidRPr="00B260BA" w:rsidR="00D847EA" w:rsidRDefault="00D847EA" w14:paraId="2F4EC15F" w14:textId="77777777">
      <w:pPr>
        <w:spacing w:line="240" w:lineRule="auto"/>
        <w:ind w:left="-425" w:right="-466"/>
        <w:jc w:val="both"/>
        <w:rPr>
          <w:rFonts w:ascii="Times New Roman" w:hAnsi="Times New Roman" w:eastAsia="Times New Roman" w:cs="Times New Roman"/>
          <w:b/>
        </w:rPr>
      </w:pPr>
    </w:p>
    <w:p w:rsidRPr="00B260BA" w:rsidR="00D847EA" w:rsidRDefault="0003429D" w14:paraId="7B5D2E7A" w14:textId="2F5765EA">
      <w:pPr>
        <w:spacing w:line="240" w:lineRule="auto"/>
        <w:ind w:left="-425" w:right="-466" w:firstLine="425"/>
        <w:jc w:val="both"/>
        <w:rPr>
          <w:rFonts w:ascii="Times New Roman" w:hAnsi="Times New Roman" w:eastAsia="Times New Roman" w:cs="Times New Roman"/>
        </w:rPr>
      </w:pPr>
      <w:r w:rsidRPr="00B260BA">
        <w:rPr>
          <w:rFonts w:ascii="Times New Roman" w:hAnsi="Times New Roman" w:eastAsia="Times New Roman" w:cs="Times New Roman"/>
        </w:rPr>
        <w:t>La clinique de droit international d’Assas souhaite apporter quelques éléments de réponse au Mécanisme d’experts sur les droits des peuples autochtones. Nous le remercions pour son attention.</w:t>
      </w:r>
    </w:p>
    <w:p w:rsidRPr="00B260BA" w:rsidR="004C14F8" w:rsidRDefault="004C14F8" w14:paraId="46ED922E" w14:textId="77777777">
      <w:pPr>
        <w:spacing w:line="240" w:lineRule="auto"/>
        <w:ind w:left="-425" w:right="-466" w:firstLine="425"/>
        <w:jc w:val="both"/>
        <w:rPr>
          <w:rFonts w:ascii="Times New Roman" w:hAnsi="Times New Roman" w:eastAsia="Times New Roman" w:cs="Times New Roman"/>
        </w:rPr>
      </w:pPr>
    </w:p>
    <w:p w:rsidRPr="00B260BA" w:rsidR="00D847EA" w:rsidP="69F4D826" w:rsidRDefault="0003429D" w14:paraId="40CCFDC6" w14:textId="24D97320">
      <w:pPr>
        <w:spacing w:line="240" w:lineRule="auto"/>
        <w:ind w:left="-425" w:right="-466" w:firstLine="425"/>
        <w:jc w:val="both"/>
        <w:rPr>
          <w:rFonts w:ascii="Times New Roman" w:hAnsi="Times New Roman" w:eastAsia="Times New Roman" w:cs="Times New Roman"/>
          <w:lang w:val="fr-FR"/>
        </w:rPr>
      </w:pPr>
      <w:r w:rsidRPr="69F4D826" w:rsidR="0003429D">
        <w:rPr>
          <w:rFonts w:ascii="Times New Roman" w:hAnsi="Times New Roman" w:eastAsia="Times New Roman" w:cs="Times New Roman"/>
          <w:lang w:val="fr-FR"/>
        </w:rPr>
        <w:t>Bien que la France ait voté en faveur de la Déclaration des Nations Unies sur les droits des peuples autochtones, elle refuse de reconnaître le statut de peuple autochtone</w:t>
      </w:r>
      <w:r w:rsidRPr="69F4D826" w:rsidR="004C14F8">
        <w:rPr>
          <w:rFonts w:ascii="Times New Roman" w:hAnsi="Times New Roman" w:eastAsia="Times New Roman" w:cs="Times New Roman"/>
          <w:lang w:val="fr-FR"/>
        </w:rPr>
        <w:t xml:space="preserve">, </w:t>
      </w:r>
      <w:r w:rsidRPr="69F4D826" w:rsidR="004C14F8">
        <w:rPr>
          <w:rFonts w:ascii="Times New Roman" w:hAnsi="Times New Roman" w:eastAsia="Times New Roman" w:cs="Times New Roman"/>
          <w:lang w:val="fr-FR"/>
        </w:rPr>
        <w:t>en invoquant les principes constitutionnels d’indivisibilité de la République, d’unicité du peuple français et d’égalité entre les citoyens</w:t>
      </w:r>
      <w:r w:rsidRPr="69F4D826" w:rsidR="004C14F8">
        <w:rPr>
          <w:rFonts w:ascii="Times New Roman" w:hAnsi="Times New Roman" w:eastAsia="Times New Roman" w:cs="Times New Roman"/>
          <w:vertAlign w:val="superscript"/>
          <w:lang w:val="fr-FR"/>
        </w:rPr>
        <w:footnoteReference w:id="1"/>
      </w:r>
      <w:r w:rsidRPr="69F4D826" w:rsidR="004C14F8">
        <w:rPr>
          <w:rFonts w:ascii="Times New Roman" w:hAnsi="Times New Roman" w:eastAsia="Times New Roman" w:cs="Times New Roman"/>
          <w:lang w:val="fr-FR"/>
        </w:rPr>
        <w:t>.</w:t>
      </w:r>
      <w:r w:rsidRPr="69F4D826" w:rsidR="0003429D">
        <w:rPr>
          <w:rFonts w:ascii="Times New Roman" w:hAnsi="Times New Roman" w:eastAsia="Times New Roman" w:cs="Times New Roman"/>
          <w:lang w:val="fr-FR"/>
        </w:rPr>
        <w:t xml:space="preserve"> </w:t>
      </w:r>
      <w:r w:rsidRPr="69F4D826" w:rsidR="004C14F8">
        <w:rPr>
          <w:rFonts w:ascii="Times New Roman" w:hAnsi="Times New Roman" w:eastAsia="Times New Roman" w:cs="Times New Roman"/>
          <w:lang w:val="fr-FR"/>
        </w:rPr>
        <w:t>E</w:t>
      </w:r>
      <w:r w:rsidRPr="69F4D826" w:rsidR="0003429D">
        <w:rPr>
          <w:rFonts w:ascii="Times New Roman" w:hAnsi="Times New Roman" w:eastAsia="Times New Roman" w:cs="Times New Roman"/>
          <w:lang w:val="fr-FR"/>
        </w:rPr>
        <w:t>lle ne reconnaît que l’existence de “</w:t>
      </w:r>
      <w:r w:rsidRPr="69F4D826" w:rsidR="0003429D">
        <w:rPr>
          <w:rFonts w:ascii="Times New Roman" w:hAnsi="Times New Roman" w:eastAsia="Times New Roman" w:cs="Times New Roman"/>
          <w:i w:val="1"/>
          <w:iCs w:val="1"/>
          <w:lang w:val="fr-FR"/>
        </w:rPr>
        <w:t>populations autochtones</w:t>
      </w:r>
      <w:r w:rsidRPr="69F4D826" w:rsidR="0003429D">
        <w:rPr>
          <w:rFonts w:ascii="Times New Roman" w:hAnsi="Times New Roman" w:eastAsia="Times New Roman" w:cs="Times New Roman"/>
          <w:lang w:val="fr-FR"/>
        </w:rPr>
        <w:t>”. Or, s’appuyant sur la définition de la notion d</w:t>
      </w:r>
      <w:r w:rsidRPr="69F4D826" w:rsidR="0003429D">
        <w:rPr>
          <w:rFonts w:ascii="Times New Roman" w:hAnsi="Times New Roman" w:eastAsia="Times New Roman" w:cs="Times New Roman"/>
          <w:lang w:val="fr-FR"/>
        </w:rPr>
        <w:t>’«</w:t>
      </w:r>
      <w:r w:rsidRPr="69F4D826" w:rsidR="0003429D">
        <w:rPr>
          <w:rFonts w:ascii="Times New Roman" w:hAnsi="Times New Roman" w:eastAsia="Times New Roman" w:cs="Times New Roman"/>
          <w:lang w:val="fr-FR"/>
        </w:rPr>
        <w:t> </w:t>
      </w:r>
      <w:r w:rsidRPr="69F4D826" w:rsidR="0003429D">
        <w:rPr>
          <w:rFonts w:ascii="Times New Roman" w:hAnsi="Times New Roman" w:eastAsia="Times New Roman" w:cs="Times New Roman"/>
          <w:i w:val="1"/>
          <w:iCs w:val="1"/>
          <w:lang w:val="fr-FR"/>
        </w:rPr>
        <w:t>autochtone </w:t>
      </w:r>
      <w:r w:rsidRPr="69F4D826" w:rsidR="0003429D">
        <w:rPr>
          <w:rFonts w:ascii="Times New Roman" w:hAnsi="Times New Roman" w:eastAsia="Times New Roman" w:cs="Times New Roman"/>
          <w:lang w:val="fr-FR"/>
        </w:rPr>
        <w:t xml:space="preserve">» donnée par José Martinez </w:t>
      </w:r>
      <w:r w:rsidRPr="69F4D826" w:rsidR="0003429D">
        <w:rPr>
          <w:rFonts w:ascii="Times New Roman" w:hAnsi="Times New Roman" w:eastAsia="Times New Roman" w:cs="Times New Roman"/>
          <w:lang w:val="fr-FR"/>
        </w:rPr>
        <w:t>Cobo</w:t>
      </w:r>
      <w:r w:rsidRPr="69F4D826" w:rsidR="0003429D">
        <w:rPr>
          <w:rFonts w:ascii="Times New Roman" w:hAnsi="Times New Roman" w:eastAsia="Times New Roman" w:cs="Times New Roman"/>
          <w:lang w:val="fr-FR"/>
        </w:rPr>
        <w:t xml:space="preserve"> - ancien rapporteur spécial -, la Commission Nationale Consultative des Droits de l’Homme (CNCDH) reconnaît la qualité de peuple autochtone </w:t>
      </w:r>
      <w:r w:rsidRPr="69F4D826" w:rsidR="0003429D">
        <w:rPr>
          <w:rFonts w:ascii="Times New Roman" w:hAnsi="Times New Roman" w:eastAsia="Times New Roman" w:cs="Times New Roman"/>
          <w:lang w:val="fr-FR"/>
        </w:rPr>
        <w:t xml:space="preserve">aux  Kanaks</w:t>
      </w:r>
      <w:r w:rsidRPr="69F4D826">
        <w:rPr>
          <w:rFonts w:ascii="Times New Roman" w:hAnsi="Times New Roman" w:eastAsia="Times New Roman" w:cs="Times New Roman"/>
          <w:vertAlign w:val="superscript"/>
          <w:lang w:val="fr-FR"/>
        </w:rPr>
        <w:footnoteReference w:id="2"/>
      </w:r>
      <w:r w:rsidRPr="69F4D826" w:rsidR="0003429D">
        <w:rPr>
          <w:rFonts w:ascii="Times New Roman" w:hAnsi="Times New Roman" w:eastAsia="Times New Roman" w:cs="Times New Roman"/>
          <w:lang w:val="fr-FR"/>
        </w:rPr>
        <w:t xml:space="preserve"> et aux Amérindiens de Guyane</w:t>
      </w:r>
      <w:r w:rsidRPr="69F4D826">
        <w:rPr>
          <w:rFonts w:ascii="Times New Roman" w:hAnsi="Times New Roman" w:eastAsia="Times New Roman" w:cs="Times New Roman"/>
          <w:vertAlign w:val="superscript"/>
          <w:lang w:val="fr-FR"/>
        </w:rPr>
        <w:footnoteReference w:id="3"/>
      </w:r>
      <w:r w:rsidRPr="69F4D826" w:rsidR="0003429D">
        <w:rPr>
          <w:rFonts w:ascii="Times New Roman" w:hAnsi="Times New Roman" w:eastAsia="Times New Roman" w:cs="Times New Roman"/>
          <w:lang w:val="fr-FR"/>
        </w:rPr>
        <w:t xml:space="preserve"> dans son avis du 23 février 2017 sur la situation des peuples autochtones en outre-mer</w:t>
      </w:r>
      <w:r w:rsidRPr="69F4D826">
        <w:rPr>
          <w:rFonts w:ascii="Times New Roman" w:hAnsi="Times New Roman" w:eastAsia="Times New Roman" w:cs="Times New Roman"/>
          <w:vertAlign w:val="superscript"/>
          <w:lang w:val="fr-FR"/>
        </w:rPr>
        <w:footnoteReference w:id="4"/>
      </w:r>
      <w:r w:rsidRPr="69F4D826" w:rsidR="0003429D">
        <w:rPr>
          <w:rFonts w:ascii="Times New Roman" w:hAnsi="Times New Roman" w:eastAsia="Times New Roman" w:cs="Times New Roman"/>
          <w:lang w:val="fr-FR"/>
        </w:rPr>
        <w:t xml:space="preserve">. </w:t>
      </w:r>
      <w:r w:rsidRPr="69F4D826" w:rsidR="004C14F8">
        <w:rPr>
          <w:rFonts w:ascii="Times New Roman" w:hAnsi="Times New Roman" w:eastAsia="Times New Roman" w:cs="Times New Roman"/>
          <w:lang w:val="fr-FR"/>
        </w:rPr>
        <w:t xml:space="preserve">D’autres peuples pourraient également être identifiés en tant que peuple autochtone tels que </w:t>
      </w:r>
      <w:r w:rsidRPr="69F4D826" w:rsidR="0003429D">
        <w:rPr>
          <w:rFonts w:ascii="Times New Roman" w:hAnsi="Times New Roman" w:eastAsia="Times New Roman" w:cs="Times New Roman"/>
          <w:lang w:val="fr-FR"/>
        </w:rPr>
        <w:t>les « </w:t>
      </w:r>
      <w:r w:rsidRPr="69F4D826" w:rsidR="0003429D">
        <w:rPr>
          <w:rFonts w:ascii="Times New Roman" w:hAnsi="Times New Roman" w:eastAsia="Times New Roman" w:cs="Times New Roman"/>
          <w:i w:val="1"/>
          <w:iCs w:val="1"/>
          <w:lang w:val="fr-FR"/>
        </w:rPr>
        <w:t>marrons </w:t>
      </w:r>
      <w:r w:rsidRPr="69F4D826" w:rsidR="0003429D">
        <w:rPr>
          <w:rFonts w:ascii="Times New Roman" w:hAnsi="Times New Roman" w:eastAsia="Times New Roman" w:cs="Times New Roman"/>
          <w:b w:val="1"/>
          <w:bCs w:val="1"/>
          <w:i w:val="1"/>
          <w:iCs w:val="1"/>
          <w:lang w:val="fr-FR"/>
        </w:rPr>
        <w:t>»</w:t>
      </w:r>
      <w:r w:rsidRPr="69F4D826" w:rsidR="0003429D">
        <w:rPr>
          <w:rFonts w:ascii="Times New Roman" w:hAnsi="Times New Roman" w:eastAsia="Times New Roman" w:cs="Times New Roman"/>
          <w:lang w:val="fr-FR"/>
        </w:rPr>
        <w:t xml:space="preserve"> de Guyane</w:t>
      </w:r>
      <w:r w:rsidRPr="69F4D826">
        <w:rPr>
          <w:rFonts w:ascii="Times New Roman" w:hAnsi="Times New Roman" w:eastAsia="Times New Roman" w:cs="Times New Roman"/>
          <w:vertAlign w:val="superscript"/>
          <w:lang w:val="fr-FR"/>
        </w:rPr>
        <w:footnoteReference w:id="5"/>
      </w:r>
      <w:r w:rsidRPr="69F4D826" w:rsidR="0003429D">
        <w:rPr>
          <w:rFonts w:ascii="Times New Roman" w:hAnsi="Times New Roman" w:eastAsia="Times New Roman" w:cs="Times New Roman"/>
          <w:lang w:val="fr-FR"/>
        </w:rPr>
        <w:t xml:space="preserve"> </w:t>
      </w:r>
      <w:r w:rsidRPr="69F4D826" w:rsidR="004C14F8">
        <w:rPr>
          <w:rFonts w:ascii="Times New Roman" w:hAnsi="Times New Roman" w:eastAsia="Times New Roman" w:cs="Times New Roman"/>
          <w:lang w:val="fr-FR"/>
        </w:rPr>
        <w:t xml:space="preserve">qui </w:t>
      </w:r>
      <w:r w:rsidRPr="69F4D826" w:rsidR="0003429D">
        <w:rPr>
          <w:rFonts w:ascii="Times New Roman" w:hAnsi="Times New Roman" w:eastAsia="Times New Roman" w:cs="Times New Roman"/>
          <w:lang w:val="fr-FR"/>
        </w:rPr>
        <w:t>ont</w:t>
      </w:r>
      <w:r w:rsidRPr="69F4D826" w:rsidR="0003429D">
        <w:rPr>
          <w:rFonts w:ascii="Times New Roman" w:hAnsi="Times New Roman" w:eastAsia="Times New Roman" w:cs="Times New Roman"/>
          <w:lang w:val="fr-FR"/>
        </w:rPr>
        <w:t xml:space="preserve"> été reconnus comme </w:t>
      </w:r>
      <w:r w:rsidRPr="69F4D826" w:rsidR="004C14F8">
        <w:rPr>
          <w:rFonts w:ascii="Times New Roman" w:hAnsi="Times New Roman" w:eastAsia="Times New Roman" w:cs="Times New Roman"/>
          <w:lang w:val="fr-FR"/>
        </w:rPr>
        <w:t>tel</w:t>
      </w:r>
      <w:r w:rsidRPr="69F4D826" w:rsidR="0003429D">
        <w:rPr>
          <w:rFonts w:ascii="Times New Roman" w:hAnsi="Times New Roman" w:eastAsia="Times New Roman" w:cs="Times New Roman"/>
          <w:lang w:val="fr-FR"/>
        </w:rPr>
        <w:t xml:space="preserve"> par la Cour interaméricaine des droits de l’homme.</w:t>
      </w:r>
    </w:p>
    <w:p w:rsidRPr="00B260BA" w:rsidR="00D847EA" w:rsidRDefault="00D847EA" w14:paraId="13306DB9" w14:textId="77777777">
      <w:pPr>
        <w:spacing w:line="240" w:lineRule="auto"/>
        <w:ind w:left="-425" w:right="-466"/>
        <w:jc w:val="both"/>
        <w:rPr>
          <w:rFonts w:ascii="Times New Roman" w:hAnsi="Times New Roman" w:eastAsia="Times New Roman" w:cs="Times New Roman"/>
        </w:rPr>
      </w:pPr>
    </w:p>
    <w:p w:rsidRPr="00B260BA" w:rsidR="00D847EA" w:rsidRDefault="0003429D" w14:paraId="43EE0F0D" w14:textId="77777777">
      <w:pPr>
        <w:numPr>
          <w:ilvl w:val="0"/>
          <w:numId w:val="1"/>
        </w:numPr>
        <w:spacing w:line="240" w:lineRule="auto"/>
        <w:ind w:right="-466"/>
        <w:jc w:val="both"/>
        <w:rPr>
          <w:rFonts w:ascii="Times New Roman" w:hAnsi="Times New Roman" w:eastAsia="Times New Roman" w:cs="Times New Roman"/>
        </w:rPr>
      </w:pPr>
      <w:r w:rsidRPr="00B260BA">
        <w:rPr>
          <w:rFonts w:ascii="Times New Roman" w:hAnsi="Times New Roman" w:eastAsia="Times New Roman" w:cs="Times New Roman"/>
          <w:u w:val="single"/>
        </w:rPr>
        <w:t xml:space="preserve">Consultation et consentement préalable </w:t>
      </w:r>
    </w:p>
    <w:p w:rsidRPr="00B260BA" w:rsidR="00D847EA" w:rsidRDefault="00D847EA" w14:paraId="1EC42C15" w14:textId="77777777">
      <w:pPr>
        <w:spacing w:line="240" w:lineRule="auto"/>
        <w:ind w:left="-425" w:right="-466"/>
        <w:jc w:val="both"/>
        <w:rPr>
          <w:rFonts w:ascii="Times New Roman" w:hAnsi="Times New Roman" w:eastAsia="Times New Roman" w:cs="Times New Roman"/>
        </w:rPr>
      </w:pPr>
    </w:p>
    <w:p w:rsidRPr="00B260BA" w:rsidR="00D847EA" w:rsidP="69F4D826" w:rsidRDefault="0003429D" w14:paraId="66DBEA9B" w14:textId="46355495">
      <w:pPr>
        <w:spacing w:line="240" w:lineRule="auto"/>
        <w:ind w:left="-425" w:right="-466" w:firstLine="425"/>
        <w:jc w:val="both"/>
        <w:rPr>
          <w:rFonts w:ascii="Times New Roman" w:hAnsi="Times New Roman" w:eastAsia="Times New Roman" w:cs="Times New Roman"/>
          <w:lang w:val="fr-FR"/>
        </w:rPr>
      </w:pPr>
      <w:r w:rsidRPr="69F4D826" w:rsidR="0003429D">
        <w:rPr>
          <w:rFonts w:ascii="Times New Roman" w:hAnsi="Times New Roman" w:eastAsia="Times New Roman" w:cs="Times New Roman"/>
          <w:lang w:val="fr-FR"/>
        </w:rPr>
        <w:t xml:space="preserve">En Guyane, la consultation des peuples se fait à travers le Grand Conseil coutumier des populations amérindiennes et </w:t>
      </w:r>
      <w:r w:rsidRPr="69F4D826" w:rsidR="0003429D">
        <w:rPr>
          <w:rFonts w:ascii="Times New Roman" w:hAnsi="Times New Roman" w:eastAsia="Times New Roman" w:cs="Times New Roman"/>
          <w:lang w:val="fr-FR"/>
        </w:rPr>
        <w:t>bushinenges</w:t>
      </w:r>
      <w:r w:rsidRPr="69F4D826" w:rsidR="0003429D">
        <w:rPr>
          <w:rFonts w:ascii="Times New Roman" w:hAnsi="Times New Roman" w:eastAsia="Times New Roman" w:cs="Times New Roman"/>
          <w:lang w:val="fr-FR"/>
        </w:rPr>
        <w:t>. Ce dernier donne son avis préalable sur tout projet ou proposition de délibération de l’assemblée de Guyane emportant des conséquences sur l’environnement ou le cadre de vie ou intéressant l’identité des peuples. Néanmoins, l’Organisation des Nations Autochtones de Guyane (ci-après, ONAG) - ONG au statut consultatif auprès de l’ECOSOC - a pointé les limites de ce fonctionnement qui respecte l’obligation de consultation mais non l’obligation de consentement</w:t>
      </w:r>
      <w:r w:rsidRPr="69F4D826" w:rsidR="004C14F8">
        <w:rPr>
          <w:rFonts w:ascii="Times New Roman" w:hAnsi="Times New Roman" w:eastAsia="Times New Roman" w:cs="Times New Roman"/>
          <w:lang w:val="fr-FR"/>
        </w:rPr>
        <w:t>, car ses avis n’ont qu’un caractère consultatif</w:t>
      </w:r>
      <w:r w:rsidRPr="69F4D826">
        <w:rPr>
          <w:rFonts w:ascii="Times New Roman" w:hAnsi="Times New Roman" w:eastAsia="Times New Roman" w:cs="Times New Roman"/>
          <w:vertAlign w:val="superscript"/>
          <w:lang w:val="fr-FR"/>
        </w:rPr>
        <w:footnoteReference w:id="6"/>
      </w:r>
      <w:r w:rsidRPr="69F4D826" w:rsidR="0003429D">
        <w:rPr>
          <w:rFonts w:ascii="Times New Roman" w:hAnsi="Times New Roman" w:eastAsia="Times New Roman" w:cs="Times New Roman"/>
          <w:lang w:val="fr-FR"/>
        </w:rPr>
        <w:t>.</w:t>
      </w:r>
      <w:r w:rsidRPr="69F4D826" w:rsidR="0003429D">
        <w:rPr>
          <w:rFonts w:ascii="Times New Roman" w:hAnsi="Times New Roman" w:eastAsia="Times New Roman" w:cs="Times New Roman"/>
          <w:b w:val="1"/>
          <w:bCs w:val="1"/>
          <w:lang w:val="fr-FR"/>
        </w:rPr>
        <w:t xml:space="preserve"> </w:t>
      </w:r>
      <w:r w:rsidRPr="69F4D826" w:rsidR="0003429D">
        <w:rPr>
          <w:rFonts w:ascii="Times New Roman" w:hAnsi="Times New Roman" w:eastAsia="Times New Roman" w:cs="Times New Roman"/>
          <w:lang w:val="fr-FR"/>
        </w:rPr>
        <w:t xml:space="preserve">L’ONAG recommande un droit de veto pour satisfaire </w:t>
      </w:r>
      <w:r w:rsidRPr="69F4D826" w:rsidR="004C14F8">
        <w:rPr>
          <w:rFonts w:ascii="Times New Roman" w:hAnsi="Times New Roman" w:eastAsia="Times New Roman" w:cs="Times New Roman"/>
          <w:lang w:val="fr-FR"/>
        </w:rPr>
        <w:t xml:space="preserve">à </w:t>
      </w:r>
      <w:r w:rsidRPr="69F4D826" w:rsidR="0003429D">
        <w:rPr>
          <w:rFonts w:ascii="Times New Roman" w:hAnsi="Times New Roman" w:eastAsia="Times New Roman" w:cs="Times New Roman"/>
          <w:lang w:val="fr-FR"/>
        </w:rPr>
        <w:t>l’obligation de consentement préalable</w:t>
      </w:r>
      <w:r w:rsidRPr="69F4D826">
        <w:rPr>
          <w:rFonts w:ascii="Times New Roman" w:hAnsi="Times New Roman" w:eastAsia="Times New Roman" w:cs="Times New Roman"/>
          <w:vertAlign w:val="superscript"/>
          <w:lang w:val="fr-FR"/>
        </w:rPr>
        <w:footnoteReference w:id="7"/>
      </w:r>
      <w:r w:rsidRPr="69F4D826" w:rsidR="0003429D">
        <w:rPr>
          <w:rFonts w:ascii="Times New Roman" w:hAnsi="Times New Roman" w:eastAsia="Times New Roman" w:cs="Times New Roman"/>
          <w:lang w:val="fr-FR"/>
        </w:rPr>
        <w:t>.</w:t>
      </w:r>
      <w:r w:rsidRPr="69F4D826" w:rsidR="0003429D">
        <w:rPr>
          <w:rFonts w:ascii="Times New Roman" w:hAnsi="Times New Roman" w:eastAsia="Times New Roman" w:cs="Times New Roman"/>
          <w:b w:val="1"/>
          <w:bCs w:val="1"/>
          <w:lang w:val="fr-FR"/>
        </w:rPr>
        <w:t xml:space="preserve"> </w:t>
      </w:r>
      <w:r w:rsidRPr="69F4D826" w:rsidR="0003429D">
        <w:rPr>
          <w:rFonts w:ascii="Times New Roman" w:hAnsi="Times New Roman" w:eastAsia="Times New Roman" w:cs="Times New Roman"/>
          <w:lang w:val="fr-FR"/>
        </w:rPr>
        <w:t xml:space="preserve">De surcroît, c’est l’origine même de ce Grand Conseil qui représente une atteinte à l’obligation de consentement des peuples : le partage entre les peuples amérindiens et </w:t>
      </w:r>
      <w:r w:rsidRPr="69F4D826" w:rsidR="0003429D">
        <w:rPr>
          <w:rFonts w:ascii="Times New Roman" w:hAnsi="Times New Roman" w:eastAsia="Times New Roman" w:cs="Times New Roman"/>
          <w:lang w:val="fr-FR"/>
        </w:rPr>
        <w:t>bushinenges</w:t>
      </w:r>
      <w:r w:rsidRPr="69F4D826" w:rsidR="0003429D">
        <w:rPr>
          <w:rFonts w:ascii="Times New Roman" w:hAnsi="Times New Roman" w:eastAsia="Times New Roman" w:cs="Times New Roman"/>
          <w:lang w:val="fr-FR"/>
        </w:rPr>
        <w:t xml:space="preserve"> n’a pas été choisi par ces derniers. Or, la présidence tournante mène à une situation d’absence complète de représentation du peuple dont n’est pas issu le président. Pour pallier cette absence de représentation, l’ONAG recommande la reconnaissance de l’ensemble des autorités coutumières comme personnes morales</w:t>
      </w:r>
      <w:r w:rsidRPr="69F4D826">
        <w:rPr>
          <w:rFonts w:ascii="Times New Roman" w:hAnsi="Times New Roman" w:eastAsia="Times New Roman" w:cs="Times New Roman"/>
          <w:vertAlign w:val="superscript"/>
          <w:lang w:val="fr-FR"/>
        </w:rPr>
        <w:footnoteReference w:id="8"/>
      </w:r>
      <w:r w:rsidRPr="69F4D826" w:rsidR="0003429D">
        <w:rPr>
          <w:rFonts w:ascii="Times New Roman" w:hAnsi="Times New Roman" w:eastAsia="Times New Roman" w:cs="Times New Roman"/>
          <w:lang w:val="fr-FR"/>
        </w:rPr>
        <w:t xml:space="preserve">. Un exemple concret alerte sur ces difficultés : le projet de mine de la Montagne d’Or, au sujet duquel le CERD avait adressé une lettre d’urgence à la France </w:t>
      </w:r>
      <w:r w:rsidRPr="69F4D826" w:rsidR="004C14F8">
        <w:rPr>
          <w:rFonts w:ascii="Times New Roman" w:hAnsi="Times New Roman" w:eastAsia="Times New Roman" w:cs="Times New Roman"/>
          <w:lang w:val="fr-FR"/>
        </w:rPr>
        <w:t>concernant le non-respect de</w:t>
      </w:r>
      <w:r w:rsidRPr="69F4D826" w:rsidR="0003429D">
        <w:rPr>
          <w:rFonts w:ascii="Times New Roman" w:hAnsi="Times New Roman" w:eastAsia="Times New Roman" w:cs="Times New Roman"/>
          <w:lang w:val="fr-FR"/>
        </w:rPr>
        <w:t xml:space="preserve"> l’obligation de consentement</w:t>
      </w:r>
      <w:r w:rsidRPr="69F4D826">
        <w:rPr>
          <w:rFonts w:ascii="Times New Roman" w:hAnsi="Times New Roman" w:eastAsia="Times New Roman" w:cs="Times New Roman"/>
          <w:vertAlign w:val="superscript"/>
          <w:lang w:val="fr-FR"/>
        </w:rPr>
        <w:footnoteReference w:id="9"/>
      </w:r>
      <w:r w:rsidRPr="69F4D826" w:rsidR="0003429D">
        <w:rPr>
          <w:rFonts w:ascii="Times New Roman" w:hAnsi="Times New Roman" w:eastAsia="Times New Roman" w:cs="Times New Roman"/>
          <w:lang w:val="fr-FR"/>
        </w:rPr>
        <w:t xml:space="preserve">. L’ONAG a rappelé le fait que la seule consultation du Sénat coutumier ne saurait représenter le consentement de l’ensemble des peuples pour ce projet. De la même manière, dans le cadre du mécanisme d’accès et de partage des avantages (APA), l’Etat Français a désigné le Parc amazonien de Guyane comme personne morale pour assurer la </w:t>
      </w:r>
      <w:r w:rsidRPr="69F4D826" w:rsidR="0003429D">
        <w:rPr>
          <w:rFonts w:ascii="Times New Roman" w:hAnsi="Times New Roman" w:eastAsia="Times New Roman" w:cs="Times New Roman"/>
          <w:lang w:val="fr-FR"/>
        </w:rPr>
        <w:t>consultation des communautés en cas de demande d’accès aux connaissances traditionnelles (court-circuitant d’ailleurs le Grand Conseil). Or, ce système est inadapté aux coutumes locales puisqu’un seul chef rendra un avis pour toute la communauté</w:t>
      </w:r>
      <w:r w:rsidRPr="69F4D826">
        <w:rPr>
          <w:rFonts w:ascii="Times New Roman" w:hAnsi="Times New Roman" w:eastAsia="Times New Roman" w:cs="Times New Roman"/>
          <w:vertAlign w:val="superscript"/>
          <w:lang w:val="fr-FR"/>
        </w:rPr>
        <w:footnoteReference w:id="10"/>
      </w:r>
      <w:r w:rsidRPr="69F4D826" w:rsidR="0003429D">
        <w:rPr>
          <w:rFonts w:ascii="Times New Roman" w:hAnsi="Times New Roman" w:eastAsia="Times New Roman" w:cs="Times New Roman"/>
          <w:lang w:val="fr-FR"/>
        </w:rPr>
        <w:t xml:space="preserve"> alors que le peuple amérindien ne fonctionne pas selon ce standard de représentation. </w:t>
      </w:r>
      <w:r w:rsidRPr="00B260BA">
        <w:rPr>
          <w:rFonts w:ascii="Times New Roman" w:hAnsi="Times New Roman" w:eastAsia="Times New Roman" w:cs="Times New Roman"/>
        </w:rPr>
        <w:tab/>
      </w:r>
    </w:p>
    <w:p w:rsidRPr="00B260BA" w:rsidR="00D847EA" w:rsidRDefault="0003429D" w14:paraId="1DC4395E" w14:textId="77777777">
      <w:pPr>
        <w:spacing w:line="240" w:lineRule="auto"/>
        <w:ind w:left="-425" w:right="-466" w:firstLine="425"/>
        <w:jc w:val="both"/>
        <w:rPr>
          <w:rFonts w:ascii="Times New Roman" w:hAnsi="Times New Roman" w:eastAsia="Times New Roman" w:cs="Times New Roman"/>
          <w:highlight w:val="yellow"/>
        </w:rPr>
      </w:pPr>
      <w:r w:rsidRPr="00B260BA">
        <w:rPr>
          <w:rFonts w:ascii="Times New Roman" w:hAnsi="Times New Roman" w:eastAsia="Times New Roman" w:cs="Times New Roman"/>
        </w:rPr>
        <w:t>En Nouvelle-Calédonie, les Accords de Nouméa instituent le Sénat Coutumier, composé de 16 sénateurs, deux pour chaque Conseil coutumier. L’article 142 de la loi organique</w:t>
      </w:r>
      <w:r w:rsidRPr="00B260BA">
        <w:rPr>
          <w:rFonts w:ascii="Times New Roman" w:hAnsi="Times New Roman" w:eastAsia="Times New Roman" w:cs="Times New Roman"/>
          <w:vertAlign w:val="superscript"/>
        </w:rPr>
        <w:footnoteReference w:id="11"/>
      </w:r>
      <w:r w:rsidRPr="00B260BA">
        <w:rPr>
          <w:rFonts w:ascii="Times New Roman" w:hAnsi="Times New Roman" w:eastAsia="Times New Roman" w:cs="Times New Roman"/>
        </w:rPr>
        <w:t xml:space="preserve"> prévoit qu’il soit investi d’un pouvoir de codécision législative avec le Congrès sur</w:t>
      </w:r>
      <w:r w:rsidRPr="00B260BA">
        <w:rPr>
          <w:rFonts w:ascii="Times New Roman" w:hAnsi="Times New Roman" w:eastAsia="Times New Roman" w:cs="Times New Roman"/>
          <w:i/>
        </w:rPr>
        <w:t xml:space="preserve"> « tout projet ou proposition de loi du pays relatif aux signes identitaires, au statut civil coutumier, au régime des terres coutumières et aux modalités d'élection au sénat coutumier et aux conseils coutumiers »</w:t>
      </w:r>
      <w:r w:rsidRPr="00B260BA">
        <w:rPr>
          <w:rFonts w:ascii="Times New Roman" w:hAnsi="Times New Roman" w:eastAsia="Times New Roman" w:cs="Times New Roman"/>
        </w:rPr>
        <w:t>. Le tribunal administratif de Nouvelle-Calédonie</w:t>
      </w:r>
      <w:r w:rsidRPr="00B260BA">
        <w:rPr>
          <w:rFonts w:ascii="Times New Roman" w:hAnsi="Times New Roman" w:eastAsia="Times New Roman" w:cs="Times New Roman"/>
          <w:vertAlign w:val="superscript"/>
        </w:rPr>
        <w:footnoteReference w:id="12"/>
      </w:r>
      <w:r w:rsidRPr="00B260BA">
        <w:rPr>
          <w:rFonts w:ascii="Times New Roman" w:hAnsi="Times New Roman" w:eastAsia="Times New Roman" w:cs="Times New Roman"/>
        </w:rPr>
        <w:t xml:space="preserve"> veille au respect des attributions reconnues au Sénat. Cependant, les recommandations du Sénat souffrent de leur absence de caractère contraignant. Néanmoins, l’article 142 n’a pas encore été invoqué par le Congrès, à notre connaissance. De même, la Charte du peuple kanak adoptée par cet organe</w:t>
      </w:r>
      <w:r w:rsidRPr="00B260BA">
        <w:rPr>
          <w:rFonts w:ascii="Times New Roman" w:hAnsi="Times New Roman" w:eastAsia="Times New Roman" w:cs="Times New Roman"/>
          <w:vertAlign w:val="superscript"/>
        </w:rPr>
        <w:footnoteReference w:id="13"/>
      </w:r>
      <w:r w:rsidRPr="00B260BA">
        <w:rPr>
          <w:rFonts w:ascii="Times New Roman" w:hAnsi="Times New Roman" w:eastAsia="Times New Roman" w:cs="Times New Roman"/>
        </w:rPr>
        <w:t xml:space="preserve"> n’a pas de valeur juridique. </w:t>
      </w:r>
    </w:p>
    <w:p w:rsidRPr="00B260BA" w:rsidR="00257A75" w:rsidP="69F4D826" w:rsidRDefault="0003429D" w14:paraId="0776FBC1" w14:textId="77777777">
      <w:pPr>
        <w:spacing w:line="240" w:lineRule="auto"/>
        <w:ind w:left="-425" w:right="-466" w:firstLine="425"/>
        <w:jc w:val="both"/>
        <w:rPr>
          <w:rFonts w:ascii="Times New Roman" w:hAnsi="Times New Roman" w:eastAsia="Times New Roman" w:cs="Times New Roman"/>
          <w:lang w:val="fr-FR"/>
        </w:rPr>
      </w:pPr>
      <w:r w:rsidRPr="69F4D826" w:rsidR="0003429D">
        <w:rPr>
          <w:rFonts w:ascii="Times New Roman" w:hAnsi="Times New Roman" w:eastAsia="Times New Roman" w:cs="Times New Roman"/>
          <w:lang w:val="fr-FR"/>
        </w:rPr>
        <w:t>Les Accords établissent également un plan sur vingt ans durant lesquels l’Etat français procédera à un partage progressif et irréversible des compétences de sa souveraineté. La loi constitutionnelle</w:t>
      </w:r>
      <w:r w:rsidRPr="69F4D826">
        <w:rPr>
          <w:rFonts w:ascii="Times New Roman" w:hAnsi="Times New Roman" w:eastAsia="Times New Roman" w:cs="Times New Roman"/>
          <w:vertAlign w:val="superscript"/>
          <w:lang w:val="fr-FR"/>
        </w:rPr>
        <w:footnoteReference w:id="14"/>
      </w:r>
      <w:r w:rsidRPr="69F4D826" w:rsidR="0003429D">
        <w:rPr>
          <w:rFonts w:ascii="Times New Roman" w:hAnsi="Times New Roman" w:eastAsia="Times New Roman" w:cs="Times New Roman"/>
          <w:lang w:val="fr-FR"/>
        </w:rPr>
        <w:t xml:space="preserve"> subséquente à ces Accords prévoit, à l’article 77 de la Constitution, la consultation de l’Assemblée délibérante de la Nouvelle-Calédonie sur un certain nombre de questions traitées au sein de la loi organique dont « </w:t>
      </w:r>
      <w:r w:rsidRPr="69F4D826" w:rsidR="0003429D">
        <w:rPr>
          <w:rFonts w:ascii="Times New Roman" w:hAnsi="Times New Roman" w:eastAsia="Times New Roman" w:cs="Times New Roman"/>
          <w:i w:val="1"/>
          <w:iCs w:val="1"/>
          <w:lang w:val="fr-FR"/>
        </w:rPr>
        <w:t>les conditions et les délais dans lesquels les populations intéressées de la Nouvelle-Calédonie seront amenées à se prononcer sur l'accession à la pleine souveraineté </w:t>
      </w:r>
      <w:r w:rsidRPr="69F4D826" w:rsidR="0003429D">
        <w:rPr>
          <w:rFonts w:ascii="Times New Roman" w:hAnsi="Times New Roman" w:eastAsia="Times New Roman" w:cs="Times New Roman"/>
          <w:lang w:val="fr-FR"/>
        </w:rPr>
        <w:t>». Cet article fait référence aux référendums</w:t>
      </w:r>
      <w:r w:rsidRPr="69F4D826">
        <w:rPr>
          <w:rFonts w:ascii="Times New Roman" w:hAnsi="Times New Roman" w:eastAsia="Times New Roman" w:cs="Times New Roman"/>
          <w:vertAlign w:val="superscript"/>
          <w:lang w:val="fr-FR"/>
        </w:rPr>
        <w:footnoteReference w:id="15"/>
      </w:r>
      <w:r w:rsidRPr="69F4D826" w:rsidR="0003429D">
        <w:rPr>
          <w:rFonts w:ascii="Times New Roman" w:hAnsi="Times New Roman" w:eastAsia="Times New Roman" w:cs="Times New Roman"/>
          <w:lang w:val="fr-FR"/>
        </w:rPr>
        <w:t xml:space="preserve"> par lesquels il était demandé à la population néo-calédonienne si elle souhaitait devenir indépendante, ce qu’elle a refusé. Le troisième et dernier référendum a soulevé des contestations de la part notamment du Sénat coutumier et du conseil coutumier de l’aire </w:t>
      </w:r>
      <w:r w:rsidRPr="69F4D826" w:rsidR="0003429D">
        <w:rPr>
          <w:rFonts w:ascii="Times New Roman" w:hAnsi="Times New Roman" w:eastAsia="Times New Roman" w:cs="Times New Roman"/>
          <w:lang w:val="fr-FR"/>
        </w:rPr>
        <w:t>Drubea</w:t>
      </w:r>
      <w:r w:rsidRPr="69F4D826" w:rsidR="0003429D">
        <w:rPr>
          <w:rFonts w:ascii="Times New Roman" w:hAnsi="Times New Roman" w:eastAsia="Times New Roman" w:cs="Times New Roman"/>
          <w:lang w:val="fr-FR"/>
        </w:rPr>
        <w:t xml:space="preserve"> </w:t>
      </w:r>
      <w:r w:rsidRPr="69F4D826" w:rsidR="0003429D">
        <w:rPr>
          <w:rFonts w:ascii="Times New Roman" w:hAnsi="Times New Roman" w:eastAsia="Times New Roman" w:cs="Times New Roman"/>
          <w:lang w:val="fr-FR"/>
        </w:rPr>
        <w:t>Kapumë</w:t>
      </w:r>
      <w:r w:rsidRPr="69F4D826">
        <w:rPr>
          <w:rFonts w:ascii="Times New Roman" w:hAnsi="Times New Roman" w:eastAsia="Times New Roman" w:cs="Times New Roman"/>
          <w:vertAlign w:val="superscript"/>
          <w:lang w:val="fr-FR"/>
        </w:rPr>
        <w:footnoteReference w:id="16"/>
      </w:r>
      <w:r w:rsidRPr="69F4D826" w:rsidR="0003429D">
        <w:rPr>
          <w:rFonts w:ascii="Times New Roman" w:hAnsi="Times New Roman" w:eastAsia="Times New Roman" w:cs="Times New Roman"/>
          <w:lang w:val="fr-FR"/>
        </w:rPr>
        <w:t xml:space="preserve">, bien que les modalités contestées aient été fixées par l’Etat français </w:t>
      </w:r>
      <w:r w:rsidRPr="69F4D826" w:rsidR="0003429D">
        <w:rPr>
          <w:rFonts w:ascii="Times New Roman" w:hAnsi="Times New Roman" w:eastAsia="Times New Roman" w:cs="Times New Roman"/>
          <w:lang w:val="fr-FR"/>
        </w:rPr>
        <w:t>suite à des</w:t>
      </w:r>
      <w:r w:rsidRPr="69F4D826" w:rsidR="0003429D">
        <w:rPr>
          <w:rFonts w:ascii="Times New Roman" w:hAnsi="Times New Roman" w:eastAsia="Times New Roman" w:cs="Times New Roman"/>
          <w:lang w:val="fr-FR"/>
        </w:rPr>
        <w:t xml:space="preserve"> rencontres avec les partis politiques néo-calédoniens</w:t>
      </w:r>
      <w:r w:rsidRPr="69F4D826">
        <w:rPr>
          <w:rFonts w:ascii="Times New Roman" w:hAnsi="Times New Roman" w:eastAsia="Times New Roman" w:cs="Times New Roman"/>
          <w:vertAlign w:val="superscript"/>
          <w:lang w:val="fr-FR"/>
        </w:rPr>
        <w:footnoteReference w:id="17"/>
      </w:r>
      <w:r w:rsidRPr="69F4D826" w:rsidR="0003429D">
        <w:rPr>
          <w:rFonts w:ascii="Times New Roman" w:hAnsi="Times New Roman" w:eastAsia="Times New Roman" w:cs="Times New Roman"/>
          <w:lang w:val="fr-FR"/>
        </w:rPr>
        <w:t>. Depuis la signature des Accords de Nouméa, le caractère restreint du corps électoral est critiqué : 20% des résidents calédoniens ne pouvaient en effet s’exprimer lors du référendum</w:t>
      </w:r>
      <w:r w:rsidRPr="69F4D826">
        <w:rPr>
          <w:rFonts w:ascii="Times New Roman" w:hAnsi="Times New Roman" w:eastAsia="Times New Roman" w:cs="Times New Roman"/>
          <w:vertAlign w:val="superscript"/>
          <w:lang w:val="fr-FR"/>
        </w:rPr>
        <w:footnoteReference w:id="18"/>
      </w:r>
      <w:r w:rsidRPr="69F4D826" w:rsidR="0003429D">
        <w:rPr>
          <w:rFonts w:ascii="Times New Roman" w:hAnsi="Times New Roman" w:eastAsia="Times New Roman" w:cs="Times New Roman"/>
          <w:lang w:val="fr-FR"/>
        </w:rPr>
        <w:t xml:space="preserve">. </w:t>
      </w:r>
    </w:p>
    <w:p w:rsidRPr="00B260BA" w:rsidR="00257A75" w:rsidRDefault="00257A75" w14:paraId="1EF82FA5" w14:textId="77777777">
      <w:pPr>
        <w:spacing w:line="240" w:lineRule="auto"/>
        <w:ind w:left="-425" w:right="-466" w:firstLine="425"/>
        <w:jc w:val="both"/>
        <w:rPr>
          <w:rFonts w:ascii="Times New Roman" w:hAnsi="Times New Roman" w:eastAsia="Times New Roman" w:cs="Times New Roman"/>
        </w:rPr>
      </w:pPr>
    </w:p>
    <w:p w:rsidRPr="00B260BA" w:rsidR="00D847EA" w:rsidRDefault="0003429D" w14:paraId="0BD984B2" w14:textId="21DDE145">
      <w:pPr>
        <w:spacing w:line="240" w:lineRule="auto"/>
        <w:ind w:left="-425" w:right="-466" w:firstLine="425"/>
        <w:jc w:val="both"/>
        <w:rPr>
          <w:rFonts w:ascii="Times New Roman" w:hAnsi="Times New Roman" w:eastAsia="Times New Roman" w:cs="Times New Roman"/>
        </w:rPr>
      </w:pPr>
      <w:r w:rsidRPr="00B260BA">
        <w:rPr>
          <w:rFonts w:ascii="Times New Roman" w:hAnsi="Times New Roman" w:eastAsia="Times New Roman" w:cs="Times New Roman"/>
        </w:rPr>
        <w:t>Par ailleurs, la Cour européenne des droits de l’homme a récemment traité de la question du maintien de la nationalité française en cas d’indépendance</w:t>
      </w:r>
      <w:r w:rsidRPr="00B260BA">
        <w:rPr>
          <w:rFonts w:ascii="Times New Roman" w:hAnsi="Times New Roman" w:eastAsia="Times New Roman" w:cs="Times New Roman"/>
          <w:vertAlign w:val="superscript"/>
        </w:rPr>
        <w:footnoteReference w:id="19"/>
      </w:r>
      <w:r w:rsidRPr="00B260BA">
        <w:rPr>
          <w:rFonts w:ascii="Times New Roman" w:hAnsi="Times New Roman" w:eastAsia="Times New Roman" w:cs="Times New Roman"/>
        </w:rPr>
        <w:t>.  Elle a considéré que la législation, prévoyant que seules les personnes ayant acquis la nationalité par décret avant l’indépendance de Djibouti la conservai</w:t>
      </w:r>
      <w:r w:rsidRPr="00B260BA" w:rsidR="00257A75">
        <w:rPr>
          <w:rFonts w:ascii="Times New Roman" w:hAnsi="Times New Roman" w:eastAsia="Times New Roman" w:cs="Times New Roman"/>
        </w:rPr>
        <w:t>en</w:t>
      </w:r>
      <w:r w:rsidRPr="00B260BA">
        <w:rPr>
          <w:rFonts w:ascii="Times New Roman" w:hAnsi="Times New Roman" w:eastAsia="Times New Roman" w:cs="Times New Roman"/>
        </w:rPr>
        <w:t>t de plein droit alors que les autres pouvaient faire une déclaration de reconnaissance s’ils avaient établi leur domicile, à la date de l’indépendance, dans le territoire français hors de la zone nouvellement indépendante, ne violait pas le principe de non-discrimination.</w:t>
      </w:r>
    </w:p>
    <w:p w:rsidRPr="00B260BA" w:rsidR="00D847EA" w:rsidRDefault="00D847EA" w14:paraId="32C46753" w14:textId="77777777">
      <w:pPr>
        <w:spacing w:line="240" w:lineRule="auto"/>
        <w:ind w:left="-425" w:right="-466" w:firstLine="425"/>
        <w:jc w:val="both"/>
        <w:rPr>
          <w:rFonts w:ascii="Times New Roman" w:hAnsi="Times New Roman" w:eastAsia="Times New Roman" w:cs="Times New Roman"/>
        </w:rPr>
      </w:pPr>
    </w:p>
    <w:p w:rsidRPr="00B260BA" w:rsidR="00D847EA" w:rsidRDefault="0003429D" w14:paraId="33BC99A5" w14:textId="77777777">
      <w:pPr>
        <w:numPr>
          <w:ilvl w:val="0"/>
          <w:numId w:val="1"/>
        </w:numPr>
        <w:spacing w:line="240" w:lineRule="auto"/>
        <w:ind w:right="-465"/>
        <w:jc w:val="both"/>
        <w:rPr>
          <w:rFonts w:ascii="Times New Roman" w:hAnsi="Times New Roman" w:eastAsia="Times New Roman" w:cs="Times New Roman"/>
        </w:rPr>
      </w:pPr>
      <w:r w:rsidRPr="00B260BA">
        <w:rPr>
          <w:rFonts w:ascii="Times New Roman" w:hAnsi="Times New Roman" w:eastAsia="Times New Roman" w:cs="Times New Roman"/>
          <w:u w:val="single"/>
        </w:rPr>
        <w:t xml:space="preserve">Accès aux terres et cession du foncier </w:t>
      </w:r>
    </w:p>
    <w:p w:rsidRPr="00B260BA" w:rsidR="00D847EA" w:rsidRDefault="00D847EA" w14:paraId="655F1526" w14:textId="77777777">
      <w:pPr>
        <w:spacing w:line="240" w:lineRule="auto"/>
        <w:ind w:right="-465"/>
        <w:jc w:val="both"/>
        <w:rPr>
          <w:rFonts w:ascii="Times New Roman" w:hAnsi="Times New Roman" w:eastAsia="Times New Roman" w:cs="Times New Roman"/>
        </w:rPr>
      </w:pPr>
    </w:p>
    <w:p w:rsidRPr="00B260BA" w:rsidR="00D847EA" w:rsidRDefault="0003429D" w14:paraId="0BBB3437" w14:textId="77777777">
      <w:pPr>
        <w:spacing w:line="240" w:lineRule="auto"/>
        <w:ind w:left="-426" w:right="-465" w:firstLine="426"/>
        <w:jc w:val="both"/>
        <w:rPr>
          <w:rFonts w:ascii="Times New Roman" w:hAnsi="Times New Roman" w:eastAsia="Times New Roman" w:cs="Times New Roman"/>
        </w:rPr>
      </w:pPr>
      <w:r w:rsidRPr="00B260BA">
        <w:rPr>
          <w:rFonts w:ascii="Times New Roman" w:hAnsi="Times New Roman" w:eastAsia="Times New Roman" w:cs="Times New Roman"/>
        </w:rPr>
        <w:t xml:space="preserve">Si les mesures adoptées par la France dans ce domaine sont rares, plusieurs évolutions législatives, réglementaires et jurisprudentielles récentes sont à souligner. </w:t>
      </w:r>
    </w:p>
    <w:p w:rsidRPr="00B260BA" w:rsidR="00D847EA" w:rsidP="69F4D826" w:rsidRDefault="0003429D" w14:paraId="27CEDA8E" w14:textId="789E7AA9" w14:noSpellErr="1">
      <w:pPr>
        <w:spacing w:line="240" w:lineRule="auto"/>
        <w:ind w:left="-425" w:right="-466" w:firstLine="425"/>
        <w:jc w:val="both"/>
        <w:rPr>
          <w:rFonts w:ascii="Times New Roman" w:hAnsi="Times New Roman" w:eastAsia="Times New Roman" w:cs="Times New Roman"/>
          <w:highlight w:val="white"/>
          <w:lang w:val="fr-FR"/>
        </w:rPr>
      </w:pPr>
      <w:r w:rsidRPr="69F4D826" w:rsidR="0003429D">
        <w:rPr>
          <w:rFonts w:ascii="Times New Roman" w:hAnsi="Times New Roman" w:eastAsia="Times New Roman" w:cs="Times New Roman"/>
          <w:lang w:val="fr-FR"/>
        </w:rPr>
        <w:t>La loi du 8 août 2016</w:t>
      </w:r>
      <w:r w:rsidRPr="69F4D826">
        <w:rPr>
          <w:rFonts w:ascii="Times New Roman" w:hAnsi="Times New Roman" w:eastAsia="Times New Roman" w:cs="Times New Roman"/>
          <w:vertAlign w:val="superscript"/>
          <w:lang w:val="fr-FR"/>
        </w:rPr>
        <w:footnoteReference w:id="20"/>
      </w:r>
      <w:r w:rsidRPr="69F4D826" w:rsidR="0003429D">
        <w:rPr>
          <w:rFonts w:ascii="Times New Roman" w:hAnsi="Times New Roman" w:eastAsia="Times New Roman" w:cs="Times New Roman"/>
          <w:lang w:val="fr-FR"/>
        </w:rPr>
        <w:t xml:space="preserve"> a transposé, en droit interne, les dispositions européennes et internationales sur l’accès aux ressources génétiques</w:t>
      </w:r>
      <w:r w:rsidRPr="69F4D826">
        <w:rPr>
          <w:rFonts w:ascii="Times New Roman" w:hAnsi="Times New Roman" w:eastAsia="Times New Roman" w:cs="Times New Roman"/>
          <w:vertAlign w:val="superscript"/>
          <w:lang w:val="fr-FR"/>
        </w:rPr>
        <w:footnoteReference w:id="21"/>
      </w:r>
      <w:r w:rsidRPr="69F4D826" w:rsidR="0003429D">
        <w:rPr>
          <w:rFonts w:ascii="Times New Roman" w:hAnsi="Times New Roman" w:eastAsia="Times New Roman" w:cs="Times New Roman"/>
          <w:lang w:val="fr-FR"/>
        </w:rPr>
        <w:t>, protégeant les « </w:t>
      </w:r>
      <w:r w:rsidRPr="69F4D826" w:rsidR="0003429D">
        <w:rPr>
          <w:rFonts w:ascii="Times New Roman" w:hAnsi="Times New Roman" w:eastAsia="Times New Roman" w:cs="Times New Roman"/>
          <w:i w:val="1"/>
          <w:iCs w:val="1"/>
          <w:lang w:val="fr-FR"/>
        </w:rPr>
        <w:t>communautés d’habitants </w:t>
      </w:r>
      <w:r w:rsidRPr="69F4D826" w:rsidR="0003429D">
        <w:rPr>
          <w:rFonts w:ascii="Times New Roman" w:hAnsi="Times New Roman" w:eastAsia="Times New Roman" w:cs="Times New Roman"/>
          <w:lang w:val="fr-FR"/>
        </w:rPr>
        <w:t>» tirant « </w:t>
      </w:r>
      <w:r w:rsidRPr="69F4D826" w:rsidR="0003429D">
        <w:rPr>
          <w:rFonts w:ascii="Times New Roman" w:hAnsi="Times New Roman" w:eastAsia="Times New Roman" w:cs="Times New Roman"/>
          <w:i w:val="1"/>
          <w:iCs w:val="1"/>
          <w:lang w:val="fr-FR"/>
        </w:rPr>
        <w:t>leurs moyens de subsistance du milieu naturel </w:t>
      </w:r>
      <w:r w:rsidRPr="69F4D826" w:rsidR="0003429D">
        <w:rPr>
          <w:rFonts w:ascii="Times New Roman" w:hAnsi="Times New Roman" w:eastAsia="Times New Roman" w:cs="Times New Roman"/>
          <w:lang w:val="fr-FR"/>
        </w:rPr>
        <w:t>».</w:t>
      </w:r>
      <w:r w:rsidRPr="69F4D826" w:rsidR="0003429D">
        <w:rPr>
          <w:rFonts w:ascii="Times New Roman" w:hAnsi="Times New Roman" w:eastAsia="Times New Roman" w:cs="Times New Roman"/>
          <w:highlight w:val="white"/>
          <w:lang w:val="fr-FR"/>
        </w:rPr>
        <w:t xml:space="preserve"> Elle prévoit la nomination par décret d’une personne morale de droit public chargée, entre autres, d’organiser la consultation de la ou des communautés d’habitants détentrices de connaissances traditionnelles associées aux ressources génétiques dans chaque collectivité où une telle communauté est présente, pour toute demande relative à l’accès et à l’utilisation de ces connaissances</w:t>
      </w:r>
      <w:r w:rsidRPr="69F4D826">
        <w:rPr>
          <w:rFonts w:ascii="Times New Roman" w:hAnsi="Times New Roman" w:eastAsia="Times New Roman" w:cs="Times New Roman"/>
          <w:highlight w:val="white"/>
          <w:vertAlign w:val="superscript"/>
          <w:lang w:val="fr-FR"/>
        </w:rPr>
        <w:footnoteReference w:id="22"/>
      </w:r>
      <w:r w:rsidRPr="69F4D826" w:rsidR="0003429D">
        <w:rPr>
          <w:rFonts w:ascii="Times New Roman" w:hAnsi="Times New Roman" w:eastAsia="Times New Roman" w:cs="Times New Roman"/>
          <w:highlight w:val="white"/>
          <w:lang w:val="fr-FR"/>
        </w:rPr>
        <w:t>. Elle est aussi chargée d’organiser une simple procédure d</w:t>
      </w:r>
      <w:r w:rsidRPr="69F4D826" w:rsidR="00257A75">
        <w:rPr>
          <w:rFonts w:ascii="Times New Roman" w:hAnsi="Times New Roman" w:eastAsia="Times New Roman" w:cs="Times New Roman"/>
          <w:highlight w:val="white"/>
          <w:lang w:val="fr-FR"/>
        </w:rPr>
        <w:t>’</w:t>
      </w:r>
      <w:r w:rsidRPr="69F4D826" w:rsidR="0003429D">
        <w:rPr>
          <w:rFonts w:ascii="Times New Roman" w:hAnsi="Times New Roman" w:eastAsia="Times New Roman" w:cs="Times New Roman"/>
          <w:highlight w:val="white"/>
          <w:lang w:val="fr-FR"/>
        </w:rPr>
        <w:t xml:space="preserve">information lorsque cette demande porte uniquement sur l’accès aux ressources génétiques (et non aux connaissances traditionnelles qui pourraient y être </w:t>
      </w:r>
      <w:r w:rsidRPr="69F4D826" w:rsidR="0003429D">
        <w:rPr>
          <w:rFonts w:ascii="Times New Roman" w:hAnsi="Times New Roman" w:eastAsia="Times New Roman" w:cs="Times New Roman"/>
          <w:highlight w:val="white"/>
          <w:lang w:val="fr-FR"/>
        </w:rPr>
        <w:t>associées)</w:t>
      </w:r>
      <w:r w:rsidRPr="69F4D826">
        <w:rPr>
          <w:rFonts w:ascii="Times New Roman" w:hAnsi="Times New Roman" w:eastAsia="Times New Roman" w:cs="Times New Roman"/>
          <w:highlight w:val="white"/>
          <w:vertAlign w:val="superscript"/>
          <w:lang w:val="fr-FR"/>
        </w:rPr>
        <w:footnoteReference w:id="23"/>
      </w:r>
      <w:r w:rsidRPr="69F4D826" w:rsidR="0003429D">
        <w:rPr>
          <w:rFonts w:ascii="Times New Roman" w:hAnsi="Times New Roman" w:eastAsia="Times New Roman" w:cs="Times New Roman"/>
          <w:highlight w:val="white"/>
          <w:lang w:val="fr-FR"/>
        </w:rPr>
        <w:t>. Néanmoins, certains estiment qu’elle sert uniquement l’objectif de la recherche biotechnologique</w:t>
      </w:r>
      <w:r w:rsidRPr="69F4D826">
        <w:rPr>
          <w:rFonts w:ascii="Times New Roman" w:hAnsi="Times New Roman" w:eastAsia="Times New Roman" w:cs="Times New Roman"/>
          <w:highlight w:val="white"/>
          <w:vertAlign w:val="superscript"/>
          <w:lang w:val="fr-FR"/>
        </w:rPr>
        <w:footnoteReference w:id="24"/>
      </w:r>
      <w:r w:rsidRPr="69F4D826" w:rsidR="0003429D">
        <w:rPr>
          <w:rFonts w:ascii="Times New Roman" w:hAnsi="Times New Roman" w:eastAsia="Times New Roman" w:cs="Times New Roman"/>
          <w:highlight w:val="white"/>
          <w:lang w:val="fr-FR"/>
        </w:rPr>
        <w:t xml:space="preserve">. </w:t>
      </w:r>
    </w:p>
    <w:p w:rsidRPr="00B260BA" w:rsidR="00D847EA" w:rsidP="69F4D826" w:rsidRDefault="0003429D" w14:paraId="45A33262" w14:textId="77777777">
      <w:pPr>
        <w:spacing w:line="240" w:lineRule="auto"/>
        <w:ind w:left="-425" w:right="-466" w:firstLine="425"/>
        <w:jc w:val="both"/>
        <w:rPr>
          <w:rFonts w:ascii="Times New Roman" w:hAnsi="Times New Roman" w:eastAsia="Times New Roman" w:cs="Times New Roman"/>
          <w:highlight w:val="white"/>
          <w:lang w:val="fr-FR"/>
        </w:rPr>
      </w:pPr>
      <w:r w:rsidRPr="69F4D826" w:rsidR="0003429D">
        <w:rPr>
          <w:rFonts w:ascii="Times New Roman" w:hAnsi="Times New Roman" w:eastAsia="Times New Roman" w:cs="Times New Roman"/>
          <w:highlight w:val="white"/>
          <w:lang w:val="fr-FR"/>
        </w:rPr>
        <w:t>La loi du 28 février 2017</w:t>
      </w:r>
      <w:r w:rsidRPr="69F4D826">
        <w:rPr>
          <w:rFonts w:ascii="Times New Roman" w:hAnsi="Times New Roman" w:eastAsia="Times New Roman" w:cs="Times New Roman"/>
          <w:highlight w:val="white"/>
          <w:vertAlign w:val="superscript"/>
          <w:lang w:val="fr-FR"/>
        </w:rPr>
        <w:footnoteReference w:id="25"/>
      </w:r>
      <w:r w:rsidRPr="69F4D826" w:rsidR="0003429D">
        <w:rPr>
          <w:rFonts w:ascii="Times New Roman" w:hAnsi="Times New Roman" w:eastAsia="Times New Roman" w:cs="Times New Roman"/>
          <w:highlight w:val="white"/>
          <w:lang w:val="fr-FR"/>
        </w:rPr>
        <w:t>, prévoit la création, par la collectivité territoriale de Guyane, d’un établissement public de coopération culturelle et environnementale (EPCCE), qui sera chargé de mettre en œuvre les dispositions mentionnées ci-dessus</w:t>
      </w:r>
      <w:r w:rsidRPr="69F4D826">
        <w:rPr>
          <w:rFonts w:ascii="Times New Roman" w:hAnsi="Times New Roman" w:eastAsia="Times New Roman" w:cs="Times New Roman"/>
          <w:highlight w:val="white"/>
          <w:vertAlign w:val="superscript"/>
          <w:lang w:val="fr-FR"/>
        </w:rPr>
        <w:footnoteReference w:id="26"/>
      </w:r>
      <w:r w:rsidRPr="69F4D826" w:rsidR="0003429D">
        <w:rPr>
          <w:rFonts w:ascii="Times New Roman" w:hAnsi="Times New Roman" w:eastAsia="Times New Roman" w:cs="Times New Roman"/>
          <w:highlight w:val="white"/>
          <w:lang w:val="fr-FR"/>
        </w:rPr>
        <w:t xml:space="preserve">. Un protocole d’accord politique, signé le 10 mars 2022 par la Collectivité Territoriale de Guyane et le </w:t>
      </w:r>
      <w:r w:rsidRPr="69F4D826" w:rsidR="0003429D">
        <w:rPr>
          <w:rFonts w:ascii="Times New Roman" w:hAnsi="Times New Roman" w:eastAsia="Times New Roman" w:cs="Times New Roman"/>
          <w:lang w:val="fr-FR"/>
        </w:rPr>
        <w:t xml:space="preserve">Grand Conseil coutumier des populations amérindiennes et </w:t>
      </w:r>
      <w:r w:rsidRPr="69F4D826" w:rsidR="0003429D">
        <w:rPr>
          <w:rFonts w:ascii="Times New Roman" w:hAnsi="Times New Roman" w:eastAsia="Times New Roman" w:cs="Times New Roman"/>
          <w:lang w:val="fr-FR"/>
        </w:rPr>
        <w:t>Bushinengués</w:t>
      </w:r>
      <w:r w:rsidRPr="69F4D826" w:rsidR="0003429D">
        <w:rPr>
          <w:rFonts w:ascii="Times New Roman" w:hAnsi="Times New Roman" w:eastAsia="Times New Roman" w:cs="Times New Roman"/>
          <w:lang w:val="fr-FR"/>
        </w:rPr>
        <w:t xml:space="preserve"> a mis en place un groupe de travail pour décider de sa forme et sa structure</w:t>
      </w:r>
      <w:r w:rsidRPr="69F4D826">
        <w:rPr>
          <w:rFonts w:ascii="Times New Roman" w:hAnsi="Times New Roman" w:eastAsia="Times New Roman" w:cs="Times New Roman"/>
          <w:vertAlign w:val="superscript"/>
          <w:lang w:val="fr-FR"/>
        </w:rPr>
        <w:footnoteReference w:id="27"/>
      </w:r>
      <w:r w:rsidRPr="69F4D826" w:rsidR="0003429D">
        <w:rPr>
          <w:rFonts w:ascii="Times New Roman" w:hAnsi="Times New Roman" w:eastAsia="Times New Roman" w:cs="Times New Roman"/>
          <w:lang w:val="fr-FR"/>
        </w:rPr>
        <w:t xml:space="preserve">.  Mais pour le moment, l’EPCCE n’a toujours pas été créé. </w:t>
      </w:r>
    </w:p>
    <w:p w:rsidRPr="00B260BA" w:rsidR="00D847EA" w:rsidRDefault="0003429D" w14:paraId="20D0A74E" w14:textId="77777777">
      <w:pPr>
        <w:spacing w:line="240" w:lineRule="auto"/>
        <w:ind w:left="-425" w:right="-466" w:firstLine="425"/>
        <w:jc w:val="both"/>
        <w:rPr>
          <w:rFonts w:ascii="Times New Roman" w:hAnsi="Times New Roman" w:eastAsia="Times New Roman" w:cs="Times New Roman"/>
        </w:rPr>
      </w:pPr>
      <w:r w:rsidRPr="00B260BA">
        <w:rPr>
          <w:rFonts w:ascii="Times New Roman" w:hAnsi="Times New Roman" w:eastAsia="Times New Roman" w:cs="Times New Roman"/>
          <w:highlight w:val="white"/>
        </w:rPr>
        <w:t xml:space="preserve">Enfin, </w:t>
      </w:r>
      <w:r w:rsidRPr="00B260BA">
        <w:rPr>
          <w:rFonts w:ascii="Times New Roman" w:hAnsi="Times New Roman" w:eastAsia="Times New Roman" w:cs="Times New Roman"/>
        </w:rPr>
        <w:t>l’</w:t>
      </w:r>
      <w:hyperlink r:id="rId8">
        <w:r w:rsidRPr="00B260BA">
          <w:rPr>
            <w:rFonts w:ascii="Times New Roman" w:hAnsi="Times New Roman" w:eastAsia="Times New Roman" w:cs="Times New Roman"/>
          </w:rPr>
          <w:t>accord de Guyane signé le 21 avril 2017</w:t>
        </w:r>
      </w:hyperlink>
      <w:r w:rsidRPr="00B260BA">
        <w:rPr>
          <w:rFonts w:ascii="Times New Roman" w:hAnsi="Times New Roman" w:eastAsia="Times New Roman" w:cs="Times New Roman"/>
        </w:rPr>
        <w:t xml:space="preserve"> entre l’État français et les organisations autochtones fait mention de la rétrocession de 400 000 hectares de terres aux peuples autochtones de Guyane par l’intermédiaire, là encore, d’un EPCCE placé auprès du Grand Conseil coutumier.</w:t>
      </w:r>
      <w:r w:rsidRPr="00B260BA">
        <w:rPr>
          <w:rFonts w:ascii="Times New Roman" w:hAnsi="Times New Roman" w:eastAsia="Times New Roman" w:cs="Times New Roman"/>
          <w:b/>
        </w:rPr>
        <w:t xml:space="preserve"> </w:t>
      </w:r>
      <w:r w:rsidRPr="00B260BA">
        <w:rPr>
          <w:rFonts w:ascii="Times New Roman" w:hAnsi="Times New Roman" w:eastAsia="Times New Roman" w:cs="Times New Roman"/>
        </w:rPr>
        <w:t>Nous notons qu’aucune cession de foncier n’a eu lieu depuis, alors que le régime foncier actuellement en vigueur en Guyane est loin de permettre une pérennité de l’utilisation des terres par les peuples autochtones</w:t>
      </w:r>
      <w:r w:rsidRPr="00B260BA">
        <w:rPr>
          <w:rFonts w:ascii="Times New Roman" w:hAnsi="Times New Roman" w:eastAsia="Times New Roman" w:cs="Times New Roman"/>
          <w:vertAlign w:val="superscript"/>
        </w:rPr>
        <w:footnoteReference w:id="28"/>
      </w:r>
      <w:r w:rsidRPr="00B260BA">
        <w:rPr>
          <w:rFonts w:ascii="Times New Roman" w:hAnsi="Times New Roman" w:eastAsia="Times New Roman" w:cs="Times New Roman"/>
        </w:rPr>
        <w:t xml:space="preserve">. </w:t>
      </w:r>
    </w:p>
    <w:p w:rsidRPr="00B260BA" w:rsidR="00D847EA" w:rsidP="69F4D826" w:rsidRDefault="0003429D" w14:paraId="7FAF1CAB" w14:textId="14625347" w14:noSpellErr="1">
      <w:pPr>
        <w:spacing w:line="240" w:lineRule="auto"/>
        <w:ind w:left="-425" w:right="-466"/>
        <w:jc w:val="both"/>
        <w:rPr>
          <w:rFonts w:ascii="Times New Roman" w:hAnsi="Times New Roman" w:eastAsia="Times New Roman" w:cs="Times New Roman"/>
          <w:lang w:val="fr-FR"/>
        </w:rPr>
      </w:pPr>
      <w:r w:rsidRPr="00B260BA">
        <w:rPr>
          <w:rFonts w:ascii="Times New Roman" w:hAnsi="Times New Roman" w:eastAsia="Times New Roman" w:cs="Times New Roman"/>
        </w:rPr>
        <w:tab/>
      </w:r>
      <w:r w:rsidRPr="69F4D826" w:rsidR="0003429D">
        <w:rPr>
          <w:rFonts w:ascii="Times New Roman" w:hAnsi="Times New Roman" w:eastAsia="Times New Roman" w:cs="Times New Roman"/>
          <w:lang w:val="fr-FR"/>
        </w:rPr>
        <w:t xml:space="preserve">À l’inverse des peuples autochtones de Guyane, les kanaks de Nouvelle-Calédonie disposent d’un accès aux terres moins précaire, depuis la création en 1988 de </w:t>
      </w:r>
      <w:r w:rsidRPr="69F4D826" w:rsidR="0003429D">
        <w:rPr>
          <w:rFonts w:ascii="Times New Roman" w:hAnsi="Times New Roman" w:eastAsia="Times New Roman" w:cs="Times New Roman"/>
          <w:color w:val="0C0D10"/>
          <w:highlight w:val="white"/>
          <w:lang w:val="fr-FR"/>
        </w:rPr>
        <w:t>l</w:t>
      </w:r>
      <w:r w:rsidRPr="69F4D826" w:rsidR="00257A75">
        <w:rPr>
          <w:rFonts w:ascii="Times New Roman" w:hAnsi="Times New Roman" w:eastAsia="Times New Roman" w:cs="Times New Roman"/>
          <w:color w:val="0C0D10"/>
          <w:highlight w:val="white"/>
          <w:lang w:val="fr-FR"/>
        </w:rPr>
        <w:t>’</w:t>
      </w:r>
      <w:r w:rsidRPr="69F4D826" w:rsidR="0003429D">
        <w:rPr>
          <w:rFonts w:ascii="Times New Roman" w:hAnsi="Times New Roman" w:eastAsia="Times New Roman" w:cs="Times New Roman"/>
          <w:color w:val="0C0D10"/>
          <w:highlight w:val="white"/>
          <w:lang w:val="fr-FR"/>
        </w:rPr>
        <w:t xml:space="preserve">Agence de développement rural et d’aménagement foncier dans le but de les rétrocéder aux clans avec l’aide des groupements de droit particulier local. </w:t>
      </w:r>
      <w:r w:rsidRPr="69F4D826" w:rsidR="0003429D">
        <w:rPr>
          <w:rFonts w:ascii="Times New Roman" w:hAnsi="Times New Roman" w:eastAsia="Times New Roman" w:cs="Times New Roman"/>
          <w:lang w:val="fr-FR"/>
        </w:rPr>
        <w:t>Le droit de propriété s’exerce sur ce territoire autonome notamment sous la forme du régime très particulier des « </w:t>
      </w:r>
      <w:r w:rsidRPr="69F4D826" w:rsidR="0003429D">
        <w:rPr>
          <w:rFonts w:ascii="Times New Roman" w:hAnsi="Times New Roman" w:eastAsia="Times New Roman" w:cs="Times New Roman"/>
          <w:i w:val="1"/>
          <w:iCs w:val="1"/>
          <w:lang w:val="fr-FR"/>
        </w:rPr>
        <w:t>terres coutumières</w:t>
      </w:r>
      <w:r w:rsidRPr="69F4D826" w:rsidR="0003429D">
        <w:rPr>
          <w:rFonts w:ascii="Times New Roman" w:hAnsi="Times New Roman" w:eastAsia="Times New Roman" w:cs="Times New Roman"/>
          <w:i w:val="1"/>
          <w:iCs w:val="1"/>
          <w:lang w:val="fr-FR"/>
        </w:rPr>
        <w:t> </w:t>
      </w:r>
      <w:r w:rsidRPr="69F4D826" w:rsidR="0003429D">
        <w:rPr>
          <w:rFonts w:ascii="Times New Roman" w:hAnsi="Times New Roman" w:eastAsia="Times New Roman" w:cs="Times New Roman"/>
          <w:lang w:val="fr-FR"/>
        </w:rPr>
        <w:t>»</w:t>
      </w:r>
      <w:r w:rsidRPr="69F4D826">
        <w:rPr>
          <w:rFonts w:ascii="Times New Roman" w:hAnsi="Times New Roman" w:eastAsia="Times New Roman" w:cs="Times New Roman"/>
          <w:vertAlign w:val="superscript"/>
          <w:lang w:val="fr-FR"/>
        </w:rPr>
        <w:footnoteReference w:id="29"/>
      </w:r>
      <w:r w:rsidRPr="69F4D826" w:rsidR="0003429D">
        <w:rPr>
          <w:rFonts w:ascii="Times New Roman" w:hAnsi="Times New Roman" w:eastAsia="Times New Roman" w:cs="Times New Roman"/>
          <w:lang w:val="fr-FR"/>
        </w:rPr>
        <w:t>. La cour d’appel de Nouméa a souvent l’occasion de statuer sur des requêtes liées à des litiges fonciers coutumiers. Elle a récemment souligné l’importance de l’organisation kanak et des autorités coutumières, en rappelant aux clans qui revendiquent leur accès à certaines terres l’obligation d’aller devant ces autorités car elles sont chargées de reconnaître le « </w:t>
      </w:r>
      <w:r w:rsidRPr="69F4D826" w:rsidR="0003429D">
        <w:rPr>
          <w:rFonts w:ascii="Times New Roman" w:hAnsi="Times New Roman" w:eastAsia="Times New Roman" w:cs="Times New Roman"/>
          <w:i w:val="1"/>
          <w:iCs w:val="1"/>
          <w:lang w:val="fr-FR"/>
        </w:rPr>
        <w:t>lien à la terre </w:t>
      </w:r>
      <w:r w:rsidRPr="69F4D826" w:rsidR="0003429D">
        <w:rPr>
          <w:rFonts w:ascii="Times New Roman" w:hAnsi="Times New Roman" w:eastAsia="Times New Roman" w:cs="Times New Roman"/>
          <w:lang w:val="fr-FR"/>
        </w:rPr>
        <w:t>» qui unit un clan à un lieu</w:t>
      </w:r>
      <w:r w:rsidRPr="69F4D826">
        <w:rPr>
          <w:rFonts w:ascii="Times New Roman" w:hAnsi="Times New Roman" w:eastAsia="Times New Roman" w:cs="Times New Roman"/>
          <w:vertAlign w:val="superscript"/>
          <w:lang w:val="fr-FR"/>
        </w:rPr>
        <w:footnoteReference w:id="30"/>
      </w:r>
      <w:r w:rsidRPr="69F4D826" w:rsidR="0003429D">
        <w:rPr>
          <w:rFonts w:ascii="Times New Roman" w:hAnsi="Times New Roman" w:eastAsia="Times New Roman" w:cs="Times New Roman"/>
          <w:lang w:val="fr-FR"/>
        </w:rPr>
        <w:t>. La Cour reconnaît aussi la valeur des actes coutumiers signés sous l’égide des autorités coutumières, dont le non-respect « </w:t>
      </w:r>
      <w:r w:rsidRPr="69F4D826" w:rsidR="0003429D">
        <w:rPr>
          <w:rFonts w:ascii="Times New Roman" w:hAnsi="Times New Roman" w:eastAsia="Times New Roman" w:cs="Times New Roman"/>
          <w:i w:val="1"/>
          <w:iCs w:val="1"/>
          <w:lang w:val="fr-FR"/>
        </w:rPr>
        <w:t>méconnaît la parole donnée et porte atteinte aux valeurs de cohésion, d’harmonie et de consensus que promeut la Charte du Peuple kanak</w:t>
      </w:r>
      <w:r w:rsidRPr="69F4D826" w:rsidR="0003429D">
        <w:rPr>
          <w:rFonts w:ascii="Times New Roman" w:hAnsi="Times New Roman" w:eastAsia="Times New Roman" w:cs="Times New Roman"/>
          <w:i w:val="1"/>
          <w:iCs w:val="1"/>
          <w:lang w:val="fr-FR"/>
        </w:rPr>
        <w:t> </w:t>
      </w:r>
      <w:r w:rsidRPr="69F4D826" w:rsidR="0003429D">
        <w:rPr>
          <w:rFonts w:ascii="Times New Roman" w:hAnsi="Times New Roman" w:eastAsia="Times New Roman" w:cs="Times New Roman"/>
          <w:lang w:val="fr-FR"/>
        </w:rPr>
        <w:t>»</w:t>
      </w:r>
      <w:r w:rsidRPr="69F4D826">
        <w:rPr>
          <w:rFonts w:ascii="Times New Roman" w:hAnsi="Times New Roman" w:eastAsia="Times New Roman" w:cs="Times New Roman"/>
          <w:vertAlign w:val="superscript"/>
          <w:lang w:val="fr-FR"/>
        </w:rPr>
        <w:footnoteReference w:id="31"/>
      </w:r>
      <w:r w:rsidRPr="69F4D826" w:rsidR="0003429D">
        <w:rPr>
          <w:rFonts w:ascii="Times New Roman" w:hAnsi="Times New Roman" w:eastAsia="Times New Roman" w:cs="Times New Roman"/>
          <w:lang w:val="fr-FR"/>
        </w:rPr>
        <w:t xml:space="preserve">. </w:t>
      </w:r>
    </w:p>
    <w:p w:rsidRPr="00B260BA" w:rsidR="00D847EA" w:rsidRDefault="00D847EA" w14:paraId="7BEBDB4E" w14:textId="77777777">
      <w:pPr>
        <w:spacing w:line="240" w:lineRule="auto"/>
        <w:ind w:left="-425" w:right="-466"/>
        <w:jc w:val="both"/>
        <w:rPr>
          <w:rFonts w:ascii="Times New Roman" w:hAnsi="Times New Roman" w:eastAsia="Times New Roman" w:cs="Times New Roman"/>
        </w:rPr>
      </w:pPr>
    </w:p>
    <w:p w:rsidRPr="00B260BA" w:rsidR="00D847EA" w:rsidRDefault="0003429D" w14:paraId="22494409" w14:textId="77777777">
      <w:pPr>
        <w:numPr>
          <w:ilvl w:val="0"/>
          <w:numId w:val="1"/>
        </w:numPr>
        <w:spacing w:line="240" w:lineRule="auto"/>
        <w:ind w:right="-466"/>
        <w:rPr>
          <w:rFonts w:ascii="Times New Roman" w:hAnsi="Times New Roman" w:eastAsia="Times New Roman" w:cs="Times New Roman"/>
        </w:rPr>
      </w:pPr>
      <w:r w:rsidRPr="00B260BA">
        <w:rPr>
          <w:rFonts w:ascii="Times New Roman" w:hAnsi="Times New Roman" w:eastAsia="Times New Roman" w:cs="Times New Roman"/>
          <w:u w:val="single"/>
        </w:rPr>
        <w:t>Protection contre toutes les formes de violence à l’égard des femmes</w:t>
      </w:r>
    </w:p>
    <w:p w:rsidRPr="00B260BA" w:rsidR="00D847EA" w:rsidRDefault="00D847EA" w14:paraId="6FC3DB1E" w14:textId="77777777">
      <w:pPr>
        <w:spacing w:line="240" w:lineRule="auto"/>
        <w:ind w:left="-425" w:right="-466"/>
        <w:jc w:val="both"/>
        <w:rPr>
          <w:rFonts w:ascii="Times New Roman" w:hAnsi="Times New Roman" w:eastAsia="Times New Roman" w:cs="Times New Roman"/>
        </w:rPr>
      </w:pPr>
    </w:p>
    <w:p w:rsidRPr="00B260BA" w:rsidR="00D847EA" w:rsidRDefault="0003429D" w14:paraId="47BA0389" w14:textId="38DF58A1">
      <w:pPr>
        <w:spacing w:line="240" w:lineRule="auto"/>
        <w:ind w:left="-425" w:right="-466" w:firstLine="425"/>
        <w:jc w:val="both"/>
        <w:rPr>
          <w:rFonts w:ascii="Times New Roman" w:hAnsi="Times New Roman" w:eastAsia="Times New Roman" w:cs="Times New Roman"/>
        </w:rPr>
      </w:pPr>
      <w:r w:rsidRPr="00B260BA">
        <w:rPr>
          <w:rFonts w:ascii="Times New Roman" w:hAnsi="Times New Roman" w:eastAsia="Times New Roman" w:cs="Times New Roman"/>
        </w:rPr>
        <w:t>Les dispositions françaises adoptées dans le domaine de la protection contre les formes de violences à l</w:t>
      </w:r>
      <w:r w:rsidRPr="00B260BA" w:rsidR="00257A75">
        <w:rPr>
          <w:rFonts w:ascii="Times New Roman" w:hAnsi="Times New Roman" w:eastAsia="Times New Roman" w:cs="Times New Roman"/>
        </w:rPr>
        <w:t>’</w:t>
      </w:r>
      <w:r w:rsidRPr="00B260BA">
        <w:rPr>
          <w:rFonts w:ascii="Times New Roman" w:hAnsi="Times New Roman" w:eastAsia="Times New Roman" w:cs="Times New Roman"/>
        </w:rPr>
        <w:t xml:space="preserve">égard des femmes autochtones sont rares, et portent plus spécifiquement sur la question des femmes en Outre-Mer. </w:t>
      </w:r>
      <w:r w:rsidRPr="00B260BA">
        <w:rPr>
          <w:rFonts w:ascii="Times New Roman" w:hAnsi="Times New Roman" w:eastAsia="Times New Roman" w:cs="Times New Roman"/>
          <w:highlight w:val="white"/>
        </w:rPr>
        <w:t>Dans le prolongement du Grenelle contre les violences conjugales de 2019 au niveau national, plusieurs politiques concernant les femmes autochtones ont été mises en place, comme l’adoption par le Conseil coutumier, aux côtés des autres acteurs institutionnels de la charte d’engagement « </w:t>
      </w:r>
      <w:r w:rsidRPr="00B260BA">
        <w:rPr>
          <w:rFonts w:ascii="Times New Roman" w:hAnsi="Times New Roman" w:eastAsia="Times New Roman" w:cs="Times New Roman"/>
          <w:i/>
          <w:highlight w:val="white"/>
        </w:rPr>
        <w:t>Agir ensemble contre les violences faites aux femmes et promouvoir l’égalité entre les femmes et les hommes </w:t>
      </w:r>
      <w:r w:rsidRPr="00B260BA">
        <w:rPr>
          <w:rFonts w:ascii="Times New Roman" w:hAnsi="Times New Roman" w:eastAsia="Times New Roman" w:cs="Times New Roman"/>
          <w:highlight w:val="white"/>
        </w:rPr>
        <w:t>»</w:t>
      </w:r>
      <w:r w:rsidRPr="00B260BA">
        <w:rPr>
          <w:rFonts w:ascii="Times New Roman" w:hAnsi="Times New Roman" w:eastAsia="Times New Roman" w:cs="Times New Roman"/>
          <w:highlight w:val="white"/>
          <w:vertAlign w:val="superscript"/>
        </w:rPr>
        <w:footnoteReference w:id="32"/>
      </w:r>
      <w:r w:rsidRPr="00B260BA">
        <w:rPr>
          <w:rFonts w:ascii="Times New Roman" w:hAnsi="Times New Roman" w:eastAsia="Times New Roman" w:cs="Times New Roman"/>
          <w:highlight w:val="white"/>
        </w:rPr>
        <w:t>, et plus récemment de la création en 2022 d’un comité de travail pour l’équilibre Homme-Femme, avec pour ambition à terme d’adopter « </w:t>
      </w:r>
      <w:r w:rsidRPr="00B260BA">
        <w:rPr>
          <w:rFonts w:ascii="Times New Roman" w:hAnsi="Times New Roman" w:eastAsia="Times New Roman" w:cs="Times New Roman"/>
          <w:i/>
          <w:highlight w:val="white"/>
        </w:rPr>
        <w:t>une charte kanak de la condition féminine </w:t>
      </w:r>
      <w:r w:rsidRPr="00B260BA">
        <w:rPr>
          <w:rFonts w:ascii="Times New Roman" w:hAnsi="Times New Roman" w:eastAsia="Times New Roman" w:cs="Times New Roman"/>
          <w:highlight w:val="white"/>
        </w:rPr>
        <w:t>»</w:t>
      </w:r>
      <w:r w:rsidRPr="00B260BA">
        <w:rPr>
          <w:rFonts w:ascii="Times New Roman" w:hAnsi="Times New Roman" w:eastAsia="Times New Roman" w:cs="Times New Roman"/>
          <w:highlight w:val="white"/>
          <w:vertAlign w:val="superscript"/>
        </w:rPr>
        <w:footnoteReference w:id="33"/>
      </w:r>
      <w:r w:rsidRPr="00B260BA">
        <w:rPr>
          <w:rFonts w:ascii="Times New Roman" w:hAnsi="Times New Roman" w:eastAsia="Times New Roman" w:cs="Times New Roman"/>
          <w:highlight w:val="white"/>
        </w:rPr>
        <w:t>. Par ailleurs, depuis 2020, la mise en place du Dispositif mobile solidaire (DSM)</w:t>
      </w:r>
      <w:r w:rsidRPr="00B260BA">
        <w:rPr>
          <w:rFonts w:ascii="Times New Roman" w:hAnsi="Times New Roman" w:eastAsia="Times New Roman" w:cs="Times New Roman"/>
          <w:highlight w:val="white"/>
          <w:vertAlign w:val="superscript"/>
        </w:rPr>
        <w:footnoteReference w:id="34"/>
      </w:r>
      <w:r w:rsidRPr="00B260BA">
        <w:rPr>
          <w:rFonts w:ascii="Times New Roman" w:hAnsi="Times New Roman" w:eastAsia="Times New Roman" w:cs="Times New Roman"/>
          <w:highlight w:val="white"/>
        </w:rPr>
        <w:t xml:space="preserve"> « </w:t>
      </w:r>
      <w:r w:rsidRPr="00B260BA">
        <w:rPr>
          <w:rFonts w:ascii="Times New Roman" w:hAnsi="Times New Roman" w:eastAsia="Times New Roman" w:cs="Times New Roman"/>
          <w:i/>
          <w:highlight w:val="white"/>
        </w:rPr>
        <w:t>aller vers</w:t>
      </w:r>
      <w:r w:rsidRPr="00B260BA">
        <w:rPr>
          <w:rFonts w:ascii="Times New Roman" w:hAnsi="Times New Roman" w:eastAsia="Times New Roman" w:cs="Times New Roman"/>
          <w:highlight w:val="white"/>
        </w:rPr>
        <w:t xml:space="preserve"> » - bus itinérant financé par l’État et le gouvernement de Nouvelle Calédonie - permet de faciliter l’accès au droit aux personnes les plus isolées dont fait partie </w:t>
      </w:r>
      <w:proofErr w:type="gramStart"/>
      <w:r w:rsidRPr="00B260BA">
        <w:rPr>
          <w:rFonts w:ascii="Times New Roman" w:hAnsi="Times New Roman" w:eastAsia="Times New Roman" w:cs="Times New Roman"/>
          <w:highlight w:val="white"/>
        </w:rPr>
        <w:t>la population kanak</w:t>
      </w:r>
      <w:proofErr w:type="gramEnd"/>
      <w:r w:rsidRPr="00B260BA">
        <w:rPr>
          <w:rFonts w:ascii="Times New Roman" w:hAnsi="Times New Roman" w:eastAsia="Times New Roman" w:cs="Times New Roman"/>
          <w:highlight w:val="white"/>
        </w:rPr>
        <w:t xml:space="preserve">, et de traiter les situations d’urgence, notamment lorsque les femmes sont victimes de violence. </w:t>
      </w:r>
      <w:r w:rsidRPr="00B260BA">
        <w:rPr>
          <w:rFonts w:ascii="Times New Roman" w:hAnsi="Times New Roman" w:eastAsia="Times New Roman" w:cs="Times New Roman"/>
        </w:rPr>
        <w:t>Néanmoins, une enquête récente réalisée par l’ISEE</w:t>
      </w:r>
      <w:r w:rsidRPr="00B260BA">
        <w:rPr>
          <w:rFonts w:ascii="Times New Roman" w:hAnsi="Times New Roman" w:eastAsia="Times New Roman" w:cs="Times New Roman"/>
          <w:vertAlign w:val="superscript"/>
        </w:rPr>
        <w:footnoteReference w:id="35"/>
      </w:r>
      <w:r w:rsidRPr="00B260BA">
        <w:rPr>
          <w:rFonts w:ascii="Times New Roman" w:hAnsi="Times New Roman" w:eastAsia="Times New Roman" w:cs="Times New Roman"/>
        </w:rPr>
        <w:t xml:space="preserve"> a montré que les violences subies par les femmes kanaks, qu’il s’agisse de violences psychologiques, physiques ou sexuelles, sont plus importantes que celles subies par les femmes n’appartenant pas à cette communauté.</w:t>
      </w:r>
    </w:p>
    <w:p w:rsidRPr="00B260BA" w:rsidR="00D847EA" w:rsidRDefault="00D847EA" w14:paraId="46267F80" w14:textId="77777777">
      <w:pPr>
        <w:spacing w:line="240" w:lineRule="auto"/>
        <w:ind w:left="-425" w:right="-466"/>
        <w:jc w:val="both"/>
        <w:rPr>
          <w:rFonts w:ascii="Times New Roman" w:hAnsi="Times New Roman" w:eastAsia="Times New Roman" w:cs="Times New Roman"/>
          <w:highlight w:val="white"/>
        </w:rPr>
      </w:pPr>
    </w:p>
    <w:p w:rsidRPr="00B260BA" w:rsidR="00D847EA" w:rsidRDefault="0003429D" w14:paraId="4DF63E72" w14:textId="77777777">
      <w:pPr>
        <w:numPr>
          <w:ilvl w:val="0"/>
          <w:numId w:val="1"/>
        </w:numPr>
        <w:spacing w:line="240" w:lineRule="auto"/>
        <w:ind w:right="-466"/>
        <w:jc w:val="both"/>
        <w:rPr>
          <w:rFonts w:ascii="Times New Roman" w:hAnsi="Times New Roman" w:eastAsia="Times New Roman" w:cs="Times New Roman"/>
          <w:highlight w:val="white"/>
        </w:rPr>
      </w:pPr>
      <w:r w:rsidRPr="00B260BA">
        <w:rPr>
          <w:rFonts w:ascii="Times New Roman" w:hAnsi="Times New Roman" w:eastAsia="Times New Roman" w:cs="Times New Roman"/>
          <w:highlight w:val="white"/>
          <w:u w:val="single"/>
        </w:rPr>
        <w:t>Absence d’égalité avec les citoyens français concernant l’accès aux services publics en Guyane</w:t>
      </w:r>
    </w:p>
    <w:p w:rsidRPr="00B260BA" w:rsidR="00D847EA" w:rsidRDefault="00D847EA" w14:paraId="7AC6794C" w14:textId="77777777">
      <w:pPr>
        <w:spacing w:line="240" w:lineRule="auto"/>
        <w:ind w:left="-425" w:right="-466"/>
        <w:jc w:val="both"/>
        <w:rPr>
          <w:rFonts w:ascii="Times New Roman" w:hAnsi="Times New Roman" w:eastAsia="Times New Roman" w:cs="Times New Roman"/>
          <w:highlight w:val="white"/>
        </w:rPr>
      </w:pPr>
    </w:p>
    <w:p w:rsidRPr="00B260BA" w:rsidR="00D847EA" w:rsidRDefault="0003429D" w14:paraId="2B28494E" w14:textId="77777777">
      <w:pPr>
        <w:spacing w:line="240" w:lineRule="auto"/>
        <w:ind w:left="-425" w:right="-466"/>
        <w:jc w:val="both"/>
        <w:rPr>
          <w:rFonts w:ascii="Times New Roman" w:hAnsi="Times New Roman" w:eastAsia="Times New Roman" w:cs="Times New Roman"/>
        </w:rPr>
      </w:pPr>
      <w:r w:rsidRPr="00B260BA">
        <w:rPr>
          <w:rFonts w:ascii="Times New Roman" w:hAnsi="Times New Roman" w:eastAsia="Times New Roman" w:cs="Times New Roman"/>
        </w:rPr>
        <w:t>Alors que les habitants du littoral jouissent d’un mode de vie moderne, les peuples autochtones des territoires isolés de Guyane souffrent d’un manque d’accès aux services publics primaires et régaliens. Pour remédier à cette rupture d’égalité, des pirogues publiques ont été mises en place pour que les amérindiens isolés puissent entreprendre des démarches administratives proche de leur habitat. La France n’a cependant pas pris de mesure suffisante pour assurer une continuité territoriale qui favoriserait l’accès aux transports publics et à l’éducation</w:t>
      </w:r>
      <w:r w:rsidRPr="00B260BA">
        <w:rPr>
          <w:rFonts w:ascii="Times New Roman" w:hAnsi="Times New Roman" w:eastAsia="Times New Roman" w:cs="Times New Roman"/>
          <w:vertAlign w:val="superscript"/>
        </w:rPr>
        <w:footnoteReference w:id="36"/>
      </w:r>
      <w:r w:rsidRPr="00B260BA">
        <w:rPr>
          <w:rFonts w:ascii="Times New Roman" w:hAnsi="Times New Roman" w:eastAsia="Times New Roman" w:cs="Times New Roman"/>
        </w:rPr>
        <w:t xml:space="preserve">. Le nombre irrégulier et insuffisant de transports publics force les peuples autochtones des territoires isolés à débourser beaucoup d’argent et parcourir de longues distances. Sans aucune voie ferrée et seulement 40% du territoire accessible par voie terrestre, les amérindiens doivent emprunter le transport aérien ou des cours d'eau nécessitant parfois plusieurs jours de pirogue. </w:t>
      </w:r>
    </w:p>
    <w:p w:rsidRPr="00B260BA" w:rsidR="00D847EA" w:rsidRDefault="0003429D" w14:paraId="4390F001" w14:textId="75567411">
      <w:pPr>
        <w:spacing w:line="240" w:lineRule="auto"/>
        <w:ind w:left="-425" w:right="-466"/>
        <w:jc w:val="both"/>
        <w:rPr>
          <w:rFonts w:ascii="Times New Roman" w:hAnsi="Times New Roman" w:eastAsia="Times New Roman" w:cs="Times New Roman"/>
        </w:rPr>
      </w:pPr>
      <w:r w:rsidRPr="00B260BA">
        <w:rPr>
          <w:rFonts w:ascii="Times New Roman" w:hAnsi="Times New Roman" w:eastAsia="Times New Roman" w:cs="Times New Roman"/>
        </w:rPr>
        <w:t>De même, l’accès à l’éducation n’est pas pleinement assuré à cause de l</w:t>
      </w:r>
      <w:r w:rsidRPr="00B260BA" w:rsidR="00B260BA">
        <w:rPr>
          <w:rFonts w:ascii="Times New Roman" w:hAnsi="Times New Roman" w:eastAsia="Times New Roman" w:cs="Times New Roman"/>
        </w:rPr>
        <w:t>’</w:t>
      </w:r>
      <w:r w:rsidRPr="00B260BA">
        <w:rPr>
          <w:rFonts w:ascii="Times New Roman" w:hAnsi="Times New Roman" w:eastAsia="Times New Roman" w:cs="Times New Roman"/>
        </w:rPr>
        <w:t>éloignement des établissements scolaires. Les enfants de l’intérieur sont alors déscolarisés ou bien placés très jeune en internat ou famille d’accueil plus proche d’un établissement</w:t>
      </w:r>
      <w:r w:rsidRPr="00B260BA">
        <w:rPr>
          <w:rFonts w:ascii="Times New Roman" w:hAnsi="Times New Roman" w:eastAsia="Times New Roman" w:cs="Times New Roman"/>
          <w:vertAlign w:val="superscript"/>
        </w:rPr>
        <w:footnoteReference w:id="37"/>
      </w:r>
      <w:r w:rsidRPr="00B260BA">
        <w:rPr>
          <w:rFonts w:ascii="Times New Roman" w:hAnsi="Times New Roman" w:eastAsia="Times New Roman" w:cs="Times New Roman"/>
        </w:rPr>
        <w:t>. Bien que la construction de 9 établissements du secondaire en 5 ans ait été prévue, aucun n’a encore vu le jour. Néanmoins, deux écoles primaires ont été construites</w:t>
      </w:r>
      <w:r w:rsidRPr="00B260BA">
        <w:rPr>
          <w:rFonts w:ascii="Times New Roman" w:hAnsi="Times New Roman" w:eastAsia="Times New Roman" w:cs="Times New Roman"/>
          <w:vertAlign w:val="superscript"/>
        </w:rPr>
        <w:footnoteReference w:id="38"/>
      </w:r>
      <w:r w:rsidRPr="00B260BA">
        <w:rPr>
          <w:rFonts w:ascii="Times New Roman" w:hAnsi="Times New Roman" w:eastAsia="Times New Roman" w:cs="Times New Roman"/>
        </w:rPr>
        <w:t>.</w:t>
      </w:r>
    </w:p>
    <w:p w:rsidRPr="00B260BA" w:rsidR="00D847EA" w:rsidRDefault="00D847EA" w14:paraId="2A5438D2" w14:textId="77777777">
      <w:pPr>
        <w:spacing w:line="240" w:lineRule="auto"/>
        <w:ind w:left="-425" w:right="-466"/>
        <w:jc w:val="both"/>
        <w:rPr>
          <w:rFonts w:ascii="Times New Roman" w:hAnsi="Times New Roman" w:eastAsia="Times New Roman" w:cs="Times New Roman"/>
          <w:u w:val="single"/>
        </w:rPr>
      </w:pPr>
    </w:p>
    <w:p w:rsidRPr="00B260BA" w:rsidR="00D847EA" w:rsidRDefault="0003429D" w14:paraId="7C149DB0" w14:textId="77777777">
      <w:pPr>
        <w:numPr>
          <w:ilvl w:val="0"/>
          <w:numId w:val="1"/>
        </w:numPr>
        <w:spacing w:line="240" w:lineRule="auto"/>
        <w:ind w:right="-466"/>
        <w:rPr>
          <w:rFonts w:ascii="Times New Roman" w:hAnsi="Times New Roman" w:eastAsia="Times New Roman" w:cs="Times New Roman"/>
        </w:rPr>
      </w:pPr>
      <w:r w:rsidRPr="00B260BA">
        <w:rPr>
          <w:rFonts w:ascii="Times New Roman" w:hAnsi="Times New Roman" w:eastAsia="Times New Roman" w:cs="Times New Roman"/>
          <w:u w:val="single"/>
        </w:rPr>
        <w:t xml:space="preserve">Droit à l’éducation dans sa propre langue </w:t>
      </w:r>
    </w:p>
    <w:p w:rsidRPr="00B260BA" w:rsidR="00D847EA" w:rsidRDefault="00D847EA" w14:paraId="3DF25B21" w14:textId="77777777">
      <w:pPr>
        <w:spacing w:line="240" w:lineRule="auto"/>
        <w:ind w:left="-425" w:right="-466"/>
        <w:jc w:val="both"/>
        <w:rPr>
          <w:rFonts w:ascii="Times New Roman" w:hAnsi="Times New Roman" w:eastAsia="Times New Roman" w:cs="Times New Roman"/>
          <w:b/>
        </w:rPr>
      </w:pPr>
    </w:p>
    <w:p w:rsidRPr="00B260BA" w:rsidR="00D847EA" w:rsidP="69F4D826" w:rsidRDefault="0003429D" w14:paraId="159ED3F0" w14:textId="77777777">
      <w:pPr>
        <w:spacing w:line="240" w:lineRule="auto"/>
        <w:ind w:left="-425" w:right="-466"/>
        <w:jc w:val="both"/>
        <w:rPr>
          <w:rFonts w:ascii="Times New Roman" w:hAnsi="Times New Roman" w:eastAsia="Times New Roman" w:cs="Times New Roman"/>
          <w:u w:val="single"/>
          <w:lang w:val="fr-FR"/>
        </w:rPr>
      </w:pPr>
      <w:r w:rsidRPr="69F4D826" w:rsidR="0003429D">
        <w:rPr>
          <w:rFonts w:ascii="Times New Roman" w:hAnsi="Times New Roman" w:eastAsia="Times New Roman" w:cs="Times New Roman"/>
          <w:lang w:val="fr-FR"/>
        </w:rPr>
        <w:t>Il existe une volonté française d’aller dans le sens de l’amélioration avec la consécration par la Constitution depuis 2008 des langues régionales comme patrimoine français (article 75-1). La loi n°2013-595 du 8 juillet 2013 prévoit que l’enseignement « </w:t>
      </w:r>
      <w:r w:rsidRPr="69F4D826" w:rsidR="0003429D">
        <w:rPr>
          <w:rFonts w:ascii="Times New Roman" w:hAnsi="Times New Roman" w:eastAsia="Times New Roman" w:cs="Times New Roman"/>
          <w:i w:val="1"/>
          <w:iCs w:val="1"/>
          <w:lang w:val="fr-FR"/>
        </w:rPr>
        <w:t>peut prendre deux formes : un enseignement de la langue et de la culture régionales et un enseignement bilingue en langue française et en langue régionale. </w:t>
      </w:r>
      <w:r w:rsidRPr="69F4D826" w:rsidR="0003429D">
        <w:rPr>
          <w:rFonts w:ascii="Times New Roman" w:hAnsi="Times New Roman" w:eastAsia="Times New Roman" w:cs="Times New Roman"/>
          <w:lang w:val="fr-FR"/>
        </w:rPr>
        <w:t>»</w:t>
      </w:r>
      <w:r w:rsidRPr="69F4D826" w:rsidR="0003429D">
        <w:rPr>
          <w:rFonts w:ascii="Times New Roman" w:hAnsi="Times New Roman" w:eastAsia="Times New Roman" w:cs="Times New Roman"/>
          <w:i w:val="1"/>
          <w:iCs w:val="1"/>
          <w:lang w:val="fr-FR"/>
        </w:rPr>
        <w:t xml:space="preserve"> </w:t>
      </w:r>
      <w:r w:rsidRPr="69F4D826" w:rsidR="0003429D">
        <w:rPr>
          <w:rFonts w:ascii="Times New Roman" w:hAnsi="Times New Roman" w:eastAsia="Times New Roman" w:cs="Times New Roman"/>
          <w:lang w:val="fr-FR"/>
        </w:rPr>
        <w:t>En pratique, ces dispositions ont été mises en place sous deux formes en Guyane : par la création du dispositif d’intervenant en langue maternelle (ILM) et du dispositif à parité horaire. Néanmoins, ces dispositifs ne s’appliquent que pour les langues reconnus par une circulaire de 2017</w:t>
      </w:r>
      <w:r w:rsidRPr="69F4D826">
        <w:rPr>
          <w:rFonts w:ascii="Times New Roman" w:hAnsi="Times New Roman" w:eastAsia="Times New Roman" w:cs="Times New Roman"/>
          <w:vertAlign w:val="superscript"/>
          <w:lang w:val="fr-FR"/>
        </w:rPr>
        <w:footnoteReference w:id="39"/>
      </w:r>
      <w:r w:rsidRPr="69F4D826" w:rsidR="0003429D">
        <w:rPr>
          <w:rFonts w:ascii="Times New Roman" w:hAnsi="Times New Roman" w:eastAsia="Times New Roman" w:cs="Times New Roman"/>
          <w:lang w:val="fr-FR"/>
        </w:rPr>
        <w:t xml:space="preserve">. Or en Guyane il existe d’autres langues minoritaires comme le sranan </w:t>
      </w:r>
      <w:r w:rsidRPr="69F4D826" w:rsidR="0003429D">
        <w:rPr>
          <w:rFonts w:ascii="Times New Roman" w:hAnsi="Times New Roman" w:eastAsia="Times New Roman" w:cs="Times New Roman"/>
          <w:lang w:val="fr-FR"/>
        </w:rPr>
        <w:t>tongo</w:t>
      </w:r>
      <w:r w:rsidRPr="69F4D826" w:rsidR="0003429D">
        <w:rPr>
          <w:rFonts w:ascii="Times New Roman" w:hAnsi="Times New Roman" w:eastAsia="Times New Roman" w:cs="Times New Roman"/>
          <w:lang w:val="fr-FR"/>
        </w:rPr>
        <w:t xml:space="preserve">. En outre, malgré la création </w:t>
      </w:r>
      <w:r w:rsidRPr="69F4D826" w:rsidR="0003429D">
        <w:rPr>
          <w:rFonts w:ascii="Times New Roman" w:hAnsi="Times New Roman" w:eastAsia="Times New Roman" w:cs="Times New Roman"/>
          <w:lang w:val="fr-FR"/>
        </w:rPr>
        <w:t xml:space="preserve">de 40 nouveaux postes </w:t>
      </w:r>
      <w:r w:rsidRPr="69F4D826" w:rsidR="0003429D">
        <w:rPr>
          <w:rFonts w:ascii="Times New Roman" w:hAnsi="Times New Roman" w:eastAsia="Times New Roman" w:cs="Times New Roman"/>
          <w:lang w:val="fr-FR"/>
        </w:rPr>
        <w:t xml:space="preserve">suite aux</w:t>
      </w:r>
      <w:r w:rsidRPr="69F4D826" w:rsidR="0003429D">
        <w:rPr>
          <w:rFonts w:ascii="Times New Roman" w:hAnsi="Times New Roman" w:eastAsia="Times New Roman" w:cs="Times New Roman"/>
          <w:lang w:val="fr-FR"/>
        </w:rPr>
        <w:t xml:space="preserve"> Accord de Guyane du 21 avril 2017, les ILM restent trop peu nombreux. Leur statut est également précaire. </w:t>
      </w:r>
    </w:p>
    <w:p w:rsidRPr="00B260BA" w:rsidR="00D847EA" w:rsidRDefault="00D847EA" w14:paraId="09355497" w14:textId="77777777">
      <w:pPr>
        <w:spacing w:line="240" w:lineRule="auto"/>
        <w:ind w:left="-425" w:right="-466"/>
        <w:jc w:val="both"/>
        <w:rPr>
          <w:rFonts w:ascii="Times New Roman" w:hAnsi="Times New Roman" w:eastAsia="Times New Roman" w:cs="Times New Roman"/>
          <w:u w:val="single"/>
        </w:rPr>
      </w:pPr>
    </w:p>
    <w:p w:rsidRPr="00B260BA" w:rsidR="00D847EA" w:rsidRDefault="0003429D" w14:paraId="5DFAD362" w14:textId="59E0CFA1">
      <w:pPr>
        <w:numPr>
          <w:ilvl w:val="0"/>
          <w:numId w:val="1"/>
        </w:numPr>
        <w:spacing w:line="240" w:lineRule="auto"/>
        <w:ind w:right="-466"/>
        <w:jc w:val="both"/>
        <w:rPr>
          <w:rFonts w:ascii="Times New Roman" w:hAnsi="Times New Roman" w:eastAsia="Times New Roman" w:cs="Times New Roman"/>
        </w:rPr>
      </w:pPr>
      <w:r w:rsidRPr="00B260BA">
        <w:rPr>
          <w:rFonts w:ascii="Times New Roman" w:hAnsi="Times New Roman" w:eastAsia="Times New Roman" w:cs="Times New Roman"/>
          <w:u w:val="single"/>
        </w:rPr>
        <w:t>Accès à la justice et réparation juste et équitable pour atténuer les effets négatifs sur l</w:t>
      </w:r>
      <w:r w:rsidRPr="00B260BA" w:rsidR="00B260BA">
        <w:rPr>
          <w:rFonts w:ascii="Times New Roman" w:hAnsi="Times New Roman" w:eastAsia="Times New Roman" w:cs="Times New Roman"/>
          <w:u w:val="single"/>
        </w:rPr>
        <w:t>’</w:t>
      </w:r>
      <w:r w:rsidRPr="00B260BA">
        <w:rPr>
          <w:rFonts w:ascii="Times New Roman" w:hAnsi="Times New Roman" w:eastAsia="Times New Roman" w:cs="Times New Roman"/>
          <w:u w:val="single"/>
        </w:rPr>
        <w:t>environnement, l</w:t>
      </w:r>
      <w:r w:rsidRPr="00B260BA" w:rsidR="00B260BA">
        <w:rPr>
          <w:rFonts w:ascii="Times New Roman" w:hAnsi="Times New Roman" w:eastAsia="Times New Roman" w:cs="Times New Roman"/>
          <w:u w:val="single"/>
        </w:rPr>
        <w:t>’</w:t>
      </w:r>
      <w:r w:rsidRPr="00B260BA">
        <w:rPr>
          <w:rFonts w:ascii="Times New Roman" w:hAnsi="Times New Roman" w:eastAsia="Times New Roman" w:cs="Times New Roman"/>
          <w:u w:val="single"/>
        </w:rPr>
        <w:t>économie, la société et la culture</w:t>
      </w:r>
    </w:p>
    <w:p w:rsidRPr="00B260BA" w:rsidR="00D847EA" w:rsidRDefault="00D847EA" w14:paraId="7A8C4F15" w14:textId="77777777">
      <w:pPr>
        <w:spacing w:line="240" w:lineRule="auto"/>
        <w:ind w:left="1440" w:right="-466"/>
        <w:jc w:val="both"/>
        <w:rPr>
          <w:rFonts w:ascii="Times New Roman" w:hAnsi="Times New Roman" w:eastAsia="Times New Roman" w:cs="Times New Roman"/>
          <w:u w:val="single"/>
        </w:rPr>
      </w:pPr>
    </w:p>
    <w:p w:rsidRPr="00B260BA" w:rsidR="00D847EA" w:rsidP="69F4D826" w:rsidRDefault="0003429D" w14:paraId="73C2DBD3" w14:textId="5CF4B895" w14:noSpellErr="1">
      <w:pPr>
        <w:spacing w:line="240" w:lineRule="auto"/>
        <w:ind w:left="-425" w:right="-466"/>
        <w:jc w:val="both"/>
        <w:rPr>
          <w:rFonts w:ascii="Times New Roman" w:hAnsi="Times New Roman" w:eastAsia="Times New Roman" w:cs="Times New Roman"/>
          <w:lang w:val="fr-FR"/>
        </w:rPr>
      </w:pPr>
      <w:r w:rsidRPr="69F4D826" w:rsidR="0003429D">
        <w:rPr>
          <w:rFonts w:ascii="Times New Roman" w:hAnsi="Times New Roman" w:eastAsia="Times New Roman" w:cs="Times New Roman"/>
          <w:lang w:val="fr-FR"/>
        </w:rPr>
        <w:t>La législation française a introduit peu d’évolution dans le domaine depuis le début du siècle. Pourtant, ce droit est d’une importance particulière pour les peuples autochtones, notamment en raison des problèmes de discrimination et de dépossession de leurs terres</w:t>
      </w:r>
      <w:r w:rsidRPr="69F4D826">
        <w:rPr>
          <w:rFonts w:ascii="Times New Roman" w:hAnsi="Times New Roman" w:eastAsia="Times New Roman" w:cs="Times New Roman"/>
          <w:vertAlign w:val="superscript"/>
          <w:lang w:val="fr-FR"/>
        </w:rPr>
        <w:footnoteReference w:id="40"/>
      </w:r>
      <w:r w:rsidRPr="69F4D826" w:rsidR="0003429D">
        <w:rPr>
          <w:rFonts w:ascii="Times New Roman" w:hAnsi="Times New Roman" w:eastAsia="Times New Roman" w:cs="Times New Roman"/>
          <w:lang w:val="fr-FR"/>
        </w:rPr>
        <w:t>. Les départements et régions d’outre-mer sont régis par l’article 73 de la Constitution et répondent donc au principe d’identité législative. Ainsi « </w:t>
      </w:r>
      <w:r w:rsidRPr="69F4D826" w:rsidR="0003429D">
        <w:rPr>
          <w:rFonts w:ascii="Times New Roman" w:hAnsi="Times New Roman" w:eastAsia="Times New Roman" w:cs="Times New Roman"/>
          <w:i w:val="1"/>
          <w:iCs w:val="1"/>
          <w:lang w:val="fr-FR"/>
        </w:rPr>
        <w:t>les lois et règlements sont applicables de plein droit</w:t>
      </w:r>
      <w:r w:rsidRPr="69F4D826" w:rsidR="0003429D">
        <w:rPr>
          <w:rFonts w:ascii="Times New Roman" w:hAnsi="Times New Roman" w:eastAsia="Times New Roman" w:cs="Times New Roman"/>
          <w:lang w:val="fr-FR"/>
        </w:rPr>
        <w:t> ». Pour autant, le même article prévoit que ces textes peuvent faire l’objet d’adaptations compte tenu des « </w:t>
      </w:r>
      <w:r w:rsidRPr="69F4D826" w:rsidR="0003429D">
        <w:rPr>
          <w:rFonts w:ascii="Times New Roman" w:hAnsi="Times New Roman" w:eastAsia="Times New Roman" w:cs="Times New Roman"/>
          <w:i w:val="1"/>
          <w:iCs w:val="1"/>
          <w:lang w:val="fr-FR"/>
        </w:rPr>
        <w:t>caractéristiques et contraintes particulières de ces collectivités</w:t>
      </w:r>
      <w:r w:rsidRPr="69F4D826" w:rsidR="0003429D">
        <w:rPr>
          <w:rFonts w:ascii="Times New Roman" w:hAnsi="Times New Roman" w:eastAsia="Times New Roman" w:cs="Times New Roman"/>
          <w:lang w:val="fr-FR"/>
        </w:rPr>
        <w:t> </w:t>
      </w:r>
      <w:r w:rsidRPr="69F4D826" w:rsidR="0003429D">
        <w:rPr>
          <w:rFonts w:ascii="Times New Roman" w:hAnsi="Times New Roman" w:eastAsia="Times New Roman" w:cs="Times New Roman"/>
          <w:lang w:val="fr-FR"/>
        </w:rPr>
        <w:t>».</w:t>
      </w:r>
      <w:r w:rsidRPr="69F4D826">
        <w:rPr>
          <w:rFonts w:ascii="Times New Roman" w:hAnsi="Times New Roman" w:eastAsia="Times New Roman" w:cs="Times New Roman"/>
          <w:vertAlign w:val="superscript"/>
          <w:lang w:val="fr-FR"/>
        </w:rPr>
        <w:footnoteReference w:id="41"/>
      </w:r>
      <w:r w:rsidRPr="69F4D826" w:rsidR="0003429D">
        <w:rPr>
          <w:rFonts w:ascii="Times New Roman" w:hAnsi="Times New Roman" w:eastAsia="Times New Roman" w:cs="Times New Roman"/>
          <w:lang w:val="fr-FR"/>
        </w:rPr>
        <w:t xml:space="preserve"> En effet, </w:t>
      </w:r>
      <w:r w:rsidRPr="69F4D826" w:rsidR="0003429D">
        <w:rPr>
          <w:rFonts w:ascii="Times New Roman" w:hAnsi="Times New Roman" w:eastAsia="Times New Roman" w:cs="Times New Roman"/>
          <w:highlight w:val="white"/>
          <w:lang w:val="fr-FR"/>
        </w:rPr>
        <w:t>des contextes locaux difficiles constituent des obstacles supplémentaires pour les justiciables lorsqu'ils veulent accéder au droit et à la justice. De nombreux éléments sont à l’origine de ces difficultés, dont la principale est l’accès à l'état civil. En 2016, le CEDAW a recommandé à la France, au vu de la situation en Guyane, « </w:t>
      </w:r>
      <w:r w:rsidRPr="69F4D826" w:rsidR="0003429D">
        <w:rPr>
          <w:rFonts w:ascii="Times New Roman" w:hAnsi="Times New Roman" w:eastAsia="Times New Roman" w:cs="Times New Roman"/>
          <w:i w:val="1"/>
          <w:iCs w:val="1"/>
          <w:highlight w:val="white"/>
          <w:lang w:val="fr-FR"/>
        </w:rPr>
        <w:t xml:space="preserve">de faire en sorte que chaque naissance soit </w:t>
      </w:r>
      <w:r w:rsidRPr="69F4D826" w:rsidR="00B260BA">
        <w:rPr>
          <w:rFonts w:ascii="Times New Roman" w:hAnsi="Times New Roman" w:eastAsia="Times New Roman" w:cs="Times New Roman"/>
          <w:i w:val="1"/>
          <w:iCs w:val="1"/>
          <w:highlight w:val="white"/>
          <w:lang w:val="fr-FR"/>
        </w:rPr>
        <w:t>enregistrée</w:t>
      </w:r>
      <w:r w:rsidRPr="69F4D826" w:rsidR="0003429D">
        <w:rPr>
          <w:rFonts w:ascii="Times New Roman" w:hAnsi="Times New Roman" w:eastAsia="Times New Roman" w:cs="Times New Roman"/>
          <w:i w:val="1"/>
          <w:iCs w:val="1"/>
          <w:highlight w:val="white"/>
          <w:lang w:val="fr-FR"/>
        </w:rPr>
        <w:t xml:space="preserve"> et qu’un acte de naissance et des papiers d’</w:t>
      </w:r>
      <w:r w:rsidRPr="69F4D826" w:rsidR="00B260BA">
        <w:rPr>
          <w:rFonts w:ascii="Times New Roman" w:hAnsi="Times New Roman" w:eastAsia="Times New Roman" w:cs="Times New Roman"/>
          <w:i w:val="1"/>
          <w:iCs w:val="1"/>
          <w:highlight w:val="white"/>
          <w:lang w:val="fr-FR"/>
        </w:rPr>
        <w:t>identité</w:t>
      </w:r>
      <w:r w:rsidRPr="69F4D826" w:rsidR="0003429D">
        <w:rPr>
          <w:rFonts w:ascii="Times New Roman" w:hAnsi="Times New Roman" w:eastAsia="Times New Roman" w:cs="Times New Roman"/>
          <w:i w:val="1"/>
          <w:iCs w:val="1"/>
          <w:highlight w:val="white"/>
          <w:lang w:val="fr-FR"/>
        </w:rPr>
        <w:t xml:space="preserve">́ soient </w:t>
      </w:r>
      <w:r w:rsidRPr="69F4D826" w:rsidR="00B260BA">
        <w:rPr>
          <w:rFonts w:ascii="Times New Roman" w:hAnsi="Times New Roman" w:eastAsia="Times New Roman" w:cs="Times New Roman"/>
          <w:i w:val="1"/>
          <w:iCs w:val="1"/>
          <w:highlight w:val="white"/>
          <w:lang w:val="fr-FR"/>
        </w:rPr>
        <w:t>délivrés</w:t>
      </w:r>
      <w:r w:rsidRPr="69F4D826" w:rsidR="0003429D">
        <w:rPr>
          <w:rFonts w:ascii="Times New Roman" w:hAnsi="Times New Roman" w:eastAsia="Times New Roman" w:cs="Times New Roman"/>
          <w:i w:val="1"/>
          <w:iCs w:val="1"/>
          <w:highlight w:val="white"/>
          <w:lang w:val="fr-FR"/>
        </w:rPr>
        <w:t xml:space="preserve"> à chaque personne relevant de sa juridiction, quel que soit l’endroit où elle habite</w:t>
      </w:r>
      <w:r w:rsidRPr="69F4D826" w:rsidR="0003429D">
        <w:rPr>
          <w:rFonts w:ascii="Times New Roman" w:hAnsi="Times New Roman" w:eastAsia="Times New Roman" w:cs="Times New Roman"/>
          <w:i w:val="1"/>
          <w:iCs w:val="1"/>
          <w:highlight w:val="white"/>
          <w:lang w:val="fr-FR"/>
        </w:rPr>
        <w:t xml:space="preserve"> </w:t>
      </w:r>
      <w:r w:rsidRPr="69F4D826" w:rsidR="0003429D">
        <w:rPr>
          <w:rFonts w:ascii="Times New Roman" w:hAnsi="Times New Roman" w:eastAsia="Times New Roman" w:cs="Times New Roman"/>
          <w:highlight w:val="white"/>
          <w:lang w:val="fr-FR"/>
        </w:rPr>
        <w:t>»</w:t>
      </w:r>
      <w:r w:rsidRPr="69F4D826">
        <w:rPr>
          <w:rFonts w:ascii="Times New Roman" w:hAnsi="Times New Roman" w:eastAsia="Times New Roman" w:cs="Times New Roman"/>
          <w:highlight w:val="white"/>
          <w:vertAlign w:val="superscript"/>
          <w:lang w:val="fr-FR"/>
        </w:rPr>
        <w:footnoteReference w:id="42"/>
      </w:r>
      <w:r w:rsidRPr="69F4D826" w:rsidR="0003429D">
        <w:rPr>
          <w:rFonts w:ascii="Times New Roman" w:hAnsi="Times New Roman" w:eastAsia="Times New Roman" w:cs="Times New Roman"/>
          <w:highlight w:val="white"/>
          <w:lang w:val="fr-FR"/>
        </w:rPr>
        <w:t>.</w:t>
      </w:r>
      <w:r w:rsidRPr="69F4D826" w:rsidR="0003429D">
        <w:rPr>
          <w:rFonts w:ascii="Times New Roman" w:hAnsi="Times New Roman" w:eastAsia="Times New Roman" w:cs="Times New Roman"/>
          <w:lang w:val="fr-FR"/>
        </w:rPr>
        <w:t xml:space="preserve"> Pour y répondre, un décret du 2 mars 2017 relatif au délai de déclaration de naissance a augmenté </w:t>
      </w:r>
      <w:r w:rsidRPr="69F4D826" w:rsidR="00B260BA">
        <w:rPr>
          <w:rFonts w:ascii="Times New Roman" w:hAnsi="Times New Roman" w:eastAsia="Times New Roman" w:cs="Times New Roman"/>
          <w:lang w:val="fr-FR"/>
        </w:rPr>
        <w:t>c</w:t>
      </w:r>
      <w:r w:rsidRPr="69F4D826" w:rsidR="0003429D">
        <w:rPr>
          <w:rFonts w:ascii="Times New Roman" w:hAnsi="Times New Roman" w:eastAsia="Times New Roman" w:cs="Times New Roman"/>
          <w:lang w:val="fr-FR"/>
        </w:rPr>
        <w:t>e délai de cinq à huit jours dans les régions posant des difficultés géographiques, notamment en Guyane</w:t>
      </w:r>
      <w:r w:rsidRPr="69F4D826">
        <w:rPr>
          <w:rFonts w:ascii="Times New Roman" w:hAnsi="Times New Roman" w:eastAsia="Times New Roman" w:cs="Times New Roman"/>
          <w:vertAlign w:val="superscript"/>
          <w:lang w:val="fr-FR"/>
        </w:rPr>
        <w:footnoteReference w:id="43"/>
      </w:r>
      <w:r w:rsidRPr="69F4D826" w:rsidR="0003429D">
        <w:rPr>
          <w:rFonts w:ascii="Times New Roman" w:hAnsi="Times New Roman" w:eastAsia="Times New Roman" w:cs="Times New Roman"/>
          <w:lang w:val="fr-FR"/>
        </w:rPr>
        <w:t>. Cette mesure</w:t>
      </w:r>
      <w:r w:rsidRPr="69F4D826" w:rsidR="00B260BA">
        <w:rPr>
          <w:rFonts w:ascii="Times New Roman" w:hAnsi="Times New Roman" w:eastAsia="Times New Roman" w:cs="Times New Roman"/>
          <w:lang w:val="fr-FR"/>
        </w:rPr>
        <w:t xml:space="preserve"> </w:t>
      </w:r>
      <w:r w:rsidRPr="69F4D826" w:rsidR="0003429D">
        <w:rPr>
          <w:rFonts w:ascii="Times New Roman" w:hAnsi="Times New Roman" w:eastAsia="Times New Roman" w:cs="Times New Roman"/>
          <w:lang w:val="fr-FR"/>
        </w:rPr>
        <w:t>occulte</w:t>
      </w:r>
      <w:r w:rsidRPr="69F4D826" w:rsidR="00B260BA">
        <w:rPr>
          <w:rFonts w:ascii="Times New Roman" w:hAnsi="Times New Roman" w:eastAsia="Times New Roman" w:cs="Times New Roman"/>
          <w:lang w:val="fr-FR"/>
        </w:rPr>
        <w:t xml:space="preserve"> néanmoins</w:t>
      </w:r>
      <w:r w:rsidRPr="69F4D826" w:rsidR="0003429D">
        <w:rPr>
          <w:rFonts w:ascii="Times New Roman" w:hAnsi="Times New Roman" w:eastAsia="Times New Roman" w:cs="Times New Roman"/>
          <w:lang w:val="fr-FR"/>
        </w:rPr>
        <w:t xml:space="preserve"> le défi de la pression démographique</w:t>
      </w:r>
      <w:r w:rsidRPr="69F4D826">
        <w:rPr>
          <w:rFonts w:ascii="Times New Roman" w:hAnsi="Times New Roman" w:eastAsia="Times New Roman" w:cs="Times New Roman"/>
          <w:vertAlign w:val="superscript"/>
          <w:lang w:val="fr-FR"/>
        </w:rPr>
        <w:footnoteReference w:id="44"/>
      </w:r>
      <w:r w:rsidRPr="69F4D826" w:rsidR="0003429D">
        <w:rPr>
          <w:rFonts w:ascii="Times New Roman" w:hAnsi="Times New Roman" w:eastAsia="Times New Roman" w:cs="Times New Roman"/>
          <w:lang w:val="fr-FR"/>
        </w:rPr>
        <w:t>. Malgré la flexibilité temporelle ajoutée, ce décret ne peut, à lui seul, pallier la répartition inégale des services publics sur le territoire, leur engorgement et le manque de moyens nécessaires à une amélioration significative.</w:t>
      </w:r>
    </w:p>
    <w:p w:rsidRPr="00B260BA" w:rsidR="00D847EA" w:rsidRDefault="0003429D" w14:paraId="15782FF5" w14:textId="17D7BCB6">
      <w:pPr>
        <w:spacing w:line="240" w:lineRule="auto"/>
        <w:ind w:left="-425" w:right="-466" w:firstLine="425"/>
        <w:jc w:val="both"/>
        <w:rPr>
          <w:rFonts w:ascii="Times New Roman" w:hAnsi="Times New Roman" w:eastAsia="Times New Roman" w:cs="Times New Roman"/>
          <w:highlight w:val="white"/>
        </w:rPr>
      </w:pPr>
      <w:r w:rsidRPr="00B260BA">
        <w:rPr>
          <w:rFonts w:ascii="Times New Roman" w:hAnsi="Times New Roman" w:eastAsia="Times New Roman" w:cs="Times New Roman"/>
          <w:highlight w:val="white"/>
        </w:rPr>
        <w:t>À Mayotte, la récente départementalisation de 2011 a mis fin au statut de droit local appliqué aux Mahorais. Elle a par ailleurs bouleversé l</w:t>
      </w:r>
      <w:r w:rsidRPr="00B260BA" w:rsidR="00B260BA">
        <w:rPr>
          <w:rFonts w:ascii="Times New Roman" w:hAnsi="Times New Roman" w:eastAsia="Times New Roman" w:cs="Times New Roman"/>
          <w:highlight w:val="white"/>
        </w:rPr>
        <w:t>’</w:t>
      </w:r>
      <w:r w:rsidRPr="00B260BA">
        <w:rPr>
          <w:rFonts w:ascii="Times New Roman" w:hAnsi="Times New Roman" w:eastAsia="Times New Roman" w:cs="Times New Roman"/>
          <w:highlight w:val="white"/>
        </w:rPr>
        <w:t>organisation administrative et judiciaire du territoire en conférant notamment une compétence exclusive aux juridictions de droit commun pour statuer sur tout contentieux. L</w:t>
      </w:r>
      <w:r w:rsidRPr="00B260BA" w:rsidR="00B260BA">
        <w:rPr>
          <w:rFonts w:ascii="Times New Roman" w:hAnsi="Times New Roman" w:eastAsia="Times New Roman" w:cs="Times New Roman"/>
          <w:highlight w:val="white"/>
        </w:rPr>
        <w:t>’</w:t>
      </w:r>
      <w:r w:rsidRPr="00B260BA">
        <w:rPr>
          <w:rFonts w:ascii="Times New Roman" w:hAnsi="Times New Roman" w:eastAsia="Times New Roman" w:cs="Times New Roman"/>
          <w:highlight w:val="white"/>
        </w:rPr>
        <w:t>ancienne justice coutumière de droit musulman - la justice cadiale - a cessé d’être reconnue officiellement</w:t>
      </w:r>
      <w:r w:rsidRPr="00B260BA">
        <w:rPr>
          <w:rFonts w:ascii="Times New Roman" w:hAnsi="Times New Roman" w:eastAsia="Times New Roman" w:cs="Times New Roman"/>
          <w:highlight w:val="white"/>
          <w:vertAlign w:val="superscript"/>
        </w:rPr>
        <w:footnoteReference w:id="45"/>
      </w:r>
      <w:r w:rsidRPr="00B260BA" w:rsidR="00B260BA">
        <w:rPr>
          <w:rFonts w:ascii="Times New Roman" w:hAnsi="Times New Roman" w:eastAsia="Times New Roman" w:cs="Times New Roman"/>
          <w:highlight w:val="white"/>
        </w:rPr>
        <w:t>.</w:t>
      </w:r>
      <w:r w:rsidRPr="00B260BA">
        <w:rPr>
          <w:rFonts w:ascii="Times New Roman" w:hAnsi="Times New Roman" w:eastAsia="Times New Roman" w:cs="Times New Roman"/>
          <w:highlight w:val="white"/>
        </w:rPr>
        <w:t xml:space="preserve"> Malgré l</w:t>
      </w:r>
      <w:r w:rsidRPr="00B260BA" w:rsidR="00B260BA">
        <w:rPr>
          <w:rFonts w:ascii="Times New Roman" w:hAnsi="Times New Roman" w:eastAsia="Times New Roman" w:cs="Times New Roman"/>
          <w:highlight w:val="white"/>
        </w:rPr>
        <w:t>’</w:t>
      </w:r>
      <w:r w:rsidRPr="00B260BA">
        <w:rPr>
          <w:rFonts w:ascii="Times New Roman" w:hAnsi="Times New Roman" w:eastAsia="Times New Roman" w:cs="Times New Roman"/>
          <w:highlight w:val="white"/>
        </w:rPr>
        <w:t>instauration d</w:t>
      </w:r>
      <w:r w:rsidRPr="00B260BA" w:rsidR="00B260BA">
        <w:rPr>
          <w:rFonts w:ascii="Times New Roman" w:hAnsi="Times New Roman" w:eastAsia="Times New Roman" w:cs="Times New Roman"/>
          <w:highlight w:val="white"/>
        </w:rPr>
        <w:t>’</w:t>
      </w:r>
      <w:r w:rsidRPr="00B260BA">
        <w:rPr>
          <w:rFonts w:ascii="Times New Roman" w:hAnsi="Times New Roman" w:eastAsia="Times New Roman" w:cs="Times New Roman"/>
          <w:highlight w:val="white"/>
        </w:rPr>
        <w:t>une commission de révision de l</w:t>
      </w:r>
      <w:r w:rsidRPr="00B260BA" w:rsidR="00B260BA">
        <w:rPr>
          <w:rFonts w:ascii="Times New Roman" w:hAnsi="Times New Roman" w:eastAsia="Times New Roman" w:cs="Times New Roman"/>
          <w:highlight w:val="white"/>
        </w:rPr>
        <w:t>’</w:t>
      </w:r>
      <w:r w:rsidRPr="00B260BA">
        <w:rPr>
          <w:rFonts w:ascii="Times New Roman" w:hAnsi="Times New Roman" w:eastAsia="Times New Roman" w:cs="Times New Roman"/>
          <w:highlight w:val="white"/>
        </w:rPr>
        <w:t>état civil en 2005, la campagne de rectifications judiciaires en vue d</w:t>
      </w:r>
      <w:r w:rsidRPr="00B260BA" w:rsidR="00B260BA">
        <w:rPr>
          <w:rFonts w:ascii="Times New Roman" w:hAnsi="Times New Roman" w:eastAsia="Times New Roman" w:cs="Times New Roman"/>
          <w:highlight w:val="white"/>
        </w:rPr>
        <w:t>’</w:t>
      </w:r>
      <w:r w:rsidRPr="00B260BA">
        <w:rPr>
          <w:rFonts w:ascii="Times New Roman" w:hAnsi="Times New Roman" w:eastAsia="Times New Roman" w:cs="Times New Roman"/>
          <w:highlight w:val="white"/>
        </w:rPr>
        <w:t>assurer un état civil de droit républicain à l</w:t>
      </w:r>
      <w:r w:rsidRPr="00B260BA" w:rsidR="00B260BA">
        <w:rPr>
          <w:rFonts w:ascii="Times New Roman" w:hAnsi="Times New Roman" w:eastAsia="Times New Roman" w:cs="Times New Roman"/>
          <w:highlight w:val="white"/>
        </w:rPr>
        <w:t>’</w:t>
      </w:r>
      <w:r w:rsidRPr="00B260BA">
        <w:rPr>
          <w:rFonts w:ascii="Times New Roman" w:hAnsi="Times New Roman" w:eastAsia="Times New Roman" w:cs="Times New Roman"/>
          <w:highlight w:val="white"/>
        </w:rPr>
        <w:t>ensemble des Mahorais n</w:t>
      </w:r>
      <w:r w:rsidRPr="00B260BA" w:rsidR="00B260BA">
        <w:rPr>
          <w:rFonts w:ascii="Times New Roman" w:hAnsi="Times New Roman" w:eastAsia="Times New Roman" w:cs="Times New Roman"/>
          <w:highlight w:val="white"/>
        </w:rPr>
        <w:t>’</w:t>
      </w:r>
      <w:r w:rsidRPr="00B260BA">
        <w:rPr>
          <w:rFonts w:ascii="Times New Roman" w:hAnsi="Times New Roman" w:eastAsia="Times New Roman" w:cs="Times New Roman"/>
          <w:highlight w:val="white"/>
        </w:rPr>
        <w:t>est toujours pas achevée (plus de 3 000 dossiers restent encore à traiter). Ainsi, de nombreuses personnes ne peuvent accomplir de démarches administratives faute de disposer d</w:t>
      </w:r>
      <w:r w:rsidRPr="00B260BA" w:rsidR="00B260BA">
        <w:rPr>
          <w:rFonts w:ascii="Times New Roman" w:hAnsi="Times New Roman" w:eastAsia="Times New Roman" w:cs="Times New Roman"/>
          <w:highlight w:val="white"/>
        </w:rPr>
        <w:t>’</w:t>
      </w:r>
      <w:r w:rsidRPr="00B260BA">
        <w:rPr>
          <w:rFonts w:ascii="Times New Roman" w:hAnsi="Times New Roman" w:eastAsia="Times New Roman" w:cs="Times New Roman"/>
          <w:highlight w:val="white"/>
        </w:rPr>
        <w:t>un état civil.</w:t>
      </w:r>
    </w:p>
    <w:p w:rsidRPr="00B260BA" w:rsidR="00D847EA" w:rsidP="69F4D826" w:rsidRDefault="0003429D" w14:paraId="3ED478AF" w14:textId="77777777" w14:noSpellErr="1">
      <w:pPr>
        <w:spacing w:line="240" w:lineRule="auto"/>
        <w:ind w:left="-425" w:right="-466" w:firstLine="425"/>
        <w:jc w:val="both"/>
        <w:rPr>
          <w:rFonts w:ascii="Times New Roman" w:hAnsi="Times New Roman" w:eastAsia="Times New Roman" w:cs="Times New Roman"/>
          <w:lang w:val="fr-FR"/>
        </w:rPr>
      </w:pPr>
      <w:r w:rsidRPr="69F4D826" w:rsidR="0003429D">
        <w:rPr>
          <w:rFonts w:ascii="Times New Roman" w:hAnsi="Times New Roman" w:eastAsia="Times New Roman" w:cs="Times New Roman"/>
          <w:highlight w:val="white"/>
          <w:lang w:val="fr-FR"/>
        </w:rPr>
        <w:t>La barrière de la langue est également un obstacle à l’accès à la justice</w:t>
      </w:r>
      <w:r w:rsidRPr="69F4D826" w:rsidR="0003429D">
        <w:rPr>
          <w:rFonts w:ascii="Times New Roman" w:hAnsi="Times New Roman" w:eastAsia="Times New Roman" w:cs="Times New Roman"/>
          <w:lang w:val="fr-FR"/>
        </w:rPr>
        <w:t xml:space="preserve"> : l’égalité entre autochtones et non-autochtones passe par la reconnaissance des langues de ces peuples. À défaut, le fossé se creuse entre ces deux populations en matière d’égalité d’accès aux services publics, notamment à la justice, et par conséquent, aux </w:t>
      </w:r>
      <w:r w:rsidRPr="69F4D826" w:rsidR="0003429D">
        <w:rPr>
          <w:rFonts w:ascii="Times New Roman" w:hAnsi="Times New Roman" w:eastAsia="Times New Roman" w:cs="Times New Roman"/>
          <w:lang w:val="fr-FR"/>
        </w:rPr>
        <w:t xml:space="preserve">réparations.</w:t>
      </w:r>
      <w:r w:rsidRPr="69F4D826">
        <w:rPr>
          <w:rFonts w:ascii="Times New Roman" w:hAnsi="Times New Roman" w:eastAsia="Times New Roman" w:cs="Times New Roman"/>
          <w:vertAlign w:val="superscript"/>
          <w:lang w:val="fr-FR"/>
        </w:rPr>
        <w:footnoteReference w:id="46"/>
      </w:r>
      <w:r w:rsidRPr="69F4D826" w:rsidR="0003429D">
        <w:rPr>
          <w:rFonts w:ascii="Times New Roman" w:hAnsi="Times New Roman" w:eastAsia="Times New Roman" w:cs="Times New Roman"/>
          <w:lang w:val="fr-FR"/>
        </w:rPr>
        <w:t xml:space="preserve"> </w:t>
      </w:r>
    </w:p>
    <w:p w:rsidRPr="00B260BA" w:rsidR="00D847EA" w:rsidP="69F4D826" w:rsidRDefault="0003429D" w14:paraId="7826B1A1" w14:textId="296E4982" w14:noSpellErr="1">
      <w:pPr>
        <w:spacing w:after="200" w:line="240" w:lineRule="auto"/>
        <w:ind w:left="-425" w:right="-466" w:firstLine="425"/>
        <w:jc w:val="both"/>
        <w:rPr>
          <w:rFonts w:ascii="Times New Roman" w:hAnsi="Times New Roman" w:eastAsia="Times New Roman" w:cs="Times New Roman"/>
          <w:highlight w:val="white"/>
          <w:lang w:val="fr-FR"/>
        </w:rPr>
      </w:pPr>
      <w:r w:rsidRPr="69F4D826" w:rsidR="0003429D">
        <w:rPr>
          <w:rFonts w:ascii="Times New Roman" w:hAnsi="Times New Roman" w:eastAsia="Times New Roman" w:cs="Times New Roman"/>
          <w:lang w:val="fr-FR"/>
        </w:rPr>
        <w:t xml:space="preserve">La CNCDH, la Ligue des droits de l’homme et d’autres ONG ou institutions nationales ont fait de nombreuses recommandations pour améliorer la législation relative à la réparation juste et équitable pour ces peuples. Par exemple, la CNCDH a recommandé la ratification de la Convention </w:t>
      </w:r>
      <w:r w:rsidRPr="69F4D826" w:rsidR="00B260BA">
        <w:rPr>
          <w:rFonts w:ascii="Times New Roman" w:hAnsi="Times New Roman" w:eastAsia="Times New Roman" w:cs="Times New Roman"/>
          <w:lang w:val="fr-FR"/>
        </w:rPr>
        <w:t>n°</w:t>
      </w:r>
      <w:r w:rsidRPr="69F4D826" w:rsidR="0003429D">
        <w:rPr>
          <w:rFonts w:ascii="Times New Roman" w:hAnsi="Times New Roman" w:eastAsia="Times New Roman" w:cs="Times New Roman"/>
          <w:lang w:val="fr-FR"/>
        </w:rPr>
        <w:t>169 du 27 juin 1989 de l’OIT, soulignant son rôle protecteur dans les droits collectifs relatifs aux terres, à leurs restitutions, à leur reconnaissance ou au respect de l’autonomie culturelle</w:t>
      </w:r>
      <w:r w:rsidRPr="69F4D826">
        <w:rPr>
          <w:rFonts w:ascii="Times New Roman" w:hAnsi="Times New Roman" w:eastAsia="Times New Roman" w:cs="Times New Roman"/>
          <w:vertAlign w:val="superscript"/>
          <w:lang w:val="fr-FR"/>
        </w:rPr>
        <w:footnoteReference w:id="47"/>
      </w:r>
      <w:r w:rsidRPr="69F4D826" w:rsidR="0003429D">
        <w:rPr>
          <w:rFonts w:ascii="Times New Roman" w:hAnsi="Times New Roman" w:eastAsia="Times New Roman" w:cs="Times New Roman"/>
          <w:lang w:val="fr-FR"/>
        </w:rPr>
        <w:t>. Toutefois, la ratification est empêchée juridiquement par l’interprétation de l’article 1er de la Constitution</w:t>
      </w:r>
      <w:r w:rsidRPr="69F4D826" w:rsidR="00B260BA">
        <w:rPr>
          <w:rFonts w:ascii="Times New Roman" w:hAnsi="Times New Roman" w:eastAsia="Times New Roman" w:cs="Times New Roman"/>
          <w:lang w:val="fr-FR"/>
        </w:rPr>
        <w:t>, lequel affirme que « </w:t>
      </w:r>
      <w:r w:rsidRPr="69F4D826" w:rsidR="00B260BA">
        <w:rPr>
          <w:rFonts w:ascii="Times New Roman" w:hAnsi="Times New Roman" w:cs="Times New Roman"/>
          <w:color w:val="000000"/>
          <w:shd w:val="clear" w:color="auto" w:fill="FFFFFF"/>
          <w:lang w:val="fr-FR"/>
        </w:rPr>
        <w:t>l</w:t>
      </w:r>
      <w:r w:rsidRPr="69F4D826" w:rsidR="00B260BA">
        <w:rPr>
          <w:rFonts w:ascii="Times New Roman" w:hAnsi="Times New Roman" w:cs="Times New Roman"/>
          <w:color w:val="000000"/>
          <w:shd w:val="clear" w:color="auto" w:fill="FFFFFF"/>
          <w:lang w:val="fr-FR"/>
        </w:rPr>
        <w:t>a France est une République indivisible, laïque, démocratique et sociale</w:t>
      </w:r>
      <w:r w:rsidRPr="69F4D826" w:rsidR="00B260BA">
        <w:rPr>
          <w:rFonts w:ascii="Times New Roman" w:hAnsi="Times New Roman" w:cs="Times New Roman"/>
          <w:color w:val="000000"/>
          <w:shd w:val="clear" w:color="auto" w:fill="FFFFFF"/>
          <w:lang w:val="fr-FR"/>
        </w:rPr>
        <w:t> »</w:t>
      </w:r>
      <w:r w:rsidRPr="69F4D826">
        <w:rPr>
          <w:rFonts w:ascii="Times New Roman" w:hAnsi="Times New Roman" w:eastAsia="Times New Roman" w:cs="Times New Roman"/>
          <w:vertAlign w:val="superscript"/>
          <w:lang w:val="fr-FR"/>
        </w:rPr>
        <w:footnoteReference w:id="48"/>
      </w:r>
      <w:r w:rsidRPr="69F4D826" w:rsidR="0003429D">
        <w:rPr>
          <w:rFonts w:ascii="Times New Roman" w:hAnsi="Times New Roman" w:eastAsia="Times New Roman" w:cs="Times New Roman"/>
          <w:lang w:val="fr-FR"/>
        </w:rPr>
        <w:t xml:space="preserve">. </w:t>
      </w:r>
    </w:p>
    <w:sectPr w:rsidRPr="00B260BA" w:rsidR="00D847EA" w:rsidSect="00B260BA">
      <w:headerReference w:type="first" r:id="rId9"/>
      <w:pgSz w:w="11909" w:h="16834" w:orient="portrait"/>
      <w:pgMar w:top="1304" w:right="1304" w:bottom="1247" w:left="1304" w:header="720" w:footer="14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FAB" w:rsidRDefault="004F5FAB" w14:paraId="5CD299CE" w14:textId="77777777">
      <w:pPr>
        <w:spacing w:line="240" w:lineRule="auto"/>
      </w:pPr>
      <w:r>
        <w:separator/>
      </w:r>
    </w:p>
  </w:endnote>
  <w:endnote w:type="continuationSeparator" w:id="0">
    <w:p w:rsidR="004F5FAB" w:rsidRDefault="004F5FAB" w14:paraId="7C6DE31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FAB" w:rsidRDefault="004F5FAB" w14:paraId="666EA40F" w14:textId="77777777">
      <w:pPr>
        <w:spacing w:line="240" w:lineRule="auto"/>
      </w:pPr>
      <w:r>
        <w:separator/>
      </w:r>
    </w:p>
  </w:footnote>
  <w:footnote w:type="continuationSeparator" w:id="0">
    <w:p w:rsidR="004F5FAB" w:rsidRDefault="004F5FAB" w14:paraId="25E37A0E" w14:textId="77777777">
      <w:pPr>
        <w:spacing w:line="240" w:lineRule="auto"/>
      </w:pPr>
      <w:r>
        <w:continuationSeparator/>
      </w:r>
    </w:p>
  </w:footnote>
  <w:footnote w:id="1">
    <w:p w:rsidR="004C14F8" w:rsidP="004C14F8" w:rsidRDefault="004C14F8" w14:paraId="613AB909" w14:textId="1A8DDB3D">
      <w:pPr>
        <w:spacing w:line="240" w:lineRule="auto"/>
        <w:ind w:left="-425" w:right="-466"/>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Cons. </w:t>
      </w:r>
      <w:proofErr w:type="spellStart"/>
      <w:proofErr w:type="gramStart"/>
      <w:r>
        <w:rPr>
          <w:rFonts w:ascii="Times New Roman" w:hAnsi="Times New Roman" w:eastAsia="Times New Roman" w:cs="Times New Roman"/>
          <w:sz w:val="20"/>
          <w:szCs w:val="20"/>
        </w:rPr>
        <w:t>const</w:t>
      </w:r>
      <w:proofErr w:type="spellEnd"/>
      <w:proofErr w:type="gramEnd"/>
      <w:r>
        <w:rPr>
          <w:rFonts w:ascii="Times New Roman" w:hAnsi="Times New Roman" w:eastAsia="Times New Roman" w:cs="Times New Roman"/>
          <w:sz w:val="20"/>
          <w:szCs w:val="20"/>
        </w:rPr>
        <w:t>. 15 juin 1999, décision n°99-412 DC. Ces justifications sont régulièrement mises en avant par la France dans ses rapports devant les Comités onusiens, voir Comité pour l’élimination de la discrimination raciale,</w:t>
      </w:r>
      <w:r>
        <w:rPr>
          <w:rFonts w:ascii="Times New Roman" w:hAnsi="Times New Roman" w:eastAsia="Times New Roman" w:cs="Times New Roman"/>
          <w:i/>
          <w:sz w:val="20"/>
          <w:szCs w:val="20"/>
        </w:rPr>
        <w:t xml:space="preserve"> Rapport valant 22 et 23è rapports périodiques soumis par la France (CERD/C/FRA/22-23)</w:t>
      </w:r>
      <w:r>
        <w:rPr>
          <w:rFonts w:ascii="Times New Roman" w:hAnsi="Times New Roman" w:eastAsia="Times New Roman" w:cs="Times New Roman"/>
          <w:sz w:val="20"/>
          <w:szCs w:val="20"/>
        </w:rPr>
        <w:t xml:space="preserve">, 15 août 2019, §164 et s. </w:t>
      </w:r>
      <w:r>
        <w:rPr>
          <w:rFonts w:ascii="Times New Roman" w:hAnsi="Times New Roman" w:eastAsia="Times New Roman" w:cs="Times New Roman"/>
          <w:sz w:val="20"/>
          <w:szCs w:val="20"/>
          <w:highlight w:val="white"/>
        </w:rPr>
        <w:t>Néanmoins, la Cour administrative d’appel de Bordeaux a récemment pris en compte l’appartenance d’un requérant à une communauté amérindienne en Guyane dans le cadre d’un contentieux du séjour</w:t>
      </w:r>
      <w:r w:rsidR="00B260BA">
        <w:rPr>
          <w:rFonts w:ascii="Times New Roman" w:hAnsi="Times New Roman" w:eastAsia="Times New Roman" w:cs="Times New Roman"/>
          <w:sz w:val="20"/>
          <w:szCs w:val="20"/>
          <w:highlight w:val="white"/>
        </w:rPr>
        <w:t> :</w:t>
      </w:r>
      <w:r>
        <w:rPr>
          <w:rFonts w:ascii="Times New Roman" w:hAnsi="Times New Roman" w:eastAsia="Times New Roman" w:cs="Times New Roman"/>
          <w:sz w:val="20"/>
          <w:szCs w:val="20"/>
          <w:highlight w:val="white"/>
        </w:rPr>
        <w:t xml:space="preserve"> </w:t>
      </w:r>
      <w:r>
        <w:rPr>
          <w:rFonts w:ascii="Times New Roman" w:hAnsi="Times New Roman" w:eastAsia="Times New Roman" w:cs="Times New Roman"/>
          <w:sz w:val="20"/>
          <w:szCs w:val="20"/>
        </w:rPr>
        <w:t>Cour administrative d</w:t>
      </w:r>
      <w:r w:rsidR="00B260BA">
        <w:rPr>
          <w:rFonts w:ascii="Times New Roman" w:hAnsi="Times New Roman" w:eastAsia="Times New Roman" w:cs="Times New Roman"/>
          <w:sz w:val="20"/>
          <w:szCs w:val="20"/>
        </w:rPr>
        <w:t>’</w:t>
      </w:r>
      <w:r>
        <w:rPr>
          <w:rFonts w:ascii="Times New Roman" w:hAnsi="Times New Roman" w:eastAsia="Times New Roman" w:cs="Times New Roman"/>
          <w:sz w:val="20"/>
          <w:szCs w:val="20"/>
        </w:rPr>
        <w:t>appel de Bordeaux, 1ère chambre, 2 mars 2023, n° 22BX02507.</w:t>
      </w:r>
    </w:p>
  </w:footnote>
  <w:footnote w:id="2">
    <w:p w:rsidR="00D847EA" w:rsidRDefault="0003429D" w14:paraId="3D3AFEB5" w14:textId="77777777">
      <w:pPr>
        <w:spacing w:line="240" w:lineRule="auto"/>
        <w:ind w:left="-425" w:right="-466"/>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La communauté Kanak représente 41% de la population néo-calédonienne selon l’Institut de la Statistique et des Etudes Economiques de Nouvelle-Calédonie pour l’année 2019.</w:t>
      </w:r>
    </w:p>
  </w:footnote>
  <w:footnote w:id="3">
    <w:p w:rsidR="00D847EA" w:rsidRDefault="0003429D" w14:paraId="1B4A4477" w14:textId="77777777">
      <w:pPr>
        <w:spacing w:line="240" w:lineRule="auto"/>
        <w:ind w:left="-425"/>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​​Les Amérindiens de Guyane représentent environ 5% de la population. </w:t>
      </w:r>
    </w:p>
  </w:footnote>
  <w:footnote w:id="4">
    <w:p w:rsidR="00D847EA" w:rsidRDefault="0003429D" w14:paraId="0B31537D" w14:textId="77777777">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CNCDH,</w:t>
      </w:r>
      <w:r>
        <w:rPr>
          <w:rFonts w:ascii="Times New Roman" w:hAnsi="Times New Roman" w:eastAsia="Times New Roman" w:cs="Times New Roman"/>
          <w:i/>
          <w:sz w:val="20"/>
          <w:szCs w:val="20"/>
        </w:rPr>
        <w:t xml:space="preserve"> La place des peuples autochtones dans les territoires ultramarins français : la situation des kanaks de Nouvelle-Calédonie et des amérindiens de Guyane, </w:t>
      </w:r>
      <w:r>
        <w:rPr>
          <w:rFonts w:ascii="Times New Roman" w:hAnsi="Times New Roman" w:eastAsia="Times New Roman" w:cs="Times New Roman"/>
          <w:sz w:val="20"/>
          <w:szCs w:val="20"/>
        </w:rPr>
        <w:t>JORF n°0061 du 12 mars 2017 texte n°33</w:t>
      </w:r>
      <w:r>
        <w:rPr>
          <w:rFonts w:ascii="Times New Roman" w:hAnsi="Times New Roman" w:eastAsia="Times New Roman" w:cs="Times New Roman"/>
          <w:i/>
          <w:sz w:val="20"/>
          <w:szCs w:val="20"/>
        </w:rPr>
        <w:t xml:space="preserve">, </w:t>
      </w:r>
      <w:r>
        <w:rPr>
          <w:rFonts w:ascii="Times New Roman" w:hAnsi="Times New Roman" w:eastAsia="Times New Roman" w:cs="Times New Roman"/>
          <w:sz w:val="20"/>
          <w:szCs w:val="20"/>
        </w:rPr>
        <w:t>23 février 2017, p. 28.</w:t>
      </w:r>
    </w:p>
  </w:footnote>
  <w:footnote w:id="5">
    <w:p w:rsidR="00D847EA" w:rsidRDefault="0003429D" w14:paraId="7E5C961B" w14:textId="77777777">
      <w:pPr>
        <w:spacing w:line="240" w:lineRule="auto"/>
        <w:ind w:left="-425"/>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CIDH, </w:t>
      </w:r>
      <w:r>
        <w:rPr>
          <w:rFonts w:ascii="Times New Roman" w:hAnsi="Times New Roman" w:eastAsia="Times New Roman" w:cs="Times New Roman"/>
          <w:i/>
          <w:sz w:val="20"/>
          <w:szCs w:val="20"/>
        </w:rPr>
        <w:t>Affaire du peuple Saramaka c. Suriname</w:t>
      </w:r>
      <w:r>
        <w:rPr>
          <w:rFonts w:ascii="Times New Roman" w:hAnsi="Times New Roman" w:eastAsia="Times New Roman" w:cs="Times New Roman"/>
          <w:sz w:val="20"/>
          <w:szCs w:val="20"/>
        </w:rPr>
        <w:t>, 28 novembre 2007, Série C n°172.</w:t>
      </w:r>
    </w:p>
  </w:footnote>
  <w:footnote w:id="6">
    <w:p w:rsidR="00D847EA" w:rsidRDefault="0003429D" w14:paraId="40F796C0" w14:textId="77777777">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Organisation des Nations autochtones de Guyane, </w:t>
      </w:r>
      <w:r>
        <w:rPr>
          <w:rFonts w:ascii="Times New Roman" w:hAnsi="Times New Roman" w:eastAsia="Times New Roman" w:cs="Times New Roman"/>
          <w:i/>
          <w:sz w:val="20"/>
          <w:szCs w:val="20"/>
        </w:rPr>
        <w:t>Rapport alternatif au rapport présenté par la France au CERD (108e session)</w:t>
      </w:r>
      <w:r>
        <w:rPr>
          <w:rFonts w:ascii="Times New Roman" w:hAnsi="Times New Roman" w:eastAsia="Times New Roman" w:cs="Times New Roman"/>
          <w:sz w:val="20"/>
          <w:szCs w:val="20"/>
        </w:rPr>
        <w:t>, 24 octobre 2022, point 4.2, p.8.</w:t>
      </w:r>
    </w:p>
  </w:footnote>
  <w:footnote w:id="7">
    <w:p w:rsidR="00D847EA" w:rsidRDefault="0003429D" w14:paraId="755F10D9" w14:textId="77777777">
      <w:pPr>
        <w:spacing w:line="240" w:lineRule="auto"/>
        <w:ind w:left="-425"/>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i/>
          <w:sz w:val="20"/>
          <w:szCs w:val="20"/>
        </w:rPr>
        <w:t>Ibid.,</w:t>
      </w:r>
      <w:r>
        <w:rPr>
          <w:rFonts w:ascii="Times New Roman" w:hAnsi="Times New Roman" w:eastAsia="Times New Roman" w:cs="Times New Roman"/>
          <w:sz w:val="20"/>
          <w:szCs w:val="20"/>
        </w:rPr>
        <w:t xml:space="preserve"> p.9.</w:t>
      </w:r>
    </w:p>
  </w:footnote>
  <w:footnote w:id="8">
    <w:p w:rsidR="00D847EA" w:rsidRDefault="0003429D" w14:paraId="5B165183" w14:textId="77777777">
      <w:pPr>
        <w:spacing w:line="240" w:lineRule="auto"/>
        <w:ind w:left="-425"/>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i/>
          <w:sz w:val="20"/>
          <w:szCs w:val="20"/>
        </w:rPr>
        <w:t>Ibid.,</w:t>
      </w:r>
      <w:r>
        <w:rPr>
          <w:rFonts w:ascii="Times New Roman" w:hAnsi="Times New Roman" w:eastAsia="Times New Roman" w:cs="Times New Roman"/>
          <w:sz w:val="20"/>
          <w:szCs w:val="20"/>
        </w:rPr>
        <w:t xml:space="preserve"> p.9.</w:t>
      </w:r>
    </w:p>
  </w:footnote>
  <w:footnote w:id="9">
    <w:p w:rsidR="00D847EA" w:rsidRDefault="0003429D" w14:paraId="0241F206" w14:textId="77777777">
      <w:pPr>
        <w:spacing w:line="240" w:lineRule="auto"/>
        <w:ind w:left="-425"/>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CERD, </w:t>
      </w:r>
      <w:r>
        <w:rPr>
          <w:rFonts w:ascii="Times New Roman" w:hAnsi="Times New Roman" w:eastAsia="Times New Roman" w:cs="Times New Roman"/>
          <w:i/>
          <w:sz w:val="20"/>
          <w:szCs w:val="20"/>
        </w:rPr>
        <w:t>Lettre au représentant permanent de la France</w:t>
      </w:r>
      <w:r>
        <w:rPr>
          <w:rFonts w:ascii="Times New Roman" w:hAnsi="Times New Roman" w:eastAsia="Times New Roman" w:cs="Times New Roman"/>
          <w:sz w:val="20"/>
          <w:szCs w:val="20"/>
        </w:rPr>
        <w:t xml:space="preserve">, 14 décembre 2018, </w:t>
      </w:r>
      <w:r>
        <w:rPr>
          <w:rFonts w:ascii="Times New Roman" w:hAnsi="Times New Roman" w:eastAsia="Times New Roman" w:cs="Times New Roman"/>
          <w:sz w:val="20"/>
          <w:szCs w:val="20"/>
          <w:highlight w:val="white"/>
        </w:rPr>
        <w:t>CERD/EWUAP/France/2018/JP/</w:t>
      </w:r>
      <w:proofErr w:type="spellStart"/>
      <w:r>
        <w:rPr>
          <w:rFonts w:ascii="Times New Roman" w:hAnsi="Times New Roman" w:eastAsia="Times New Roman" w:cs="Times New Roman"/>
          <w:sz w:val="20"/>
          <w:szCs w:val="20"/>
          <w:highlight w:val="white"/>
        </w:rPr>
        <w:t>k</w:t>
      </w:r>
      <w:r>
        <w:rPr>
          <w:rFonts w:ascii="Times New Roman" w:hAnsi="Times New Roman" w:eastAsia="Times New Roman" w:cs="Times New Roman"/>
          <w:sz w:val="20"/>
          <w:szCs w:val="20"/>
        </w:rPr>
        <w:t>s</w:t>
      </w:r>
      <w:proofErr w:type="spellEnd"/>
      <w:r>
        <w:rPr>
          <w:rFonts w:ascii="Times New Roman" w:hAnsi="Times New Roman" w:eastAsia="Times New Roman" w:cs="Times New Roman"/>
          <w:sz w:val="20"/>
          <w:szCs w:val="20"/>
        </w:rPr>
        <w:t>.</w:t>
      </w:r>
    </w:p>
  </w:footnote>
  <w:footnote w:id="10">
    <w:p w:rsidR="00D847EA" w:rsidRDefault="0003429D" w14:paraId="36EE8514" w14:textId="77777777">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HARIWANARI, T., </w:t>
      </w:r>
      <w:r>
        <w:rPr>
          <w:rFonts w:ascii="Times New Roman" w:hAnsi="Times New Roman" w:eastAsia="Times New Roman" w:cs="Times New Roman"/>
          <w:i/>
          <w:sz w:val="20"/>
          <w:szCs w:val="20"/>
        </w:rPr>
        <w:t xml:space="preserve">Le Grand Conseil coutumier des populations amérindiennes et </w:t>
      </w:r>
      <w:proofErr w:type="spellStart"/>
      <w:r>
        <w:rPr>
          <w:rFonts w:ascii="Times New Roman" w:hAnsi="Times New Roman" w:eastAsia="Times New Roman" w:cs="Times New Roman"/>
          <w:i/>
          <w:sz w:val="20"/>
          <w:szCs w:val="20"/>
        </w:rPr>
        <w:t>bushinenges</w:t>
      </w:r>
      <w:proofErr w:type="spellEnd"/>
      <w:r>
        <w:rPr>
          <w:rFonts w:ascii="Times New Roman" w:hAnsi="Times New Roman" w:eastAsia="Times New Roman" w:cs="Times New Roman"/>
          <w:i/>
          <w:sz w:val="20"/>
          <w:szCs w:val="20"/>
        </w:rPr>
        <w:t xml:space="preserve"> : Amorce d’un dialogue en Guyane</w:t>
      </w:r>
      <w:r>
        <w:rPr>
          <w:rFonts w:ascii="Times New Roman" w:hAnsi="Times New Roman" w:eastAsia="Times New Roman" w:cs="Times New Roman"/>
          <w:sz w:val="20"/>
          <w:szCs w:val="20"/>
        </w:rPr>
        <w:t>, La nature en partage : Autour du protocole de Nagoya [en ligne], Marseille : IRD Éditions, 2021, §9.</w:t>
      </w:r>
    </w:p>
  </w:footnote>
  <w:footnote w:id="11">
    <w:p w:rsidR="00D847EA" w:rsidRDefault="0003429D" w14:paraId="7774333F" w14:textId="77777777">
      <w:pPr>
        <w:spacing w:line="240" w:lineRule="auto"/>
        <w:ind w:left="-425"/>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Loi organique modifiée n° 99-209 du 19 mars 1999 issue des Accords de Nouméa, JORF n°0068 du 21 mars 1999.</w:t>
      </w:r>
    </w:p>
  </w:footnote>
  <w:footnote w:id="12">
    <w:p w:rsidR="00D847EA" w:rsidRDefault="0003429D" w14:paraId="3FDEE6B5" w14:textId="77777777">
      <w:pPr>
        <w:spacing w:line="240" w:lineRule="auto"/>
        <w:ind w:left="-425"/>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Tribunal administratif de Nouvelle Calédonie, 26/10/2015, 1500049, confirmé en appel.</w:t>
      </w:r>
    </w:p>
  </w:footnote>
  <w:footnote w:id="13">
    <w:p w:rsidR="00D847EA" w:rsidRDefault="0003429D" w14:paraId="65457A1B" w14:textId="77777777">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i/>
          <w:sz w:val="20"/>
          <w:szCs w:val="20"/>
        </w:rPr>
        <w:t xml:space="preserve"> Délibération n° 06-2014/SC du 15 juillet 2014 constatant la proclamation et portant adoption de la Charte du peuple kanak fixant le socle commun des valeurs et principes fondamentaux de la civilisation kanak</w:t>
      </w:r>
      <w:r>
        <w:rPr>
          <w:rFonts w:ascii="Times New Roman" w:hAnsi="Times New Roman" w:eastAsia="Times New Roman" w:cs="Times New Roman"/>
          <w:sz w:val="20"/>
          <w:szCs w:val="20"/>
        </w:rPr>
        <w:t>, JONC, 5 août 2014, p. 6815.</w:t>
      </w:r>
    </w:p>
  </w:footnote>
  <w:footnote w:id="14">
    <w:p w:rsidR="00D847EA" w:rsidRDefault="0003429D" w14:paraId="356A3B2C" w14:textId="77777777">
      <w:pPr>
        <w:spacing w:line="240" w:lineRule="auto"/>
        <w:ind w:left="-425"/>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Loi constitutionnelle n°98-610 du 20 juillet 1998, JORF n°166 du 21 juillet 1998.</w:t>
      </w:r>
    </w:p>
  </w:footnote>
  <w:footnote w:id="15">
    <w:p w:rsidR="00D847EA" w:rsidRDefault="0003429D" w14:paraId="476CC6E6" w14:textId="77777777">
      <w:pPr>
        <w:spacing w:line="240" w:lineRule="auto"/>
        <w:ind w:left="-425"/>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Le 4 novembre 2018, le 4 octobre 2020 et le 12 décembre 2021.</w:t>
      </w:r>
    </w:p>
  </w:footnote>
  <w:footnote w:id="16">
    <w:p w:rsidR="00D847EA" w:rsidRDefault="0003429D" w14:paraId="33173D12" w14:textId="77777777">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Étaient contestés la date choisie au regard des obstacles posés par la pandémie du covid-19 et le taux d’absentéisme (56,13%). Sur d’autres inquiétudes soulevées par le Sénat coutumier, voir Assemblée générale des Nations Unies, </w:t>
      </w:r>
      <w:r>
        <w:rPr>
          <w:rFonts w:ascii="Times New Roman" w:hAnsi="Times New Roman" w:eastAsia="Times New Roman" w:cs="Times New Roman"/>
          <w:i/>
          <w:sz w:val="20"/>
          <w:szCs w:val="20"/>
        </w:rPr>
        <w:t>Résolution adoptée le 9 décembre 2021</w:t>
      </w:r>
      <w:r>
        <w:rPr>
          <w:rFonts w:ascii="Times New Roman" w:hAnsi="Times New Roman" w:eastAsia="Times New Roman" w:cs="Times New Roman"/>
          <w:sz w:val="20"/>
          <w:szCs w:val="20"/>
        </w:rPr>
        <w:t>, A/RES/76/98.</w:t>
      </w:r>
    </w:p>
  </w:footnote>
  <w:footnote w:id="17">
    <w:p w:rsidR="00D847EA" w:rsidRDefault="0003429D" w14:paraId="1D8EBB60" w14:textId="41406919">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Conseil d</w:t>
      </w:r>
      <w:r w:rsidR="00B260BA">
        <w:rPr>
          <w:rFonts w:ascii="Times New Roman" w:hAnsi="Times New Roman" w:eastAsia="Times New Roman" w:cs="Times New Roman"/>
          <w:sz w:val="20"/>
          <w:szCs w:val="20"/>
        </w:rPr>
        <w:t>’</w:t>
      </w:r>
      <w:r>
        <w:rPr>
          <w:rFonts w:ascii="Times New Roman" w:hAnsi="Times New Roman" w:eastAsia="Times New Roman" w:cs="Times New Roman"/>
          <w:sz w:val="20"/>
          <w:szCs w:val="20"/>
        </w:rPr>
        <w:t>État, 10</w:t>
      </w:r>
      <w:r>
        <w:rPr>
          <w:rFonts w:ascii="Times New Roman" w:hAnsi="Times New Roman" w:eastAsia="Times New Roman" w:cs="Times New Roman"/>
          <w:sz w:val="20"/>
          <w:szCs w:val="20"/>
          <w:vertAlign w:val="superscript"/>
        </w:rPr>
        <w:t>ème</w:t>
      </w:r>
      <w:r>
        <w:rPr>
          <w:rFonts w:ascii="Times New Roman" w:hAnsi="Times New Roman" w:eastAsia="Times New Roman" w:cs="Times New Roman"/>
          <w:sz w:val="20"/>
          <w:szCs w:val="20"/>
        </w:rPr>
        <w:t xml:space="preserve"> – 9</w:t>
      </w:r>
      <w:r>
        <w:rPr>
          <w:rFonts w:ascii="Times New Roman" w:hAnsi="Times New Roman" w:eastAsia="Times New Roman" w:cs="Times New Roman"/>
          <w:sz w:val="20"/>
          <w:szCs w:val="20"/>
          <w:vertAlign w:val="superscript"/>
        </w:rPr>
        <w:t>ème</w:t>
      </w:r>
      <w:r>
        <w:rPr>
          <w:rFonts w:ascii="Times New Roman" w:hAnsi="Times New Roman" w:eastAsia="Times New Roman" w:cs="Times New Roman"/>
          <w:sz w:val="20"/>
          <w:szCs w:val="20"/>
        </w:rPr>
        <w:t xml:space="preserve"> chambres réunies, 03/06/2022, 459711 : le Conseil d’Etat a cependant rejeté leur demande d’annulation du référendum en invoquant notamment l’appel des partis indépendantistes à l’absentéisme et l’indifférence du taux de participation sur la validité du résultat.</w:t>
      </w:r>
    </w:p>
  </w:footnote>
  <w:footnote w:id="18">
    <w:p w:rsidR="00D847EA" w:rsidRDefault="0003429D" w14:paraId="07B71191" w14:textId="77777777">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i/>
          <w:sz w:val="20"/>
          <w:szCs w:val="20"/>
        </w:rPr>
        <w:t>Compte rendu analytique de la 4</w:t>
      </w:r>
      <w:r>
        <w:rPr>
          <w:rFonts w:ascii="Times New Roman" w:hAnsi="Times New Roman" w:eastAsia="Times New Roman" w:cs="Times New Roman"/>
          <w:i/>
          <w:sz w:val="20"/>
          <w:szCs w:val="20"/>
          <w:vertAlign w:val="superscript"/>
        </w:rPr>
        <w:t>e</w:t>
      </w:r>
      <w:r>
        <w:rPr>
          <w:rFonts w:ascii="Times New Roman" w:hAnsi="Times New Roman" w:eastAsia="Times New Roman" w:cs="Times New Roman"/>
          <w:i/>
          <w:sz w:val="20"/>
          <w:szCs w:val="20"/>
        </w:rPr>
        <w:t xml:space="preserve"> séance Comité spécial chargé d’étudier la situation en ce qui concerne l’application de la Déclaration sur l’octroi de l’indépendance aux pays et aux peuples coloniaux</w:t>
      </w:r>
      <w:r>
        <w:rPr>
          <w:rFonts w:ascii="Times New Roman" w:hAnsi="Times New Roman" w:eastAsia="Times New Roman" w:cs="Times New Roman"/>
          <w:sz w:val="20"/>
          <w:szCs w:val="20"/>
        </w:rPr>
        <w:t>, A/AC.109/2021/SR.4.</w:t>
      </w:r>
    </w:p>
  </w:footnote>
  <w:footnote w:id="19">
    <w:p w:rsidR="00D847EA" w:rsidRDefault="0003429D" w14:paraId="1529AA4A" w14:textId="77777777">
      <w:pPr>
        <w:spacing w:line="240" w:lineRule="auto"/>
        <w:ind w:left="-425"/>
        <w:rPr>
          <w:i/>
          <w:sz w:val="20"/>
          <w:szCs w:val="20"/>
        </w:rPr>
      </w:pPr>
      <w:r>
        <w:rPr>
          <w:vertAlign w:val="superscript"/>
        </w:rPr>
        <w:footnoteRef/>
      </w:r>
      <w:r>
        <w:rPr>
          <w:sz w:val="20"/>
          <w:szCs w:val="20"/>
        </w:rPr>
        <w:t xml:space="preserve"> </w:t>
      </w:r>
      <w:r>
        <w:rPr>
          <w:rFonts w:ascii="Times New Roman" w:hAnsi="Times New Roman" w:eastAsia="Times New Roman" w:cs="Times New Roman"/>
          <w:sz w:val="20"/>
          <w:szCs w:val="20"/>
          <w:highlight w:val="white"/>
        </w:rPr>
        <w:t xml:space="preserve">CEDH, </w:t>
      </w:r>
      <w:r>
        <w:rPr>
          <w:rFonts w:ascii="Times New Roman" w:hAnsi="Times New Roman" w:eastAsia="Times New Roman" w:cs="Times New Roman"/>
          <w:i/>
          <w:sz w:val="20"/>
          <w:szCs w:val="20"/>
          <w:highlight w:val="white"/>
        </w:rPr>
        <w:t>Aden Ali c. France</w:t>
      </w:r>
      <w:r>
        <w:rPr>
          <w:rFonts w:ascii="Times New Roman" w:hAnsi="Times New Roman" w:eastAsia="Times New Roman" w:cs="Times New Roman"/>
          <w:sz w:val="20"/>
          <w:szCs w:val="20"/>
          <w:highlight w:val="white"/>
        </w:rPr>
        <w:t>, 2023</w:t>
      </w:r>
      <w:r>
        <w:rPr>
          <w:rFonts w:ascii="Times New Roman" w:hAnsi="Times New Roman" w:eastAsia="Times New Roman" w:cs="Times New Roman"/>
          <w:sz w:val="20"/>
          <w:szCs w:val="20"/>
        </w:rPr>
        <w:t>, 20252/21.</w:t>
      </w:r>
    </w:p>
  </w:footnote>
  <w:footnote w:id="20">
    <w:p w:rsidR="00D847EA" w:rsidRDefault="0003429D" w14:paraId="7A769EB6" w14:textId="77777777">
      <w:pPr>
        <w:spacing w:line="240" w:lineRule="auto"/>
        <w:ind w:left="-425" w:right="-574"/>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L</w:t>
      </w:r>
      <w:hyperlink r:id="rId1">
        <w:r>
          <w:rPr>
            <w:rFonts w:ascii="Times New Roman" w:hAnsi="Times New Roman" w:eastAsia="Times New Roman" w:cs="Times New Roman"/>
            <w:sz w:val="20"/>
            <w:szCs w:val="20"/>
          </w:rPr>
          <w:t>oi n°2016-1087 du 8 août 2016 pour la reconquête de la biodiversité, de la nature et des paysages</w:t>
        </w:r>
      </w:hyperlink>
      <w:r>
        <w:rPr>
          <w:rFonts w:ascii="Times New Roman" w:hAnsi="Times New Roman" w:eastAsia="Times New Roman" w:cs="Times New Roman"/>
          <w:sz w:val="20"/>
          <w:szCs w:val="20"/>
        </w:rPr>
        <w:t>, JORF n°0184 du 9 août 2016.</w:t>
      </w:r>
    </w:p>
  </w:footnote>
  <w:footnote w:id="21">
    <w:p w:rsidR="00D847EA" w:rsidRDefault="0003429D" w14:paraId="33B3B769" w14:textId="77777777">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highlight w:val="white"/>
        </w:rPr>
        <w:t xml:space="preserve"> Convention sur la diversité biologique, </w:t>
      </w:r>
      <w:r>
        <w:rPr>
          <w:rFonts w:ascii="Times New Roman" w:hAnsi="Times New Roman" w:eastAsia="Times New Roman" w:cs="Times New Roman"/>
          <w:i/>
          <w:sz w:val="20"/>
          <w:szCs w:val="20"/>
          <w:highlight w:val="white"/>
        </w:rPr>
        <w:t xml:space="preserve">Protocole de Nagoya de </w:t>
      </w:r>
      <w:proofErr w:type="gramStart"/>
      <w:r>
        <w:rPr>
          <w:rFonts w:ascii="Times New Roman" w:hAnsi="Times New Roman" w:eastAsia="Times New Roman" w:cs="Times New Roman"/>
          <w:i/>
          <w:sz w:val="20"/>
          <w:szCs w:val="20"/>
          <w:highlight w:val="white"/>
        </w:rPr>
        <w:t>2010  sur</w:t>
      </w:r>
      <w:proofErr w:type="gramEnd"/>
      <w:r>
        <w:rPr>
          <w:rFonts w:ascii="Times New Roman" w:hAnsi="Times New Roman" w:eastAsia="Times New Roman" w:cs="Times New Roman"/>
          <w:i/>
          <w:sz w:val="20"/>
          <w:szCs w:val="20"/>
          <w:highlight w:val="white"/>
        </w:rPr>
        <w:t xml:space="preserve"> l’accès aux ressources génétiques et le partage juste et équitable des avantages découlant de leur utilisation</w:t>
      </w:r>
      <w:r>
        <w:rPr>
          <w:rFonts w:ascii="Times New Roman" w:hAnsi="Times New Roman" w:eastAsia="Times New Roman" w:cs="Times New Roman"/>
          <w:sz w:val="20"/>
          <w:szCs w:val="20"/>
          <w:highlight w:val="white"/>
        </w:rPr>
        <w:t>, Nations Unies. Règlement n° 511/2014 du Parlement européen et du Conseil du 16 avril 2014 relatif aux mesures concernant le respect par les utilisateurs dans l’Union du protocole de Nagoya sur l’accès aux ressources génétiques et le partage juste et équitable des avantages découlant de leur utilisation, JOUE L150/2014 du 20 mai 2014.</w:t>
      </w:r>
    </w:p>
  </w:footnote>
  <w:footnote w:id="22">
    <w:p w:rsidR="00D847EA" w:rsidRDefault="0003429D" w14:paraId="10900466" w14:textId="77777777">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L’article L. 412-9 de la loi du 8 août 2016 prévoit que l’utilisation de connaissances traditionnelles associées aux ressources génétiques est soumise à une autorisation, ne pouvant être accordée qu’au terme d’une procédure visant “</w:t>
      </w:r>
      <w:r>
        <w:rPr>
          <w:rFonts w:ascii="Times New Roman" w:hAnsi="Times New Roman" w:eastAsia="Times New Roman" w:cs="Times New Roman"/>
          <w:i/>
          <w:sz w:val="20"/>
          <w:szCs w:val="20"/>
        </w:rPr>
        <w:t>à recueillir le consentement préalable, en connaissance de cause, des communautés d’habitants concernées</w:t>
      </w:r>
      <w:r>
        <w:rPr>
          <w:rFonts w:ascii="Times New Roman" w:hAnsi="Times New Roman" w:eastAsia="Times New Roman" w:cs="Times New Roman"/>
          <w:sz w:val="20"/>
          <w:szCs w:val="20"/>
        </w:rPr>
        <w:t>”.</w:t>
      </w:r>
    </w:p>
  </w:footnote>
  <w:footnote w:id="23">
    <w:p w:rsidR="00D847EA" w:rsidRDefault="0003429D" w14:paraId="00057AF3" w14:textId="77777777">
      <w:pPr>
        <w:spacing w:line="240" w:lineRule="auto"/>
        <w:ind w:left="-425"/>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Code de l’environnement, </w:t>
      </w:r>
      <w:r>
        <w:rPr>
          <w:rFonts w:ascii="Times New Roman" w:hAnsi="Times New Roman" w:eastAsia="Times New Roman" w:cs="Times New Roman"/>
          <w:sz w:val="20"/>
          <w:szCs w:val="20"/>
          <w:highlight w:val="white"/>
        </w:rPr>
        <w:t>articles L. 412-7 et L. 412-8, version en vigueur au 30 janvier 2024.</w:t>
      </w:r>
    </w:p>
  </w:footnote>
  <w:footnote w:id="24">
    <w:p w:rsidR="00D847EA" w:rsidRDefault="0003429D" w14:paraId="6D4A7119" w14:textId="77777777">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COLLOT, P.-A., </w:t>
      </w:r>
      <w:r>
        <w:rPr>
          <w:rFonts w:ascii="Times New Roman" w:hAnsi="Times New Roman" w:eastAsia="Times New Roman" w:cs="Times New Roman"/>
          <w:i/>
          <w:sz w:val="20"/>
          <w:szCs w:val="20"/>
        </w:rPr>
        <w:t>Un dispositif d’accès et de partage des avantages sans peuple autochtone ni communauté locale ou les omissions de la loi française pour la reconquête de la biodiversité</w:t>
      </w:r>
      <w:r>
        <w:rPr>
          <w:rFonts w:ascii="Times New Roman" w:hAnsi="Times New Roman" w:eastAsia="Times New Roman" w:cs="Times New Roman"/>
          <w:sz w:val="20"/>
          <w:szCs w:val="20"/>
          <w:highlight w:val="white"/>
        </w:rPr>
        <w:t xml:space="preserve">, </w:t>
      </w:r>
      <w:proofErr w:type="spellStart"/>
      <w:r>
        <w:rPr>
          <w:rFonts w:ascii="Times New Roman" w:hAnsi="Times New Roman" w:eastAsia="Times New Roman" w:cs="Times New Roman"/>
          <w:sz w:val="20"/>
          <w:szCs w:val="20"/>
        </w:rPr>
        <w:t>VertigO</w:t>
      </w:r>
      <w:proofErr w:type="spellEnd"/>
      <w:r>
        <w:rPr>
          <w:rFonts w:ascii="Times New Roman" w:hAnsi="Times New Roman" w:eastAsia="Times New Roman" w:cs="Times New Roman"/>
          <w:sz w:val="20"/>
          <w:szCs w:val="20"/>
        </w:rPr>
        <w:t xml:space="preserve"> - la revue électronique en sciences de l'environnement</w:t>
      </w:r>
      <w:r>
        <w:rPr>
          <w:rFonts w:ascii="Times New Roman" w:hAnsi="Times New Roman" w:eastAsia="Times New Roman" w:cs="Times New Roman"/>
          <w:sz w:val="20"/>
          <w:szCs w:val="20"/>
          <w:highlight w:val="white"/>
        </w:rPr>
        <w:t xml:space="preserve"> [En ligne], Volume 20 Numéro 1 | mai 2020, mis en ligne le </w:t>
      </w:r>
      <w:r>
        <w:rPr>
          <w:rFonts w:ascii="Times New Roman" w:hAnsi="Times New Roman" w:eastAsia="Times New Roman" w:cs="Times New Roman"/>
          <w:sz w:val="20"/>
          <w:szCs w:val="20"/>
        </w:rPr>
        <w:t>4 mai 2020</w:t>
      </w:r>
      <w:r>
        <w:rPr>
          <w:rFonts w:ascii="Times New Roman" w:hAnsi="Times New Roman" w:eastAsia="Times New Roman" w:cs="Times New Roman"/>
          <w:sz w:val="20"/>
          <w:szCs w:val="20"/>
          <w:highlight w:val="white"/>
        </w:rPr>
        <w:t xml:space="preserve">, consulté le </w:t>
      </w:r>
      <w:r>
        <w:rPr>
          <w:rFonts w:ascii="Times New Roman" w:hAnsi="Times New Roman" w:eastAsia="Times New Roman" w:cs="Times New Roman"/>
          <w:sz w:val="20"/>
          <w:szCs w:val="20"/>
        </w:rPr>
        <w:t>21 janvier 2024.</w:t>
      </w:r>
    </w:p>
  </w:footnote>
  <w:footnote w:id="25">
    <w:p w:rsidR="00D847EA" w:rsidRDefault="0003429D" w14:paraId="5BE1CE75" w14:textId="77777777">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highlight w:val="white"/>
        </w:rPr>
        <w:t>L</w:t>
      </w:r>
      <w:hyperlink r:id="rId2">
        <w:r>
          <w:rPr>
            <w:rFonts w:ascii="Times New Roman" w:hAnsi="Times New Roman" w:eastAsia="Times New Roman" w:cs="Times New Roman"/>
            <w:sz w:val="20"/>
            <w:szCs w:val="20"/>
            <w:highlight w:val="white"/>
          </w:rPr>
          <w:t>oi n°2017-256 du 28 février 2017 de programmation relative à l’égalité réelle outre-mer et portant autres dispositions en matière sociale et économique</w:t>
        </w:r>
      </w:hyperlink>
      <w:r>
        <w:rPr>
          <w:rFonts w:ascii="Times New Roman" w:hAnsi="Times New Roman" w:eastAsia="Times New Roman" w:cs="Times New Roman"/>
          <w:sz w:val="20"/>
          <w:szCs w:val="20"/>
        </w:rPr>
        <w:t>, JORF n°0051 du 1er mars 2017.</w:t>
      </w:r>
    </w:p>
  </w:footnote>
  <w:footnote w:id="26">
    <w:p w:rsidR="00D847EA" w:rsidRDefault="0003429D" w14:paraId="00BA4862" w14:textId="77777777">
      <w:pPr>
        <w:spacing w:line="240" w:lineRule="auto"/>
        <w:ind w:left="-425"/>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Code général des collectivités territoriales, </w:t>
      </w:r>
      <w:r>
        <w:rPr>
          <w:rFonts w:ascii="Times New Roman" w:hAnsi="Times New Roman" w:eastAsia="Times New Roman" w:cs="Times New Roman"/>
          <w:sz w:val="20"/>
          <w:szCs w:val="20"/>
          <w:highlight w:val="white"/>
        </w:rPr>
        <w:t>articles L. 7124-19 et L.7124-21, version en vigueur au 30 janvier 2024.</w:t>
      </w:r>
    </w:p>
  </w:footnote>
  <w:footnote w:id="27">
    <w:p w:rsidR="00D847EA" w:rsidRDefault="0003429D" w14:paraId="05777DF8" w14:textId="77777777">
      <w:pPr>
        <w:spacing w:line="240" w:lineRule="auto"/>
        <w:ind w:left="-425" w:right="-574"/>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18"/>
          <w:szCs w:val="18"/>
        </w:rPr>
        <w:t xml:space="preserve"> </w:t>
      </w:r>
      <w:r>
        <w:rPr>
          <w:rFonts w:ascii="Times New Roman" w:hAnsi="Times New Roman" w:eastAsia="Times New Roman" w:cs="Times New Roman"/>
          <w:sz w:val="20"/>
          <w:szCs w:val="20"/>
        </w:rPr>
        <w:t xml:space="preserve">Délibération de la Collectivité territoriale de Guyane, 23 novembre 2021, </w:t>
      </w:r>
      <w:proofErr w:type="spellStart"/>
      <w:r>
        <w:rPr>
          <w:rFonts w:ascii="Times New Roman" w:hAnsi="Times New Roman" w:eastAsia="Times New Roman" w:cs="Times New Roman"/>
          <w:sz w:val="20"/>
          <w:szCs w:val="20"/>
        </w:rPr>
        <w:t>n°AP</w:t>
      </w:r>
      <w:proofErr w:type="spellEnd"/>
      <w:r>
        <w:rPr>
          <w:rFonts w:ascii="Times New Roman" w:hAnsi="Times New Roman" w:eastAsia="Times New Roman" w:cs="Times New Roman"/>
          <w:sz w:val="20"/>
          <w:szCs w:val="20"/>
        </w:rPr>
        <w:t xml:space="preserve"> 2021-115.</w:t>
      </w:r>
    </w:p>
  </w:footnote>
  <w:footnote w:id="28">
    <w:p w:rsidR="00D847EA" w:rsidRDefault="0003429D" w14:paraId="54284692" w14:textId="77777777">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Il existe en Guyane un dispositif foncier original qui prévoit l’octroi de droits aux “</w:t>
      </w:r>
      <w:r>
        <w:rPr>
          <w:rFonts w:ascii="Times New Roman" w:hAnsi="Times New Roman" w:eastAsia="Times New Roman" w:cs="Times New Roman"/>
          <w:i/>
          <w:sz w:val="20"/>
          <w:szCs w:val="20"/>
        </w:rPr>
        <w:t>peuples tirant traditionnellement leurs moyens de subsistance de la forêt</w:t>
      </w:r>
      <w:r>
        <w:rPr>
          <w:rFonts w:ascii="Times New Roman" w:hAnsi="Times New Roman" w:eastAsia="Times New Roman" w:cs="Times New Roman"/>
          <w:sz w:val="20"/>
          <w:szCs w:val="20"/>
        </w:rPr>
        <w:t xml:space="preserve">”, leur donnant la possibilité de devenir locataires, voire propriétaires, de terres domaniales, uniquement s’ils sont constitués en associations ou en sociétés uniques (concessions) et peuvent se voir octroyer des droits d’usage collectifs sur les terrains domaniaux (de l’Etat ou des collectivités territoriales) autorisant dans une zone déterminée la chasse et la pêche à des fins de subsistance et en dehors de toute exploitation commerciale, d’habitation ou d’agriculture. </w:t>
      </w:r>
    </w:p>
  </w:footnote>
  <w:footnote w:id="29">
    <w:p w:rsidR="00D847EA" w:rsidRDefault="0003429D" w14:paraId="28282C36" w14:textId="77777777">
      <w:pPr>
        <w:spacing w:line="240" w:lineRule="auto"/>
        <w:ind w:hanging="425"/>
        <w:rPr>
          <w:sz w:val="20"/>
          <w:szCs w:val="20"/>
        </w:rPr>
      </w:pPr>
      <w:r>
        <w:rPr>
          <w:vertAlign w:val="superscript"/>
        </w:rPr>
        <w:footnoteRef/>
      </w:r>
      <w:r>
        <w:rPr>
          <w:rFonts w:ascii="Times New Roman" w:hAnsi="Times New Roman" w:eastAsia="Times New Roman" w:cs="Times New Roman"/>
          <w:sz w:val="20"/>
          <w:szCs w:val="20"/>
        </w:rPr>
        <w:t xml:space="preserve"> Loi organique n° 99-209, </w:t>
      </w:r>
      <w:r>
        <w:rPr>
          <w:rFonts w:ascii="Times New Roman" w:hAnsi="Times New Roman" w:eastAsia="Times New Roman" w:cs="Times New Roman"/>
          <w:i/>
          <w:sz w:val="20"/>
          <w:szCs w:val="20"/>
        </w:rPr>
        <w:t xml:space="preserve">op. </w:t>
      </w:r>
      <w:proofErr w:type="spellStart"/>
      <w:proofErr w:type="gramStart"/>
      <w:r>
        <w:rPr>
          <w:rFonts w:ascii="Times New Roman" w:hAnsi="Times New Roman" w:eastAsia="Times New Roman" w:cs="Times New Roman"/>
          <w:i/>
          <w:sz w:val="20"/>
          <w:szCs w:val="20"/>
        </w:rPr>
        <w:t>cit</w:t>
      </w:r>
      <w:proofErr w:type="spellEnd"/>
      <w:proofErr w:type="gramEnd"/>
      <w:r>
        <w:rPr>
          <w:rFonts w:ascii="Times New Roman" w:hAnsi="Times New Roman" w:eastAsia="Times New Roman" w:cs="Times New Roman"/>
          <w:i/>
          <w:sz w:val="20"/>
          <w:szCs w:val="20"/>
        </w:rPr>
        <w:t>.</w:t>
      </w:r>
      <w:r>
        <w:rPr>
          <w:rFonts w:ascii="Times New Roman" w:hAnsi="Times New Roman" w:eastAsia="Times New Roman" w:cs="Times New Roman"/>
          <w:sz w:val="20"/>
          <w:szCs w:val="20"/>
        </w:rPr>
        <w:t>, article 6.</w:t>
      </w:r>
    </w:p>
  </w:footnote>
  <w:footnote w:id="30">
    <w:p w:rsidR="00D847EA" w:rsidRDefault="0003429D" w14:paraId="2834CDB0" w14:textId="77777777">
      <w:pPr>
        <w:spacing w:line="240" w:lineRule="auto"/>
        <w:ind w:left="-425"/>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Cour d'appel de Nouméa, arrêt du 30 octobre 2023, n°22/00032.</w:t>
      </w:r>
    </w:p>
  </w:footnote>
  <w:footnote w:id="31">
    <w:p w:rsidR="00D847EA" w:rsidRDefault="0003429D" w14:paraId="0CC3AA03" w14:textId="77777777">
      <w:pPr>
        <w:spacing w:line="240" w:lineRule="auto"/>
        <w:ind w:left="-425"/>
        <w:rPr>
          <w:sz w:val="20"/>
          <w:szCs w:val="20"/>
        </w:rPr>
      </w:pPr>
      <w:r>
        <w:rPr>
          <w:vertAlign w:val="superscript"/>
        </w:rPr>
        <w:footnoteRef/>
      </w:r>
      <w:r>
        <w:rPr>
          <w:rFonts w:ascii="Times New Roman" w:hAnsi="Times New Roman" w:eastAsia="Times New Roman" w:cs="Times New Roman"/>
          <w:sz w:val="20"/>
          <w:szCs w:val="20"/>
        </w:rPr>
        <w:t xml:space="preserve"> Cour d'appel de Nouméa, arrêt du 30 octobre 2023, n°16/00514.</w:t>
      </w:r>
    </w:p>
  </w:footnote>
  <w:footnote w:id="32">
    <w:p w:rsidR="00D847EA" w:rsidRDefault="0003429D" w14:paraId="495DFD18" w14:textId="77777777">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Gouvernement de la Nouvelle-Calédonie, </w:t>
      </w:r>
      <w:r>
        <w:rPr>
          <w:rFonts w:ascii="Times New Roman" w:hAnsi="Times New Roman" w:eastAsia="Times New Roman" w:cs="Times New Roman"/>
          <w:i/>
          <w:sz w:val="20"/>
          <w:szCs w:val="20"/>
        </w:rPr>
        <w:t>Charte d’engagement : agir ensemble pour lutter contre les violences faites aux femmes et promouvoir l’égalité entre hommes et femmes</w:t>
      </w:r>
      <w:r>
        <w:rPr>
          <w:rFonts w:ascii="Times New Roman" w:hAnsi="Times New Roman" w:eastAsia="Times New Roman" w:cs="Times New Roman"/>
          <w:sz w:val="20"/>
          <w:szCs w:val="20"/>
        </w:rPr>
        <w:t xml:space="preserve">, Grande Cause 2019-2024, Nouméa, 23 novembre 2019. </w:t>
      </w:r>
    </w:p>
  </w:footnote>
  <w:footnote w:id="33">
    <w:p w:rsidR="00D847EA" w:rsidRDefault="0003429D" w14:paraId="35C370EA" w14:textId="77777777">
      <w:pPr>
        <w:spacing w:line="240" w:lineRule="auto"/>
        <w:ind w:left="-425" w:right="-574"/>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Gouvernement de la Nouvelle Calédonie, </w:t>
      </w:r>
      <w:r>
        <w:rPr>
          <w:rFonts w:ascii="Times New Roman" w:hAnsi="Times New Roman" w:eastAsia="Times New Roman" w:cs="Times New Roman"/>
          <w:highlight w:val="white"/>
        </w:rPr>
        <w:t>« </w:t>
      </w:r>
      <w:r>
        <w:rPr>
          <w:rFonts w:ascii="Times New Roman" w:hAnsi="Times New Roman" w:eastAsia="Times New Roman" w:cs="Times New Roman"/>
          <w:sz w:val="20"/>
          <w:szCs w:val="20"/>
        </w:rPr>
        <w:t>Le Sénat coutumier s'engage en faveur des femmes </w:t>
      </w:r>
      <w:r>
        <w:rPr>
          <w:rFonts w:ascii="Times New Roman" w:hAnsi="Times New Roman" w:eastAsia="Times New Roman" w:cs="Times New Roman"/>
        </w:rPr>
        <w:t>»</w:t>
      </w:r>
      <w:r>
        <w:rPr>
          <w:rFonts w:ascii="Times New Roman" w:hAnsi="Times New Roman" w:eastAsia="Times New Roman" w:cs="Times New Roman"/>
          <w:sz w:val="20"/>
          <w:szCs w:val="20"/>
        </w:rPr>
        <w:t xml:space="preserve">, 8 mars 2022, disponible sur https://gouv.nc/actualites/08-03-2022/le-senat-coutumier-sengage-en-faveur-des-femmes. </w:t>
      </w:r>
    </w:p>
  </w:footnote>
  <w:footnote w:id="34">
    <w:p w:rsidR="00D847EA" w:rsidRDefault="0003429D" w14:paraId="25CF89C4" w14:textId="0460F2E9">
      <w:pPr>
        <w:spacing w:line="240" w:lineRule="auto"/>
        <w:ind w:left="-425" w:right="-574"/>
        <w:jc w:val="both"/>
        <w:rPr>
          <w:sz w:val="20"/>
          <w:szCs w:val="20"/>
        </w:rPr>
      </w:pPr>
      <w:r>
        <w:rPr>
          <w:vertAlign w:val="superscript"/>
        </w:rPr>
        <w:footnoteRef/>
      </w:r>
      <w:r>
        <w:rPr>
          <w:rFonts w:ascii="Times New Roman" w:hAnsi="Times New Roman" w:eastAsia="Times New Roman" w:cs="Times New Roman"/>
          <w:sz w:val="20"/>
          <w:szCs w:val="20"/>
        </w:rPr>
        <w:t xml:space="preserve"> </w:t>
      </w:r>
      <w:r>
        <w:rPr>
          <w:rFonts w:ascii="Times New Roman" w:hAnsi="Times New Roman" w:eastAsia="Times New Roman" w:cs="Times New Roman"/>
          <w:i/>
          <w:sz w:val="20"/>
          <w:szCs w:val="20"/>
        </w:rPr>
        <w:t xml:space="preserve">Rapport de la mise en </w:t>
      </w:r>
      <w:r w:rsidR="00B260BA">
        <w:rPr>
          <w:rFonts w:ascii="Times New Roman" w:hAnsi="Times New Roman" w:eastAsia="Times New Roman" w:cs="Times New Roman"/>
          <w:i/>
          <w:sz w:val="20"/>
          <w:szCs w:val="20"/>
        </w:rPr>
        <w:t>œuvre</w:t>
      </w:r>
      <w:r>
        <w:rPr>
          <w:rFonts w:ascii="Times New Roman" w:hAnsi="Times New Roman" w:eastAsia="Times New Roman" w:cs="Times New Roman"/>
          <w:i/>
          <w:sz w:val="20"/>
          <w:szCs w:val="20"/>
        </w:rPr>
        <w:t xml:space="preserve"> de la Convention </w:t>
      </w:r>
      <w:r w:rsidR="00B260BA">
        <w:rPr>
          <w:rFonts w:ascii="Times New Roman" w:hAnsi="Times New Roman" w:eastAsia="Times New Roman" w:cs="Times New Roman"/>
          <w:i/>
          <w:sz w:val="20"/>
          <w:szCs w:val="20"/>
        </w:rPr>
        <w:t>internationale</w:t>
      </w:r>
      <w:r>
        <w:rPr>
          <w:rFonts w:ascii="Times New Roman" w:hAnsi="Times New Roman" w:eastAsia="Times New Roman" w:cs="Times New Roman"/>
          <w:i/>
          <w:sz w:val="20"/>
          <w:szCs w:val="20"/>
        </w:rPr>
        <w:t xml:space="preserve"> sur l’élimination de toutes les formes de discrimination à l’égard des femmes (CEDEF) de la Nouvelle-Calédonie</w:t>
      </w:r>
      <w:r>
        <w:rPr>
          <w:rFonts w:ascii="Times New Roman" w:hAnsi="Times New Roman" w:eastAsia="Times New Roman" w:cs="Times New Roman"/>
          <w:sz w:val="20"/>
          <w:szCs w:val="20"/>
        </w:rPr>
        <w:t>, 2020, p. 18.</w:t>
      </w:r>
    </w:p>
  </w:footnote>
  <w:footnote w:id="35">
    <w:p w:rsidR="00D847EA" w:rsidRDefault="0003429D" w14:paraId="25E4E5FE" w14:textId="77777777">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ISEE, </w:t>
      </w:r>
      <w:r>
        <w:rPr>
          <w:rFonts w:ascii="Times New Roman" w:hAnsi="Times New Roman" w:eastAsia="Times New Roman" w:cs="Times New Roman"/>
          <w:i/>
          <w:sz w:val="20"/>
          <w:szCs w:val="20"/>
        </w:rPr>
        <w:t>Enquête cadre de vie et sécurité : les violences intrafamiliales en Nouvelle Calédonie : regard sur l’ampleur d’un phénomène social peu signalé</w:t>
      </w:r>
      <w:r>
        <w:rPr>
          <w:rFonts w:ascii="Times New Roman" w:hAnsi="Times New Roman" w:eastAsia="Times New Roman" w:cs="Times New Roman"/>
          <w:sz w:val="20"/>
          <w:szCs w:val="20"/>
        </w:rPr>
        <w:t>, 2021.</w:t>
      </w:r>
    </w:p>
  </w:footnote>
  <w:footnote w:id="36">
    <w:p w:rsidR="00D847EA" w:rsidRDefault="0003429D" w14:paraId="5958072E" w14:textId="77777777">
      <w:pPr>
        <w:spacing w:line="240" w:lineRule="auto"/>
        <w:ind w:left="-425" w:right="-574"/>
        <w:jc w:val="both"/>
        <w:rPr>
          <w:sz w:val="20"/>
          <w:szCs w:val="20"/>
        </w:rPr>
      </w:pPr>
      <w:r>
        <w:rPr>
          <w:vertAlign w:val="superscript"/>
        </w:rPr>
        <w:footnoteRef/>
      </w:r>
      <w:r>
        <w:rPr>
          <w:sz w:val="20"/>
          <w:szCs w:val="20"/>
        </w:rPr>
        <w:t xml:space="preserve"> </w:t>
      </w:r>
      <w:r>
        <w:rPr>
          <w:rFonts w:ascii="Times New Roman" w:hAnsi="Times New Roman" w:eastAsia="Times New Roman" w:cs="Times New Roman"/>
          <w:sz w:val="20"/>
          <w:szCs w:val="20"/>
        </w:rPr>
        <w:t xml:space="preserve">ONAG, </w:t>
      </w:r>
      <w:r>
        <w:rPr>
          <w:rFonts w:ascii="Times New Roman" w:hAnsi="Times New Roman" w:eastAsia="Times New Roman" w:cs="Times New Roman"/>
          <w:i/>
          <w:sz w:val="20"/>
          <w:szCs w:val="20"/>
        </w:rPr>
        <w:t>op.cit.</w:t>
      </w:r>
      <w:r>
        <w:rPr>
          <w:rFonts w:ascii="Times New Roman" w:hAnsi="Times New Roman" w:eastAsia="Times New Roman" w:cs="Times New Roman"/>
          <w:sz w:val="20"/>
          <w:szCs w:val="20"/>
        </w:rPr>
        <w:t>, point 4.4, pp.10-11.</w:t>
      </w:r>
    </w:p>
  </w:footnote>
  <w:footnote w:id="37">
    <w:p w:rsidR="00D847EA" w:rsidRDefault="0003429D" w14:paraId="21185B9C" w14:textId="165375C4">
      <w:pPr>
        <w:spacing w:line="240" w:lineRule="auto"/>
        <w:ind w:left="-425" w:right="-574"/>
        <w:jc w:val="both"/>
      </w:pPr>
      <w:r>
        <w:rPr>
          <w:vertAlign w:val="superscript"/>
        </w:rPr>
        <w:footnoteRef/>
      </w:r>
      <w:r>
        <w:t xml:space="preserve"> </w:t>
      </w:r>
      <w:r>
        <w:rPr>
          <w:rFonts w:ascii="Times New Roman" w:hAnsi="Times New Roman" w:eastAsia="Times New Roman" w:cs="Times New Roman"/>
          <w:sz w:val="20"/>
          <w:szCs w:val="20"/>
        </w:rPr>
        <w:t xml:space="preserve">CNCDH, </w:t>
      </w:r>
      <w:r>
        <w:rPr>
          <w:rFonts w:ascii="Times New Roman" w:hAnsi="Times New Roman" w:eastAsia="Times New Roman" w:cs="Times New Roman"/>
          <w:i/>
          <w:sz w:val="20"/>
          <w:szCs w:val="20"/>
        </w:rPr>
        <w:t>op.cit</w:t>
      </w:r>
      <w:r w:rsidR="00B260BA">
        <w:rPr>
          <w:rFonts w:ascii="Times New Roman" w:hAnsi="Times New Roman" w:eastAsia="Times New Roman" w:cs="Times New Roman"/>
          <w:i/>
          <w:sz w:val="20"/>
          <w:szCs w:val="20"/>
        </w:rPr>
        <w:t>.</w:t>
      </w:r>
      <w:r>
        <w:rPr>
          <w:rFonts w:ascii="Times New Roman" w:hAnsi="Times New Roman" w:eastAsia="Times New Roman" w:cs="Times New Roman"/>
          <w:i/>
          <w:sz w:val="20"/>
          <w:szCs w:val="20"/>
        </w:rPr>
        <w:t xml:space="preserve">, </w:t>
      </w:r>
      <w:r>
        <w:rPr>
          <w:rFonts w:ascii="Times New Roman" w:hAnsi="Times New Roman" w:eastAsia="Times New Roman" w:cs="Times New Roman"/>
          <w:sz w:val="20"/>
          <w:szCs w:val="20"/>
        </w:rPr>
        <w:t>23 février 2017, pp. 58-59.</w:t>
      </w:r>
    </w:p>
  </w:footnote>
  <w:footnote w:id="38">
    <w:p w:rsidR="00D847EA" w:rsidRDefault="0003429D" w14:paraId="3E7F38BA" w14:textId="77777777">
      <w:pPr>
        <w:spacing w:line="240" w:lineRule="auto"/>
        <w:ind w:left="-425"/>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Ministère des Outre-mer, </w:t>
      </w:r>
      <w:r>
        <w:rPr>
          <w:rFonts w:ascii="Times New Roman" w:hAnsi="Times New Roman" w:eastAsia="Times New Roman" w:cs="Times New Roman"/>
          <w:i/>
          <w:sz w:val="20"/>
          <w:szCs w:val="20"/>
        </w:rPr>
        <w:t xml:space="preserve">Accords de Guyane - Protocole « </w:t>
      </w:r>
      <w:r>
        <w:rPr>
          <w:rFonts w:ascii="Times New Roman" w:hAnsi="Times New Roman" w:eastAsia="Times New Roman" w:cs="Times New Roman"/>
          <w:i/>
          <w:color w:val="1F1F1F"/>
          <w:sz w:val="20"/>
          <w:szCs w:val="20"/>
          <w:highlight w:val="white"/>
        </w:rPr>
        <w:t xml:space="preserve">Pou </w:t>
      </w:r>
      <w:proofErr w:type="spellStart"/>
      <w:r>
        <w:rPr>
          <w:rFonts w:ascii="Times New Roman" w:hAnsi="Times New Roman" w:eastAsia="Times New Roman" w:cs="Times New Roman"/>
          <w:i/>
          <w:color w:val="1F1F1F"/>
          <w:sz w:val="20"/>
          <w:szCs w:val="20"/>
          <w:highlight w:val="white"/>
        </w:rPr>
        <w:t>Lagwiyann</w:t>
      </w:r>
      <w:proofErr w:type="spellEnd"/>
      <w:r>
        <w:rPr>
          <w:rFonts w:ascii="Times New Roman" w:hAnsi="Times New Roman" w:eastAsia="Times New Roman" w:cs="Times New Roman"/>
          <w:i/>
          <w:color w:val="1F1F1F"/>
          <w:sz w:val="20"/>
          <w:szCs w:val="20"/>
          <w:highlight w:val="white"/>
        </w:rPr>
        <w:t xml:space="preserve"> </w:t>
      </w:r>
      <w:proofErr w:type="spellStart"/>
      <w:r>
        <w:rPr>
          <w:rFonts w:ascii="Times New Roman" w:hAnsi="Times New Roman" w:eastAsia="Times New Roman" w:cs="Times New Roman"/>
          <w:i/>
          <w:color w:val="1F1F1F"/>
          <w:sz w:val="20"/>
          <w:szCs w:val="20"/>
          <w:highlight w:val="white"/>
        </w:rPr>
        <w:t>Dékolé</w:t>
      </w:r>
      <w:proofErr w:type="spellEnd"/>
      <w:r>
        <w:rPr>
          <w:rFonts w:ascii="Times New Roman" w:hAnsi="Times New Roman" w:eastAsia="Times New Roman" w:cs="Times New Roman"/>
          <w:i/>
          <w:color w:val="1F1F1F"/>
          <w:sz w:val="20"/>
          <w:szCs w:val="20"/>
          <w:highlight w:val="white"/>
        </w:rPr>
        <w:t xml:space="preserve"> </w:t>
      </w:r>
      <w:r>
        <w:rPr>
          <w:rFonts w:ascii="Times New Roman" w:hAnsi="Times New Roman" w:eastAsia="Times New Roman" w:cs="Times New Roman"/>
          <w:i/>
          <w:sz w:val="20"/>
          <w:szCs w:val="20"/>
        </w:rPr>
        <w:t>»</w:t>
      </w:r>
      <w:r>
        <w:rPr>
          <w:rFonts w:ascii="Times New Roman" w:hAnsi="Times New Roman" w:eastAsia="Times New Roman" w:cs="Times New Roman"/>
          <w:sz w:val="20"/>
          <w:szCs w:val="20"/>
        </w:rPr>
        <w:t>, 21 avril 2017, OMEO1713117X.</w:t>
      </w:r>
    </w:p>
  </w:footnote>
  <w:footnote w:id="39">
    <w:p w:rsidR="00D847EA" w:rsidRDefault="0003429D" w14:paraId="31B0153B" w14:textId="77777777">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La circulaire n° 2017-72 du 12 avril 2017 liste les langues pouvant faire l’objet d’un enseignement spécifique et reconnaît le créole, le tahitien, les langues mélanésiennes (drehu, nengone, </w:t>
      </w:r>
      <w:proofErr w:type="spellStart"/>
      <w:r>
        <w:rPr>
          <w:rFonts w:ascii="Times New Roman" w:hAnsi="Times New Roman" w:eastAsia="Times New Roman" w:cs="Times New Roman"/>
          <w:sz w:val="20"/>
          <w:szCs w:val="20"/>
        </w:rPr>
        <w:t>païci</w:t>
      </w:r>
      <w:proofErr w:type="spellEnd"/>
      <w:r>
        <w:rPr>
          <w:rFonts w:ascii="Times New Roman" w:hAnsi="Times New Roman" w:eastAsia="Times New Roman" w:cs="Times New Roman"/>
          <w:sz w:val="20"/>
          <w:szCs w:val="20"/>
        </w:rPr>
        <w:t xml:space="preserve">, </w:t>
      </w:r>
      <w:proofErr w:type="spellStart"/>
      <w:r>
        <w:rPr>
          <w:rFonts w:ascii="Times New Roman" w:hAnsi="Times New Roman" w:eastAsia="Times New Roman" w:cs="Times New Roman"/>
          <w:sz w:val="20"/>
          <w:szCs w:val="20"/>
        </w:rPr>
        <w:t>aïje</w:t>
      </w:r>
      <w:proofErr w:type="spellEnd"/>
      <w:r>
        <w:rPr>
          <w:rFonts w:ascii="Times New Roman" w:hAnsi="Times New Roman" w:eastAsia="Times New Roman" w:cs="Times New Roman"/>
          <w:sz w:val="20"/>
          <w:szCs w:val="20"/>
        </w:rPr>
        <w:t>) ainsi que le wallisien et le futunien.</w:t>
      </w:r>
    </w:p>
  </w:footnote>
  <w:footnote w:id="40">
    <w:p w:rsidR="00D847EA" w:rsidRDefault="0003429D" w14:paraId="4B2B5438" w14:textId="77777777">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Assemblée générale des Nations Unies, </w:t>
      </w:r>
      <w:r>
        <w:rPr>
          <w:rFonts w:ascii="Times New Roman" w:hAnsi="Times New Roman" w:eastAsia="Times New Roman" w:cs="Times New Roman"/>
          <w:i/>
          <w:sz w:val="20"/>
          <w:szCs w:val="20"/>
        </w:rPr>
        <w:t>Résolution relative à l’étude du Mécanisme d’experts sur les droits des peuples autochtones,</w:t>
      </w:r>
      <w:r>
        <w:rPr>
          <w:rFonts w:ascii="Times New Roman" w:hAnsi="Times New Roman" w:eastAsia="Times New Roman" w:cs="Times New Roman"/>
          <w:sz w:val="20"/>
          <w:szCs w:val="20"/>
        </w:rPr>
        <w:t xml:space="preserve"> 30 juillet 2013, A-HRC-24-50.</w:t>
      </w:r>
    </w:p>
  </w:footnote>
  <w:footnote w:id="41">
    <w:p w:rsidR="00D847EA" w:rsidRDefault="0003429D" w14:paraId="584AD5BD" w14:textId="77777777">
      <w:pPr>
        <w:spacing w:line="240" w:lineRule="auto"/>
        <w:ind w:left="-425" w:right="-574"/>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CNCDH, </w:t>
      </w:r>
      <w:r>
        <w:rPr>
          <w:rFonts w:ascii="Times New Roman" w:hAnsi="Times New Roman" w:eastAsia="Times New Roman" w:cs="Times New Roman"/>
          <w:i/>
          <w:sz w:val="20"/>
          <w:szCs w:val="20"/>
        </w:rPr>
        <w:t>Avis sur l'accès au droit et à la justice dans les outre-mer, essentiellement en Guyane et à Mayotte</w:t>
      </w:r>
      <w:r>
        <w:rPr>
          <w:rFonts w:ascii="Times New Roman" w:hAnsi="Times New Roman" w:eastAsia="Times New Roman" w:cs="Times New Roman"/>
          <w:sz w:val="20"/>
          <w:szCs w:val="20"/>
        </w:rPr>
        <w:t xml:space="preserve">, JORF n°0157 du 6 juillet 2017 texte n°89, 6 </w:t>
      </w:r>
      <w:hyperlink r:id="rId3">
        <w:r>
          <w:rPr>
            <w:rFonts w:ascii="Times New Roman" w:hAnsi="Times New Roman" w:eastAsia="Times New Roman" w:cs="Times New Roman"/>
            <w:sz w:val="20"/>
            <w:szCs w:val="20"/>
          </w:rPr>
          <w:t>juillet 2017</w:t>
        </w:r>
      </w:hyperlink>
      <w:r>
        <w:rPr>
          <w:rFonts w:ascii="Times New Roman" w:hAnsi="Times New Roman" w:eastAsia="Times New Roman" w:cs="Times New Roman"/>
          <w:sz w:val="20"/>
          <w:szCs w:val="20"/>
        </w:rPr>
        <w:t>, p. 8.</w:t>
      </w:r>
    </w:p>
  </w:footnote>
  <w:footnote w:id="42">
    <w:p w:rsidR="00D847EA" w:rsidRDefault="0003429D" w14:paraId="49F694FE" w14:textId="77777777">
      <w:pPr>
        <w:spacing w:line="240" w:lineRule="auto"/>
        <w:ind w:left="-425" w:right="-432"/>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CEDAW, </w:t>
      </w:r>
      <w:r>
        <w:rPr>
          <w:rFonts w:ascii="Times New Roman" w:hAnsi="Times New Roman" w:eastAsia="Times New Roman" w:cs="Times New Roman"/>
          <w:i/>
          <w:sz w:val="20"/>
          <w:szCs w:val="20"/>
          <w:highlight w:val="white"/>
        </w:rPr>
        <w:t xml:space="preserve">Observations finales concernant le rapport de la France valant </w:t>
      </w:r>
      <w:proofErr w:type="gramStart"/>
      <w:r>
        <w:rPr>
          <w:rFonts w:ascii="Times New Roman" w:hAnsi="Times New Roman" w:eastAsia="Times New Roman" w:cs="Times New Roman"/>
          <w:i/>
          <w:sz w:val="20"/>
          <w:szCs w:val="20"/>
          <w:highlight w:val="white"/>
        </w:rPr>
        <w:t>septième et huitième rapports périodiques</w:t>
      </w:r>
      <w:proofErr w:type="gramEnd"/>
      <w:r>
        <w:rPr>
          <w:rFonts w:ascii="Times New Roman" w:hAnsi="Times New Roman" w:eastAsia="Times New Roman" w:cs="Times New Roman"/>
          <w:sz w:val="20"/>
          <w:szCs w:val="20"/>
          <w:highlight w:val="white"/>
        </w:rPr>
        <w:t>, 25 juillet 2016, §31, CEDAW/C/FRA/ CO/7-8.</w:t>
      </w:r>
    </w:p>
  </w:footnote>
  <w:footnote w:id="43">
    <w:p w:rsidR="00D847EA" w:rsidRDefault="0003429D" w14:paraId="13BEAC3E" w14:textId="77777777">
      <w:pPr>
        <w:spacing w:line="240" w:lineRule="auto"/>
        <w:ind w:left="-425"/>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Décret n° 2017-278 du 2 mars 2017 relatif au délai de déclaration de naissance, </w:t>
      </w:r>
      <w:hyperlink r:id="rId4">
        <w:r>
          <w:rPr>
            <w:rFonts w:ascii="Times New Roman" w:hAnsi="Times New Roman" w:eastAsia="Times New Roman" w:cs="Times New Roman"/>
            <w:i/>
            <w:sz w:val="20"/>
            <w:szCs w:val="20"/>
          </w:rPr>
          <w:t>JORF n°0054 du 4 mars 2017</w:t>
        </w:r>
      </w:hyperlink>
      <w:r>
        <w:rPr>
          <w:rFonts w:ascii="Times New Roman" w:hAnsi="Times New Roman" w:eastAsia="Times New Roman" w:cs="Times New Roman"/>
          <w:sz w:val="20"/>
          <w:szCs w:val="20"/>
        </w:rPr>
        <w:t xml:space="preserve">, art. 2. </w:t>
      </w:r>
    </w:p>
  </w:footnote>
  <w:footnote w:id="44">
    <w:p w:rsidR="00D847EA" w:rsidRDefault="0003429D" w14:paraId="14E28371" w14:textId="77777777">
      <w:pPr>
        <w:spacing w:line="240" w:lineRule="auto"/>
        <w:ind w:left="-425"/>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Commission des affaires étrangères, Rapport d’information n°3349 sur les enfants sans identité, 2020, p.21.</w:t>
      </w:r>
    </w:p>
  </w:footnote>
  <w:footnote w:id="45">
    <w:p w:rsidR="00D847EA" w:rsidRDefault="0003429D" w14:paraId="50D95360" w14:textId="77777777">
      <w:pPr>
        <w:spacing w:line="240" w:lineRule="auto"/>
        <w:ind w:left="-425" w:right="-432"/>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CNCDH, </w:t>
      </w:r>
      <w:r>
        <w:rPr>
          <w:rFonts w:ascii="Times New Roman" w:hAnsi="Times New Roman" w:eastAsia="Times New Roman" w:cs="Times New Roman"/>
          <w:i/>
          <w:sz w:val="20"/>
          <w:szCs w:val="20"/>
        </w:rPr>
        <w:t>op.cit.</w:t>
      </w:r>
      <w:r>
        <w:rPr>
          <w:rFonts w:ascii="Times New Roman" w:hAnsi="Times New Roman" w:eastAsia="Times New Roman" w:cs="Times New Roman"/>
          <w:sz w:val="20"/>
          <w:szCs w:val="20"/>
        </w:rPr>
        <w:t xml:space="preserve">, </w:t>
      </w:r>
      <w:hyperlink r:id="rId5">
        <w:r>
          <w:rPr>
            <w:rFonts w:ascii="Times New Roman" w:hAnsi="Times New Roman" w:eastAsia="Times New Roman" w:cs="Times New Roman"/>
            <w:sz w:val="20"/>
            <w:szCs w:val="20"/>
          </w:rPr>
          <w:t>6 juillet 2017</w:t>
        </w:r>
      </w:hyperlink>
      <w:r>
        <w:rPr>
          <w:rFonts w:ascii="Times New Roman" w:hAnsi="Times New Roman" w:eastAsia="Times New Roman" w:cs="Times New Roman"/>
          <w:sz w:val="20"/>
          <w:szCs w:val="20"/>
        </w:rPr>
        <w:t>, p. 13.</w:t>
      </w:r>
    </w:p>
  </w:footnote>
  <w:footnote w:id="46">
    <w:p w:rsidR="00D847EA" w:rsidRDefault="0003429D" w14:paraId="3C607519" w14:textId="77777777">
      <w:pPr>
        <w:spacing w:line="240" w:lineRule="auto"/>
        <w:ind w:left="-425" w:right="-432"/>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CNCDH,</w:t>
      </w:r>
      <w:r>
        <w:rPr>
          <w:rFonts w:ascii="Times New Roman" w:hAnsi="Times New Roman" w:eastAsia="Times New Roman" w:cs="Times New Roman"/>
          <w:i/>
          <w:sz w:val="20"/>
          <w:szCs w:val="20"/>
        </w:rPr>
        <w:t xml:space="preserve"> op.cit., </w:t>
      </w:r>
      <w:r>
        <w:rPr>
          <w:rFonts w:ascii="Times New Roman" w:hAnsi="Times New Roman" w:eastAsia="Times New Roman" w:cs="Times New Roman"/>
          <w:sz w:val="20"/>
          <w:szCs w:val="20"/>
        </w:rPr>
        <w:t>23 février 2017, p. 58.</w:t>
      </w:r>
    </w:p>
  </w:footnote>
  <w:footnote w:id="47">
    <w:p w:rsidR="00D847EA" w:rsidRDefault="0003429D" w14:paraId="5B791726" w14:textId="77777777">
      <w:pPr>
        <w:spacing w:line="240" w:lineRule="auto"/>
        <w:ind w:left="-425" w:right="-432"/>
        <w:jc w:val="both"/>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Recommandations conjointes de la CNCDH et de la LDH, </w:t>
      </w:r>
      <w:r>
        <w:rPr>
          <w:rFonts w:ascii="Times New Roman" w:hAnsi="Times New Roman" w:eastAsia="Times New Roman" w:cs="Times New Roman"/>
          <w:i/>
          <w:sz w:val="20"/>
          <w:szCs w:val="20"/>
        </w:rPr>
        <w:t>Recommandation n°4 du groupe de travail sur la place des peuples autochtones en Outre-mer</w:t>
      </w:r>
      <w:r>
        <w:rPr>
          <w:rFonts w:ascii="Times New Roman" w:hAnsi="Times New Roman" w:eastAsia="Times New Roman" w:cs="Times New Roman"/>
          <w:sz w:val="20"/>
          <w:szCs w:val="20"/>
        </w:rPr>
        <w:t xml:space="preserve">, 2017.  </w:t>
      </w:r>
    </w:p>
  </w:footnote>
  <w:footnote w:id="48">
    <w:p w:rsidR="00D847EA" w:rsidRDefault="0003429D" w14:paraId="4F79E931" w14:textId="77777777">
      <w:pPr>
        <w:spacing w:line="240" w:lineRule="auto"/>
        <w:ind w:left="-425"/>
        <w:rPr>
          <w:rFonts w:ascii="Times New Roman" w:hAnsi="Times New Roman" w:eastAsia="Times New Roman" w:cs="Times New Roman"/>
          <w:sz w:val="20"/>
          <w:szCs w:val="20"/>
        </w:rPr>
      </w:pPr>
      <w:r>
        <w:rPr>
          <w:vertAlign w:val="superscript"/>
        </w:rPr>
        <w:footnoteRef/>
      </w:r>
      <w:r>
        <w:rPr>
          <w:rFonts w:ascii="Times New Roman" w:hAnsi="Times New Roman" w:eastAsia="Times New Roman" w:cs="Times New Roman"/>
          <w:sz w:val="20"/>
          <w:szCs w:val="20"/>
        </w:rPr>
        <w:t xml:space="preserve"> Réponse du</w:t>
      </w:r>
      <w:bookmarkStart w:name="_GoBack" w:id="0"/>
      <w:bookmarkEnd w:id="0"/>
      <w:r>
        <w:rPr>
          <w:rFonts w:ascii="Times New Roman" w:hAnsi="Times New Roman" w:eastAsia="Times New Roman" w:cs="Times New Roman"/>
          <w:sz w:val="20"/>
          <w:szCs w:val="20"/>
        </w:rPr>
        <w:t xml:space="preserve"> Ministère de l’Europe et des Affaires Étrangères publiée au Sénat, 24 octobre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260BA" w:rsidRDefault="00B260BA" w14:paraId="30845A24" w14:textId="0E9D9F5C">
    <w:pPr>
      <w:pStyle w:val="En-tte"/>
    </w:pPr>
    <w:r>
      <w:rPr>
        <w:noProof/>
      </w:rPr>
      <w:drawing>
        <wp:inline distT="0" distB="0" distL="0" distR="0" wp14:anchorId="4FF737CE" wp14:editId="5A24BA31">
          <wp:extent cx="1263650" cy="962469"/>
          <wp:effectExtent l="0" t="0" r="0" b="9525"/>
          <wp:docPr id="6" name="Image 6" descr="C:\Users\Sarah Jamal\AppData\Local\Microsoft\Windows\INetCache\Content.MSO\7E90DC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arah Jamal\AppData\Local\Microsoft\Windows\INetCache\Content.MSO\7E90DC4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525" cy="9783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EC5A5E"/>
    <w:multiLevelType w:val="multilevel"/>
    <w:tmpl w:val="184A4CA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7EA"/>
    <w:rsid w:val="0003429D"/>
    <w:rsid w:val="00257A75"/>
    <w:rsid w:val="004C14F8"/>
    <w:rsid w:val="004F5FAB"/>
    <w:rsid w:val="00B260BA"/>
    <w:rsid w:val="00C36FF9"/>
    <w:rsid w:val="00D847EA"/>
    <w:rsid w:val="69F4D82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14BB7"/>
  <w15:docId w15:val="{48F0985D-A139-D94C-92BA-D85B4C67E6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styleId="TableNormal0" w:customStyle="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4C14F8"/>
    <w:pPr>
      <w:tabs>
        <w:tab w:val="center" w:pos="4536"/>
        <w:tab w:val="right" w:pos="9072"/>
      </w:tabs>
      <w:spacing w:line="240" w:lineRule="auto"/>
    </w:pPr>
  </w:style>
  <w:style w:type="character" w:styleId="En-tteCar" w:customStyle="1">
    <w:name w:val="En-tête Car"/>
    <w:basedOn w:val="Policepardfaut"/>
    <w:link w:val="En-tte"/>
    <w:uiPriority w:val="99"/>
    <w:rsid w:val="004C14F8"/>
  </w:style>
  <w:style w:type="paragraph" w:styleId="Pieddepage">
    <w:name w:val="footer"/>
    <w:basedOn w:val="Normal"/>
    <w:link w:val="PieddepageCar"/>
    <w:uiPriority w:val="99"/>
    <w:unhideWhenUsed/>
    <w:rsid w:val="004C14F8"/>
    <w:pPr>
      <w:tabs>
        <w:tab w:val="center" w:pos="4536"/>
        <w:tab w:val="right" w:pos="9072"/>
      </w:tabs>
      <w:spacing w:line="240" w:lineRule="auto"/>
    </w:pPr>
  </w:style>
  <w:style w:type="character" w:styleId="PieddepageCar" w:customStyle="1">
    <w:name w:val="Pied de page Car"/>
    <w:basedOn w:val="Policepardfaut"/>
    <w:link w:val="Pieddepage"/>
    <w:uiPriority w:val="99"/>
    <w:rsid w:val="004C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hyperlink" Target="https://www.legifrance.gouv.fr/jorf/id/JORFTEXT000034519630" TargetMode="Externa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4.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jorf/jo/2017/07/06/0157" TargetMode="External"/><Relationship Id="rId2" Type="http://schemas.openxmlformats.org/officeDocument/2006/relationships/hyperlink" Target="https://www.legifrance.gouv.fr/loda/id/JORFTEXT000034103762" TargetMode="External"/><Relationship Id="rId1" Type="http://schemas.openxmlformats.org/officeDocument/2006/relationships/hyperlink" Target="https://www.legifrance.gouv.fr/loda/id/JORFTEXT000033016237" TargetMode="External"/><Relationship Id="rId5" Type="http://schemas.openxmlformats.org/officeDocument/2006/relationships/hyperlink" Target="https://www.legifrance.gouv.fr/jorf/jo/2017/07/06/0157" TargetMode="External"/><Relationship Id="rId4" Type="http://schemas.openxmlformats.org/officeDocument/2006/relationships/hyperlink" Target="https://www.legifrance.gouv.fr/jorf/jo/2017/03/04/00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FDs38OJy2oYgsBBbilXwTiF5A==">CgMxLjA4AHIhMW54alZ6WmlWRUlaRDROdGJYWVd1Rm8wbGFNeF9kQ1JF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A39B5D-9CD6-4AB8-A053-CA91B8A8D11E}"/>
</file>

<file path=customXml/itemProps3.xml><?xml version="1.0" encoding="utf-8"?>
<ds:datastoreItem xmlns:ds="http://schemas.openxmlformats.org/officeDocument/2006/customXml" ds:itemID="{8D77AD0F-EFC1-4F3A-BD7F-3C2F6590E419}"/>
</file>

<file path=customXml/itemProps4.xml><?xml version="1.0" encoding="utf-8"?>
<ds:datastoreItem xmlns:ds="http://schemas.openxmlformats.org/officeDocument/2006/customXml" ds:itemID="{FBE0CC1C-A856-4515-ABEC-FE5ABA77F8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Jamal</dc:creator>
  <cp:lastModifiedBy>Kayla Ross</cp:lastModifiedBy>
  <cp:revision>3</cp:revision>
  <dcterms:created xsi:type="dcterms:W3CDTF">2024-01-31T09:42:00Z</dcterms:created>
  <dcterms:modified xsi:type="dcterms:W3CDTF">2024-08-06T09:42:12Z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