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CA8E" w14:textId="77777777" w:rsidR="00836DBE" w:rsidRDefault="00836DBE" w:rsidP="00023886">
      <w:pPr>
        <w:spacing w:after="80" w:line="240" w:lineRule="exact"/>
        <w:jc w:val="both"/>
        <w:rPr>
          <w:rFonts w:cs="Arial"/>
          <w:b/>
          <w:szCs w:val="22"/>
          <w:lang w:val="es-MX"/>
        </w:rPr>
      </w:pPr>
    </w:p>
    <w:p w14:paraId="366D7CD5" w14:textId="77777777" w:rsidR="004273C9" w:rsidRPr="004273C9" w:rsidRDefault="00836DBE" w:rsidP="00D1580D">
      <w:pPr>
        <w:spacing w:after="80"/>
        <w:ind w:left="720"/>
        <w:jc w:val="center"/>
        <w:rPr>
          <w:rFonts w:cs="Arial"/>
          <w:b/>
          <w:sz w:val="26"/>
          <w:szCs w:val="26"/>
          <w:lang w:val="es-MX"/>
        </w:rPr>
      </w:pPr>
      <w:r w:rsidRPr="00CB3CB1">
        <w:rPr>
          <w:rFonts w:cs="Arial"/>
          <w:b/>
          <w:sz w:val="26"/>
          <w:szCs w:val="26"/>
          <w:lang w:val="es-MX"/>
        </w:rPr>
        <w:t>Aportación de la Comisión Nacional de los Derechos Humanos de México</w:t>
      </w:r>
      <w:r w:rsidR="001750B8" w:rsidRPr="00CB3CB1">
        <w:rPr>
          <w:rFonts w:cs="Arial"/>
          <w:b/>
          <w:sz w:val="26"/>
          <w:szCs w:val="26"/>
          <w:lang w:val="es-MX"/>
        </w:rPr>
        <w:t xml:space="preserve"> (CNDH)</w:t>
      </w:r>
      <w:r w:rsidR="00CA25D3">
        <w:rPr>
          <w:rFonts w:cs="Arial"/>
          <w:b/>
          <w:sz w:val="26"/>
          <w:szCs w:val="26"/>
          <w:lang w:val="es-MX"/>
        </w:rPr>
        <w:t xml:space="preserve"> al</w:t>
      </w:r>
      <w:r w:rsidR="00D1580D" w:rsidRPr="00CB3CB1">
        <w:rPr>
          <w:rFonts w:cs="Arial"/>
          <w:b/>
          <w:sz w:val="26"/>
          <w:szCs w:val="26"/>
          <w:lang w:val="es-MX"/>
        </w:rPr>
        <w:t xml:space="preserve"> Mecanismo de Expertos sobre los Derechos de los Pueblos Indígenas, para la elaboración del</w:t>
      </w:r>
      <w:r w:rsidR="004273C9" w:rsidRPr="004273C9">
        <w:rPr>
          <w:rFonts w:cs="Arial"/>
          <w:color w:val="000000"/>
          <w:sz w:val="19"/>
          <w:szCs w:val="19"/>
          <w:bdr w:val="none" w:sz="0" w:space="0" w:color="auto" w:frame="1"/>
          <w:lang w:val="es-MX" w:eastAsia="es-MX"/>
        </w:rPr>
        <w:t xml:space="preserve"> </w:t>
      </w:r>
      <w:r w:rsidR="004273C9" w:rsidRPr="006C1010">
        <w:rPr>
          <w:rFonts w:cs="Arial"/>
          <w:b/>
          <w:i/>
          <w:sz w:val="26"/>
          <w:szCs w:val="26"/>
          <w:lang w:val="es-MX"/>
        </w:rPr>
        <w:t>Estudio sobre los derechos del niño indígena en virtud de la Declaración de las Naciones Unidas sobre los Derechos de los Pueblos Indígenas</w:t>
      </w:r>
    </w:p>
    <w:p w14:paraId="215AC9A7" w14:textId="77777777" w:rsidR="00D1580D" w:rsidRDefault="00D1580D" w:rsidP="00D1580D">
      <w:pPr>
        <w:spacing w:after="80"/>
        <w:rPr>
          <w:rFonts w:cs="Arial"/>
          <w:b/>
          <w:sz w:val="26"/>
          <w:szCs w:val="26"/>
          <w:lang w:val="es-MX"/>
        </w:rPr>
      </w:pPr>
    </w:p>
    <w:p w14:paraId="32F6D014" w14:textId="77777777" w:rsidR="00D1580D" w:rsidRDefault="00D1580D" w:rsidP="00D1580D">
      <w:pPr>
        <w:spacing w:line="300" w:lineRule="exact"/>
        <w:jc w:val="both"/>
        <w:rPr>
          <w:rFonts w:eastAsia="Arial" w:cs="Arial"/>
          <w:b/>
          <w:sz w:val="24"/>
          <w:szCs w:val="24"/>
        </w:rPr>
      </w:pPr>
      <w:r>
        <w:rPr>
          <w:rFonts w:eastAsia="Arial" w:cs="Arial"/>
          <w:b/>
          <w:sz w:val="24"/>
          <w:szCs w:val="24"/>
        </w:rPr>
        <w:t>DERECHOS DE LA NIÑEZ INDÍGENA.</w:t>
      </w:r>
    </w:p>
    <w:p w14:paraId="419962E3" w14:textId="77777777" w:rsidR="00D1580D" w:rsidRPr="007F3DBB" w:rsidRDefault="00D1580D" w:rsidP="00D1580D">
      <w:pPr>
        <w:spacing w:line="300" w:lineRule="exact"/>
        <w:jc w:val="both"/>
        <w:rPr>
          <w:rFonts w:eastAsia="Arial" w:cs="Arial"/>
          <w:b/>
          <w:sz w:val="24"/>
          <w:szCs w:val="24"/>
        </w:rPr>
      </w:pPr>
    </w:p>
    <w:p w14:paraId="34736D37" w14:textId="77777777" w:rsidR="00D1580D" w:rsidRPr="007F3DBB" w:rsidRDefault="00D1580D" w:rsidP="00D1580D">
      <w:pPr>
        <w:spacing w:line="300" w:lineRule="exact"/>
        <w:jc w:val="both"/>
        <w:rPr>
          <w:rFonts w:eastAsia="Arial" w:cs="Arial"/>
          <w:b/>
          <w:i/>
          <w:sz w:val="24"/>
          <w:szCs w:val="24"/>
        </w:rPr>
      </w:pPr>
      <w:r w:rsidRPr="007F3DBB">
        <w:rPr>
          <w:rFonts w:eastAsia="Arial" w:cs="Arial"/>
          <w:b/>
          <w:i/>
          <w:sz w:val="24"/>
          <w:szCs w:val="24"/>
        </w:rPr>
        <w:t>Derecho a una nacionalidad, a la vida, a la integridad física y mental, a la libertad y a la seguridad personal, y al acceso a la justicia.</w:t>
      </w:r>
    </w:p>
    <w:p w14:paraId="4B31AD26" w14:textId="77777777" w:rsidR="00D1580D" w:rsidRDefault="00D1580D" w:rsidP="00D1580D">
      <w:pPr>
        <w:spacing w:line="300" w:lineRule="exact"/>
        <w:jc w:val="both"/>
        <w:rPr>
          <w:rFonts w:eastAsia="Arial" w:cs="Arial"/>
          <w:sz w:val="24"/>
          <w:szCs w:val="24"/>
        </w:rPr>
      </w:pPr>
    </w:p>
    <w:p w14:paraId="4BCC604C" w14:textId="77777777" w:rsidR="00D1580D" w:rsidRDefault="00D1580D" w:rsidP="00D1580D">
      <w:pPr>
        <w:spacing w:line="300" w:lineRule="exact"/>
        <w:jc w:val="both"/>
        <w:rPr>
          <w:rFonts w:eastAsia="Arial" w:cs="Arial"/>
          <w:sz w:val="24"/>
          <w:szCs w:val="24"/>
        </w:rPr>
      </w:pPr>
      <w:r>
        <w:rPr>
          <w:rFonts w:eastAsia="Arial" w:cs="Arial"/>
          <w:sz w:val="24"/>
          <w:szCs w:val="24"/>
        </w:rPr>
        <w:t>La Declaración hace hincapié en la importancia de la educación bilingüe y alude a la adopción de medidas especiales para asegurar el mejoramiento continuo de las condiciones económicas y sociales de los ancianos, mujeres y menores en particular, aspectos de los que la Comisión Nacional de los Derechos Humanos es vigilante como parte del derecho de los integrantes de los Pueblos y Comunidades Indígenas a una vida digna.</w:t>
      </w:r>
    </w:p>
    <w:p w14:paraId="7A97271C" w14:textId="77777777" w:rsidR="00D1580D" w:rsidRDefault="00D1580D" w:rsidP="00D1580D">
      <w:pPr>
        <w:spacing w:line="300" w:lineRule="exact"/>
        <w:jc w:val="both"/>
        <w:rPr>
          <w:rFonts w:eastAsia="Arial" w:cs="Arial"/>
          <w:sz w:val="24"/>
          <w:szCs w:val="24"/>
        </w:rPr>
      </w:pPr>
    </w:p>
    <w:p w14:paraId="13C465C5" w14:textId="77777777" w:rsidR="00D1580D" w:rsidRDefault="00D1580D" w:rsidP="00D1580D">
      <w:pPr>
        <w:spacing w:line="300" w:lineRule="exact"/>
        <w:jc w:val="both"/>
        <w:rPr>
          <w:rFonts w:eastAsia="Arial" w:cs="Arial"/>
          <w:sz w:val="24"/>
          <w:szCs w:val="24"/>
        </w:rPr>
      </w:pPr>
      <w:r>
        <w:rPr>
          <w:rFonts w:eastAsia="Arial" w:cs="Arial"/>
          <w:sz w:val="24"/>
          <w:szCs w:val="24"/>
        </w:rPr>
        <w:t xml:space="preserve">Por otra parte, de forma específica y con relación a la nacionalidad, la Comisión ha advertido que todavía en comunidades muy alejadas se ha dificultado la inscripción de los recién nacidos en el Registro Civil para obtener su acta de nacimiento, documento que reconoce a los neonatos como mexicanos. </w:t>
      </w:r>
    </w:p>
    <w:p w14:paraId="7080EF22" w14:textId="77777777" w:rsidR="00D1580D" w:rsidRDefault="00D1580D" w:rsidP="00D1580D">
      <w:pPr>
        <w:spacing w:line="300" w:lineRule="exact"/>
        <w:jc w:val="both"/>
        <w:rPr>
          <w:rFonts w:eastAsia="Arial" w:cs="Arial"/>
          <w:sz w:val="24"/>
          <w:szCs w:val="24"/>
        </w:rPr>
      </w:pPr>
    </w:p>
    <w:p w14:paraId="1D62F0E0" w14:textId="77777777" w:rsidR="00D1580D" w:rsidRDefault="00D1580D" w:rsidP="00D1580D">
      <w:pPr>
        <w:spacing w:line="300" w:lineRule="exact"/>
        <w:jc w:val="both"/>
        <w:rPr>
          <w:rFonts w:eastAsia="Arial" w:cs="Arial"/>
          <w:sz w:val="24"/>
          <w:szCs w:val="24"/>
        </w:rPr>
      </w:pPr>
      <w:r>
        <w:rPr>
          <w:rFonts w:eastAsia="Arial" w:cs="Arial"/>
          <w:sz w:val="24"/>
          <w:szCs w:val="24"/>
        </w:rPr>
        <w:t xml:space="preserve">En este sentido es necesario precisar que Organismo Nacional en cumplimiento al artículo 1º constitucional, ha promovido la autodeterminación y los derechos del niño enmarcados en la Declaración en todas sus actividades, así, ha tenido especial atención hacia la promoción de estos, mediante la realización de varias actividades tanto en escuelas, para que los conozcan y estén conscientes de que tienen derechos como integrantes de un pueblo indígena, así como también a funcionarios públicos encargados de la atención a este rango de población. </w:t>
      </w:r>
    </w:p>
    <w:p w14:paraId="77BF8F39" w14:textId="77777777" w:rsidR="00D1580D" w:rsidRDefault="00D1580D" w:rsidP="00D1580D">
      <w:pPr>
        <w:spacing w:line="300" w:lineRule="exact"/>
        <w:jc w:val="both"/>
        <w:rPr>
          <w:rFonts w:eastAsia="Arial" w:cs="Arial"/>
          <w:sz w:val="24"/>
          <w:szCs w:val="24"/>
        </w:rPr>
      </w:pPr>
    </w:p>
    <w:p w14:paraId="0AE67359" w14:textId="77777777" w:rsidR="00D1580D" w:rsidRDefault="00D1580D" w:rsidP="00D1580D">
      <w:pPr>
        <w:spacing w:line="300" w:lineRule="exact"/>
        <w:jc w:val="both"/>
        <w:rPr>
          <w:rFonts w:eastAsia="Arial" w:cs="Arial"/>
          <w:sz w:val="24"/>
          <w:szCs w:val="24"/>
        </w:rPr>
      </w:pPr>
      <w:r>
        <w:rPr>
          <w:rFonts w:eastAsia="Arial" w:cs="Arial"/>
          <w:sz w:val="24"/>
          <w:szCs w:val="24"/>
        </w:rPr>
        <w:t>Entre estas actividades se encuentran: a) Taller para niños y niñas en escuelas de educación básica, b) Taller de madres y padres de familia de educación básica, c) curso para maestros de educación básica, d) Taller sobre derechos de la niñez en la Universidad Pedagógica. Además, se elaboró el “Cuaderno de trabajo de trabajo derechos de la niñez indígenas” para que la niñez indígena conozca sus derechos, mismo que se distribuye en las escuelas que se visitan.</w:t>
      </w:r>
    </w:p>
    <w:p w14:paraId="45E3D7B3" w14:textId="77777777" w:rsidR="00D1580D" w:rsidRDefault="00D1580D" w:rsidP="00D1580D">
      <w:pPr>
        <w:spacing w:line="300" w:lineRule="exact"/>
        <w:jc w:val="both"/>
        <w:rPr>
          <w:rFonts w:eastAsia="Arial" w:cs="Arial"/>
          <w:sz w:val="24"/>
          <w:szCs w:val="24"/>
        </w:rPr>
      </w:pPr>
    </w:p>
    <w:p w14:paraId="50D6DAF9" w14:textId="77777777" w:rsidR="00D1580D" w:rsidRDefault="00D1580D" w:rsidP="00D1580D">
      <w:pPr>
        <w:spacing w:line="300" w:lineRule="exact"/>
        <w:jc w:val="both"/>
        <w:rPr>
          <w:rFonts w:eastAsia="Arial" w:cs="Arial"/>
          <w:b/>
          <w:i/>
          <w:sz w:val="24"/>
          <w:szCs w:val="24"/>
        </w:rPr>
      </w:pPr>
    </w:p>
    <w:p w14:paraId="5D9B6057" w14:textId="77777777" w:rsidR="00D1580D" w:rsidRDefault="00D1580D" w:rsidP="00D1580D">
      <w:pPr>
        <w:spacing w:line="300" w:lineRule="exact"/>
        <w:jc w:val="both"/>
        <w:rPr>
          <w:rFonts w:eastAsia="Arial" w:cs="Arial"/>
          <w:b/>
          <w:i/>
          <w:sz w:val="24"/>
          <w:szCs w:val="24"/>
        </w:rPr>
      </w:pPr>
      <w:r>
        <w:rPr>
          <w:rFonts w:eastAsia="Arial" w:cs="Arial"/>
          <w:b/>
          <w:i/>
          <w:sz w:val="24"/>
          <w:szCs w:val="24"/>
        </w:rPr>
        <w:t>Derecho a la no discriminación, a la salud, a la vivienda (como parte de un acuerdo estándar de vida y no discriminación), al trabajo, a la cultura y la educación.</w:t>
      </w:r>
    </w:p>
    <w:p w14:paraId="2CCBDA4D" w14:textId="77777777" w:rsidR="00D1580D" w:rsidRDefault="00D1580D" w:rsidP="00D1580D">
      <w:pPr>
        <w:spacing w:line="300" w:lineRule="exact"/>
        <w:jc w:val="both"/>
        <w:rPr>
          <w:rFonts w:eastAsia="Arial" w:cs="Arial"/>
          <w:b/>
          <w:i/>
          <w:sz w:val="24"/>
          <w:szCs w:val="24"/>
        </w:rPr>
      </w:pPr>
    </w:p>
    <w:p w14:paraId="238276A5" w14:textId="77777777" w:rsidR="00D1580D" w:rsidRDefault="00D1580D" w:rsidP="00D1580D">
      <w:pPr>
        <w:spacing w:line="300" w:lineRule="exact"/>
        <w:jc w:val="both"/>
        <w:rPr>
          <w:rFonts w:eastAsia="Arial" w:cs="Arial"/>
          <w:sz w:val="24"/>
          <w:szCs w:val="24"/>
        </w:rPr>
      </w:pPr>
      <w:r>
        <w:rPr>
          <w:rFonts w:eastAsia="Arial" w:cs="Arial"/>
          <w:sz w:val="24"/>
          <w:szCs w:val="24"/>
        </w:rPr>
        <w:t xml:space="preserve">Aunado a los trabajos de difusión este Organismo protector de derechos humanos en observación a los postulados de la Declaración también se han resuelto quejas relativas a violaciones a los </w:t>
      </w:r>
      <w:r>
        <w:rPr>
          <w:rFonts w:eastAsia="Arial" w:cs="Arial"/>
          <w:sz w:val="24"/>
          <w:szCs w:val="24"/>
        </w:rPr>
        <w:lastRenderedPageBreak/>
        <w:t xml:space="preserve">derechos de la niñez y a población indígena, como resultado de </w:t>
      </w:r>
      <w:proofErr w:type="gramStart"/>
      <w:r>
        <w:rPr>
          <w:rFonts w:eastAsia="Arial" w:cs="Arial"/>
          <w:sz w:val="24"/>
          <w:szCs w:val="24"/>
        </w:rPr>
        <w:t>las mismas</w:t>
      </w:r>
      <w:proofErr w:type="gramEnd"/>
      <w:r>
        <w:rPr>
          <w:rFonts w:eastAsia="Arial" w:cs="Arial"/>
          <w:sz w:val="24"/>
          <w:szCs w:val="24"/>
        </w:rPr>
        <w:t xml:space="preserve"> se ha logrado visibilizar ante las instituciones gubernamentales la situación y las carencias en el reconocimiento de los derechos de la niñez indígena.</w:t>
      </w:r>
    </w:p>
    <w:p w14:paraId="5F0E5408" w14:textId="77777777" w:rsidR="00D1580D" w:rsidRDefault="00D1580D" w:rsidP="00D1580D">
      <w:pPr>
        <w:spacing w:line="300" w:lineRule="exact"/>
        <w:jc w:val="both"/>
        <w:rPr>
          <w:rFonts w:eastAsia="Arial" w:cs="Arial"/>
          <w:sz w:val="24"/>
          <w:szCs w:val="24"/>
        </w:rPr>
      </w:pPr>
    </w:p>
    <w:p w14:paraId="43BAAAAC" w14:textId="77777777" w:rsidR="00BE3AE8" w:rsidRDefault="00735F2B" w:rsidP="00D1580D">
      <w:pPr>
        <w:spacing w:line="300" w:lineRule="exact"/>
        <w:jc w:val="both"/>
        <w:rPr>
          <w:rFonts w:eastAsia="Arial" w:cs="Arial"/>
          <w:sz w:val="24"/>
          <w:szCs w:val="24"/>
        </w:rPr>
      </w:pPr>
      <w:r>
        <w:rPr>
          <w:rFonts w:eastAsia="Arial" w:cs="Arial"/>
          <w:sz w:val="24"/>
          <w:szCs w:val="24"/>
        </w:rPr>
        <w:t>Para tal efecto la CNDH ha</w:t>
      </w:r>
      <w:r w:rsidR="00D1580D">
        <w:rPr>
          <w:rFonts w:eastAsia="Arial" w:cs="Arial"/>
          <w:sz w:val="24"/>
          <w:szCs w:val="24"/>
        </w:rPr>
        <w:t xml:space="preserve"> emitido</w:t>
      </w:r>
      <w:r w:rsidR="00BE3AE8">
        <w:rPr>
          <w:rFonts w:eastAsia="Arial" w:cs="Arial"/>
          <w:sz w:val="24"/>
          <w:szCs w:val="24"/>
        </w:rPr>
        <w:t xml:space="preserve"> las siguientes</w:t>
      </w:r>
      <w:r w:rsidR="00D1580D">
        <w:rPr>
          <w:rFonts w:eastAsia="Arial" w:cs="Arial"/>
          <w:sz w:val="24"/>
          <w:szCs w:val="24"/>
        </w:rPr>
        <w:t xml:space="preserve"> recomendaciones</w:t>
      </w:r>
      <w:r w:rsidR="00BE3AE8">
        <w:rPr>
          <w:rFonts w:eastAsia="Arial" w:cs="Arial"/>
          <w:sz w:val="24"/>
          <w:szCs w:val="24"/>
        </w:rPr>
        <w:t>:</w:t>
      </w:r>
    </w:p>
    <w:p w14:paraId="6B32544F" w14:textId="77777777" w:rsidR="00735F2B" w:rsidRDefault="00735F2B" w:rsidP="00D1580D">
      <w:pPr>
        <w:spacing w:line="300" w:lineRule="exact"/>
        <w:jc w:val="both"/>
        <w:rPr>
          <w:rFonts w:eastAsia="Arial" w:cs="Arial"/>
          <w:sz w:val="24"/>
          <w:szCs w:val="24"/>
        </w:rPr>
      </w:pPr>
    </w:p>
    <w:p w14:paraId="04D95403" w14:textId="77777777" w:rsidR="00BE3AE8" w:rsidRDefault="00D1580D" w:rsidP="00BE3AE8">
      <w:pPr>
        <w:pStyle w:val="ListParagraph"/>
        <w:numPr>
          <w:ilvl w:val="0"/>
          <w:numId w:val="29"/>
        </w:numPr>
        <w:spacing w:line="300" w:lineRule="exact"/>
        <w:jc w:val="both"/>
        <w:rPr>
          <w:rFonts w:ascii="Arial" w:eastAsia="Arial" w:hAnsi="Arial" w:cs="Arial"/>
          <w:color w:val="333333"/>
          <w:sz w:val="24"/>
          <w:szCs w:val="24"/>
        </w:rPr>
      </w:pPr>
      <w:r w:rsidRPr="00BE3AE8">
        <w:rPr>
          <w:rFonts w:ascii="Arial" w:eastAsia="Arial" w:hAnsi="Arial" w:cs="Arial"/>
          <w:color w:val="333333"/>
          <w:sz w:val="24"/>
          <w:szCs w:val="24"/>
        </w:rPr>
        <w:t>52/</w:t>
      </w:r>
      <w:r w:rsidRPr="00BE3AE8">
        <w:rPr>
          <w:rFonts w:ascii="Arial" w:eastAsia="Arial" w:hAnsi="Arial" w:cs="Arial"/>
          <w:color w:val="666666"/>
          <w:sz w:val="24"/>
          <w:szCs w:val="24"/>
        </w:rPr>
        <w:t>2017, “</w:t>
      </w:r>
      <w:r w:rsidRPr="00BE3AE8">
        <w:rPr>
          <w:rFonts w:ascii="Arial" w:eastAsia="Arial" w:hAnsi="Arial" w:cs="Arial"/>
          <w:color w:val="333333"/>
          <w:sz w:val="24"/>
          <w:szCs w:val="24"/>
        </w:rPr>
        <w:t>Sobre el caso de la violación al derecho a la integridad personal, al desarrollo integral de la niñez, a un nivel de vida adecuado y al interés superior de la niñez en agravio de 559 niñas, niños y adolescentes, en casas y comedores indígenas del programa de apoyo a la educación indígena, en el estado de Oaxaca.”</w:t>
      </w:r>
      <w:r w:rsidR="00BE3AE8" w:rsidRPr="00BE3AE8">
        <w:rPr>
          <w:rStyle w:val="FootnoteReference"/>
          <w:rFonts w:ascii="Arial" w:eastAsia="Arial" w:hAnsi="Arial" w:cs="Arial"/>
          <w:color w:val="333333"/>
          <w:sz w:val="24"/>
          <w:szCs w:val="24"/>
        </w:rPr>
        <w:footnoteReference w:id="1"/>
      </w:r>
      <w:r w:rsidR="00BE3AE8" w:rsidRPr="00BE3AE8">
        <w:rPr>
          <w:rFonts w:ascii="Arial" w:eastAsia="Arial" w:hAnsi="Arial" w:cs="Arial"/>
          <w:color w:val="333333"/>
          <w:sz w:val="24"/>
          <w:szCs w:val="24"/>
        </w:rPr>
        <w:t xml:space="preserve">; </w:t>
      </w:r>
    </w:p>
    <w:p w14:paraId="2078AD91" w14:textId="77777777" w:rsidR="00BE3AE8" w:rsidRPr="00BE3AE8" w:rsidRDefault="00BE3AE8" w:rsidP="00BE3AE8">
      <w:pPr>
        <w:pStyle w:val="ListParagraph"/>
        <w:spacing w:line="300" w:lineRule="exact"/>
        <w:jc w:val="both"/>
        <w:rPr>
          <w:rFonts w:ascii="Arial" w:eastAsia="Arial" w:hAnsi="Arial" w:cs="Arial"/>
          <w:color w:val="333333"/>
          <w:sz w:val="24"/>
          <w:szCs w:val="24"/>
        </w:rPr>
      </w:pPr>
    </w:p>
    <w:p w14:paraId="50A7492D" w14:textId="77777777" w:rsidR="00BE3AE8" w:rsidRPr="00BE3AE8" w:rsidRDefault="00D1580D" w:rsidP="00BE3AE8">
      <w:pPr>
        <w:pStyle w:val="ListParagraph"/>
        <w:numPr>
          <w:ilvl w:val="0"/>
          <w:numId w:val="29"/>
        </w:numPr>
        <w:spacing w:line="300" w:lineRule="exact"/>
        <w:jc w:val="both"/>
        <w:rPr>
          <w:rFonts w:ascii="Arial" w:eastAsia="Arial" w:hAnsi="Arial" w:cs="Arial"/>
          <w:color w:val="333333"/>
          <w:sz w:val="24"/>
          <w:szCs w:val="24"/>
        </w:rPr>
      </w:pPr>
      <w:r w:rsidRPr="00BE3AE8">
        <w:rPr>
          <w:rFonts w:ascii="Arial" w:eastAsia="Arial" w:hAnsi="Arial" w:cs="Arial"/>
          <w:color w:val="333333"/>
          <w:sz w:val="24"/>
          <w:szCs w:val="24"/>
        </w:rPr>
        <w:t>25/2018, “Sobre el caso de violaciones al derecho a la protección a la salud por inadecuada atención médica en agravio de 4 recién nacidos indígenas V1, V2, V3 y V4, y a la vida de V1, V2 y V3, en el hospital comunitario de Guadalupe y calvo, Chihuahua”</w:t>
      </w:r>
      <w:r w:rsidR="00BE3AE8" w:rsidRPr="00BE3AE8">
        <w:rPr>
          <w:rStyle w:val="FootnoteReference"/>
          <w:rFonts w:ascii="Arial" w:eastAsia="Arial" w:hAnsi="Arial" w:cs="Arial"/>
          <w:color w:val="333333"/>
          <w:sz w:val="24"/>
          <w:szCs w:val="24"/>
        </w:rPr>
        <w:footnoteReference w:id="2"/>
      </w:r>
      <w:r w:rsidR="00BE3AE8" w:rsidRPr="00BE3AE8">
        <w:rPr>
          <w:rFonts w:ascii="Arial" w:eastAsia="Arial" w:hAnsi="Arial" w:cs="Arial"/>
          <w:color w:val="333333"/>
          <w:sz w:val="24"/>
          <w:szCs w:val="24"/>
        </w:rPr>
        <w:t xml:space="preserve">; </w:t>
      </w:r>
      <w:r w:rsidRPr="00BE3AE8">
        <w:rPr>
          <w:rFonts w:ascii="Arial" w:eastAsia="Arial" w:hAnsi="Arial" w:cs="Arial"/>
          <w:color w:val="333333"/>
          <w:sz w:val="24"/>
          <w:szCs w:val="24"/>
        </w:rPr>
        <w:t xml:space="preserve"> </w:t>
      </w:r>
    </w:p>
    <w:p w14:paraId="3CAF1159" w14:textId="77777777" w:rsidR="00BE3AE8" w:rsidRPr="00BE3AE8" w:rsidRDefault="00BE3AE8" w:rsidP="00BE3AE8">
      <w:pPr>
        <w:pStyle w:val="ListParagraph"/>
        <w:spacing w:line="300" w:lineRule="exact"/>
        <w:jc w:val="both"/>
        <w:rPr>
          <w:rFonts w:ascii="Arial" w:eastAsia="Arial" w:hAnsi="Arial" w:cs="Arial"/>
          <w:color w:val="666666"/>
          <w:sz w:val="24"/>
          <w:szCs w:val="24"/>
        </w:rPr>
      </w:pPr>
    </w:p>
    <w:p w14:paraId="2339608B" w14:textId="77777777" w:rsidR="00D1580D" w:rsidRPr="00BE3AE8" w:rsidRDefault="00D1580D" w:rsidP="00BE3AE8">
      <w:pPr>
        <w:pStyle w:val="ListParagraph"/>
        <w:numPr>
          <w:ilvl w:val="0"/>
          <w:numId w:val="29"/>
        </w:numPr>
        <w:spacing w:line="300" w:lineRule="exact"/>
        <w:jc w:val="both"/>
        <w:rPr>
          <w:rFonts w:ascii="Arial" w:eastAsia="Arial" w:hAnsi="Arial" w:cs="Arial"/>
          <w:color w:val="666666"/>
          <w:sz w:val="24"/>
          <w:szCs w:val="24"/>
        </w:rPr>
      </w:pPr>
      <w:r w:rsidRPr="00BE3AE8">
        <w:rPr>
          <w:rFonts w:ascii="Arial" w:eastAsia="Arial" w:hAnsi="Arial" w:cs="Arial"/>
          <w:color w:val="333333"/>
          <w:sz w:val="24"/>
          <w:szCs w:val="24"/>
        </w:rPr>
        <w:t>32/</w:t>
      </w:r>
      <w:r w:rsidRPr="00BE3AE8">
        <w:rPr>
          <w:rFonts w:ascii="Arial" w:eastAsia="Arial" w:hAnsi="Arial" w:cs="Arial"/>
          <w:color w:val="666666"/>
          <w:sz w:val="24"/>
          <w:szCs w:val="24"/>
        </w:rPr>
        <w:t>2019</w:t>
      </w:r>
      <w:proofErr w:type="gramStart"/>
      <w:r w:rsidRPr="00BE3AE8">
        <w:rPr>
          <w:rFonts w:ascii="Arial" w:eastAsia="Arial" w:hAnsi="Arial" w:cs="Arial"/>
          <w:color w:val="666666"/>
          <w:sz w:val="24"/>
          <w:szCs w:val="24"/>
        </w:rPr>
        <w:t>, ”</w:t>
      </w:r>
      <w:proofErr w:type="gramEnd"/>
      <w:r w:rsidRPr="00BE3AE8">
        <w:rPr>
          <w:rFonts w:ascii="Arial" w:eastAsia="Arial" w:hAnsi="Arial" w:cs="Arial"/>
          <w:color w:val="333333"/>
          <w:sz w:val="24"/>
          <w:szCs w:val="24"/>
        </w:rPr>
        <w:t xml:space="preserve"> Sobre el caso de violaciones a los derechos humanos de acceso a la justicia en su modalidad de procuración, a la verdad, y a recibir atención por su condición de víctimas indirectas, en agravio de V2, V3, V4, V5, V6, V7, V8 y V9; al interés superior de la niñez en agravio de V3 y V9, en la investigación del homicidio de v1, promotor y defensor indígena de derechos humanos y del sitio sagrado de Wirikuta, en el Estado de Nayarit”</w:t>
      </w:r>
      <w:r w:rsidR="00BE3AE8" w:rsidRPr="00BE3AE8">
        <w:rPr>
          <w:rStyle w:val="FootnoteReference"/>
          <w:rFonts w:ascii="Arial" w:eastAsia="Arial" w:hAnsi="Arial" w:cs="Arial"/>
          <w:color w:val="333333"/>
          <w:sz w:val="24"/>
          <w:szCs w:val="24"/>
        </w:rPr>
        <w:footnoteReference w:id="3"/>
      </w:r>
      <w:r w:rsidRPr="00BE3AE8">
        <w:rPr>
          <w:rFonts w:ascii="Arial" w:eastAsia="Arial" w:hAnsi="Arial" w:cs="Arial"/>
          <w:color w:val="333333"/>
          <w:sz w:val="24"/>
          <w:szCs w:val="24"/>
        </w:rPr>
        <w:t xml:space="preserve">. </w:t>
      </w:r>
    </w:p>
    <w:p w14:paraId="6B398CD6" w14:textId="77777777" w:rsidR="00D1580D" w:rsidRPr="00BE3AE8" w:rsidRDefault="00D1580D" w:rsidP="00D1580D">
      <w:pPr>
        <w:spacing w:after="80"/>
        <w:rPr>
          <w:rFonts w:cs="Arial"/>
          <w:b/>
          <w:sz w:val="26"/>
          <w:szCs w:val="26"/>
          <w:lang w:val="es-MX"/>
        </w:rPr>
      </w:pPr>
    </w:p>
    <w:p w14:paraId="19DCCD81" w14:textId="77777777" w:rsidR="00086417" w:rsidRDefault="00086417" w:rsidP="00FD2245">
      <w:pPr>
        <w:pBdr>
          <w:top w:val="nil"/>
          <w:left w:val="nil"/>
          <w:bottom w:val="nil"/>
          <w:right w:val="nil"/>
          <w:between w:val="nil"/>
        </w:pBdr>
        <w:tabs>
          <w:tab w:val="left" w:pos="5103"/>
        </w:tabs>
        <w:spacing w:line="240" w:lineRule="exact"/>
        <w:ind w:right="-142"/>
        <w:jc w:val="both"/>
        <w:rPr>
          <w:rFonts w:cs="Arial"/>
          <w:b/>
          <w:szCs w:val="22"/>
          <w:lang w:val="es-MX"/>
        </w:rPr>
      </w:pPr>
    </w:p>
    <w:p w14:paraId="46C486BC" w14:textId="77777777" w:rsidR="00CB3CB1" w:rsidRPr="00FD2245" w:rsidRDefault="00CB3CB1" w:rsidP="00FD2245">
      <w:pPr>
        <w:pBdr>
          <w:top w:val="nil"/>
          <w:left w:val="nil"/>
          <w:bottom w:val="nil"/>
          <w:right w:val="nil"/>
          <w:between w:val="nil"/>
        </w:pBdr>
        <w:tabs>
          <w:tab w:val="left" w:pos="5103"/>
        </w:tabs>
        <w:spacing w:line="240" w:lineRule="exact"/>
        <w:ind w:right="-142"/>
        <w:jc w:val="both"/>
        <w:rPr>
          <w:rFonts w:eastAsia="Arial" w:cs="Arial"/>
          <w:szCs w:val="22"/>
        </w:rPr>
      </w:pPr>
    </w:p>
    <w:sectPr w:rsidR="00CB3CB1" w:rsidRPr="00FD2245" w:rsidSect="000A76C1">
      <w:headerReference w:type="default" r:id="rId11"/>
      <w:footerReference w:type="default" r:id="rId12"/>
      <w:pgSz w:w="12242" w:h="15842" w:code="1"/>
      <w:pgMar w:top="1985" w:right="902" w:bottom="142" w:left="993" w:header="4" w:footer="5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D1B3" w14:textId="77777777" w:rsidR="00A47FEB" w:rsidRDefault="00A47FEB">
      <w:r>
        <w:separator/>
      </w:r>
    </w:p>
  </w:endnote>
  <w:endnote w:type="continuationSeparator" w:id="0">
    <w:p w14:paraId="09821C87" w14:textId="77777777" w:rsidR="00A47FEB" w:rsidRDefault="00A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51210"/>
      <w:docPartObj>
        <w:docPartGallery w:val="Page Numbers (Bottom of Page)"/>
        <w:docPartUnique/>
      </w:docPartObj>
    </w:sdtPr>
    <w:sdtEndPr/>
    <w:sdtContent>
      <w:p w14:paraId="51CDEF12" w14:textId="77777777" w:rsidR="00C03810" w:rsidRDefault="00131E27">
        <w:pPr>
          <w:pStyle w:val="Footer"/>
          <w:jc w:val="center"/>
        </w:pPr>
        <w:r>
          <w:fldChar w:fldCharType="begin"/>
        </w:r>
        <w:r w:rsidR="00C03810">
          <w:instrText>PAGE   \* MERGEFORMAT</w:instrText>
        </w:r>
        <w:r>
          <w:fldChar w:fldCharType="separate"/>
        </w:r>
        <w:r w:rsidR="00C45B58" w:rsidRPr="00C45B58">
          <w:rPr>
            <w:noProof/>
            <w:lang w:val="es-ES"/>
          </w:rPr>
          <w:t>1</w:t>
        </w:r>
        <w:r>
          <w:fldChar w:fldCharType="end"/>
        </w:r>
      </w:p>
    </w:sdtContent>
  </w:sdt>
  <w:p w14:paraId="64596AC4" w14:textId="77777777" w:rsidR="00AA7C69" w:rsidRPr="00FC6F67" w:rsidRDefault="002D1807" w:rsidP="00250AE3">
    <w:pPr>
      <w:jc w:val="center"/>
      <w:rPr>
        <w:rFonts w:cs="Arial"/>
        <w:color w:val="244061"/>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AEF6" w14:textId="77777777" w:rsidR="00A47FEB" w:rsidRDefault="00A47FEB">
      <w:r>
        <w:separator/>
      </w:r>
    </w:p>
  </w:footnote>
  <w:footnote w:type="continuationSeparator" w:id="0">
    <w:p w14:paraId="593B48F9" w14:textId="77777777" w:rsidR="00A47FEB" w:rsidRDefault="00A47FEB">
      <w:r>
        <w:continuationSeparator/>
      </w:r>
    </w:p>
  </w:footnote>
  <w:footnote w:id="1">
    <w:p w14:paraId="74829BAC" w14:textId="77777777" w:rsidR="00BE3AE8" w:rsidRPr="00BE3AE8" w:rsidRDefault="00BE3AE8" w:rsidP="00BE3AE8">
      <w:pPr>
        <w:rPr>
          <w:rFonts w:cs="Arial"/>
          <w:color w:val="333333"/>
          <w:sz w:val="17"/>
          <w:szCs w:val="17"/>
          <w:lang w:val="es-MX" w:eastAsia="es-MX"/>
        </w:rPr>
      </w:pPr>
      <w:r>
        <w:rPr>
          <w:rStyle w:val="FootnoteReference"/>
        </w:rPr>
        <w:footnoteRef/>
      </w:r>
      <w:r>
        <w:t xml:space="preserve"> </w:t>
      </w:r>
      <w:hyperlink r:id="rId1" w:history="1">
        <w:r w:rsidRPr="00182BAD">
          <w:rPr>
            <w:rStyle w:val="Hyperlink"/>
            <w:rFonts w:cs="Arial"/>
            <w:sz w:val="17"/>
            <w:szCs w:val="17"/>
            <w:lang w:val="es-MX" w:eastAsia="es-MX"/>
          </w:rPr>
          <w:t>https://www.cndh.org.mx/sites/default/files/doc/Recomendaciones/2017/Rec_2017_052.pdf</w:t>
        </w:r>
      </w:hyperlink>
    </w:p>
  </w:footnote>
  <w:footnote w:id="2">
    <w:p w14:paraId="519B09B3" w14:textId="77777777" w:rsidR="00BE3AE8" w:rsidRPr="00BE3AE8" w:rsidRDefault="00BE3AE8">
      <w:pPr>
        <w:pStyle w:val="FootnoteText"/>
        <w:rPr>
          <w:rFonts w:ascii="Arial" w:hAnsi="Arial" w:cs="Arial"/>
          <w:color w:val="333333"/>
          <w:sz w:val="17"/>
          <w:szCs w:val="17"/>
          <w:shd w:val="clear" w:color="auto" w:fill="FFFFFF"/>
        </w:rPr>
      </w:pPr>
      <w:r>
        <w:rPr>
          <w:rStyle w:val="FootnoteReference"/>
        </w:rPr>
        <w:footnoteRef/>
      </w:r>
      <w:r>
        <w:t xml:space="preserve"> </w:t>
      </w:r>
      <w:hyperlink r:id="rId2" w:history="1">
        <w:r w:rsidRPr="00182BAD">
          <w:rPr>
            <w:rStyle w:val="Hyperlink"/>
            <w:rFonts w:ascii="Arial" w:hAnsi="Arial" w:cs="Arial"/>
            <w:sz w:val="17"/>
            <w:szCs w:val="17"/>
            <w:shd w:val="clear" w:color="auto" w:fill="FFFFFF"/>
          </w:rPr>
          <w:t>https://www.cndh.org.mx/sites/default/files/doc/Recomendaciones/2018/Rec_2018_025.pdf</w:t>
        </w:r>
      </w:hyperlink>
    </w:p>
  </w:footnote>
  <w:footnote w:id="3">
    <w:p w14:paraId="43CFE760" w14:textId="77777777" w:rsidR="00BE3AE8" w:rsidRDefault="00BE3AE8">
      <w:pPr>
        <w:pStyle w:val="FootnoteText"/>
        <w:rPr>
          <w:rFonts w:ascii="Arial" w:hAnsi="Arial" w:cs="Arial"/>
          <w:color w:val="333333"/>
          <w:sz w:val="17"/>
          <w:szCs w:val="17"/>
          <w:shd w:val="clear" w:color="auto" w:fill="FFFFFF"/>
        </w:rPr>
      </w:pPr>
      <w:r>
        <w:rPr>
          <w:rStyle w:val="FootnoteReference"/>
        </w:rPr>
        <w:footnoteRef/>
      </w:r>
      <w:r>
        <w:t xml:space="preserve"> </w:t>
      </w:r>
      <w:hyperlink r:id="rId3" w:history="1">
        <w:r w:rsidRPr="00182BAD">
          <w:rPr>
            <w:rStyle w:val="Hyperlink"/>
            <w:rFonts w:ascii="Arial" w:hAnsi="Arial" w:cs="Arial"/>
            <w:sz w:val="17"/>
            <w:szCs w:val="17"/>
            <w:shd w:val="clear" w:color="auto" w:fill="FFFFFF"/>
          </w:rPr>
          <w:t>https://www.cndh.org.mx/sites/default/files/documentos/2019-07/Rec_2019_032.pdf</w:t>
        </w:r>
      </w:hyperlink>
    </w:p>
    <w:p w14:paraId="19EC356E" w14:textId="77777777" w:rsidR="00BE3AE8" w:rsidRDefault="00BE3A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3A52" w14:textId="77777777" w:rsidR="00AA7C69" w:rsidRDefault="002D1807" w:rsidP="00250AE3">
    <w:pPr>
      <w:pStyle w:val="Header"/>
    </w:pPr>
  </w:p>
  <w:p w14:paraId="3EC3424B" w14:textId="77777777" w:rsidR="00AA7C69" w:rsidRDefault="002D1807" w:rsidP="00250AE3">
    <w:pPr>
      <w:ind w:left="567"/>
      <w:jc w:val="center"/>
      <w:rPr>
        <w:i/>
        <w:sz w:val="18"/>
        <w:szCs w:val="22"/>
        <w:lang w:val="es-MX"/>
      </w:rPr>
    </w:pPr>
  </w:p>
  <w:p w14:paraId="63D2FD4D" w14:textId="77777777" w:rsidR="00AA7C69" w:rsidRDefault="002D1807" w:rsidP="00250AE3">
    <w:pPr>
      <w:ind w:left="567"/>
      <w:jc w:val="center"/>
      <w:rPr>
        <w:i/>
        <w:sz w:val="18"/>
        <w:szCs w:val="22"/>
        <w:lang w:val="es-MX"/>
      </w:rPr>
    </w:pPr>
  </w:p>
  <w:p w14:paraId="304C6CCF" w14:textId="77777777" w:rsidR="00AA7C69" w:rsidRPr="00B834A1" w:rsidRDefault="00C50DAB" w:rsidP="00250AE3">
    <w:pPr>
      <w:pStyle w:val="Header"/>
    </w:pPr>
    <w:r>
      <w:rPr>
        <w:noProof/>
        <w:lang w:val="en-GB" w:eastAsia="en-GB"/>
      </w:rPr>
      <w:drawing>
        <wp:anchor distT="0" distB="0" distL="114300" distR="114300" simplePos="0" relativeHeight="251660288" behindDoc="0" locked="0" layoutInCell="1" allowOverlap="1" wp14:anchorId="3CB27F51" wp14:editId="26CB13FA">
          <wp:simplePos x="0" y="0"/>
          <wp:positionH relativeFrom="margin">
            <wp:posOffset>-181610</wp:posOffset>
          </wp:positionH>
          <wp:positionV relativeFrom="paragraph">
            <wp:posOffset>144145</wp:posOffset>
          </wp:positionV>
          <wp:extent cx="1562100" cy="596900"/>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9690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57CA3795" wp14:editId="03C34033">
          <wp:simplePos x="0" y="0"/>
          <wp:positionH relativeFrom="column">
            <wp:posOffset>1522730</wp:posOffset>
          </wp:positionH>
          <wp:positionV relativeFrom="paragraph">
            <wp:posOffset>61595</wp:posOffset>
          </wp:positionV>
          <wp:extent cx="4748530" cy="223520"/>
          <wp:effectExtent l="0" t="0" r="0" b="508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8530" cy="223520"/>
                  </a:xfrm>
                  <a:prstGeom prst="rect">
                    <a:avLst/>
                  </a:prstGeom>
                  <a:noFill/>
                  <a:ln>
                    <a:noFill/>
                  </a:ln>
                  <a:effectLst/>
                </pic:spPr>
              </pic:pic>
            </a:graphicData>
          </a:graphic>
        </wp:anchor>
      </w:drawing>
    </w:r>
  </w:p>
  <w:p w14:paraId="7EF70202" w14:textId="77777777" w:rsidR="00AA7C69" w:rsidRDefault="00C50DAB" w:rsidP="00250AE3">
    <w:pPr>
      <w:ind w:right="-142"/>
    </w:pPr>
    <w:r>
      <w:tab/>
    </w:r>
    <w:r>
      <w:tab/>
    </w:r>
  </w:p>
  <w:p w14:paraId="65150B7F" w14:textId="77777777" w:rsidR="00AA7C69" w:rsidRDefault="002D1807" w:rsidP="00250AE3">
    <w:pPr>
      <w:pStyle w:val="Header"/>
      <w:ind w:right="-142"/>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F4D8C"/>
    <w:multiLevelType w:val="singleLevel"/>
    <w:tmpl w:val="8CFF4D8C"/>
    <w:lvl w:ilvl="0">
      <w:start w:val="5"/>
      <w:numFmt w:val="decimal"/>
      <w:suff w:val="space"/>
      <w:lvlText w:val="%1-"/>
      <w:lvlJc w:val="left"/>
    </w:lvl>
  </w:abstractNum>
  <w:abstractNum w:abstractNumId="1" w15:restartNumberingAfterBreak="0">
    <w:nsid w:val="979DD9C3"/>
    <w:multiLevelType w:val="multilevel"/>
    <w:tmpl w:val="979DD9C3"/>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9AEF2B2C"/>
    <w:multiLevelType w:val="multilevel"/>
    <w:tmpl w:val="9AEF2B2C"/>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9B558AD6"/>
    <w:multiLevelType w:val="multilevel"/>
    <w:tmpl w:val="9B558AD6"/>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CB1F6D53"/>
    <w:multiLevelType w:val="multilevel"/>
    <w:tmpl w:val="CB1F6D53"/>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D023EA7A"/>
    <w:multiLevelType w:val="multilevel"/>
    <w:tmpl w:val="D023EA7A"/>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D03D5215"/>
    <w:multiLevelType w:val="multilevel"/>
    <w:tmpl w:val="D03D5215"/>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D18F252F"/>
    <w:multiLevelType w:val="multilevel"/>
    <w:tmpl w:val="D18F252F"/>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D68C5F28"/>
    <w:multiLevelType w:val="multilevel"/>
    <w:tmpl w:val="D68C5F28"/>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E1285B00"/>
    <w:multiLevelType w:val="multilevel"/>
    <w:tmpl w:val="E1285B00"/>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E8C53F35"/>
    <w:multiLevelType w:val="multilevel"/>
    <w:tmpl w:val="E8C53F35"/>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F36C79FC"/>
    <w:multiLevelType w:val="multilevel"/>
    <w:tmpl w:val="F36C79FC"/>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FC003D19"/>
    <w:multiLevelType w:val="multilevel"/>
    <w:tmpl w:val="FC003D19"/>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74054CD"/>
    <w:multiLevelType w:val="multilevel"/>
    <w:tmpl w:val="1E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9D09BE"/>
    <w:multiLevelType w:val="multilevel"/>
    <w:tmpl w:val="079D09BE"/>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088394E3"/>
    <w:multiLevelType w:val="multilevel"/>
    <w:tmpl w:val="088394E3"/>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8C76700"/>
    <w:multiLevelType w:val="multilevel"/>
    <w:tmpl w:val="08C76700"/>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0CA676EB"/>
    <w:multiLevelType w:val="multilevel"/>
    <w:tmpl w:val="DE3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997F13"/>
    <w:multiLevelType w:val="hybridMultilevel"/>
    <w:tmpl w:val="B2A27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F50A7D"/>
    <w:multiLevelType w:val="multilevel"/>
    <w:tmpl w:val="38B83444"/>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C3B58"/>
    <w:multiLevelType w:val="multilevel"/>
    <w:tmpl w:val="187C3B58"/>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1DD77036"/>
    <w:multiLevelType w:val="multilevel"/>
    <w:tmpl w:val="1DD77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12F156"/>
    <w:multiLevelType w:val="multilevel"/>
    <w:tmpl w:val="3612F156"/>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F86135"/>
    <w:multiLevelType w:val="multilevel"/>
    <w:tmpl w:val="DFE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2DD2D"/>
    <w:multiLevelType w:val="multilevel"/>
    <w:tmpl w:val="56B2DD2D"/>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5D1164ED"/>
    <w:multiLevelType w:val="multilevel"/>
    <w:tmpl w:val="5D1164ED"/>
    <w:lvl w:ilvl="0">
      <w:start w:val="1"/>
      <w:numFmt w:val="bullet"/>
      <w:lvlText w:val=""/>
      <w:lvlJc w:val="left"/>
      <w:pPr>
        <w:tabs>
          <w:tab w:val="left" w:pos="720"/>
        </w:tabs>
        <w:ind w:left="720" w:hanging="360"/>
      </w:pPr>
      <w:rPr>
        <w:rFonts w:ascii="Wingdings" w:hAnsi="Wingdings" w:cs="Wingdings"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6F0F652A"/>
    <w:multiLevelType w:val="multilevel"/>
    <w:tmpl w:val="244601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6739B6"/>
    <w:multiLevelType w:val="multilevel"/>
    <w:tmpl w:val="6C6E4A9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AFF5643"/>
    <w:multiLevelType w:val="hybridMultilevel"/>
    <w:tmpl w:val="135ABA42"/>
    <w:lvl w:ilvl="0" w:tplc="5BBE0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5"/>
  </w:num>
  <w:num w:numId="3">
    <w:abstractNumId w:val="20"/>
  </w:num>
  <w:num w:numId="4">
    <w:abstractNumId w:val="10"/>
  </w:num>
  <w:num w:numId="5">
    <w:abstractNumId w:val="24"/>
  </w:num>
  <w:num w:numId="6">
    <w:abstractNumId w:val="11"/>
  </w:num>
  <w:num w:numId="7">
    <w:abstractNumId w:val="9"/>
  </w:num>
  <w:num w:numId="8">
    <w:abstractNumId w:val="16"/>
  </w:num>
  <w:num w:numId="9">
    <w:abstractNumId w:val="5"/>
  </w:num>
  <w:num w:numId="10">
    <w:abstractNumId w:val="14"/>
  </w:num>
  <w:num w:numId="11">
    <w:abstractNumId w:val="2"/>
  </w:num>
  <w:num w:numId="12">
    <w:abstractNumId w:val="15"/>
  </w:num>
  <w:num w:numId="13">
    <w:abstractNumId w:val="3"/>
  </w:num>
  <w:num w:numId="14">
    <w:abstractNumId w:val="4"/>
  </w:num>
  <w:num w:numId="15">
    <w:abstractNumId w:val="22"/>
  </w:num>
  <w:num w:numId="16">
    <w:abstractNumId w:val="1"/>
  </w:num>
  <w:num w:numId="17">
    <w:abstractNumId w:val="7"/>
  </w:num>
  <w:num w:numId="18">
    <w:abstractNumId w:val="8"/>
  </w:num>
  <w:num w:numId="19">
    <w:abstractNumId w:val="12"/>
  </w:num>
  <w:num w:numId="20">
    <w:abstractNumId w:val="6"/>
  </w:num>
  <w:num w:numId="21">
    <w:abstractNumId w:val="0"/>
  </w:num>
  <w:num w:numId="22">
    <w:abstractNumId w:val="26"/>
  </w:num>
  <w:num w:numId="23">
    <w:abstractNumId w:val="28"/>
  </w:num>
  <w:num w:numId="24">
    <w:abstractNumId w:val="13"/>
  </w:num>
  <w:num w:numId="25">
    <w:abstractNumId w:val="19"/>
  </w:num>
  <w:num w:numId="26">
    <w:abstractNumId w:val="27"/>
  </w:num>
  <w:num w:numId="27">
    <w:abstractNumId w:val="17"/>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AB"/>
    <w:rsid w:val="00000932"/>
    <w:rsid w:val="00023886"/>
    <w:rsid w:val="00072770"/>
    <w:rsid w:val="00086417"/>
    <w:rsid w:val="000A76C1"/>
    <w:rsid w:val="00131E27"/>
    <w:rsid w:val="001750B8"/>
    <w:rsid w:val="00183B75"/>
    <w:rsid w:val="001F10C6"/>
    <w:rsid w:val="002554C2"/>
    <w:rsid w:val="00256C7D"/>
    <w:rsid w:val="002D1807"/>
    <w:rsid w:val="002E5123"/>
    <w:rsid w:val="002F407C"/>
    <w:rsid w:val="004273C9"/>
    <w:rsid w:val="00442EE0"/>
    <w:rsid w:val="00453603"/>
    <w:rsid w:val="00475F0C"/>
    <w:rsid w:val="004827D3"/>
    <w:rsid w:val="004C6A24"/>
    <w:rsid w:val="004D299D"/>
    <w:rsid w:val="004E775F"/>
    <w:rsid w:val="00517AA9"/>
    <w:rsid w:val="005C4698"/>
    <w:rsid w:val="0060397E"/>
    <w:rsid w:val="0066672D"/>
    <w:rsid w:val="00683ACC"/>
    <w:rsid w:val="0068570A"/>
    <w:rsid w:val="006C1010"/>
    <w:rsid w:val="006E03BD"/>
    <w:rsid w:val="006F7BA7"/>
    <w:rsid w:val="0071690E"/>
    <w:rsid w:val="00735F2B"/>
    <w:rsid w:val="007A4005"/>
    <w:rsid w:val="007C5EEA"/>
    <w:rsid w:val="007F289B"/>
    <w:rsid w:val="00811FAF"/>
    <w:rsid w:val="0083263F"/>
    <w:rsid w:val="00836DBE"/>
    <w:rsid w:val="00846C59"/>
    <w:rsid w:val="008A7806"/>
    <w:rsid w:val="008D0DD1"/>
    <w:rsid w:val="008E147A"/>
    <w:rsid w:val="009045B9"/>
    <w:rsid w:val="00964F9A"/>
    <w:rsid w:val="009A26DF"/>
    <w:rsid w:val="009D59A2"/>
    <w:rsid w:val="009E3B59"/>
    <w:rsid w:val="009F045F"/>
    <w:rsid w:val="00A20D80"/>
    <w:rsid w:val="00A4799F"/>
    <w:rsid w:val="00A47FEB"/>
    <w:rsid w:val="00A616BE"/>
    <w:rsid w:val="00A84E2F"/>
    <w:rsid w:val="00A914FC"/>
    <w:rsid w:val="00B579CB"/>
    <w:rsid w:val="00B749B8"/>
    <w:rsid w:val="00BC07C6"/>
    <w:rsid w:val="00BE3AE8"/>
    <w:rsid w:val="00C03810"/>
    <w:rsid w:val="00C051B5"/>
    <w:rsid w:val="00C45B58"/>
    <w:rsid w:val="00C50DAB"/>
    <w:rsid w:val="00CA25D3"/>
    <w:rsid w:val="00CB3CB1"/>
    <w:rsid w:val="00CD492D"/>
    <w:rsid w:val="00D06CE5"/>
    <w:rsid w:val="00D1222D"/>
    <w:rsid w:val="00D1580D"/>
    <w:rsid w:val="00D35BD7"/>
    <w:rsid w:val="00D549A1"/>
    <w:rsid w:val="00D55298"/>
    <w:rsid w:val="00D66FAF"/>
    <w:rsid w:val="00DC0059"/>
    <w:rsid w:val="00DE73AC"/>
    <w:rsid w:val="00E2100A"/>
    <w:rsid w:val="00E317E3"/>
    <w:rsid w:val="00E35976"/>
    <w:rsid w:val="00E712CA"/>
    <w:rsid w:val="00E73876"/>
    <w:rsid w:val="00ED43F7"/>
    <w:rsid w:val="00ED7AE9"/>
    <w:rsid w:val="00EE34E4"/>
    <w:rsid w:val="00F057DC"/>
    <w:rsid w:val="00F67762"/>
    <w:rsid w:val="00F763CD"/>
    <w:rsid w:val="00F84DC0"/>
    <w:rsid w:val="00F92D9A"/>
    <w:rsid w:val="00FD224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2334F49"/>
  <w15:docId w15:val="{69B5D4F5-AD3B-48E5-8923-E89574DF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AB"/>
    <w:pPr>
      <w:spacing w:after="0" w:line="240" w:lineRule="auto"/>
    </w:pPr>
    <w:rPr>
      <w:rFonts w:ascii="Arial" w:eastAsia="Times New Roman" w:hAnsi="Arial" w:cs="Times New Roman"/>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DAB"/>
    <w:pPr>
      <w:tabs>
        <w:tab w:val="center" w:pos="4419"/>
        <w:tab w:val="right" w:pos="8838"/>
      </w:tabs>
    </w:pPr>
  </w:style>
  <w:style w:type="character" w:customStyle="1" w:styleId="HeaderChar">
    <w:name w:val="Header Char"/>
    <w:basedOn w:val="DefaultParagraphFont"/>
    <w:link w:val="Header"/>
    <w:rsid w:val="00C50DAB"/>
    <w:rPr>
      <w:rFonts w:ascii="Arial" w:eastAsia="Times New Roman" w:hAnsi="Arial" w:cs="Times New Roman"/>
      <w:szCs w:val="20"/>
      <w:lang w:val="es-ES_tradnl" w:eastAsia="es-ES"/>
    </w:rPr>
  </w:style>
  <w:style w:type="paragraph" w:styleId="Footer">
    <w:name w:val="footer"/>
    <w:basedOn w:val="Normal"/>
    <w:link w:val="FooterChar"/>
    <w:uiPriority w:val="99"/>
    <w:unhideWhenUsed/>
    <w:rsid w:val="00C50DAB"/>
    <w:pPr>
      <w:tabs>
        <w:tab w:val="center" w:pos="4419"/>
        <w:tab w:val="right" w:pos="8838"/>
      </w:tabs>
    </w:pPr>
  </w:style>
  <w:style w:type="character" w:customStyle="1" w:styleId="FooterChar">
    <w:name w:val="Footer Char"/>
    <w:basedOn w:val="DefaultParagraphFont"/>
    <w:link w:val="Footer"/>
    <w:uiPriority w:val="99"/>
    <w:rsid w:val="00C50DAB"/>
    <w:rPr>
      <w:rFonts w:ascii="Arial" w:eastAsia="Times New Roman" w:hAnsi="Arial" w:cs="Times New Roman"/>
      <w:szCs w:val="20"/>
      <w:lang w:val="es-ES_tradnl" w:eastAsia="es-ES"/>
    </w:rPr>
  </w:style>
  <w:style w:type="character" w:styleId="Hyperlink">
    <w:name w:val="Hyperlink"/>
    <w:uiPriority w:val="99"/>
    <w:qFormat/>
    <w:rsid w:val="00C50DAB"/>
    <w:rPr>
      <w:color w:val="0000FF"/>
      <w:u w:val="single"/>
    </w:rPr>
  </w:style>
  <w:style w:type="table" w:styleId="TableGrid">
    <w:name w:val="Table Grid"/>
    <w:basedOn w:val="TableNormal"/>
    <w:uiPriority w:val="39"/>
    <w:rsid w:val="00C5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DA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4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A1"/>
    <w:rPr>
      <w:rFonts w:ascii="Segoe UI" w:eastAsia="Times New Roman" w:hAnsi="Segoe UI" w:cs="Segoe UI"/>
      <w:sz w:val="18"/>
      <w:szCs w:val="18"/>
      <w:lang w:val="es-ES_tradnl" w:eastAsia="es-ES"/>
    </w:rPr>
  </w:style>
  <w:style w:type="paragraph" w:styleId="FootnoteText">
    <w:name w:val="footnote text"/>
    <w:basedOn w:val="Normal"/>
    <w:link w:val="FootnoteTextChar"/>
    <w:uiPriority w:val="99"/>
    <w:semiHidden/>
    <w:unhideWhenUsed/>
    <w:rsid w:val="00E712CA"/>
    <w:rPr>
      <w:rFonts w:asciiTheme="minorHAnsi" w:eastAsiaTheme="minorHAnsi" w:hAnsiTheme="minorHAnsi" w:cstheme="minorBidi"/>
      <w:sz w:val="20"/>
      <w:lang w:val="es-MX" w:eastAsia="en-US"/>
    </w:rPr>
  </w:style>
  <w:style w:type="character" w:customStyle="1" w:styleId="FootnoteTextChar">
    <w:name w:val="Footnote Text Char"/>
    <w:basedOn w:val="DefaultParagraphFont"/>
    <w:link w:val="FootnoteText"/>
    <w:uiPriority w:val="99"/>
    <w:semiHidden/>
    <w:rsid w:val="00E712CA"/>
    <w:rPr>
      <w:sz w:val="20"/>
      <w:szCs w:val="20"/>
    </w:rPr>
  </w:style>
  <w:style w:type="character" w:styleId="FootnoteReference">
    <w:name w:val="footnote reference"/>
    <w:basedOn w:val="DefaultParagraphFont"/>
    <w:uiPriority w:val="99"/>
    <w:semiHidden/>
    <w:unhideWhenUsed/>
    <w:rsid w:val="00E712CA"/>
    <w:rPr>
      <w:vertAlign w:val="superscript"/>
    </w:rPr>
  </w:style>
  <w:style w:type="paragraph" w:customStyle="1" w:styleId="Estilo">
    <w:name w:val="Estilo"/>
    <w:basedOn w:val="NoSpacing"/>
    <w:link w:val="EstiloCar"/>
    <w:qFormat/>
    <w:rsid w:val="00E712CA"/>
    <w:pPr>
      <w:jc w:val="both"/>
    </w:pPr>
    <w:rPr>
      <w:rFonts w:eastAsiaTheme="minorHAnsi" w:cstheme="minorBidi"/>
      <w:sz w:val="24"/>
      <w:szCs w:val="22"/>
      <w:lang w:val="es-MX" w:eastAsia="en-US"/>
    </w:rPr>
  </w:style>
  <w:style w:type="character" w:customStyle="1" w:styleId="EstiloCar">
    <w:name w:val="Estilo Car"/>
    <w:basedOn w:val="DefaultParagraphFont"/>
    <w:link w:val="Estilo"/>
    <w:rsid w:val="00E712CA"/>
    <w:rPr>
      <w:rFonts w:ascii="Arial" w:hAnsi="Arial"/>
      <w:sz w:val="24"/>
    </w:rPr>
  </w:style>
  <w:style w:type="paragraph" w:styleId="NoSpacing">
    <w:name w:val="No Spacing"/>
    <w:uiPriority w:val="1"/>
    <w:qFormat/>
    <w:rsid w:val="00E712CA"/>
    <w:pPr>
      <w:spacing w:after="0" w:line="240" w:lineRule="auto"/>
    </w:pPr>
    <w:rPr>
      <w:rFonts w:ascii="Arial" w:eastAsia="Times New Roman" w:hAnsi="Arial" w:cs="Times New Roman"/>
      <w:szCs w:val="20"/>
      <w:lang w:val="es-ES_tradnl" w:eastAsia="es-ES"/>
    </w:rPr>
  </w:style>
  <w:style w:type="paragraph" w:styleId="ListParagraph">
    <w:name w:val="List Paragraph"/>
    <w:basedOn w:val="Normal"/>
    <w:uiPriority w:val="34"/>
    <w:qFormat/>
    <w:rsid w:val="00E712CA"/>
    <w:pPr>
      <w:spacing w:after="160" w:line="259" w:lineRule="auto"/>
      <w:ind w:left="720"/>
      <w:contextualSpacing/>
    </w:pPr>
    <w:rPr>
      <w:rFonts w:asciiTheme="minorHAnsi" w:eastAsiaTheme="minorHAnsi" w:hAnsiTheme="minorHAnsi" w:cstheme="minorBidi"/>
      <w:szCs w:val="22"/>
      <w:lang w:val="es-MX" w:eastAsia="en-US"/>
    </w:rPr>
  </w:style>
  <w:style w:type="table" w:customStyle="1" w:styleId="GridTable4-Accent11">
    <w:name w:val="Grid Table 4 - Accent 11"/>
    <w:basedOn w:val="TableNormal"/>
    <w:uiPriority w:val="49"/>
    <w:rsid w:val="009D59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9689">
      <w:bodyDiv w:val="1"/>
      <w:marLeft w:val="0"/>
      <w:marRight w:val="0"/>
      <w:marTop w:val="0"/>
      <w:marBottom w:val="0"/>
      <w:divBdr>
        <w:top w:val="none" w:sz="0" w:space="0" w:color="auto"/>
        <w:left w:val="none" w:sz="0" w:space="0" w:color="auto"/>
        <w:bottom w:val="none" w:sz="0" w:space="0" w:color="auto"/>
        <w:right w:val="none" w:sz="0" w:space="0" w:color="auto"/>
      </w:divBdr>
    </w:div>
    <w:div w:id="1144080228">
      <w:bodyDiv w:val="1"/>
      <w:marLeft w:val="0"/>
      <w:marRight w:val="0"/>
      <w:marTop w:val="0"/>
      <w:marBottom w:val="0"/>
      <w:divBdr>
        <w:top w:val="none" w:sz="0" w:space="0" w:color="auto"/>
        <w:left w:val="none" w:sz="0" w:space="0" w:color="auto"/>
        <w:bottom w:val="none" w:sz="0" w:space="0" w:color="auto"/>
        <w:right w:val="none" w:sz="0" w:space="0" w:color="auto"/>
      </w:divBdr>
    </w:div>
    <w:div w:id="1156191483">
      <w:bodyDiv w:val="1"/>
      <w:marLeft w:val="0"/>
      <w:marRight w:val="0"/>
      <w:marTop w:val="0"/>
      <w:marBottom w:val="0"/>
      <w:divBdr>
        <w:top w:val="none" w:sz="0" w:space="0" w:color="auto"/>
        <w:left w:val="none" w:sz="0" w:space="0" w:color="auto"/>
        <w:bottom w:val="none" w:sz="0" w:space="0" w:color="auto"/>
        <w:right w:val="none" w:sz="0" w:space="0" w:color="auto"/>
      </w:divBdr>
      <w:divsChild>
        <w:div w:id="231934074">
          <w:marLeft w:val="0"/>
          <w:marRight w:val="0"/>
          <w:marTop w:val="0"/>
          <w:marBottom w:val="0"/>
          <w:divBdr>
            <w:top w:val="none" w:sz="0" w:space="0" w:color="auto"/>
            <w:left w:val="none" w:sz="0" w:space="0" w:color="auto"/>
            <w:bottom w:val="none" w:sz="0" w:space="0" w:color="auto"/>
            <w:right w:val="none" w:sz="0" w:space="0" w:color="auto"/>
          </w:divBdr>
          <w:divsChild>
            <w:div w:id="1685669793">
              <w:marLeft w:val="0"/>
              <w:marRight w:val="0"/>
              <w:marTop w:val="0"/>
              <w:marBottom w:val="0"/>
              <w:divBdr>
                <w:top w:val="none" w:sz="0" w:space="0" w:color="auto"/>
                <w:left w:val="none" w:sz="0" w:space="0" w:color="auto"/>
                <w:bottom w:val="none" w:sz="0" w:space="0" w:color="auto"/>
                <w:right w:val="none" w:sz="0" w:space="0" w:color="auto"/>
              </w:divBdr>
              <w:divsChild>
                <w:div w:id="2141415367">
                  <w:marLeft w:val="0"/>
                  <w:marRight w:val="0"/>
                  <w:marTop w:val="0"/>
                  <w:marBottom w:val="0"/>
                  <w:divBdr>
                    <w:top w:val="none" w:sz="0" w:space="0" w:color="auto"/>
                    <w:left w:val="none" w:sz="0" w:space="0" w:color="auto"/>
                    <w:bottom w:val="none" w:sz="0" w:space="0" w:color="auto"/>
                    <w:right w:val="none" w:sz="0" w:space="0" w:color="auto"/>
                  </w:divBdr>
                  <w:divsChild>
                    <w:div w:id="463961941">
                      <w:marLeft w:val="0"/>
                      <w:marRight w:val="0"/>
                      <w:marTop w:val="0"/>
                      <w:marBottom w:val="0"/>
                      <w:divBdr>
                        <w:top w:val="none" w:sz="0" w:space="0" w:color="auto"/>
                        <w:left w:val="none" w:sz="0" w:space="0" w:color="auto"/>
                        <w:bottom w:val="none" w:sz="0" w:space="0" w:color="auto"/>
                        <w:right w:val="none" w:sz="0" w:space="0" w:color="auto"/>
                      </w:divBdr>
                      <w:divsChild>
                        <w:div w:id="2016764130">
                          <w:marLeft w:val="0"/>
                          <w:marRight w:val="0"/>
                          <w:marTop w:val="180"/>
                          <w:marBottom w:val="180"/>
                          <w:divBdr>
                            <w:top w:val="single" w:sz="4" w:space="8" w:color="EEEEEE"/>
                            <w:left w:val="single" w:sz="4" w:space="21" w:color="EEEEEE"/>
                            <w:bottom w:val="single" w:sz="4" w:space="8" w:color="EEEEEE"/>
                            <w:right w:val="single" w:sz="4" w:space="21" w:color="EEEEEE"/>
                          </w:divBdr>
                        </w:div>
                        <w:div w:id="1832211536">
                          <w:marLeft w:val="0"/>
                          <w:marRight w:val="0"/>
                          <w:marTop w:val="12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1260600543">
      <w:bodyDiv w:val="1"/>
      <w:marLeft w:val="0"/>
      <w:marRight w:val="0"/>
      <w:marTop w:val="0"/>
      <w:marBottom w:val="0"/>
      <w:divBdr>
        <w:top w:val="none" w:sz="0" w:space="0" w:color="auto"/>
        <w:left w:val="none" w:sz="0" w:space="0" w:color="auto"/>
        <w:bottom w:val="none" w:sz="0" w:space="0" w:color="auto"/>
        <w:right w:val="none" w:sz="0" w:space="0" w:color="auto"/>
      </w:divBdr>
    </w:div>
    <w:div w:id="1482114895">
      <w:bodyDiv w:val="1"/>
      <w:marLeft w:val="0"/>
      <w:marRight w:val="0"/>
      <w:marTop w:val="0"/>
      <w:marBottom w:val="0"/>
      <w:divBdr>
        <w:top w:val="none" w:sz="0" w:space="0" w:color="auto"/>
        <w:left w:val="none" w:sz="0" w:space="0" w:color="auto"/>
        <w:bottom w:val="none" w:sz="0" w:space="0" w:color="auto"/>
        <w:right w:val="none" w:sz="0" w:space="0" w:color="auto"/>
      </w:divBdr>
    </w:div>
    <w:div w:id="1611232400">
      <w:bodyDiv w:val="1"/>
      <w:marLeft w:val="0"/>
      <w:marRight w:val="0"/>
      <w:marTop w:val="0"/>
      <w:marBottom w:val="0"/>
      <w:divBdr>
        <w:top w:val="none" w:sz="0" w:space="0" w:color="auto"/>
        <w:left w:val="none" w:sz="0" w:space="0" w:color="auto"/>
        <w:bottom w:val="none" w:sz="0" w:space="0" w:color="auto"/>
        <w:right w:val="none" w:sz="0" w:space="0" w:color="auto"/>
      </w:divBdr>
    </w:div>
    <w:div w:id="1998144399">
      <w:bodyDiv w:val="1"/>
      <w:marLeft w:val="0"/>
      <w:marRight w:val="0"/>
      <w:marTop w:val="0"/>
      <w:marBottom w:val="0"/>
      <w:divBdr>
        <w:top w:val="none" w:sz="0" w:space="0" w:color="auto"/>
        <w:left w:val="none" w:sz="0" w:space="0" w:color="auto"/>
        <w:bottom w:val="none" w:sz="0" w:space="0" w:color="auto"/>
        <w:right w:val="none" w:sz="0" w:space="0" w:color="auto"/>
      </w:divBdr>
    </w:div>
    <w:div w:id="2080713877">
      <w:bodyDiv w:val="1"/>
      <w:marLeft w:val="0"/>
      <w:marRight w:val="0"/>
      <w:marTop w:val="0"/>
      <w:marBottom w:val="0"/>
      <w:divBdr>
        <w:top w:val="none" w:sz="0" w:space="0" w:color="auto"/>
        <w:left w:val="none" w:sz="0" w:space="0" w:color="auto"/>
        <w:bottom w:val="none" w:sz="0" w:space="0" w:color="auto"/>
        <w:right w:val="none" w:sz="0" w:space="0" w:color="auto"/>
      </w:divBdr>
    </w:div>
    <w:div w:id="21191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default/files/documentos/2019-07/Rec_2019_032.pdf" TargetMode="External"/><Relationship Id="rId2" Type="http://schemas.openxmlformats.org/officeDocument/2006/relationships/hyperlink" Target="https://www.cndh.org.mx/sites/default/files/doc/Recomendaciones/2018/Rec_2018_025.pdf" TargetMode="External"/><Relationship Id="rId1" Type="http://schemas.openxmlformats.org/officeDocument/2006/relationships/hyperlink" Target="https://www.cndh.org.mx/sites/default/files/doc/Recomendaciones/2017/Rec_2017_05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México Comisión Nacional de los Derechos Humanos</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2CF0-BB6A-4103-B2A7-107751B24B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FC7A2D-DA3F-4DD0-AFB7-6F3404D1F13D}">
  <ds:schemaRefs>
    <ds:schemaRef ds:uri="http://schemas.microsoft.com/sharepoint/v3/contenttype/forms"/>
  </ds:schemaRefs>
</ds:datastoreItem>
</file>

<file path=customXml/itemProps3.xml><?xml version="1.0" encoding="utf-8"?>
<ds:datastoreItem xmlns:ds="http://schemas.openxmlformats.org/officeDocument/2006/customXml" ds:itemID="{C08200B5-6AD9-4A5D-A3E4-C8ED7171DBB1}"/>
</file>

<file path=customXml/itemProps4.xml><?xml version="1.0" encoding="utf-8"?>
<ds:datastoreItem xmlns:ds="http://schemas.openxmlformats.org/officeDocument/2006/customXml" ds:itemID="{39A6EAB2-0858-4FBE-9C84-40EAE60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P. Patchen</dc:creator>
  <cp:lastModifiedBy>Leonardo Rivera Mendoza</cp:lastModifiedBy>
  <cp:revision>2</cp:revision>
  <cp:lastPrinted>2021-01-14T19:07:00Z</cp:lastPrinted>
  <dcterms:created xsi:type="dcterms:W3CDTF">2021-10-27T22:14:00Z</dcterms:created>
  <dcterms:modified xsi:type="dcterms:W3CDTF">2021-10-27T22:14:00Z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