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EF703" w14:textId="568C50FE" w:rsidR="001619E9" w:rsidRPr="002D48A9" w:rsidRDefault="00381B88" w:rsidP="001619E9">
      <w:pPr>
        <w:pStyle w:val="Normal1"/>
        <w:jc w:val="both"/>
        <w:rPr>
          <w:rFonts w:asciiTheme="minorHAnsi" w:hAnsiTheme="minorHAnsi" w:cs="Arial"/>
          <w:b/>
          <w:noProof/>
        </w:rPr>
      </w:pPr>
      <w:r w:rsidRPr="002D48A9">
        <w:rPr>
          <w:rFonts w:asciiTheme="minorHAnsi" w:hAnsiTheme="minorHAnsi" w:cs="Arial"/>
          <w:b/>
          <w:bCs/>
        </w:rPr>
        <w:t xml:space="preserve">SUBMISSION TO THE </w:t>
      </w:r>
      <w:r w:rsidRPr="002D48A9">
        <w:rPr>
          <w:rFonts w:asciiTheme="minorHAnsi" w:hAnsiTheme="minorHAnsi" w:cs="Arial"/>
          <w:b/>
          <w:noProof/>
          <w:lang w:eastAsia="en-GB"/>
        </w:rPr>
        <w:t xml:space="preserve">EXPERT MECHANISM ON THE RIGHTS OF INDIGENOUS PEOPLES TO CONTRIBUTE TO ITS STUDY ON </w:t>
      </w:r>
      <w:r w:rsidRPr="002D48A9">
        <w:rPr>
          <w:rFonts w:asciiTheme="minorHAnsi" w:hAnsiTheme="minorHAnsi" w:cs="Arial"/>
          <w:b/>
          <w:noProof/>
        </w:rPr>
        <w:t xml:space="preserve">THE RIGHTS OF THE </w:t>
      </w:r>
      <w:r>
        <w:rPr>
          <w:rFonts w:asciiTheme="minorHAnsi" w:hAnsiTheme="minorHAnsi" w:cs="Arial"/>
          <w:b/>
          <w:noProof/>
        </w:rPr>
        <w:t>I</w:t>
      </w:r>
      <w:r w:rsidRPr="002D48A9">
        <w:rPr>
          <w:rFonts w:asciiTheme="minorHAnsi" w:hAnsiTheme="minorHAnsi" w:cs="Arial"/>
          <w:b/>
          <w:noProof/>
        </w:rPr>
        <w:t xml:space="preserve">NDIGENOUS CHILD UNDER THE UN DECLARATION ON THE RIGHTS OF INDIGENOUS PEOPLES </w:t>
      </w:r>
    </w:p>
    <w:p w14:paraId="7576E443" w14:textId="77777777" w:rsidR="001619E9" w:rsidRPr="002D48A9" w:rsidRDefault="001619E9" w:rsidP="001619E9">
      <w:pPr>
        <w:pStyle w:val="Normal1"/>
        <w:jc w:val="both"/>
        <w:rPr>
          <w:rFonts w:asciiTheme="minorHAnsi" w:hAnsiTheme="minorHAnsi" w:cs="Arial"/>
          <w:b/>
          <w:bCs/>
        </w:rPr>
      </w:pPr>
    </w:p>
    <w:p w14:paraId="6D1FC4B1" w14:textId="77777777" w:rsidR="001619E9" w:rsidRPr="002D48A9" w:rsidRDefault="001619E9" w:rsidP="001619E9">
      <w:pPr>
        <w:jc w:val="both"/>
        <w:rPr>
          <w:rFonts w:cs="Arial"/>
          <w:b/>
          <w:bCs/>
        </w:rPr>
      </w:pPr>
      <w:r w:rsidRPr="002D48A9">
        <w:rPr>
          <w:rFonts w:cs="Arial"/>
          <w:b/>
          <w:bCs/>
        </w:rPr>
        <w:t>Introduction</w:t>
      </w:r>
    </w:p>
    <w:p w14:paraId="76C998EF" w14:textId="17A8DF77" w:rsidR="001619E9" w:rsidRPr="002D48A9" w:rsidRDefault="006C7521" w:rsidP="001619E9">
      <w:pPr>
        <w:jc w:val="both"/>
        <w:rPr>
          <w:rFonts w:cs="Arial"/>
          <w:noProof/>
        </w:rPr>
      </w:pPr>
      <w:r w:rsidRPr="002D48A9">
        <w:rPr>
          <w:rFonts w:cs="Arial"/>
        </w:rPr>
        <w:t xml:space="preserve">The </w:t>
      </w:r>
      <w:r w:rsidR="001E1910">
        <w:rPr>
          <w:rFonts w:cs="Arial"/>
        </w:rPr>
        <w:t>Aotearoa</w:t>
      </w:r>
      <w:r w:rsidRPr="002D48A9">
        <w:rPr>
          <w:rFonts w:cs="Arial"/>
        </w:rPr>
        <w:t xml:space="preserve"> Centre for Indigenous Peoples and the Law </w:t>
      </w:r>
      <w:r w:rsidR="00E63B95" w:rsidRPr="002D48A9">
        <w:rPr>
          <w:rFonts w:cs="Arial"/>
        </w:rPr>
        <w:t xml:space="preserve">(the Centre) </w:t>
      </w:r>
      <w:r w:rsidR="00BC6FFC" w:rsidRPr="002D48A9">
        <w:rPr>
          <w:rFonts w:cs="Arial"/>
        </w:rPr>
        <w:t xml:space="preserve">welcomes the </w:t>
      </w:r>
      <w:r w:rsidR="00BC6FFC" w:rsidRPr="002D48A9">
        <w:rPr>
          <w:rFonts w:cs="Arial"/>
          <w:noProof/>
          <w:lang w:eastAsia="en-GB"/>
        </w:rPr>
        <w:t>Expert Mechanism on the Rights of Indigenous Peoples</w:t>
      </w:r>
      <w:r w:rsidR="00CF48A0" w:rsidRPr="002D48A9">
        <w:rPr>
          <w:rFonts w:cs="Arial"/>
          <w:noProof/>
          <w:lang w:eastAsia="en-GB"/>
        </w:rPr>
        <w:t>’ (EMRIP)</w:t>
      </w:r>
      <w:r w:rsidR="00BC6FFC" w:rsidRPr="002D48A9">
        <w:rPr>
          <w:rFonts w:cs="Arial"/>
          <w:noProof/>
          <w:lang w:eastAsia="en-GB"/>
        </w:rPr>
        <w:t xml:space="preserve"> Study on </w:t>
      </w:r>
      <w:r w:rsidR="00BC6FFC" w:rsidRPr="002D48A9">
        <w:rPr>
          <w:rFonts w:cs="Arial"/>
          <w:noProof/>
        </w:rPr>
        <w:t xml:space="preserve">the rights of the </w:t>
      </w:r>
      <w:r w:rsidR="00573022">
        <w:rPr>
          <w:rFonts w:cs="Arial"/>
          <w:noProof/>
        </w:rPr>
        <w:t>I</w:t>
      </w:r>
      <w:r w:rsidR="00BC6FFC" w:rsidRPr="002D48A9">
        <w:rPr>
          <w:rFonts w:cs="Arial"/>
          <w:noProof/>
        </w:rPr>
        <w:t>ndigenous child under the UN Declaration on the Rights of Indigenous Peoples</w:t>
      </w:r>
      <w:r w:rsidR="00573022">
        <w:rPr>
          <w:rFonts w:cs="Arial"/>
          <w:noProof/>
        </w:rPr>
        <w:t xml:space="preserve"> (Indigenous Declaration)</w:t>
      </w:r>
      <w:r w:rsidR="00CF48A0" w:rsidRPr="002D48A9">
        <w:rPr>
          <w:rFonts w:cs="Arial"/>
          <w:noProof/>
        </w:rPr>
        <w:t>. The Centre considers this a significant topic</w:t>
      </w:r>
      <w:r w:rsidR="00CD562E" w:rsidRPr="002D48A9">
        <w:rPr>
          <w:rFonts w:cs="Arial"/>
          <w:noProof/>
        </w:rPr>
        <w:t>, which</w:t>
      </w:r>
      <w:r w:rsidR="00CF48A0" w:rsidRPr="002D48A9">
        <w:rPr>
          <w:rFonts w:cs="Arial"/>
          <w:noProof/>
        </w:rPr>
        <w:t xml:space="preserve"> requir</w:t>
      </w:r>
      <w:r w:rsidR="00CD562E" w:rsidRPr="002D48A9">
        <w:rPr>
          <w:rFonts w:cs="Arial"/>
          <w:noProof/>
        </w:rPr>
        <w:t>es</w:t>
      </w:r>
      <w:r w:rsidR="00CF48A0" w:rsidRPr="002D48A9">
        <w:rPr>
          <w:rFonts w:cs="Arial"/>
          <w:noProof/>
        </w:rPr>
        <w:t xml:space="preserve"> much needed analysis and thought</w:t>
      </w:r>
      <w:r w:rsidR="001A09A2" w:rsidRPr="002D48A9">
        <w:rPr>
          <w:rFonts w:cs="Arial"/>
          <w:noProof/>
        </w:rPr>
        <w:t xml:space="preserve"> to promote a better understanding of Indigenous children’s</w:t>
      </w:r>
      <w:r w:rsidR="00D70091" w:rsidRPr="002D48A9">
        <w:rPr>
          <w:rFonts w:cs="Arial"/>
          <w:noProof/>
        </w:rPr>
        <w:t xml:space="preserve"> right</w:t>
      </w:r>
      <w:r w:rsidR="005973F8" w:rsidRPr="002D48A9">
        <w:rPr>
          <w:rFonts w:cs="Arial"/>
          <w:noProof/>
        </w:rPr>
        <w:t xml:space="preserve">s </w:t>
      </w:r>
      <w:r w:rsidR="00D7518E" w:rsidRPr="002D48A9">
        <w:rPr>
          <w:rFonts w:cs="Arial"/>
          <w:noProof/>
        </w:rPr>
        <w:t xml:space="preserve">- </w:t>
      </w:r>
      <w:r w:rsidR="001A09A2" w:rsidRPr="002D48A9">
        <w:rPr>
          <w:rFonts w:cs="Arial"/>
          <w:noProof/>
        </w:rPr>
        <w:t>m</w:t>
      </w:r>
      <w:r w:rsidR="00D7518E" w:rsidRPr="002D48A9">
        <w:rPr>
          <w:rFonts w:cs="Arial"/>
          <w:noProof/>
        </w:rPr>
        <w:t>ost</w:t>
      </w:r>
      <w:r w:rsidR="001A09A2" w:rsidRPr="002D48A9">
        <w:rPr>
          <w:rFonts w:cs="Arial"/>
          <w:noProof/>
        </w:rPr>
        <w:t xml:space="preserve"> importantly by</w:t>
      </w:r>
      <w:r w:rsidR="002E5213" w:rsidRPr="002D48A9">
        <w:rPr>
          <w:rFonts w:cs="Arial"/>
          <w:noProof/>
        </w:rPr>
        <w:t xml:space="preserve"> state</w:t>
      </w:r>
      <w:r w:rsidR="00573022">
        <w:rPr>
          <w:rFonts w:cs="Arial"/>
          <w:noProof/>
        </w:rPr>
        <w:t>s</w:t>
      </w:r>
      <w:r w:rsidR="00CF48A0" w:rsidRPr="002D48A9">
        <w:rPr>
          <w:rFonts w:cs="Arial"/>
          <w:noProof/>
        </w:rPr>
        <w:t>.</w:t>
      </w:r>
      <w:r w:rsidR="00174162" w:rsidRPr="002D48A9">
        <w:rPr>
          <w:rFonts w:cs="Arial"/>
          <w:noProof/>
        </w:rPr>
        <w:t xml:space="preserve"> We are honoured to contribute to this study by providing this submission on the situation of tamariki Māori, the Indigenous children of Aotearoa New Zealand</w:t>
      </w:r>
      <w:r w:rsidR="00573022">
        <w:rPr>
          <w:rFonts w:cs="Arial"/>
          <w:noProof/>
        </w:rPr>
        <w:t xml:space="preserve"> (Aotearoa)</w:t>
      </w:r>
      <w:r w:rsidR="00F10A7D">
        <w:rPr>
          <w:rFonts w:cs="Arial"/>
          <w:noProof/>
        </w:rPr>
        <w:t>.</w:t>
      </w:r>
    </w:p>
    <w:p w14:paraId="04654A27" w14:textId="3D7717D8" w:rsidR="00383596" w:rsidRPr="002D48A9" w:rsidRDefault="006405F5" w:rsidP="001619E9">
      <w:pPr>
        <w:jc w:val="both"/>
        <w:rPr>
          <w:rFonts w:cs="Arial"/>
        </w:rPr>
      </w:pPr>
      <w:r w:rsidRPr="002D48A9">
        <w:rPr>
          <w:rFonts w:cs="Arial"/>
          <w:noProof/>
        </w:rPr>
        <w:t>T</w:t>
      </w:r>
      <w:r w:rsidR="005973F8" w:rsidRPr="002D48A9">
        <w:rPr>
          <w:rFonts w:cs="Arial"/>
          <w:noProof/>
        </w:rPr>
        <w:t xml:space="preserve">here are </w:t>
      </w:r>
      <w:r w:rsidR="00C60590" w:rsidRPr="002D48A9">
        <w:rPr>
          <w:rFonts w:cs="Arial"/>
          <w:noProof/>
        </w:rPr>
        <w:t xml:space="preserve">many issues to speak to, as well as promising solutions, when it comes to the situation of tamariki Māori in </w:t>
      </w:r>
      <w:r w:rsidR="001E1910">
        <w:rPr>
          <w:rFonts w:cs="Arial"/>
          <w:noProof/>
        </w:rPr>
        <w:t>Aotearoa</w:t>
      </w:r>
      <w:r w:rsidRPr="002D48A9">
        <w:rPr>
          <w:rFonts w:cs="Arial"/>
          <w:noProof/>
        </w:rPr>
        <w:t xml:space="preserve">. </w:t>
      </w:r>
      <w:r w:rsidR="00573022">
        <w:rPr>
          <w:rFonts w:cs="Arial"/>
          <w:noProof/>
        </w:rPr>
        <w:t xml:space="preserve">The </w:t>
      </w:r>
      <w:r w:rsidR="004F3582" w:rsidRPr="002D48A9">
        <w:rPr>
          <w:rFonts w:cs="Arial"/>
          <w:noProof/>
        </w:rPr>
        <w:t>Centre</w:t>
      </w:r>
      <w:r w:rsidR="0029476E" w:rsidRPr="002D48A9">
        <w:rPr>
          <w:rFonts w:cs="Arial"/>
          <w:noProof/>
        </w:rPr>
        <w:t xml:space="preserve"> </w:t>
      </w:r>
      <w:r w:rsidR="004F3582" w:rsidRPr="002D48A9">
        <w:rPr>
          <w:rFonts w:cs="Arial"/>
          <w:noProof/>
        </w:rPr>
        <w:t>focus</w:t>
      </w:r>
      <w:r w:rsidR="00573022">
        <w:rPr>
          <w:rFonts w:cs="Arial"/>
          <w:noProof/>
        </w:rPr>
        <w:t>es</w:t>
      </w:r>
      <w:r w:rsidR="004F3582" w:rsidRPr="002D48A9">
        <w:rPr>
          <w:rFonts w:cs="Arial"/>
          <w:noProof/>
        </w:rPr>
        <w:t xml:space="preserve"> on</w:t>
      </w:r>
      <w:r w:rsidR="00EE104C" w:rsidRPr="002D48A9">
        <w:rPr>
          <w:rFonts w:cs="Arial"/>
          <w:noProof/>
        </w:rPr>
        <w:t xml:space="preserve"> </w:t>
      </w:r>
      <w:r w:rsidR="00C60590" w:rsidRPr="002D48A9">
        <w:rPr>
          <w:rFonts w:cs="Arial"/>
          <w:noProof/>
        </w:rPr>
        <w:t xml:space="preserve">the </w:t>
      </w:r>
      <w:r w:rsidR="00B83701" w:rsidRPr="002D48A9">
        <w:rPr>
          <w:rFonts w:cs="Arial"/>
          <w:noProof/>
        </w:rPr>
        <w:t xml:space="preserve">invovlement of tamariki Māori in the </w:t>
      </w:r>
      <w:r w:rsidR="00EE104C" w:rsidRPr="002D48A9">
        <w:rPr>
          <w:rFonts w:cs="Arial"/>
          <w:noProof/>
        </w:rPr>
        <w:t>care and protection system</w:t>
      </w:r>
      <w:r w:rsidR="00D7518E" w:rsidRPr="002D48A9">
        <w:rPr>
          <w:rFonts w:cs="Arial"/>
          <w:noProof/>
        </w:rPr>
        <w:t>.</w:t>
      </w:r>
      <w:r w:rsidR="00F10A7D">
        <w:rPr>
          <w:rFonts w:cs="Arial"/>
          <w:noProof/>
        </w:rPr>
        <w:t xml:space="preserve"> </w:t>
      </w:r>
      <w:r w:rsidR="00573022">
        <w:rPr>
          <w:rFonts w:cs="Arial"/>
          <w:noProof/>
        </w:rPr>
        <w:t>We</w:t>
      </w:r>
      <w:r w:rsidR="00E63B95" w:rsidRPr="002D48A9">
        <w:rPr>
          <w:rFonts w:cs="Arial"/>
        </w:rPr>
        <w:t xml:space="preserve"> explore the extent to which Indigenous children’s rights</w:t>
      </w:r>
      <w:r w:rsidR="00B00351" w:rsidRPr="002D48A9">
        <w:rPr>
          <w:rFonts w:cs="Arial"/>
        </w:rPr>
        <w:t>,</w:t>
      </w:r>
      <w:r w:rsidR="00E63B95" w:rsidRPr="002D48A9">
        <w:rPr>
          <w:rFonts w:cs="Arial"/>
        </w:rPr>
        <w:t xml:space="preserve"> and</w:t>
      </w:r>
      <w:r w:rsidR="00B00351" w:rsidRPr="002D48A9">
        <w:rPr>
          <w:rFonts w:cs="Arial"/>
        </w:rPr>
        <w:t xml:space="preserve"> their communities</w:t>
      </w:r>
      <w:r w:rsidR="00705695" w:rsidRPr="002D48A9">
        <w:rPr>
          <w:rFonts w:cs="Arial"/>
        </w:rPr>
        <w:t>’</w:t>
      </w:r>
      <w:r w:rsidR="00B00351" w:rsidRPr="002D48A9">
        <w:rPr>
          <w:rFonts w:cs="Arial"/>
        </w:rPr>
        <w:t xml:space="preserve"> right to </w:t>
      </w:r>
      <w:r w:rsidR="004C4FFE" w:rsidRPr="002D48A9">
        <w:rPr>
          <w:rFonts w:cs="Arial"/>
        </w:rPr>
        <w:t xml:space="preserve">determine </w:t>
      </w:r>
      <w:r w:rsidR="009A0A30" w:rsidRPr="002D48A9">
        <w:rPr>
          <w:rFonts w:cs="Arial"/>
        </w:rPr>
        <w:t>the best way</w:t>
      </w:r>
      <w:r w:rsidR="00D7518E" w:rsidRPr="002D48A9">
        <w:rPr>
          <w:rFonts w:cs="Arial"/>
        </w:rPr>
        <w:t>s</w:t>
      </w:r>
      <w:r w:rsidR="009A0A30" w:rsidRPr="002D48A9">
        <w:rPr>
          <w:rFonts w:cs="Arial"/>
        </w:rPr>
        <w:t xml:space="preserve"> to</w:t>
      </w:r>
      <w:r w:rsidR="00705695" w:rsidRPr="002D48A9">
        <w:rPr>
          <w:rFonts w:cs="Arial"/>
        </w:rPr>
        <w:t xml:space="preserve"> </w:t>
      </w:r>
      <w:r w:rsidR="00CA55DA" w:rsidRPr="002D48A9">
        <w:rPr>
          <w:rFonts w:cs="Arial"/>
        </w:rPr>
        <w:t>reali</w:t>
      </w:r>
      <w:r w:rsidR="00F10A7D">
        <w:rPr>
          <w:rFonts w:cs="Arial"/>
        </w:rPr>
        <w:t>s</w:t>
      </w:r>
      <w:r w:rsidR="00CA55DA" w:rsidRPr="002D48A9">
        <w:rPr>
          <w:rFonts w:cs="Arial"/>
        </w:rPr>
        <w:t>e</w:t>
      </w:r>
      <w:r w:rsidR="009A0A30" w:rsidRPr="002D48A9">
        <w:rPr>
          <w:rFonts w:cs="Arial"/>
        </w:rPr>
        <w:t xml:space="preserve"> them</w:t>
      </w:r>
      <w:r w:rsidR="00C66E1B" w:rsidRPr="002D48A9">
        <w:rPr>
          <w:rFonts w:cs="Arial"/>
        </w:rPr>
        <w:t>,</w:t>
      </w:r>
      <w:r w:rsidR="00E63B95" w:rsidRPr="002D48A9">
        <w:rPr>
          <w:rFonts w:cs="Arial"/>
        </w:rPr>
        <w:t xml:space="preserve"> are protected in </w:t>
      </w:r>
      <w:r w:rsidR="001E1910">
        <w:rPr>
          <w:rFonts w:cs="Arial"/>
        </w:rPr>
        <w:t>Aotearoa</w:t>
      </w:r>
      <w:r w:rsidR="00E63B95" w:rsidRPr="002D48A9">
        <w:rPr>
          <w:rFonts w:cs="Arial"/>
        </w:rPr>
        <w:t xml:space="preserve">. </w:t>
      </w:r>
    </w:p>
    <w:p w14:paraId="189CE006" w14:textId="1CDA98EE" w:rsidR="00C66E1B" w:rsidRPr="002D48A9" w:rsidRDefault="00C60590" w:rsidP="001619E9">
      <w:pPr>
        <w:jc w:val="both"/>
        <w:rPr>
          <w:rFonts w:cs="Arial"/>
        </w:rPr>
      </w:pPr>
      <w:r w:rsidRPr="002D48A9">
        <w:rPr>
          <w:rFonts w:cs="Arial"/>
        </w:rPr>
        <w:t>To ensure the</w:t>
      </w:r>
      <w:r w:rsidR="00C66E1B" w:rsidRPr="002D48A9">
        <w:rPr>
          <w:rFonts w:cs="Arial"/>
        </w:rPr>
        <w:t xml:space="preserve"> EMRIP </w:t>
      </w:r>
      <w:r w:rsidR="00502651" w:rsidRPr="002D48A9">
        <w:rPr>
          <w:rFonts w:cs="Arial"/>
        </w:rPr>
        <w:t xml:space="preserve">also </w:t>
      </w:r>
      <w:r w:rsidRPr="002D48A9">
        <w:rPr>
          <w:rFonts w:cs="Arial"/>
        </w:rPr>
        <w:t>has an</w:t>
      </w:r>
      <w:r w:rsidR="00C66E1B" w:rsidRPr="002D48A9">
        <w:rPr>
          <w:rFonts w:cs="Arial"/>
        </w:rPr>
        <w:t xml:space="preserve"> overview o</w:t>
      </w:r>
      <w:r w:rsidR="0094558A" w:rsidRPr="002D48A9">
        <w:rPr>
          <w:rFonts w:cs="Arial"/>
        </w:rPr>
        <w:t>f</w:t>
      </w:r>
      <w:r w:rsidR="00C66E1B" w:rsidRPr="002D48A9">
        <w:rPr>
          <w:rFonts w:cs="Arial"/>
        </w:rPr>
        <w:t xml:space="preserve"> the</w:t>
      </w:r>
      <w:r w:rsidR="00502651" w:rsidRPr="002D48A9">
        <w:rPr>
          <w:rFonts w:cs="Arial"/>
        </w:rPr>
        <w:t xml:space="preserve"> other</w:t>
      </w:r>
      <w:r w:rsidR="00C66E1B" w:rsidRPr="002D48A9">
        <w:rPr>
          <w:rFonts w:cs="Arial"/>
        </w:rPr>
        <w:t xml:space="preserve"> </w:t>
      </w:r>
      <w:r w:rsidR="00F82A2F" w:rsidRPr="002D48A9">
        <w:rPr>
          <w:rFonts w:cs="Arial"/>
        </w:rPr>
        <w:t xml:space="preserve">significant and pervasive disparities </w:t>
      </w:r>
      <w:r w:rsidR="0094558A" w:rsidRPr="002D48A9">
        <w:rPr>
          <w:rFonts w:cs="Arial"/>
        </w:rPr>
        <w:t xml:space="preserve">that </w:t>
      </w:r>
      <w:proofErr w:type="spellStart"/>
      <w:r w:rsidR="00F82A2F" w:rsidRPr="002D48A9">
        <w:rPr>
          <w:rFonts w:cs="Arial"/>
        </w:rPr>
        <w:t>tamariki</w:t>
      </w:r>
      <w:proofErr w:type="spellEnd"/>
      <w:r w:rsidR="00F82A2F" w:rsidRPr="002D48A9">
        <w:rPr>
          <w:rFonts w:cs="Arial"/>
        </w:rPr>
        <w:t xml:space="preserve"> Māori and their </w:t>
      </w:r>
      <w:proofErr w:type="spellStart"/>
      <w:r w:rsidR="00F82A2F" w:rsidRPr="002D48A9">
        <w:rPr>
          <w:rFonts w:cs="Arial"/>
        </w:rPr>
        <w:t>whānau</w:t>
      </w:r>
      <w:proofErr w:type="spellEnd"/>
      <w:r w:rsidR="00F82A2F" w:rsidRPr="002D48A9">
        <w:rPr>
          <w:rFonts w:cs="Arial"/>
        </w:rPr>
        <w:t xml:space="preserve"> (families) face</w:t>
      </w:r>
      <w:r w:rsidR="00D10B21" w:rsidRPr="002D48A9">
        <w:rPr>
          <w:rFonts w:cs="Arial"/>
        </w:rPr>
        <w:t xml:space="preserve"> </w:t>
      </w:r>
      <w:r w:rsidR="0094558A" w:rsidRPr="002D48A9">
        <w:rPr>
          <w:rFonts w:cs="Arial"/>
        </w:rPr>
        <w:t xml:space="preserve">in </w:t>
      </w:r>
      <w:r w:rsidR="001E1910">
        <w:rPr>
          <w:rFonts w:cs="Arial"/>
        </w:rPr>
        <w:t>Aotearoa</w:t>
      </w:r>
      <w:r w:rsidR="00F10A7D">
        <w:rPr>
          <w:rFonts w:cs="Arial"/>
        </w:rPr>
        <w:t xml:space="preserve"> </w:t>
      </w:r>
      <w:r w:rsidR="004C0692" w:rsidRPr="002D48A9">
        <w:rPr>
          <w:rFonts w:cs="Arial"/>
        </w:rPr>
        <w:t>beyond care and protection issues,</w:t>
      </w:r>
      <w:r w:rsidR="00D10B21" w:rsidRPr="002D48A9">
        <w:rPr>
          <w:rFonts w:cs="Arial"/>
        </w:rPr>
        <w:t xml:space="preserve"> we also </w:t>
      </w:r>
      <w:r w:rsidR="00502651" w:rsidRPr="002D48A9">
        <w:rPr>
          <w:rFonts w:cs="Arial"/>
        </w:rPr>
        <w:t>speak</w:t>
      </w:r>
      <w:r w:rsidR="009836AD" w:rsidRPr="002D48A9">
        <w:rPr>
          <w:rFonts w:cs="Arial"/>
        </w:rPr>
        <w:t xml:space="preserve"> briefly</w:t>
      </w:r>
      <w:r w:rsidR="00502651" w:rsidRPr="002D48A9">
        <w:rPr>
          <w:rFonts w:cs="Arial"/>
        </w:rPr>
        <w:t xml:space="preserve"> to</w:t>
      </w:r>
      <w:r w:rsidR="00AE05CF" w:rsidRPr="002D48A9">
        <w:rPr>
          <w:rFonts w:cs="Arial"/>
        </w:rPr>
        <w:t xml:space="preserve"> </w:t>
      </w:r>
      <w:r w:rsidR="00D7518E" w:rsidRPr="002D48A9">
        <w:rPr>
          <w:rFonts w:cs="Arial"/>
        </w:rPr>
        <w:t xml:space="preserve">how </w:t>
      </w:r>
      <w:proofErr w:type="spellStart"/>
      <w:r w:rsidR="00D7518E" w:rsidRPr="002D48A9">
        <w:rPr>
          <w:rFonts w:cs="Arial"/>
        </w:rPr>
        <w:t>tamariki</w:t>
      </w:r>
      <w:proofErr w:type="spellEnd"/>
      <w:r w:rsidR="00D7518E" w:rsidRPr="002D48A9">
        <w:rPr>
          <w:rFonts w:cs="Arial"/>
        </w:rPr>
        <w:t xml:space="preserve"> M</w:t>
      </w:r>
      <w:r w:rsidR="00D7518E" w:rsidRPr="002D48A9">
        <w:rPr>
          <w:rFonts w:cs="Arial"/>
          <w:lang w:val="mi-NZ"/>
        </w:rPr>
        <w:t xml:space="preserve">āori are faring when it comes to </w:t>
      </w:r>
      <w:r w:rsidR="009836AD" w:rsidRPr="002D48A9">
        <w:rPr>
          <w:rFonts w:cs="Arial"/>
        </w:rPr>
        <w:t xml:space="preserve">other Indigenous </w:t>
      </w:r>
      <w:r w:rsidR="005D0B3C" w:rsidRPr="002D48A9">
        <w:rPr>
          <w:rFonts w:cs="Arial"/>
        </w:rPr>
        <w:t>children’s</w:t>
      </w:r>
      <w:r w:rsidR="00AE05CF" w:rsidRPr="002D48A9">
        <w:rPr>
          <w:rFonts w:cs="Arial"/>
        </w:rPr>
        <w:t xml:space="preserve"> </w:t>
      </w:r>
      <w:r w:rsidR="00F855AC" w:rsidRPr="002D48A9">
        <w:rPr>
          <w:rFonts w:cs="Arial"/>
        </w:rPr>
        <w:t>rights</w:t>
      </w:r>
      <w:r w:rsidR="00E701D0" w:rsidRPr="002D48A9">
        <w:rPr>
          <w:rFonts w:cs="Arial"/>
        </w:rPr>
        <w:t>.</w:t>
      </w:r>
      <w:r w:rsidR="00E74C50" w:rsidRPr="002D48A9">
        <w:rPr>
          <w:rFonts w:cs="Arial"/>
        </w:rPr>
        <w:t xml:space="preserve"> </w:t>
      </w:r>
      <w:r w:rsidR="00573022">
        <w:rPr>
          <w:rFonts w:cs="Arial"/>
        </w:rPr>
        <w:t>W</w:t>
      </w:r>
      <w:r w:rsidR="005D0B3C" w:rsidRPr="002D48A9">
        <w:rPr>
          <w:rFonts w:cs="Arial"/>
        </w:rPr>
        <w:t>e demonstrate</w:t>
      </w:r>
      <w:r w:rsidR="00B95697" w:rsidRPr="002D48A9">
        <w:rPr>
          <w:rFonts w:cs="Arial"/>
        </w:rPr>
        <w:t xml:space="preserve"> </w:t>
      </w:r>
      <w:r w:rsidR="005D0B3C" w:rsidRPr="002D48A9">
        <w:rPr>
          <w:rFonts w:cs="Arial"/>
        </w:rPr>
        <w:t xml:space="preserve">how the disparities </w:t>
      </w:r>
      <w:r w:rsidR="00E95B19" w:rsidRPr="002D48A9">
        <w:rPr>
          <w:rFonts w:cs="Arial"/>
        </w:rPr>
        <w:t xml:space="preserve">experienced by </w:t>
      </w:r>
      <w:proofErr w:type="spellStart"/>
      <w:r w:rsidR="005D0B3C" w:rsidRPr="002D48A9">
        <w:rPr>
          <w:rFonts w:cs="Arial"/>
        </w:rPr>
        <w:t>tamariki</w:t>
      </w:r>
      <w:proofErr w:type="spellEnd"/>
      <w:r w:rsidR="005D0B3C" w:rsidRPr="002D48A9">
        <w:rPr>
          <w:rFonts w:cs="Arial"/>
        </w:rPr>
        <w:t xml:space="preserve"> Māori </w:t>
      </w:r>
      <w:r w:rsidR="00E95B19" w:rsidRPr="002D48A9">
        <w:rPr>
          <w:rFonts w:cs="Arial"/>
        </w:rPr>
        <w:t>a</w:t>
      </w:r>
      <w:r w:rsidR="005D0B3C" w:rsidRPr="002D48A9">
        <w:rPr>
          <w:rFonts w:cs="Arial"/>
        </w:rPr>
        <w:t>re interlinked</w:t>
      </w:r>
      <w:r w:rsidR="0090093F" w:rsidRPr="002D48A9">
        <w:rPr>
          <w:rFonts w:cs="Arial"/>
        </w:rPr>
        <w:t xml:space="preserve"> </w:t>
      </w:r>
      <w:r w:rsidR="00C64C3E" w:rsidRPr="002D48A9">
        <w:rPr>
          <w:rFonts w:cs="Arial"/>
        </w:rPr>
        <w:t xml:space="preserve">and </w:t>
      </w:r>
      <w:r w:rsidR="003F575A" w:rsidRPr="002D48A9">
        <w:rPr>
          <w:rFonts w:cs="Arial"/>
        </w:rPr>
        <w:t>compound on one another</w:t>
      </w:r>
      <w:r w:rsidR="00353037" w:rsidRPr="002D48A9">
        <w:rPr>
          <w:rFonts w:cs="Arial"/>
        </w:rPr>
        <w:t xml:space="preserve"> and </w:t>
      </w:r>
      <w:r w:rsidR="00913213" w:rsidRPr="002D48A9">
        <w:rPr>
          <w:rFonts w:cs="Arial"/>
        </w:rPr>
        <w:t>so must be</w:t>
      </w:r>
      <w:r w:rsidR="0090093F" w:rsidRPr="002D48A9">
        <w:rPr>
          <w:rFonts w:cs="Arial"/>
        </w:rPr>
        <w:t xml:space="preserve"> addressed in a holistic way</w:t>
      </w:r>
      <w:r w:rsidR="00E95B19" w:rsidRPr="002D48A9">
        <w:rPr>
          <w:rFonts w:cs="Arial"/>
        </w:rPr>
        <w:t>.</w:t>
      </w:r>
      <w:r w:rsidR="00C64C3E" w:rsidRPr="002D48A9">
        <w:rPr>
          <w:rFonts w:cs="Arial"/>
        </w:rPr>
        <w:t xml:space="preserve"> As is the experience for many Indigenous children around the world, </w:t>
      </w:r>
      <w:r w:rsidR="00B3418F" w:rsidRPr="002D48A9">
        <w:rPr>
          <w:rFonts w:cs="Arial"/>
        </w:rPr>
        <w:t xml:space="preserve">we also highlight that </w:t>
      </w:r>
      <w:r w:rsidR="00F20E71" w:rsidRPr="002D48A9">
        <w:rPr>
          <w:rFonts w:cs="Arial"/>
        </w:rPr>
        <w:t>the</w:t>
      </w:r>
      <w:r w:rsidR="00C64C3E" w:rsidRPr="002D48A9">
        <w:rPr>
          <w:rFonts w:cs="Arial"/>
        </w:rPr>
        <w:t xml:space="preserve"> rights </w:t>
      </w:r>
      <w:r w:rsidR="00F20E71" w:rsidRPr="002D48A9">
        <w:rPr>
          <w:rFonts w:cs="Arial"/>
        </w:rPr>
        <w:t xml:space="preserve">of </w:t>
      </w:r>
      <w:proofErr w:type="spellStart"/>
      <w:r w:rsidR="00F20E71" w:rsidRPr="002D48A9">
        <w:rPr>
          <w:rFonts w:cs="Arial"/>
        </w:rPr>
        <w:t>tamariki</w:t>
      </w:r>
      <w:proofErr w:type="spellEnd"/>
      <w:r w:rsidR="00F20E71" w:rsidRPr="002D48A9">
        <w:rPr>
          <w:rFonts w:cs="Arial"/>
        </w:rPr>
        <w:t xml:space="preserve"> Māori </w:t>
      </w:r>
      <w:r w:rsidR="0032351E" w:rsidRPr="002D48A9">
        <w:rPr>
          <w:rFonts w:cs="Arial"/>
        </w:rPr>
        <w:t>are</w:t>
      </w:r>
      <w:r w:rsidR="00784AB6" w:rsidRPr="002D48A9">
        <w:rPr>
          <w:rFonts w:cs="Arial"/>
        </w:rPr>
        <w:t xml:space="preserve"> </w:t>
      </w:r>
      <w:r w:rsidR="00F20E71" w:rsidRPr="002D48A9">
        <w:rPr>
          <w:rFonts w:cs="Arial"/>
        </w:rPr>
        <w:t xml:space="preserve">significantly impacted </w:t>
      </w:r>
      <w:r w:rsidR="00B3418F" w:rsidRPr="002D48A9">
        <w:rPr>
          <w:rFonts w:cs="Arial"/>
        </w:rPr>
        <w:t xml:space="preserve">by the racism and discrimination they face and the history of colonisation </w:t>
      </w:r>
      <w:r w:rsidR="00EF66BC" w:rsidRPr="002D48A9">
        <w:rPr>
          <w:rFonts w:cs="Arial"/>
        </w:rPr>
        <w:t xml:space="preserve">in </w:t>
      </w:r>
      <w:r w:rsidR="001E1910">
        <w:rPr>
          <w:rFonts w:cs="Arial"/>
        </w:rPr>
        <w:t>Aotearoa</w:t>
      </w:r>
      <w:r w:rsidR="00EF66BC" w:rsidRPr="002D48A9">
        <w:rPr>
          <w:rFonts w:cs="Arial"/>
        </w:rPr>
        <w:t>.</w:t>
      </w:r>
    </w:p>
    <w:p w14:paraId="4DBEC9FE" w14:textId="0E38DA95" w:rsidR="0094558A" w:rsidRPr="002D48A9" w:rsidRDefault="00573022" w:rsidP="00345D78">
      <w:pPr>
        <w:spacing w:after="240"/>
        <w:jc w:val="both"/>
        <w:rPr>
          <w:rFonts w:cs="Arial"/>
        </w:rPr>
      </w:pPr>
      <w:r>
        <w:rPr>
          <w:rFonts w:cs="Arial"/>
        </w:rPr>
        <w:t>W</w:t>
      </w:r>
      <w:r w:rsidR="00A07173" w:rsidRPr="002D48A9">
        <w:rPr>
          <w:rFonts w:cs="Arial"/>
        </w:rPr>
        <w:t xml:space="preserve">e </w:t>
      </w:r>
      <w:r w:rsidR="009E2904" w:rsidRPr="002D48A9">
        <w:rPr>
          <w:rFonts w:cs="Arial"/>
        </w:rPr>
        <w:t>also provide some</w:t>
      </w:r>
      <w:r w:rsidR="008C6C2B" w:rsidRPr="002D48A9">
        <w:rPr>
          <w:rFonts w:cs="Arial"/>
        </w:rPr>
        <w:t xml:space="preserve"> key</w:t>
      </w:r>
      <w:r w:rsidR="00A07173" w:rsidRPr="002D48A9">
        <w:rPr>
          <w:rFonts w:cs="Arial"/>
        </w:rPr>
        <w:t xml:space="preserve"> examples</w:t>
      </w:r>
      <w:r w:rsidR="009E2904" w:rsidRPr="002D48A9">
        <w:rPr>
          <w:rFonts w:cs="Arial"/>
        </w:rPr>
        <w:t xml:space="preserve"> </w:t>
      </w:r>
      <w:r w:rsidR="00A07173" w:rsidRPr="002D48A9">
        <w:rPr>
          <w:rFonts w:cs="Arial"/>
        </w:rPr>
        <w:t xml:space="preserve">of </w:t>
      </w:r>
      <w:r w:rsidR="00AE105F" w:rsidRPr="002D48A9">
        <w:rPr>
          <w:rFonts w:cs="Arial"/>
        </w:rPr>
        <w:t>‘</w:t>
      </w:r>
      <w:r w:rsidR="00EF66BC" w:rsidRPr="002D48A9">
        <w:rPr>
          <w:rFonts w:cs="Arial"/>
        </w:rPr>
        <w:t>by</w:t>
      </w:r>
      <w:r w:rsidR="00AE105F" w:rsidRPr="002D48A9">
        <w:rPr>
          <w:rFonts w:cs="Arial"/>
        </w:rPr>
        <w:t xml:space="preserve"> Māori</w:t>
      </w:r>
      <w:r w:rsidR="00EF66BC" w:rsidRPr="002D48A9">
        <w:rPr>
          <w:rFonts w:cs="Arial"/>
        </w:rPr>
        <w:t>, for Māori</w:t>
      </w:r>
      <w:r w:rsidR="00AE105F" w:rsidRPr="002D48A9">
        <w:rPr>
          <w:rFonts w:cs="Arial"/>
        </w:rPr>
        <w:t xml:space="preserve">’ initiatives </w:t>
      </w:r>
      <w:r w:rsidR="008C6C2B" w:rsidRPr="002D48A9">
        <w:rPr>
          <w:rFonts w:cs="Arial"/>
        </w:rPr>
        <w:t>that seek to</w:t>
      </w:r>
      <w:r w:rsidR="00CC3BEC" w:rsidRPr="002D48A9">
        <w:rPr>
          <w:rFonts w:cs="Arial"/>
        </w:rPr>
        <w:t xml:space="preserve"> address the key issues </w:t>
      </w:r>
      <w:proofErr w:type="spellStart"/>
      <w:r w:rsidR="00CC3BEC" w:rsidRPr="002D48A9">
        <w:rPr>
          <w:rFonts w:cs="Arial"/>
        </w:rPr>
        <w:t>tamariki</w:t>
      </w:r>
      <w:proofErr w:type="spellEnd"/>
      <w:r w:rsidR="00CC3BEC" w:rsidRPr="002D48A9">
        <w:rPr>
          <w:rFonts w:cs="Arial"/>
        </w:rPr>
        <w:t xml:space="preserve"> Māori face. </w:t>
      </w:r>
      <w:r w:rsidR="008C6C2B" w:rsidRPr="002D48A9">
        <w:rPr>
          <w:rFonts w:cs="Arial"/>
        </w:rPr>
        <w:t>The</w:t>
      </w:r>
      <w:r w:rsidR="008A5E4A" w:rsidRPr="002D48A9">
        <w:rPr>
          <w:rFonts w:cs="Arial"/>
        </w:rPr>
        <w:t>se</w:t>
      </w:r>
      <w:r w:rsidR="008C6C2B" w:rsidRPr="002D48A9">
        <w:rPr>
          <w:rFonts w:cs="Arial"/>
        </w:rPr>
        <w:t xml:space="preserve"> reinforce the main thesis of our submission </w:t>
      </w:r>
      <w:r w:rsidR="00FF54F5" w:rsidRPr="002D48A9">
        <w:rPr>
          <w:rFonts w:cs="Arial"/>
        </w:rPr>
        <w:t xml:space="preserve">– </w:t>
      </w:r>
      <w:r w:rsidR="008C6C2B" w:rsidRPr="002D48A9">
        <w:rPr>
          <w:rFonts w:cs="Arial"/>
        </w:rPr>
        <w:t>that</w:t>
      </w:r>
      <w:r w:rsidR="00FF54F5" w:rsidRPr="002D48A9">
        <w:rPr>
          <w:rFonts w:cs="Arial"/>
        </w:rPr>
        <w:t xml:space="preserve"> for </w:t>
      </w:r>
      <w:proofErr w:type="spellStart"/>
      <w:r w:rsidR="00CF5EB4" w:rsidRPr="002D48A9">
        <w:rPr>
          <w:rFonts w:cs="Arial"/>
        </w:rPr>
        <w:t>tamariki</w:t>
      </w:r>
      <w:proofErr w:type="spellEnd"/>
      <w:r w:rsidR="00CF5EB4" w:rsidRPr="002D48A9">
        <w:rPr>
          <w:rFonts w:cs="Arial"/>
        </w:rPr>
        <w:t xml:space="preserve"> Māori rights to be achieved in </w:t>
      </w:r>
      <w:r w:rsidR="001E1910">
        <w:rPr>
          <w:rFonts w:cs="Arial"/>
        </w:rPr>
        <w:t>Aotearoa</w:t>
      </w:r>
      <w:r w:rsidR="00010A79" w:rsidRPr="002D48A9">
        <w:rPr>
          <w:rFonts w:cs="Arial"/>
        </w:rPr>
        <w:t xml:space="preserve">, Māori </w:t>
      </w:r>
      <w:proofErr w:type="spellStart"/>
      <w:r w:rsidR="00010A79" w:rsidRPr="002D48A9">
        <w:rPr>
          <w:rFonts w:cs="Arial"/>
        </w:rPr>
        <w:t>tino</w:t>
      </w:r>
      <w:proofErr w:type="spellEnd"/>
      <w:r w:rsidR="00010A79" w:rsidRPr="002D48A9">
        <w:rPr>
          <w:rFonts w:cs="Arial"/>
        </w:rPr>
        <w:t xml:space="preserve"> rangatiratanga (authority, self</w:t>
      </w:r>
      <w:r w:rsidR="00DD0535" w:rsidRPr="002D48A9">
        <w:rPr>
          <w:rFonts w:cs="Arial"/>
        </w:rPr>
        <w:t>-</w:t>
      </w:r>
      <w:r w:rsidR="00010A79" w:rsidRPr="002D48A9">
        <w:rPr>
          <w:rFonts w:cs="Arial"/>
        </w:rPr>
        <w:t xml:space="preserve">determination) </w:t>
      </w:r>
      <w:r w:rsidR="00DD0535" w:rsidRPr="002D48A9">
        <w:rPr>
          <w:rFonts w:cs="Arial"/>
        </w:rPr>
        <w:t xml:space="preserve">must </w:t>
      </w:r>
      <w:r w:rsidR="00FE7CE3" w:rsidRPr="002D48A9">
        <w:rPr>
          <w:rFonts w:cs="Arial"/>
        </w:rPr>
        <w:t xml:space="preserve">first </w:t>
      </w:r>
      <w:r w:rsidR="00DD0535" w:rsidRPr="002D48A9">
        <w:rPr>
          <w:rFonts w:cs="Arial"/>
        </w:rPr>
        <w:t xml:space="preserve">be prioritised. This means that Māori, as the Indigenous peoples of </w:t>
      </w:r>
      <w:r w:rsidR="001E1910">
        <w:rPr>
          <w:rFonts w:cs="Arial"/>
        </w:rPr>
        <w:t>Aotearoa</w:t>
      </w:r>
      <w:r w:rsidR="00FE7CE3" w:rsidRPr="002D48A9">
        <w:rPr>
          <w:rFonts w:cs="Arial"/>
        </w:rPr>
        <w:t>,</w:t>
      </w:r>
      <w:r w:rsidR="00DD0535" w:rsidRPr="002D48A9">
        <w:rPr>
          <w:rFonts w:cs="Arial"/>
        </w:rPr>
        <w:t xml:space="preserve"> must </w:t>
      </w:r>
      <w:r w:rsidR="00AF1848" w:rsidRPr="002D48A9">
        <w:rPr>
          <w:rFonts w:cs="Arial"/>
        </w:rPr>
        <w:t xml:space="preserve">lead, </w:t>
      </w:r>
      <w:proofErr w:type="gramStart"/>
      <w:r w:rsidR="00AF1848" w:rsidRPr="002D48A9">
        <w:rPr>
          <w:rFonts w:cs="Arial"/>
        </w:rPr>
        <w:t>develop</w:t>
      </w:r>
      <w:proofErr w:type="gramEnd"/>
      <w:r w:rsidR="00AF1848" w:rsidRPr="002D48A9">
        <w:rPr>
          <w:rFonts w:cs="Arial"/>
        </w:rPr>
        <w:t xml:space="preserve"> and in</w:t>
      </w:r>
      <w:r w:rsidR="00342A4C" w:rsidRPr="002D48A9">
        <w:rPr>
          <w:rFonts w:cs="Arial"/>
        </w:rPr>
        <w:t xml:space="preserve">form all policy, programmes and responses that relate to </w:t>
      </w:r>
      <w:proofErr w:type="spellStart"/>
      <w:r w:rsidR="00342A4C" w:rsidRPr="002D48A9">
        <w:rPr>
          <w:rFonts w:cs="Arial"/>
        </w:rPr>
        <w:t>tamariki</w:t>
      </w:r>
      <w:proofErr w:type="spellEnd"/>
      <w:r w:rsidR="00342A4C" w:rsidRPr="002D48A9">
        <w:rPr>
          <w:rFonts w:cs="Arial"/>
        </w:rPr>
        <w:t xml:space="preserve"> Māori</w:t>
      </w:r>
      <w:r w:rsidR="009E2904" w:rsidRPr="002D48A9">
        <w:rPr>
          <w:rFonts w:cs="Arial"/>
        </w:rPr>
        <w:t xml:space="preserve"> </w:t>
      </w:r>
      <w:r w:rsidR="005337BF" w:rsidRPr="002D48A9">
        <w:rPr>
          <w:rFonts w:cs="Arial"/>
        </w:rPr>
        <w:t>if</w:t>
      </w:r>
      <w:r w:rsidR="009E2904" w:rsidRPr="002D48A9">
        <w:rPr>
          <w:rFonts w:cs="Arial"/>
        </w:rPr>
        <w:t xml:space="preserve"> </w:t>
      </w:r>
      <w:r w:rsidR="00F757A8" w:rsidRPr="002D48A9">
        <w:rPr>
          <w:rFonts w:cs="Arial"/>
        </w:rPr>
        <w:t xml:space="preserve">the disparities they face are to be addressed and </w:t>
      </w:r>
      <w:r w:rsidR="009E2904" w:rsidRPr="002D48A9">
        <w:rPr>
          <w:rFonts w:cs="Arial"/>
        </w:rPr>
        <w:t xml:space="preserve">their future wellbeing and potential </w:t>
      </w:r>
      <w:r w:rsidR="005337BF" w:rsidRPr="002D48A9">
        <w:rPr>
          <w:rFonts w:cs="Arial"/>
        </w:rPr>
        <w:t>is to be secured.</w:t>
      </w:r>
      <w:r w:rsidR="00FF3EFA" w:rsidRPr="002D48A9">
        <w:rPr>
          <w:rFonts w:cs="Arial"/>
        </w:rPr>
        <w:t xml:space="preserve"> </w:t>
      </w:r>
      <w:r w:rsidR="008A5E4A" w:rsidRPr="002D48A9">
        <w:rPr>
          <w:rFonts w:cs="Arial"/>
        </w:rPr>
        <w:t xml:space="preserve"> </w:t>
      </w:r>
    </w:p>
    <w:p w14:paraId="2EFCF28D" w14:textId="7BABAEFE" w:rsidR="001619E9" w:rsidRPr="002D48A9" w:rsidRDefault="001619E9" w:rsidP="001619E9">
      <w:pPr>
        <w:jc w:val="both"/>
        <w:rPr>
          <w:rFonts w:cs="Arial"/>
          <w:b/>
          <w:bCs/>
        </w:rPr>
      </w:pPr>
      <w:r w:rsidRPr="002D48A9">
        <w:rPr>
          <w:rFonts w:cs="Arial"/>
          <w:b/>
          <w:bCs/>
        </w:rPr>
        <w:t>Background</w:t>
      </w:r>
    </w:p>
    <w:p w14:paraId="38F1CA17" w14:textId="3F00535A" w:rsidR="001619E9" w:rsidRPr="002D48A9" w:rsidRDefault="001619E9" w:rsidP="001619E9">
      <w:pPr>
        <w:jc w:val="both"/>
        <w:rPr>
          <w:rFonts w:cs="Arial"/>
        </w:rPr>
      </w:pPr>
      <w:r w:rsidRPr="002D48A9">
        <w:rPr>
          <w:rFonts w:cs="Arial"/>
        </w:rPr>
        <w:t xml:space="preserve">The rights of </w:t>
      </w:r>
      <w:proofErr w:type="spellStart"/>
      <w:r w:rsidRPr="002D48A9">
        <w:rPr>
          <w:rFonts w:cs="Arial"/>
        </w:rPr>
        <w:t>tamariki</w:t>
      </w:r>
      <w:proofErr w:type="spellEnd"/>
      <w:r w:rsidRPr="002D48A9">
        <w:rPr>
          <w:rFonts w:cs="Arial"/>
        </w:rPr>
        <w:t xml:space="preserve"> Māori in </w:t>
      </w:r>
      <w:r w:rsidR="001E1910">
        <w:rPr>
          <w:rFonts w:cs="Arial"/>
        </w:rPr>
        <w:t>Aotearoa</w:t>
      </w:r>
      <w:r w:rsidR="00F10A7D">
        <w:rPr>
          <w:rFonts w:cs="Arial"/>
        </w:rPr>
        <w:t xml:space="preserve"> </w:t>
      </w:r>
      <w:r w:rsidRPr="002D48A9">
        <w:rPr>
          <w:rFonts w:cs="Arial"/>
        </w:rPr>
        <w:t xml:space="preserve">are underpinned by three key instruments - </w:t>
      </w:r>
      <w:proofErr w:type="spellStart"/>
      <w:r w:rsidRPr="002D48A9">
        <w:rPr>
          <w:rFonts w:cs="Arial"/>
        </w:rPr>
        <w:t>Te</w:t>
      </w:r>
      <w:proofErr w:type="spellEnd"/>
      <w:r w:rsidRPr="002D48A9">
        <w:rPr>
          <w:rFonts w:cs="Arial"/>
        </w:rPr>
        <w:t xml:space="preserve"> </w:t>
      </w:r>
      <w:proofErr w:type="spellStart"/>
      <w:r w:rsidRPr="002D48A9">
        <w:rPr>
          <w:rFonts w:cs="Arial"/>
        </w:rPr>
        <w:t>Tiriti</w:t>
      </w:r>
      <w:proofErr w:type="spellEnd"/>
      <w:r w:rsidRPr="002D48A9">
        <w:rPr>
          <w:rFonts w:cs="Arial"/>
        </w:rPr>
        <w:t xml:space="preserve"> o Waitangi (</w:t>
      </w:r>
      <w:proofErr w:type="spellStart"/>
      <w:r w:rsidR="00F10A7D">
        <w:rPr>
          <w:rFonts w:cs="Arial"/>
        </w:rPr>
        <w:t>t</w:t>
      </w:r>
      <w:r w:rsidRPr="002D48A9">
        <w:rPr>
          <w:rFonts w:cs="Arial"/>
        </w:rPr>
        <w:t>e</w:t>
      </w:r>
      <w:proofErr w:type="spellEnd"/>
      <w:r w:rsidRPr="002D48A9">
        <w:rPr>
          <w:rFonts w:cs="Arial"/>
        </w:rPr>
        <w:t xml:space="preserve"> </w:t>
      </w:r>
      <w:proofErr w:type="spellStart"/>
      <w:r w:rsidRPr="002D48A9">
        <w:rPr>
          <w:rFonts w:cs="Arial"/>
        </w:rPr>
        <w:t>Tiriti</w:t>
      </w:r>
      <w:proofErr w:type="spellEnd"/>
      <w:r w:rsidRPr="002D48A9">
        <w:rPr>
          <w:rFonts w:cs="Arial"/>
        </w:rPr>
        <w:t xml:space="preserve">), the </w:t>
      </w:r>
      <w:r w:rsidR="00573022">
        <w:rPr>
          <w:rFonts w:cs="Arial"/>
        </w:rPr>
        <w:t>Indigenous Declaration</w:t>
      </w:r>
      <w:r w:rsidRPr="002D48A9">
        <w:rPr>
          <w:rFonts w:cs="Arial"/>
        </w:rPr>
        <w:t xml:space="preserve"> and the Convention on the Rights of the Child (CRC).</w:t>
      </w:r>
    </w:p>
    <w:p w14:paraId="33E899C9" w14:textId="207EC5D1" w:rsidR="00FB58FE" w:rsidRPr="002D48A9" w:rsidRDefault="001619E9" w:rsidP="001619E9">
      <w:pPr>
        <w:jc w:val="both"/>
        <w:rPr>
          <w:rFonts w:cs="Arial"/>
        </w:rPr>
      </w:pPr>
      <w:proofErr w:type="spellStart"/>
      <w:r w:rsidRPr="002D48A9">
        <w:rPr>
          <w:rFonts w:cs="Arial"/>
        </w:rPr>
        <w:t>Te</w:t>
      </w:r>
      <w:proofErr w:type="spellEnd"/>
      <w:r w:rsidRPr="002D48A9">
        <w:rPr>
          <w:rFonts w:cs="Arial"/>
        </w:rPr>
        <w:t xml:space="preserve"> </w:t>
      </w:r>
      <w:proofErr w:type="spellStart"/>
      <w:r w:rsidRPr="002D48A9">
        <w:rPr>
          <w:rFonts w:cs="Arial"/>
        </w:rPr>
        <w:t>Tiriti</w:t>
      </w:r>
      <w:proofErr w:type="spellEnd"/>
      <w:r w:rsidRPr="002D48A9">
        <w:rPr>
          <w:rFonts w:cs="Arial"/>
        </w:rPr>
        <w:t xml:space="preserve"> is </w:t>
      </w:r>
      <w:r w:rsidR="001E1910">
        <w:rPr>
          <w:rFonts w:cs="Arial"/>
        </w:rPr>
        <w:t>Aotearoa</w:t>
      </w:r>
      <w:r w:rsidRPr="002D48A9">
        <w:rPr>
          <w:rFonts w:cs="Arial"/>
        </w:rPr>
        <w:t xml:space="preserve">’s founding document. It was an agreement between </w:t>
      </w:r>
      <w:proofErr w:type="spellStart"/>
      <w:r w:rsidR="006C3A0E" w:rsidRPr="002D48A9">
        <w:rPr>
          <w:rFonts w:cs="Arial"/>
        </w:rPr>
        <w:t>Pākehā</w:t>
      </w:r>
      <w:proofErr w:type="spellEnd"/>
      <w:r w:rsidR="006C3A0E" w:rsidRPr="002D48A9">
        <w:rPr>
          <w:rFonts w:cs="Arial"/>
        </w:rPr>
        <w:t xml:space="preserve"> (British settlers) </w:t>
      </w:r>
      <w:r w:rsidRPr="002D48A9">
        <w:rPr>
          <w:rFonts w:cs="Arial"/>
        </w:rPr>
        <w:t>and</w:t>
      </w:r>
      <w:r w:rsidR="00573022">
        <w:rPr>
          <w:rFonts w:cs="Arial"/>
        </w:rPr>
        <w:t xml:space="preserve"> some</w:t>
      </w:r>
      <w:r w:rsidRPr="002D48A9">
        <w:rPr>
          <w:rFonts w:cs="Arial"/>
        </w:rPr>
        <w:t xml:space="preserve"> Māori</w:t>
      </w:r>
      <w:r w:rsidR="00573022">
        <w:rPr>
          <w:rFonts w:cs="Arial"/>
        </w:rPr>
        <w:t xml:space="preserve"> chiefs</w:t>
      </w:r>
      <w:r w:rsidRPr="002D48A9">
        <w:rPr>
          <w:rFonts w:cs="Arial"/>
        </w:rPr>
        <w:t xml:space="preserve">. </w:t>
      </w:r>
      <w:proofErr w:type="spellStart"/>
      <w:r w:rsidRPr="002D48A9">
        <w:rPr>
          <w:rFonts w:cs="Arial"/>
        </w:rPr>
        <w:t>Te</w:t>
      </w:r>
      <w:proofErr w:type="spellEnd"/>
      <w:r w:rsidRPr="002D48A9">
        <w:rPr>
          <w:rFonts w:cs="Arial"/>
        </w:rPr>
        <w:t xml:space="preserve"> </w:t>
      </w:r>
      <w:proofErr w:type="spellStart"/>
      <w:r w:rsidRPr="002D48A9">
        <w:rPr>
          <w:rFonts w:cs="Arial"/>
        </w:rPr>
        <w:t>Tiriti</w:t>
      </w:r>
      <w:proofErr w:type="spellEnd"/>
      <w:r w:rsidRPr="002D48A9">
        <w:rPr>
          <w:rFonts w:cs="Arial"/>
        </w:rPr>
        <w:t xml:space="preserve"> </w:t>
      </w:r>
      <w:r w:rsidR="00573022">
        <w:rPr>
          <w:rFonts w:cs="Arial"/>
        </w:rPr>
        <w:t xml:space="preserve">provides </w:t>
      </w:r>
      <w:r w:rsidRPr="002D48A9">
        <w:rPr>
          <w:rFonts w:cs="Arial"/>
        </w:rPr>
        <w:t xml:space="preserve">the </w:t>
      </w:r>
      <w:r w:rsidR="00573022">
        <w:rPr>
          <w:rFonts w:cs="Arial"/>
        </w:rPr>
        <w:t xml:space="preserve">Crown </w:t>
      </w:r>
      <w:r w:rsidRPr="002D48A9">
        <w:rPr>
          <w:rFonts w:cs="Arial"/>
        </w:rPr>
        <w:t>with rights to govern</w:t>
      </w:r>
      <w:r w:rsidR="002E6816" w:rsidRPr="002D48A9">
        <w:rPr>
          <w:rFonts w:cs="Arial"/>
        </w:rPr>
        <w:t xml:space="preserve"> </w:t>
      </w:r>
      <w:r w:rsidR="008F5853" w:rsidRPr="002D48A9">
        <w:rPr>
          <w:rFonts w:cs="Arial"/>
        </w:rPr>
        <w:t xml:space="preserve">while at the same time </w:t>
      </w:r>
      <w:r w:rsidRPr="002D48A9">
        <w:rPr>
          <w:rFonts w:cs="Arial"/>
        </w:rPr>
        <w:t>guarantee</w:t>
      </w:r>
      <w:r w:rsidR="00573022">
        <w:rPr>
          <w:rFonts w:cs="Arial"/>
        </w:rPr>
        <w:t xml:space="preserve">ing Māori </w:t>
      </w:r>
      <w:proofErr w:type="spellStart"/>
      <w:r w:rsidRPr="002D48A9">
        <w:rPr>
          <w:rFonts w:cs="Arial"/>
        </w:rPr>
        <w:t>tino</w:t>
      </w:r>
      <w:proofErr w:type="spellEnd"/>
      <w:r w:rsidRPr="002D48A9">
        <w:rPr>
          <w:rFonts w:cs="Arial"/>
        </w:rPr>
        <w:t xml:space="preserve"> rangatiratanga</w:t>
      </w:r>
      <w:r w:rsidR="00FF1412">
        <w:rPr>
          <w:rFonts w:cs="Arial"/>
        </w:rPr>
        <w:t>/self-determination</w:t>
      </w:r>
      <w:r w:rsidRPr="002D48A9">
        <w:rPr>
          <w:rFonts w:cs="Arial"/>
        </w:rPr>
        <w:t xml:space="preserve"> </w:t>
      </w:r>
      <w:r w:rsidR="00573022">
        <w:rPr>
          <w:rFonts w:cs="Arial"/>
        </w:rPr>
        <w:t>over our own peoples and protection of our</w:t>
      </w:r>
      <w:r w:rsidRPr="002D48A9">
        <w:rPr>
          <w:rFonts w:cs="Arial"/>
        </w:rPr>
        <w:t xml:space="preserve"> lands, resources and taonga (highly prized things, </w:t>
      </w:r>
      <w:r w:rsidR="00B83EAE" w:rsidRPr="002D48A9">
        <w:rPr>
          <w:rFonts w:cs="Arial"/>
        </w:rPr>
        <w:t xml:space="preserve">which </w:t>
      </w:r>
      <w:r w:rsidRPr="002D48A9">
        <w:rPr>
          <w:rFonts w:cs="Arial"/>
        </w:rPr>
        <w:t>includ</w:t>
      </w:r>
      <w:r w:rsidR="00B83EAE" w:rsidRPr="002D48A9">
        <w:rPr>
          <w:rFonts w:cs="Arial"/>
        </w:rPr>
        <w:t>e</w:t>
      </w:r>
      <w:r w:rsidRPr="002D48A9">
        <w:rPr>
          <w:rFonts w:cs="Arial"/>
        </w:rPr>
        <w:t xml:space="preserve"> </w:t>
      </w:r>
      <w:proofErr w:type="spellStart"/>
      <w:r w:rsidRPr="002D48A9">
        <w:rPr>
          <w:rFonts w:cs="Arial"/>
        </w:rPr>
        <w:t>tamariki</w:t>
      </w:r>
      <w:proofErr w:type="spellEnd"/>
      <w:r w:rsidRPr="002D48A9">
        <w:rPr>
          <w:rFonts w:cs="Arial"/>
        </w:rPr>
        <w:t xml:space="preserve"> Māori). Māori</w:t>
      </w:r>
      <w:r w:rsidR="00F379F8" w:rsidRPr="002D48A9">
        <w:rPr>
          <w:rFonts w:cs="Arial"/>
        </w:rPr>
        <w:t xml:space="preserve">, including </w:t>
      </w:r>
      <w:proofErr w:type="spellStart"/>
      <w:r w:rsidR="00F379F8" w:rsidRPr="002D48A9">
        <w:rPr>
          <w:rFonts w:cs="Arial"/>
        </w:rPr>
        <w:t>tamariki</w:t>
      </w:r>
      <w:proofErr w:type="spellEnd"/>
      <w:r w:rsidR="00F379F8" w:rsidRPr="002D48A9">
        <w:rPr>
          <w:rFonts w:cs="Arial"/>
        </w:rPr>
        <w:t xml:space="preserve"> Māori,</w:t>
      </w:r>
      <w:r w:rsidRPr="002D48A9">
        <w:rPr>
          <w:rFonts w:cs="Arial"/>
        </w:rPr>
        <w:t xml:space="preserve"> were also </w:t>
      </w:r>
      <w:r w:rsidR="005F3067" w:rsidRPr="002D48A9">
        <w:rPr>
          <w:rFonts w:cs="Arial"/>
        </w:rPr>
        <w:t>granted</w:t>
      </w:r>
      <w:r w:rsidRPr="002D48A9">
        <w:rPr>
          <w:rFonts w:cs="Arial"/>
        </w:rPr>
        <w:t xml:space="preserve"> </w:t>
      </w:r>
      <w:r w:rsidR="00DA55B9" w:rsidRPr="002D48A9">
        <w:rPr>
          <w:rFonts w:cs="Arial"/>
        </w:rPr>
        <w:t xml:space="preserve">equal </w:t>
      </w:r>
      <w:r w:rsidRPr="002D48A9">
        <w:rPr>
          <w:rFonts w:cs="Arial"/>
        </w:rPr>
        <w:t xml:space="preserve">rights </w:t>
      </w:r>
      <w:r w:rsidR="00913213" w:rsidRPr="002D48A9">
        <w:rPr>
          <w:rFonts w:cs="Arial"/>
        </w:rPr>
        <w:t xml:space="preserve">to </w:t>
      </w:r>
      <w:r w:rsidRPr="002D48A9">
        <w:rPr>
          <w:rFonts w:cs="Arial"/>
        </w:rPr>
        <w:t>British citizens.</w:t>
      </w:r>
    </w:p>
    <w:p w14:paraId="2B4A81B3" w14:textId="71950192" w:rsidR="00913213" w:rsidRPr="002D48A9" w:rsidRDefault="001619E9" w:rsidP="001619E9">
      <w:pPr>
        <w:jc w:val="both"/>
        <w:rPr>
          <w:rFonts w:cs="Arial"/>
        </w:rPr>
      </w:pPr>
      <w:r w:rsidRPr="002D48A9">
        <w:rPr>
          <w:rFonts w:cs="Arial"/>
        </w:rPr>
        <w:t xml:space="preserve">In assessing whether </w:t>
      </w:r>
      <w:r w:rsidR="0047191B" w:rsidRPr="002D48A9">
        <w:rPr>
          <w:rFonts w:cs="Arial"/>
        </w:rPr>
        <w:t>the</w:t>
      </w:r>
      <w:r w:rsidRPr="002D48A9">
        <w:rPr>
          <w:rFonts w:cs="Arial"/>
        </w:rPr>
        <w:t xml:space="preserve"> rights </w:t>
      </w:r>
      <w:r w:rsidR="0047191B" w:rsidRPr="002D48A9">
        <w:rPr>
          <w:rFonts w:cs="Arial"/>
        </w:rPr>
        <w:t xml:space="preserve">of </w:t>
      </w:r>
      <w:proofErr w:type="spellStart"/>
      <w:r w:rsidR="0047191B" w:rsidRPr="002D48A9">
        <w:rPr>
          <w:rFonts w:cs="Arial"/>
        </w:rPr>
        <w:t>tamariki</w:t>
      </w:r>
      <w:proofErr w:type="spellEnd"/>
      <w:r w:rsidR="0047191B" w:rsidRPr="002D48A9">
        <w:rPr>
          <w:rFonts w:cs="Arial"/>
        </w:rPr>
        <w:t xml:space="preserve"> Māor</w:t>
      </w:r>
      <w:r w:rsidR="004545AE" w:rsidRPr="002D48A9">
        <w:rPr>
          <w:rFonts w:cs="Arial"/>
        </w:rPr>
        <w:t>i</w:t>
      </w:r>
      <w:r w:rsidR="0047191B" w:rsidRPr="002D48A9">
        <w:rPr>
          <w:rFonts w:cs="Arial"/>
        </w:rPr>
        <w:t xml:space="preserve"> under </w:t>
      </w:r>
      <w:proofErr w:type="spellStart"/>
      <w:r w:rsidR="00FF1412">
        <w:rPr>
          <w:rFonts w:cs="Arial"/>
        </w:rPr>
        <w:t>t</w:t>
      </w:r>
      <w:r w:rsidR="0047191B" w:rsidRPr="002D48A9">
        <w:rPr>
          <w:rFonts w:cs="Arial"/>
        </w:rPr>
        <w:t>e</w:t>
      </w:r>
      <w:proofErr w:type="spellEnd"/>
      <w:r w:rsidR="0047191B" w:rsidRPr="002D48A9">
        <w:rPr>
          <w:rFonts w:cs="Arial"/>
        </w:rPr>
        <w:t xml:space="preserve"> </w:t>
      </w:r>
      <w:proofErr w:type="spellStart"/>
      <w:r w:rsidR="0047191B" w:rsidRPr="002D48A9">
        <w:rPr>
          <w:rFonts w:cs="Arial"/>
        </w:rPr>
        <w:t>Tiriti</w:t>
      </w:r>
      <w:proofErr w:type="spellEnd"/>
      <w:r w:rsidR="0047191B" w:rsidRPr="002D48A9">
        <w:rPr>
          <w:rFonts w:cs="Arial"/>
        </w:rPr>
        <w:t xml:space="preserve">, the </w:t>
      </w:r>
      <w:r w:rsidR="00381B88">
        <w:rPr>
          <w:rFonts w:cs="Arial"/>
        </w:rPr>
        <w:t xml:space="preserve">Indigenous </w:t>
      </w:r>
      <w:r w:rsidR="0047191B" w:rsidRPr="002D48A9">
        <w:rPr>
          <w:rFonts w:cs="Arial"/>
        </w:rPr>
        <w:t xml:space="preserve">Declaration and the CRC </w:t>
      </w:r>
      <w:r w:rsidRPr="002D48A9">
        <w:rPr>
          <w:rFonts w:cs="Arial"/>
        </w:rPr>
        <w:t xml:space="preserve">have been fulfilled in </w:t>
      </w:r>
      <w:r w:rsidR="001E1910">
        <w:rPr>
          <w:rFonts w:cs="Arial"/>
        </w:rPr>
        <w:t>Aotearoa</w:t>
      </w:r>
      <w:r w:rsidR="00E56E89" w:rsidRPr="002D48A9">
        <w:rPr>
          <w:rFonts w:cs="Arial"/>
        </w:rPr>
        <w:t xml:space="preserve"> or, if not,</w:t>
      </w:r>
      <w:r w:rsidR="006F7E13" w:rsidRPr="002D48A9">
        <w:rPr>
          <w:rFonts w:cs="Arial"/>
        </w:rPr>
        <w:t xml:space="preserve"> </w:t>
      </w:r>
      <w:r w:rsidR="00573022">
        <w:rPr>
          <w:rFonts w:cs="Arial"/>
        </w:rPr>
        <w:t xml:space="preserve">and </w:t>
      </w:r>
      <w:r w:rsidR="006F7E13" w:rsidRPr="002D48A9">
        <w:rPr>
          <w:rFonts w:cs="Arial"/>
        </w:rPr>
        <w:t>whether</w:t>
      </w:r>
      <w:r w:rsidRPr="002D48A9">
        <w:rPr>
          <w:rFonts w:cs="Arial"/>
        </w:rPr>
        <w:t xml:space="preserve"> the right conditions exist to ensure they </w:t>
      </w:r>
      <w:r w:rsidRPr="002D48A9">
        <w:rPr>
          <w:rFonts w:cs="Arial"/>
        </w:rPr>
        <w:lastRenderedPageBreak/>
        <w:t xml:space="preserve">will be fulfilled in the future, it is equally important to consider the context in which </w:t>
      </w:r>
      <w:proofErr w:type="spellStart"/>
      <w:r w:rsidRPr="002D48A9">
        <w:rPr>
          <w:rFonts w:cs="Arial"/>
        </w:rPr>
        <w:t>tamariki</w:t>
      </w:r>
      <w:proofErr w:type="spellEnd"/>
      <w:r w:rsidRPr="002D48A9">
        <w:rPr>
          <w:rFonts w:cs="Arial"/>
        </w:rPr>
        <w:t xml:space="preserve"> Māori live today and the historical trauma which they have inherited. </w:t>
      </w:r>
    </w:p>
    <w:p w14:paraId="56BA6BEA" w14:textId="14C3FF10" w:rsidR="001619E9" w:rsidRPr="002D48A9" w:rsidRDefault="004545AE" w:rsidP="001619E9">
      <w:pPr>
        <w:jc w:val="both"/>
        <w:rPr>
          <w:rFonts w:cs="Arial"/>
        </w:rPr>
      </w:pPr>
      <w:r w:rsidRPr="002D48A9">
        <w:rPr>
          <w:rFonts w:cs="Arial"/>
        </w:rPr>
        <w:t xml:space="preserve">Despite the promises of </w:t>
      </w:r>
      <w:proofErr w:type="spellStart"/>
      <w:r w:rsidR="00392833">
        <w:rPr>
          <w:rFonts w:cs="Arial"/>
        </w:rPr>
        <w:t>t</w:t>
      </w:r>
      <w:r w:rsidRPr="002D48A9">
        <w:rPr>
          <w:rFonts w:cs="Arial"/>
        </w:rPr>
        <w:t>e</w:t>
      </w:r>
      <w:proofErr w:type="spellEnd"/>
      <w:r w:rsidRPr="002D48A9">
        <w:rPr>
          <w:rFonts w:cs="Arial"/>
        </w:rPr>
        <w:t xml:space="preserve"> </w:t>
      </w:r>
      <w:proofErr w:type="spellStart"/>
      <w:r w:rsidRPr="002D48A9">
        <w:rPr>
          <w:rFonts w:cs="Arial"/>
        </w:rPr>
        <w:t>Tiriti</w:t>
      </w:r>
      <w:proofErr w:type="spellEnd"/>
      <w:r w:rsidR="001619E9" w:rsidRPr="002D48A9">
        <w:rPr>
          <w:rFonts w:cs="Arial"/>
        </w:rPr>
        <w:t>,</w:t>
      </w:r>
      <w:r w:rsidR="00F63352" w:rsidRPr="002D48A9">
        <w:rPr>
          <w:rFonts w:cs="Arial"/>
        </w:rPr>
        <w:t xml:space="preserve"> it was largely dishonoured by the British settler government</w:t>
      </w:r>
      <w:r w:rsidR="00CD5468" w:rsidRPr="002D48A9">
        <w:rPr>
          <w:rFonts w:cs="Arial"/>
        </w:rPr>
        <w:t xml:space="preserve"> and successive New Zealand governments. Instead, through an active process of colonisation and assimilation, which remains in play today, </w:t>
      </w:r>
      <w:r w:rsidR="001619E9" w:rsidRPr="002D48A9">
        <w:rPr>
          <w:rFonts w:cs="Arial"/>
        </w:rPr>
        <w:t>Māori were stripped of their land and resources</w:t>
      </w:r>
      <w:r w:rsidR="003138B4" w:rsidRPr="002D48A9">
        <w:rPr>
          <w:rFonts w:cs="Arial"/>
        </w:rPr>
        <w:t xml:space="preserve">, </w:t>
      </w:r>
      <w:r w:rsidR="001619E9" w:rsidRPr="002D48A9">
        <w:rPr>
          <w:rFonts w:cs="Arial"/>
        </w:rPr>
        <w:t>depri</w:t>
      </w:r>
      <w:r w:rsidR="0087641A" w:rsidRPr="002D48A9">
        <w:rPr>
          <w:rFonts w:cs="Arial"/>
        </w:rPr>
        <w:t>ving them</w:t>
      </w:r>
      <w:r w:rsidR="001619E9" w:rsidRPr="002D48A9">
        <w:rPr>
          <w:rFonts w:cs="Arial"/>
        </w:rPr>
        <w:t xml:space="preserve"> of their cultural, </w:t>
      </w:r>
      <w:proofErr w:type="gramStart"/>
      <w:r w:rsidR="001619E9" w:rsidRPr="002D48A9">
        <w:rPr>
          <w:rFonts w:cs="Arial"/>
        </w:rPr>
        <w:t>spiritual</w:t>
      </w:r>
      <w:proofErr w:type="gramEnd"/>
      <w:r w:rsidR="001619E9" w:rsidRPr="002D48A9">
        <w:rPr>
          <w:rFonts w:cs="Arial"/>
        </w:rPr>
        <w:t xml:space="preserve"> and economic base</w:t>
      </w:r>
      <w:r w:rsidR="00573022">
        <w:rPr>
          <w:rFonts w:cs="Arial"/>
        </w:rPr>
        <w:t xml:space="preserve"> and</w:t>
      </w:r>
      <w:r w:rsidR="00FB2979" w:rsidRPr="002D48A9">
        <w:rPr>
          <w:rFonts w:cs="Arial"/>
        </w:rPr>
        <w:t xml:space="preserve"> </w:t>
      </w:r>
      <w:r w:rsidR="0087641A" w:rsidRPr="002D48A9">
        <w:rPr>
          <w:rFonts w:cs="Arial"/>
        </w:rPr>
        <w:t xml:space="preserve">their use of </w:t>
      </w:r>
      <w:proofErr w:type="spellStart"/>
      <w:r w:rsidR="00FB2979" w:rsidRPr="002D48A9">
        <w:rPr>
          <w:rFonts w:cs="Arial"/>
        </w:rPr>
        <w:t>Te</w:t>
      </w:r>
      <w:proofErr w:type="spellEnd"/>
      <w:r w:rsidR="00FB2979" w:rsidRPr="002D48A9">
        <w:rPr>
          <w:rFonts w:cs="Arial"/>
        </w:rPr>
        <w:t xml:space="preserve"> Reo Māori (Māori language)</w:t>
      </w:r>
      <w:r w:rsidR="00392833">
        <w:rPr>
          <w:rFonts w:cs="Arial"/>
        </w:rPr>
        <w:t xml:space="preserve"> and </w:t>
      </w:r>
      <w:proofErr w:type="spellStart"/>
      <w:r w:rsidR="00864D1C" w:rsidRPr="002D48A9">
        <w:rPr>
          <w:rFonts w:cs="Arial"/>
        </w:rPr>
        <w:t>mātauranga</w:t>
      </w:r>
      <w:proofErr w:type="spellEnd"/>
      <w:r w:rsidR="00864D1C" w:rsidRPr="002D48A9">
        <w:rPr>
          <w:rFonts w:cs="Arial"/>
        </w:rPr>
        <w:t xml:space="preserve"> Māori (Māori knowledge)</w:t>
      </w:r>
      <w:r w:rsidR="00573022">
        <w:rPr>
          <w:rFonts w:cs="Arial"/>
        </w:rPr>
        <w:t>. T</w:t>
      </w:r>
      <w:r w:rsidR="00FB2979" w:rsidRPr="002D48A9">
        <w:rPr>
          <w:rFonts w:cs="Arial"/>
        </w:rPr>
        <w:t>ikanga Māori (Māori cu</w:t>
      </w:r>
      <w:r w:rsidR="00252113" w:rsidRPr="002D48A9">
        <w:rPr>
          <w:rFonts w:cs="Arial"/>
        </w:rPr>
        <w:t>stoms)</w:t>
      </w:r>
      <w:r w:rsidR="003138B4" w:rsidRPr="002D48A9">
        <w:rPr>
          <w:rFonts w:cs="Arial"/>
        </w:rPr>
        <w:t xml:space="preserve"> </w:t>
      </w:r>
      <w:r w:rsidR="0087641A" w:rsidRPr="002D48A9">
        <w:rPr>
          <w:rFonts w:cs="Arial"/>
        </w:rPr>
        <w:t xml:space="preserve">was supressed </w:t>
      </w:r>
      <w:r w:rsidR="003138B4" w:rsidRPr="002D48A9">
        <w:rPr>
          <w:rFonts w:cs="Arial"/>
        </w:rPr>
        <w:t xml:space="preserve">and </w:t>
      </w:r>
      <w:proofErr w:type="spellStart"/>
      <w:r w:rsidR="00563B10" w:rsidRPr="002D48A9">
        <w:rPr>
          <w:rFonts w:cs="Arial"/>
        </w:rPr>
        <w:t>whānau</w:t>
      </w:r>
      <w:proofErr w:type="spellEnd"/>
      <w:r w:rsidR="00563B10" w:rsidRPr="002D48A9">
        <w:rPr>
          <w:rFonts w:cs="Arial"/>
        </w:rPr>
        <w:t xml:space="preserve">, </w:t>
      </w:r>
      <w:proofErr w:type="spellStart"/>
      <w:r w:rsidR="00563B10" w:rsidRPr="002D48A9">
        <w:rPr>
          <w:rFonts w:cs="Arial"/>
        </w:rPr>
        <w:t>hapū</w:t>
      </w:r>
      <w:proofErr w:type="spellEnd"/>
      <w:r w:rsidR="00563B10" w:rsidRPr="002D48A9">
        <w:rPr>
          <w:rFonts w:cs="Arial"/>
        </w:rPr>
        <w:t xml:space="preserve"> and iwi structures</w:t>
      </w:r>
      <w:r w:rsidR="0052132B" w:rsidRPr="002D48A9">
        <w:rPr>
          <w:rFonts w:cs="Arial"/>
        </w:rPr>
        <w:t xml:space="preserve"> were undermined</w:t>
      </w:r>
      <w:r w:rsidR="00864D1C" w:rsidRPr="002D48A9">
        <w:rPr>
          <w:rFonts w:cs="Arial"/>
        </w:rPr>
        <w:t>, leading to the</w:t>
      </w:r>
      <w:r w:rsidR="00CF6E8B" w:rsidRPr="002D48A9">
        <w:rPr>
          <w:rFonts w:cs="Arial"/>
        </w:rPr>
        <w:t xml:space="preserve"> widescale</w:t>
      </w:r>
      <w:r w:rsidR="00864D1C" w:rsidRPr="002D48A9">
        <w:rPr>
          <w:rFonts w:cs="Arial"/>
        </w:rPr>
        <w:t xml:space="preserve"> </w:t>
      </w:r>
      <w:r w:rsidR="00347409" w:rsidRPr="002D48A9">
        <w:rPr>
          <w:rFonts w:cs="Arial"/>
        </w:rPr>
        <w:t xml:space="preserve">fragmentation of </w:t>
      </w:r>
      <w:r w:rsidR="00864D1C" w:rsidRPr="002D48A9">
        <w:rPr>
          <w:rFonts w:cs="Arial"/>
        </w:rPr>
        <w:t xml:space="preserve">Māori </w:t>
      </w:r>
      <w:r w:rsidR="004462CE" w:rsidRPr="002D48A9">
        <w:rPr>
          <w:rFonts w:cs="Arial"/>
        </w:rPr>
        <w:t>society on multiple levels</w:t>
      </w:r>
      <w:r w:rsidR="00864D1C" w:rsidRPr="002D48A9">
        <w:rPr>
          <w:rFonts w:cs="Arial"/>
        </w:rPr>
        <w:t>.</w:t>
      </w:r>
      <w:r w:rsidR="00563B10" w:rsidRPr="002D48A9">
        <w:rPr>
          <w:rFonts w:cs="Arial"/>
        </w:rPr>
        <w:t xml:space="preserve"> </w:t>
      </w:r>
      <w:r w:rsidR="00E11E12" w:rsidRPr="002D48A9">
        <w:rPr>
          <w:rFonts w:cs="Arial"/>
        </w:rPr>
        <w:t xml:space="preserve">Over the past 180 years, since the signing of </w:t>
      </w:r>
      <w:proofErr w:type="spellStart"/>
      <w:r w:rsidR="00675CAF">
        <w:rPr>
          <w:rFonts w:cs="Arial"/>
        </w:rPr>
        <w:t>t</w:t>
      </w:r>
      <w:r w:rsidR="00E11E12" w:rsidRPr="002D48A9">
        <w:rPr>
          <w:rFonts w:cs="Arial"/>
        </w:rPr>
        <w:t>e</w:t>
      </w:r>
      <w:proofErr w:type="spellEnd"/>
      <w:r w:rsidR="00E11E12" w:rsidRPr="002D48A9">
        <w:rPr>
          <w:rFonts w:cs="Arial"/>
        </w:rPr>
        <w:t xml:space="preserve"> </w:t>
      </w:r>
      <w:proofErr w:type="spellStart"/>
      <w:r w:rsidR="00E11E12" w:rsidRPr="002D48A9">
        <w:rPr>
          <w:rFonts w:cs="Arial"/>
        </w:rPr>
        <w:t>Tiriti</w:t>
      </w:r>
      <w:proofErr w:type="spellEnd"/>
      <w:r w:rsidR="00E11E12" w:rsidRPr="002D48A9">
        <w:rPr>
          <w:rFonts w:cs="Arial"/>
        </w:rPr>
        <w:t xml:space="preserve">, </w:t>
      </w:r>
      <w:r w:rsidR="001619E9" w:rsidRPr="002D48A9">
        <w:rPr>
          <w:rFonts w:cs="Arial"/>
        </w:rPr>
        <w:t xml:space="preserve">Māori </w:t>
      </w:r>
      <w:r w:rsidR="003138B4" w:rsidRPr="002D48A9">
        <w:rPr>
          <w:rFonts w:cs="Arial"/>
        </w:rPr>
        <w:t xml:space="preserve">have </w:t>
      </w:r>
      <w:r w:rsidR="001619E9" w:rsidRPr="002D48A9">
        <w:rPr>
          <w:rFonts w:cs="Arial"/>
        </w:rPr>
        <w:t xml:space="preserve">also faced, and continue to face, ongoing racism and discrimination in all aspects of life. </w:t>
      </w:r>
    </w:p>
    <w:p w14:paraId="275E2C45" w14:textId="7DE2ED1A" w:rsidR="001619E9" w:rsidRPr="002D48A9" w:rsidRDefault="009D5B7D" w:rsidP="001619E9">
      <w:pPr>
        <w:jc w:val="both"/>
        <w:rPr>
          <w:rFonts w:cs="Arial"/>
        </w:rPr>
      </w:pPr>
      <w:r w:rsidRPr="002D48A9">
        <w:rPr>
          <w:rFonts w:cs="Arial"/>
        </w:rPr>
        <w:t xml:space="preserve">As a result, today’s </w:t>
      </w:r>
      <w:proofErr w:type="spellStart"/>
      <w:r w:rsidRPr="002D48A9">
        <w:rPr>
          <w:rFonts w:cs="Arial"/>
        </w:rPr>
        <w:t>t</w:t>
      </w:r>
      <w:r w:rsidR="001619E9" w:rsidRPr="002D48A9">
        <w:rPr>
          <w:rFonts w:cs="Arial"/>
        </w:rPr>
        <w:t>amariki</w:t>
      </w:r>
      <w:proofErr w:type="spellEnd"/>
      <w:r w:rsidR="001619E9" w:rsidRPr="002D48A9">
        <w:rPr>
          <w:rFonts w:cs="Arial"/>
        </w:rPr>
        <w:t xml:space="preserve"> </w:t>
      </w:r>
      <w:proofErr w:type="spellStart"/>
      <w:r w:rsidR="001619E9" w:rsidRPr="002D48A9">
        <w:rPr>
          <w:rFonts w:cs="Arial"/>
        </w:rPr>
        <w:t>Māori</w:t>
      </w:r>
      <w:proofErr w:type="spellEnd"/>
      <w:r w:rsidR="001619E9" w:rsidRPr="002D48A9">
        <w:rPr>
          <w:rFonts w:cs="Arial"/>
        </w:rPr>
        <w:t xml:space="preserve"> experience significant and pervasive inequities</w:t>
      </w:r>
      <w:r w:rsidR="00D348E8" w:rsidRPr="002D48A9">
        <w:rPr>
          <w:rFonts w:cs="Arial"/>
        </w:rPr>
        <w:t xml:space="preserve">, which </w:t>
      </w:r>
      <w:r w:rsidR="001619E9" w:rsidRPr="002D48A9">
        <w:rPr>
          <w:rFonts w:cs="Arial"/>
        </w:rPr>
        <w:t>find their root in colonisation and are sustained to the present day by institutional racism.</w:t>
      </w:r>
    </w:p>
    <w:p w14:paraId="1629D4D2" w14:textId="13CD9F2F" w:rsidR="00E53BD2" w:rsidRPr="002D48A9" w:rsidRDefault="00573022" w:rsidP="00884A0B">
      <w:pPr>
        <w:jc w:val="both"/>
        <w:rPr>
          <w:rFonts w:cs="Arial"/>
        </w:rPr>
      </w:pPr>
      <w:r>
        <w:rPr>
          <w:rFonts w:cs="Arial"/>
        </w:rPr>
        <w:t>U</w:t>
      </w:r>
      <w:r w:rsidR="003748FF" w:rsidRPr="002D48A9">
        <w:rPr>
          <w:rFonts w:cs="Arial"/>
        </w:rPr>
        <w:t xml:space="preserve">ntil </w:t>
      </w:r>
      <w:r w:rsidR="00CF653B">
        <w:rPr>
          <w:rFonts w:cs="Arial"/>
        </w:rPr>
        <w:t xml:space="preserve">Māori </w:t>
      </w:r>
      <w:proofErr w:type="spellStart"/>
      <w:r w:rsidR="003145B6" w:rsidRPr="002D48A9">
        <w:rPr>
          <w:rFonts w:cs="Arial"/>
        </w:rPr>
        <w:t>tino</w:t>
      </w:r>
      <w:proofErr w:type="spellEnd"/>
      <w:r w:rsidR="003145B6" w:rsidRPr="002D48A9">
        <w:rPr>
          <w:rFonts w:cs="Arial"/>
        </w:rPr>
        <w:t xml:space="preserve"> rangatiratanga</w:t>
      </w:r>
      <w:r w:rsidR="00CF653B">
        <w:rPr>
          <w:rFonts w:cs="Arial"/>
        </w:rPr>
        <w:t>/self-</w:t>
      </w:r>
      <w:proofErr w:type="spellStart"/>
      <w:r w:rsidR="00CF653B">
        <w:rPr>
          <w:rFonts w:cs="Arial"/>
        </w:rPr>
        <w:t>determinaton</w:t>
      </w:r>
      <w:proofErr w:type="spellEnd"/>
      <w:r w:rsidR="003145B6" w:rsidRPr="002D48A9">
        <w:rPr>
          <w:rFonts w:cs="Arial"/>
        </w:rPr>
        <w:t xml:space="preserve"> is</w:t>
      </w:r>
      <w:r w:rsidR="003748FF" w:rsidRPr="002D48A9">
        <w:rPr>
          <w:rFonts w:cs="Arial"/>
        </w:rPr>
        <w:t xml:space="preserve"> achieved, </w:t>
      </w:r>
      <w:r w:rsidR="001619E9" w:rsidRPr="002D48A9">
        <w:rPr>
          <w:rFonts w:cs="Arial"/>
        </w:rPr>
        <w:t xml:space="preserve">the </w:t>
      </w:r>
      <w:r w:rsidR="00565C58" w:rsidRPr="002D48A9">
        <w:rPr>
          <w:rFonts w:cs="Arial"/>
        </w:rPr>
        <w:t xml:space="preserve">way the </w:t>
      </w:r>
      <w:r w:rsidR="003145B6" w:rsidRPr="002D48A9">
        <w:rPr>
          <w:rFonts w:cs="Arial"/>
        </w:rPr>
        <w:t>s</w:t>
      </w:r>
      <w:r w:rsidR="001619E9" w:rsidRPr="002D48A9">
        <w:rPr>
          <w:rFonts w:cs="Arial"/>
        </w:rPr>
        <w:t>tate system</w:t>
      </w:r>
      <w:r w:rsidR="00565C58" w:rsidRPr="002D48A9">
        <w:rPr>
          <w:rFonts w:cs="Arial"/>
        </w:rPr>
        <w:t xml:space="preserve"> in </w:t>
      </w:r>
      <w:r w:rsidR="001E1910">
        <w:rPr>
          <w:rFonts w:cs="Arial"/>
        </w:rPr>
        <w:t>Aotearoa</w:t>
      </w:r>
      <w:r w:rsidR="00565C58" w:rsidRPr="002D48A9">
        <w:rPr>
          <w:rFonts w:cs="Arial"/>
        </w:rPr>
        <w:t xml:space="preserve"> </w:t>
      </w:r>
      <w:r w:rsidR="006B2AC6" w:rsidRPr="002D48A9">
        <w:rPr>
          <w:rFonts w:cs="Arial"/>
        </w:rPr>
        <w:t xml:space="preserve">currently responds to </w:t>
      </w:r>
      <w:r w:rsidR="006A1297" w:rsidRPr="002D48A9">
        <w:rPr>
          <w:rFonts w:cs="Arial"/>
        </w:rPr>
        <w:t xml:space="preserve">situations </w:t>
      </w:r>
      <w:r w:rsidR="004C2E9D" w:rsidRPr="002D48A9">
        <w:rPr>
          <w:rFonts w:cs="Arial"/>
        </w:rPr>
        <w:t>involving</w:t>
      </w:r>
      <w:r w:rsidR="007875FC" w:rsidRPr="002D48A9">
        <w:rPr>
          <w:rFonts w:cs="Arial"/>
        </w:rPr>
        <w:t xml:space="preserve"> </w:t>
      </w:r>
      <w:proofErr w:type="spellStart"/>
      <w:r w:rsidR="007875FC" w:rsidRPr="002D48A9">
        <w:rPr>
          <w:rFonts w:cs="Arial"/>
        </w:rPr>
        <w:t>tamariki</w:t>
      </w:r>
      <w:proofErr w:type="spellEnd"/>
      <w:r w:rsidR="007875FC" w:rsidRPr="002D48A9">
        <w:rPr>
          <w:rFonts w:cs="Arial"/>
        </w:rPr>
        <w:t xml:space="preserve"> Māori</w:t>
      </w:r>
      <w:r w:rsidR="001619E9" w:rsidRPr="002D48A9">
        <w:rPr>
          <w:rFonts w:cs="Arial"/>
        </w:rPr>
        <w:t xml:space="preserve"> </w:t>
      </w:r>
      <w:r w:rsidR="006B2AC6" w:rsidRPr="002D48A9">
        <w:rPr>
          <w:rFonts w:cs="Arial"/>
        </w:rPr>
        <w:t xml:space="preserve">and their </w:t>
      </w:r>
      <w:proofErr w:type="spellStart"/>
      <w:r w:rsidR="006B2AC6" w:rsidRPr="002D48A9">
        <w:rPr>
          <w:rFonts w:cs="Arial"/>
        </w:rPr>
        <w:t>whānau</w:t>
      </w:r>
      <w:proofErr w:type="spellEnd"/>
      <w:r w:rsidR="006B2AC6" w:rsidRPr="002D48A9">
        <w:rPr>
          <w:rFonts w:cs="Arial"/>
        </w:rPr>
        <w:t xml:space="preserve"> </w:t>
      </w:r>
      <w:r w:rsidR="001619E9" w:rsidRPr="002D48A9">
        <w:rPr>
          <w:rFonts w:cs="Arial"/>
        </w:rPr>
        <w:t xml:space="preserve">needs to </w:t>
      </w:r>
      <w:r w:rsidR="007875FC" w:rsidRPr="002D48A9">
        <w:rPr>
          <w:rFonts w:cs="Arial"/>
        </w:rPr>
        <w:t>change immediately</w:t>
      </w:r>
      <w:r w:rsidR="000319AF" w:rsidRPr="002D48A9">
        <w:rPr>
          <w:rFonts w:cs="Arial"/>
        </w:rPr>
        <w:t xml:space="preserve">. </w:t>
      </w:r>
      <w:r w:rsidR="006A1297" w:rsidRPr="002D48A9">
        <w:rPr>
          <w:rFonts w:cs="Arial"/>
        </w:rPr>
        <w:t>At a minimum</w:t>
      </w:r>
      <w:r w:rsidR="00732CD3" w:rsidRPr="002D48A9">
        <w:rPr>
          <w:rFonts w:cs="Arial"/>
        </w:rPr>
        <w:t xml:space="preserve">, </w:t>
      </w:r>
      <w:r w:rsidR="000319AF" w:rsidRPr="002D48A9">
        <w:rPr>
          <w:rFonts w:cs="Arial"/>
        </w:rPr>
        <w:t xml:space="preserve">a </w:t>
      </w:r>
      <w:r w:rsidR="00992A1D">
        <w:rPr>
          <w:rFonts w:cs="Arial"/>
        </w:rPr>
        <w:t>co-governance</w:t>
      </w:r>
      <w:r w:rsidR="00992A1D" w:rsidRPr="002D48A9">
        <w:rPr>
          <w:rFonts w:cs="Arial"/>
        </w:rPr>
        <w:t xml:space="preserve"> </w:t>
      </w:r>
      <w:r w:rsidR="000319AF" w:rsidRPr="002D48A9">
        <w:rPr>
          <w:rFonts w:cs="Arial"/>
        </w:rPr>
        <w:t xml:space="preserve">approach </w:t>
      </w:r>
      <w:r w:rsidR="001619E9" w:rsidRPr="002D48A9">
        <w:rPr>
          <w:rFonts w:cs="Arial"/>
        </w:rPr>
        <w:t>with Māori</w:t>
      </w:r>
      <w:r w:rsidR="009854DA" w:rsidRPr="002D48A9">
        <w:rPr>
          <w:rFonts w:cs="Arial"/>
        </w:rPr>
        <w:t xml:space="preserve"> to deliver services </w:t>
      </w:r>
      <w:r w:rsidR="00E53BD2" w:rsidRPr="002D48A9">
        <w:rPr>
          <w:rFonts w:cs="Arial"/>
        </w:rPr>
        <w:t xml:space="preserve">for </w:t>
      </w:r>
      <w:proofErr w:type="spellStart"/>
      <w:r w:rsidR="00E53BD2" w:rsidRPr="002D48A9">
        <w:rPr>
          <w:rFonts w:cs="Arial"/>
        </w:rPr>
        <w:t>tamariki</w:t>
      </w:r>
      <w:proofErr w:type="spellEnd"/>
      <w:r w:rsidR="00E53BD2" w:rsidRPr="002D48A9">
        <w:rPr>
          <w:rFonts w:cs="Arial"/>
        </w:rPr>
        <w:t xml:space="preserve"> Māori </w:t>
      </w:r>
      <w:r w:rsidR="009854DA" w:rsidRPr="002D48A9">
        <w:rPr>
          <w:rFonts w:cs="Arial"/>
        </w:rPr>
        <w:t xml:space="preserve">that </w:t>
      </w:r>
      <w:r w:rsidR="005F14A8" w:rsidRPr="002D48A9">
        <w:rPr>
          <w:rFonts w:cs="Arial"/>
        </w:rPr>
        <w:t>incorporat</w:t>
      </w:r>
      <w:r w:rsidR="009854DA" w:rsidRPr="002D48A9">
        <w:rPr>
          <w:rFonts w:cs="Arial"/>
        </w:rPr>
        <w:t>e</w:t>
      </w:r>
      <w:r w:rsidR="00E53BD2" w:rsidRPr="002D48A9">
        <w:rPr>
          <w:rFonts w:cs="Arial"/>
        </w:rPr>
        <w:t>s</w:t>
      </w:r>
      <w:r w:rsidR="005F14A8" w:rsidRPr="002D48A9">
        <w:rPr>
          <w:rFonts w:cs="Arial"/>
        </w:rPr>
        <w:t xml:space="preserve"> </w:t>
      </w:r>
      <w:proofErr w:type="spellStart"/>
      <w:r w:rsidR="00692F70">
        <w:rPr>
          <w:rFonts w:cs="Arial"/>
        </w:rPr>
        <w:t>t</w:t>
      </w:r>
      <w:r w:rsidR="005F14A8" w:rsidRPr="002D48A9">
        <w:rPr>
          <w:rFonts w:cs="Arial"/>
        </w:rPr>
        <w:t>e</w:t>
      </w:r>
      <w:proofErr w:type="spellEnd"/>
      <w:r w:rsidR="005F14A8" w:rsidRPr="002D48A9">
        <w:rPr>
          <w:rFonts w:cs="Arial"/>
        </w:rPr>
        <w:t xml:space="preserve"> </w:t>
      </w:r>
      <w:proofErr w:type="spellStart"/>
      <w:r w:rsidR="005F14A8" w:rsidRPr="002D48A9">
        <w:rPr>
          <w:rFonts w:cs="Arial"/>
        </w:rPr>
        <w:t>Ao</w:t>
      </w:r>
      <w:proofErr w:type="spellEnd"/>
      <w:r w:rsidR="005F14A8" w:rsidRPr="002D48A9">
        <w:rPr>
          <w:rFonts w:cs="Arial"/>
        </w:rPr>
        <w:t xml:space="preserve"> Māori (Māori world view)</w:t>
      </w:r>
      <w:r w:rsidR="001619E9" w:rsidRPr="002D48A9">
        <w:rPr>
          <w:rFonts w:cs="Arial"/>
        </w:rPr>
        <w:t xml:space="preserve"> and reflect</w:t>
      </w:r>
      <w:r w:rsidR="00E53BD2" w:rsidRPr="002D48A9">
        <w:rPr>
          <w:rFonts w:cs="Arial"/>
        </w:rPr>
        <w:t>s</w:t>
      </w:r>
      <w:r w:rsidR="001619E9" w:rsidRPr="002D48A9">
        <w:rPr>
          <w:rFonts w:cs="Arial"/>
        </w:rPr>
        <w:t xml:space="preserve"> the guarantees of </w:t>
      </w:r>
      <w:proofErr w:type="spellStart"/>
      <w:r w:rsidR="00E4245A">
        <w:rPr>
          <w:rFonts w:cs="Arial"/>
        </w:rPr>
        <w:t>t</w:t>
      </w:r>
      <w:r w:rsidR="001619E9" w:rsidRPr="002D48A9">
        <w:rPr>
          <w:rFonts w:cs="Arial"/>
        </w:rPr>
        <w:t>e</w:t>
      </w:r>
      <w:proofErr w:type="spellEnd"/>
      <w:r w:rsidR="001619E9" w:rsidRPr="002D48A9">
        <w:rPr>
          <w:rFonts w:cs="Arial"/>
        </w:rPr>
        <w:t xml:space="preserve"> </w:t>
      </w:r>
      <w:proofErr w:type="spellStart"/>
      <w:r w:rsidR="001619E9" w:rsidRPr="002D48A9">
        <w:rPr>
          <w:rFonts w:cs="Arial"/>
        </w:rPr>
        <w:t>Tiriti</w:t>
      </w:r>
      <w:proofErr w:type="spellEnd"/>
      <w:r w:rsidR="006A1297" w:rsidRPr="002D48A9">
        <w:rPr>
          <w:rFonts w:cs="Arial"/>
        </w:rPr>
        <w:t xml:space="preserve"> must be prioritised</w:t>
      </w:r>
      <w:r w:rsidR="001619E9" w:rsidRPr="002D48A9">
        <w:rPr>
          <w:rFonts w:cs="Arial"/>
        </w:rPr>
        <w:t>.</w:t>
      </w:r>
    </w:p>
    <w:p w14:paraId="713B151F" w14:textId="292772DA" w:rsidR="001619E9" w:rsidRPr="002D48A9" w:rsidRDefault="00E53BD2" w:rsidP="00345D78">
      <w:pPr>
        <w:spacing w:after="240"/>
        <w:jc w:val="both"/>
        <w:rPr>
          <w:rFonts w:cs="Arial"/>
        </w:rPr>
      </w:pPr>
      <w:r w:rsidRPr="002D48A9">
        <w:rPr>
          <w:rFonts w:cs="Arial"/>
        </w:rPr>
        <w:t>In tandem</w:t>
      </w:r>
      <w:r w:rsidR="00FC093B" w:rsidRPr="002D48A9">
        <w:rPr>
          <w:rFonts w:cs="Arial"/>
        </w:rPr>
        <w:t xml:space="preserve"> with this transformation in approach,</w:t>
      </w:r>
      <w:r w:rsidRPr="002D48A9">
        <w:rPr>
          <w:rFonts w:cs="Arial"/>
        </w:rPr>
        <w:t xml:space="preserve"> t</w:t>
      </w:r>
      <w:r w:rsidR="001619E9" w:rsidRPr="002D48A9">
        <w:rPr>
          <w:rFonts w:cs="Arial"/>
        </w:rPr>
        <w:t>here also needs to be system and society</w:t>
      </w:r>
      <w:r w:rsidR="006A1297" w:rsidRPr="002D48A9">
        <w:rPr>
          <w:rFonts w:cs="Arial"/>
        </w:rPr>
        <w:t>-</w:t>
      </w:r>
      <w:r w:rsidR="001619E9" w:rsidRPr="002D48A9">
        <w:rPr>
          <w:rFonts w:cs="Arial"/>
        </w:rPr>
        <w:t xml:space="preserve">wide reform in </w:t>
      </w:r>
      <w:r w:rsidR="001E1910">
        <w:rPr>
          <w:rFonts w:cs="Arial"/>
        </w:rPr>
        <w:t>Aotearoa</w:t>
      </w:r>
      <w:r w:rsidR="00A22803">
        <w:rPr>
          <w:rFonts w:cs="Arial"/>
        </w:rPr>
        <w:t xml:space="preserve"> </w:t>
      </w:r>
      <w:r w:rsidR="001619E9" w:rsidRPr="002D48A9">
        <w:rPr>
          <w:rFonts w:cs="Arial"/>
        </w:rPr>
        <w:t xml:space="preserve">to tackle racism if the discrimination and inequities </w:t>
      </w:r>
      <w:proofErr w:type="spellStart"/>
      <w:r w:rsidR="001619E9" w:rsidRPr="002D48A9">
        <w:rPr>
          <w:rFonts w:cs="Arial"/>
        </w:rPr>
        <w:t>tamariki</w:t>
      </w:r>
      <w:proofErr w:type="spellEnd"/>
      <w:r w:rsidR="001619E9" w:rsidRPr="002D48A9">
        <w:rPr>
          <w:rFonts w:cs="Arial"/>
        </w:rPr>
        <w:t xml:space="preserve"> Māori face </w:t>
      </w:r>
      <w:proofErr w:type="gramStart"/>
      <w:r w:rsidR="001619E9" w:rsidRPr="002D48A9">
        <w:rPr>
          <w:rFonts w:cs="Arial"/>
        </w:rPr>
        <w:t>are</w:t>
      </w:r>
      <w:proofErr w:type="gramEnd"/>
      <w:r w:rsidR="001619E9" w:rsidRPr="002D48A9">
        <w:rPr>
          <w:rFonts w:cs="Arial"/>
        </w:rPr>
        <w:t xml:space="preserve"> to be addressed.</w:t>
      </w:r>
    </w:p>
    <w:p w14:paraId="513E8D73" w14:textId="77777777" w:rsidR="00F71FA4" w:rsidRPr="002D48A9" w:rsidRDefault="00F71FA4" w:rsidP="00884A0B">
      <w:pPr>
        <w:jc w:val="both"/>
        <w:rPr>
          <w:rFonts w:cs="Arial"/>
          <w:b/>
          <w:bCs/>
        </w:rPr>
      </w:pPr>
      <w:r w:rsidRPr="002D48A9">
        <w:rPr>
          <w:rFonts w:cs="Arial"/>
          <w:b/>
          <w:bCs/>
        </w:rPr>
        <w:t>Tamariki Māori as taonga</w:t>
      </w:r>
    </w:p>
    <w:p w14:paraId="2D8C958A" w14:textId="2CECB870" w:rsidR="00F71FA4" w:rsidRPr="002D48A9" w:rsidRDefault="00935499" w:rsidP="00345D78">
      <w:pPr>
        <w:spacing w:after="240"/>
        <w:jc w:val="both"/>
        <w:rPr>
          <w:rFonts w:cs="Arial"/>
        </w:rPr>
      </w:pPr>
      <w:r w:rsidRPr="006D3D4E">
        <w:rPr>
          <w:rFonts w:cs="Arial"/>
        </w:rPr>
        <w:t xml:space="preserve">Tamariki Māori are taonga, or highly prized, in </w:t>
      </w:r>
      <w:r w:rsidR="00442F6B" w:rsidRPr="006D3D4E">
        <w:rPr>
          <w:rFonts w:cs="Arial"/>
        </w:rPr>
        <w:t xml:space="preserve">Māori culture. </w:t>
      </w:r>
      <w:r w:rsidR="006D3D4E" w:rsidRPr="006D3D4E">
        <w:rPr>
          <w:rFonts w:cs="Arial"/>
        </w:rPr>
        <w:t>‘</w:t>
      </w:r>
      <w:proofErr w:type="spellStart"/>
      <w:r w:rsidR="006D3D4E" w:rsidRPr="006D3D4E">
        <w:rPr>
          <w:rFonts w:cs="Arial"/>
        </w:rPr>
        <w:t>T</w:t>
      </w:r>
      <w:r w:rsidR="00B46FB0" w:rsidRPr="006D3D4E">
        <w:rPr>
          <w:rFonts w:cs="Arial"/>
          <w:shd w:val="clear" w:color="auto" w:fill="FFFFFF"/>
        </w:rPr>
        <w:t>ama</w:t>
      </w:r>
      <w:proofErr w:type="spellEnd"/>
      <w:r w:rsidR="006D3D4E" w:rsidRPr="006D3D4E">
        <w:rPr>
          <w:rFonts w:cs="Arial"/>
          <w:shd w:val="clear" w:color="auto" w:fill="FFFFFF"/>
        </w:rPr>
        <w:t>’</w:t>
      </w:r>
      <w:r w:rsidR="00B46FB0" w:rsidRPr="006D3D4E">
        <w:rPr>
          <w:rFonts w:cs="Arial"/>
          <w:shd w:val="clear" w:color="auto" w:fill="FFFFFF"/>
        </w:rPr>
        <w:t xml:space="preserve"> is derived from </w:t>
      </w:r>
      <w:proofErr w:type="spellStart"/>
      <w:r w:rsidR="00B46FB0" w:rsidRPr="006D3D4E">
        <w:rPr>
          <w:rFonts w:cs="Arial"/>
          <w:shd w:val="clear" w:color="auto" w:fill="FFFFFF"/>
        </w:rPr>
        <w:t>Tama-te-rā</w:t>
      </w:r>
      <w:proofErr w:type="spellEnd"/>
      <w:r w:rsidR="006D3D4E" w:rsidRPr="006D3D4E">
        <w:rPr>
          <w:rFonts w:cs="Arial"/>
          <w:shd w:val="clear" w:color="auto" w:fill="FFFFFF"/>
        </w:rPr>
        <w:t xml:space="preserve"> -</w:t>
      </w:r>
      <w:r w:rsidR="00B46FB0" w:rsidRPr="006D3D4E">
        <w:rPr>
          <w:rFonts w:cs="Arial"/>
          <w:shd w:val="clear" w:color="auto" w:fill="FFFFFF"/>
        </w:rPr>
        <w:t xml:space="preserve"> the central sun, the divine spark</w:t>
      </w:r>
      <w:r w:rsidR="006D3D4E" w:rsidRPr="006D3D4E">
        <w:rPr>
          <w:rFonts w:cs="Arial"/>
          <w:shd w:val="clear" w:color="auto" w:fill="FFFFFF"/>
        </w:rPr>
        <w:t xml:space="preserve"> -</w:t>
      </w:r>
      <w:r w:rsidR="00B46FB0" w:rsidRPr="006D3D4E">
        <w:rPr>
          <w:rFonts w:cs="Arial"/>
          <w:shd w:val="clear" w:color="auto" w:fill="FFFFFF"/>
        </w:rPr>
        <w:t xml:space="preserve"> while ariki refers to </w:t>
      </w:r>
      <w:r w:rsidR="006D3D4E">
        <w:rPr>
          <w:rFonts w:cs="Arial"/>
          <w:shd w:val="clear" w:color="auto" w:fill="FFFFFF"/>
        </w:rPr>
        <w:t>their</w:t>
      </w:r>
      <w:r w:rsidR="00B46FB0" w:rsidRPr="006D3D4E">
        <w:rPr>
          <w:rFonts w:cs="Arial"/>
          <w:shd w:val="clear" w:color="auto" w:fill="FFFFFF"/>
        </w:rPr>
        <w:t xml:space="preserve"> chiefly status.</w:t>
      </w:r>
      <w:r w:rsidR="006D3D4E">
        <w:rPr>
          <w:rStyle w:val="FootnoteReference"/>
          <w:rFonts w:cs="Arial"/>
          <w:shd w:val="clear" w:color="auto" w:fill="FFFFFF"/>
        </w:rPr>
        <w:footnoteReference w:id="1"/>
      </w:r>
      <w:r w:rsidR="00B46FB0" w:rsidRPr="006D3D4E">
        <w:rPr>
          <w:rFonts w:cs="Arial"/>
        </w:rPr>
        <w:t xml:space="preserve"> </w:t>
      </w:r>
      <w:r w:rsidR="00442F6B">
        <w:rPr>
          <w:rFonts w:cs="Arial"/>
        </w:rPr>
        <w:t>T</w:t>
      </w:r>
      <w:r w:rsidR="004E25B6">
        <w:rPr>
          <w:rFonts w:cs="Arial"/>
        </w:rPr>
        <w:t>amariki Māori</w:t>
      </w:r>
      <w:r w:rsidR="00442F6B">
        <w:rPr>
          <w:rFonts w:cs="Arial"/>
        </w:rPr>
        <w:t xml:space="preserve"> are perceived both as the ‘binding rope that ties people together over time’ and </w:t>
      </w:r>
      <w:r w:rsidR="007E6381">
        <w:rPr>
          <w:rFonts w:cs="Arial"/>
        </w:rPr>
        <w:t>the ‘genealogical link’ that enhances family relationships. The child is a living connection to the fam</w:t>
      </w:r>
      <w:r w:rsidR="00ED20E6">
        <w:rPr>
          <w:rFonts w:cs="Arial"/>
        </w:rPr>
        <w:t xml:space="preserve">ily – past, </w:t>
      </w:r>
      <w:proofErr w:type="gramStart"/>
      <w:r w:rsidR="00ED20E6">
        <w:rPr>
          <w:rFonts w:cs="Arial"/>
        </w:rPr>
        <w:t>present</w:t>
      </w:r>
      <w:proofErr w:type="gramEnd"/>
      <w:r w:rsidR="00ED20E6">
        <w:rPr>
          <w:rFonts w:cs="Arial"/>
        </w:rPr>
        <w:t xml:space="preserve"> and future – a living embodied of ancestors, and a link in descent lines stretching from the beginning of time into the future</w:t>
      </w:r>
      <w:r w:rsidR="006F3F0B">
        <w:rPr>
          <w:rFonts w:cs="Arial"/>
        </w:rPr>
        <w:t>.</w:t>
      </w:r>
      <w:r w:rsidR="001E1910">
        <w:rPr>
          <w:rStyle w:val="FootnoteReference"/>
          <w:rFonts w:cs="Arial"/>
        </w:rPr>
        <w:footnoteReference w:id="2"/>
      </w:r>
      <w:r w:rsidR="006F3F0B">
        <w:rPr>
          <w:rFonts w:cs="Arial"/>
        </w:rPr>
        <w:t xml:space="preserve"> </w:t>
      </w:r>
    </w:p>
    <w:p w14:paraId="02A63649" w14:textId="4BC2D2EB" w:rsidR="001619E9" w:rsidRPr="002D48A9" w:rsidRDefault="001619E9" w:rsidP="001619E9">
      <w:pPr>
        <w:jc w:val="both"/>
        <w:rPr>
          <w:rFonts w:cs="Arial"/>
          <w:b/>
          <w:bCs/>
        </w:rPr>
      </w:pPr>
      <w:r w:rsidRPr="002D48A9">
        <w:rPr>
          <w:rFonts w:cs="Arial"/>
          <w:b/>
          <w:bCs/>
        </w:rPr>
        <w:t xml:space="preserve">Case study – the care and protection of </w:t>
      </w:r>
      <w:proofErr w:type="spellStart"/>
      <w:r w:rsidRPr="002D48A9">
        <w:rPr>
          <w:rFonts w:cs="Arial"/>
          <w:b/>
          <w:bCs/>
        </w:rPr>
        <w:t>tamariki</w:t>
      </w:r>
      <w:proofErr w:type="spellEnd"/>
      <w:r w:rsidRPr="002D48A9">
        <w:rPr>
          <w:rFonts w:cs="Arial"/>
          <w:b/>
          <w:bCs/>
        </w:rPr>
        <w:t xml:space="preserve"> Māori in </w:t>
      </w:r>
      <w:r w:rsidR="001E1910">
        <w:rPr>
          <w:rFonts w:cs="Arial"/>
          <w:b/>
          <w:bCs/>
        </w:rPr>
        <w:t>Aotearoa</w:t>
      </w:r>
    </w:p>
    <w:p w14:paraId="67E70714" w14:textId="77777777" w:rsidR="00381B88" w:rsidRDefault="001619E9" w:rsidP="00345D78">
      <w:pPr>
        <w:spacing w:after="240"/>
        <w:jc w:val="both"/>
        <w:rPr>
          <w:rFonts w:cs="Arial"/>
        </w:rPr>
      </w:pPr>
      <w:r w:rsidRPr="002D48A9">
        <w:rPr>
          <w:rFonts w:cs="Arial"/>
        </w:rPr>
        <w:t xml:space="preserve">The authority of Māori, as Indigenous peoples, to take responsibility for the care and protection of </w:t>
      </w:r>
      <w:proofErr w:type="spellStart"/>
      <w:r w:rsidRPr="002D48A9">
        <w:rPr>
          <w:rFonts w:cs="Arial"/>
        </w:rPr>
        <w:t>tamariki</w:t>
      </w:r>
      <w:proofErr w:type="spellEnd"/>
      <w:r w:rsidRPr="002D48A9">
        <w:rPr>
          <w:rFonts w:cs="Arial"/>
        </w:rPr>
        <w:t xml:space="preserve"> Māori is recognised in the </w:t>
      </w:r>
      <w:r w:rsidR="001E1910">
        <w:rPr>
          <w:rFonts w:cs="Arial"/>
        </w:rPr>
        <w:t xml:space="preserve">Indigenous </w:t>
      </w:r>
      <w:r w:rsidRPr="002D48A9">
        <w:rPr>
          <w:rFonts w:cs="Arial"/>
        </w:rPr>
        <w:t>Declaration and is a key expression of the right to self-determination. This authority is also af</w:t>
      </w:r>
      <w:r w:rsidR="00701B68" w:rsidRPr="002D48A9">
        <w:rPr>
          <w:rFonts w:cs="Arial"/>
        </w:rPr>
        <w:t xml:space="preserve">firmed in </w:t>
      </w:r>
      <w:proofErr w:type="spellStart"/>
      <w:r w:rsidR="00CB52BF">
        <w:rPr>
          <w:rFonts w:cs="Arial"/>
        </w:rPr>
        <w:t>t</w:t>
      </w:r>
      <w:r w:rsidR="00CB52BF" w:rsidRPr="002D48A9">
        <w:rPr>
          <w:rFonts w:cs="Arial"/>
        </w:rPr>
        <w:t>e</w:t>
      </w:r>
      <w:proofErr w:type="spellEnd"/>
      <w:r w:rsidR="00CB52BF" w:rsidRPr="002D48A9">
        <w:rPr>
          <w:rFonts w:cs="Arial"/>
        </w:rPr>
        <w:t xml:space="preserve"> </w:t>
      </w:r>
      <w:proofErr w:type="spellStart"/>
      <w:r w:rsidR="00701B68" w:rsidRPr="002D48A9">
        <w:rPr>
          <w:rFonts w:cs="Arial"/>
        </w:rPr>
        <w:t>Tirit</w:t>
      </w:r>
      <w:r w:rsidR="006A1297" w:rsidRPr="002D48A9">
        <w:rPr>
          <w:rFonts w:cs="Arial"/>
        </w:rPr>
        <w:t>i</w:t>
      </w:r>
      <w:proofErr w:type="spellEnd"/>
      <w:r w:rsidRPr="002D48A9">
        <w:rPr>
          <w:rFonts w:cs="Arial"/>
        </w:rPr>
        <w:t>, which guarantees the right of M</w:t>
      </w:r>
      <w:r w:rsidRPr="002D48A9">
        <w:rPr>
          <w:rFonts w:cs="Arial"/>
          <w:lang w:val="mi-NZ"/>
        </w:rPr>
        <w:t xml:space="preserve">āori </w:t>
      </w:r>
      <w:r w:rsidRPr="002D48A9">
        <w:rPr>
          <w:rFonts w:cs="Arial"/>
        </w:rPr>
        <w:t>to</w:t>
      </w:r>
      <w:r w:rsidR="00A22803">
        <w:rPr>
          <w:rFonts w:cs="Arial"/>
        </w:rPr>
        <w:t xml:space="preserve"> </w:t>
      </w:r>
      <w:proofErr w:type="spellStart"/>
      <w:r w:rsidR="00573022">
        <w:rPr>
          <w:rFonts w:cs="Arial"/>
        </w:rPr>
        <w:t>tino</w:t>
      </w:r>
      <w:proofErr w:type="spellEnd"/>
      <w:r w:rsidR="00573022">
        <w:rPr>
          <w:rFonts w:cs="Arial"/>
        </w:rPr>
        <w:t xml:space="preserve"> rangatiratanga</w:t>
      </w:r>
      <w:r w:rsidR="00A22803">
        <w:rPr>
          <w:rFonts w:cs="Arial"/>
        </w:rPr>
        <w:t>/self-determination</w:t>
      </w:r>
      <w:r w:rsidRPr="002D48A9">
        <w:rPr>
          <w:rFonts w:cs="Arial"/>
        </w:rPr>
        <w:t xml:space="preserve">, including their family organisation and </w:t>
      </w:r>
      <w:r w:rsidR="00701B68" w:rsidRPr="002D48A9">
        <w:rPr>
          <w:rFonts w:cs="Arial"/>
        </w:rPr>
        <w:t xml:space="preserve">the </w:t>
      </w:r>
      <w:r w:rsidRPr="002D48A9">
        <w:rPr>
          <w:rFonts w:cs="Arial"/>
        </w:rPr>
        <w:t xml:space="preserve">care and protection of </w:t>
      </w:r>
      <w:proofErr w:type="spellStart"/>
      <w:r w:rsidRPr="002D48A9">
        <w:rPr>
          <w:rFonts w:cs="Arial"/>
        </w:rPr>
        <w:t>tamariki</w:t>
      </w:r>
      <w:proofErr w:type="spellEnd"/>
      <w:r w:rsidRPr="002D48A9">
        <w:rPr>
          <w:rFonts w:cs="Arial"/>
        </w:rPr>
        <w:t xml:space="preserve"> Māori. Additionally, the rights of </w:t>
      </w:r>
      <w:proofErr w:type="spellStart"/>
      <w:r w:rsidRPr="002D48A9">
        <w:rPr>
          <w:rFonts w:cs="Arial"/>
        </w:rPr>
        <w:t>tamariki</w:t>
      </w:r>
      <w:proofErr w:type="spellEnd"/>
      <w:r w:rsidRPr="002D48A9">
        <w:rPr>
          <w:rFonts w:cs="Arial"/>
        </w:rPr>
        <w:t xml:space="preserve"> Māori, as Indigenous children, to be raised by their own community and to maintain their culture are protected under the </w:t>
      </w:r>
      <w:r w:rsidR="00701B68" w:rsidRPr="002D48A9">
        <w:rPr>
          <w:rFonts w:cs="Arial"/>
        </w:rPr>
        <w:t>CRC</w:t>
      </w:r>
      <w:r w:rsidRPr="002D48A9">
        <w:rPr>
          <w:rFonts w:cs="Arial"/>
        </w:rPr>
        <w:t xml:space="preserve">. </w:t>
      </w:r>
    </w:p>
    <w:p w14:paraId="085052CB" w14:textId="72ECCAAD" w:rsidR="00345D78" w:rsidRDefault="001619E9" w:rsidP="001619E9">
      <w:pPr>
        <w:jc w:val="both"/>
        <w:rPr>
          <w:rFonts w:cs="Arial"/>
        </w:rPr>
      </w:pPr>
      <w:r w:rsidRPr="002D48A9">
        <w:rPr>
          <w:rFonts w:cs="Arial"/>
          <w:u w:val="single"/>
        </w:rPr>
        <w:lastRenderedPageBreak/>
        <w:t xml:space="preserve">State intervention in the care and protection of </w:t>
      </w:r>
      <w:proofErr w:type="spellStart"/>
      <w:r w:rsidRPr="002D48A9">
        <w:rPr>
          <w:rFonts w:cs="Arial"/>
          <w:u w:val="single"/>
        </w:rPr>
        <w:t>tamariki</w:t>
      </w:r>
      <w:proofErr w:type="spellEnd"/>
      <w:r w:rsidRPr="002D48A9">
        <w:rPr>
          <w:rFonts w:cs="Arial"/>
          <w:u w:val="single"/>
        </w:rPr>
        <w:t xml:space="preserve"> Māori</w:t>
      </w:r>
    </w:p>
    <w:p w14:paraId="37B5F52F" w14:textId="6605D1D9" w:rsidR="001619E9" w:rsidRPr="00345D78" w:rsidRDefault="001619E9" w:rsidP="001619E9">
      <w:pPr>
        <w:jc w:val="both"/>
        <w:rPr>
          <w:rFonts w:cs="Arial"/>
        </w:rPr>
      </w:pPr>
      <w:r w:rsidRPr="002D48A9">
        <w:rPr>
          <w:rFonts w:cs="Arial"/>
        </w:rPr>
        <w:t xml:space="preserve">The extent to which Māori have achieved their right to determine what is in the best interests of their </w:t>
      </w:r>
      <w:proofErr w:type="spellStart"/>
      <w:r w:rsidRPr="002D48A9">
        <w:rPr>
          <w:rFonts w:cs="Arial"/>
        </w:rPr>
        <w:t>tamariki</w:t>
      </w:r>
      <w:proofErr w:type="spellEnd"/>
      <w:r w:rsidRPr="002D48A9">
        <w:rPr>
          <w:rFonts w:cs="Arial"/>
        </w:rPr>
        <w:t xml:space="preserve"> is brought in stark relief when the overrepresentation of </w:t>
      </w:r>
      <w:proofErr w:type="spellStart"/>
      <w:r w:rsidRPr="002D48A9">
        <w:rPr>
          <w:rFonts w:cs="Arial"/>
        </w:rPr>
        <w:t>tamariki</w:t>
      </w:r>
      <w:proofErr w:type="spellEnd"/>
      <w:r w:rsidRPr="002D48A9">
        <w:rPr>
          <w:rFonts w:cs="Arial"/>
        </w:rPr>
        <w:t xml:space="preserve"> Māori in </w:t>
      </w:r>
      <w:r w:rsidR="001E1910">
        <w:rPr>
          <w:rFonts w:cs="Arial"/>
        </w:rPr>
        <w:t>Aotearoa</w:t>
      </w:r>
      <w:r w:rsidRPr="002D48A9">
        <w:rPr>
          <w:rFonts w:cs="Arial"/>
        </w:rPr>
        <w:t xml:space="preserve">’s state care system is considered. </w:t>
      </w:r>
    </w:p>
    <w:p w14:paraId="5A8BE9A9" w14:textId="54795D54" w:rsidR="001619E9" w:rsidRPr="002D48A9" w:rsidRDefault="001619E9" w:rsidP="001619E9">
      <w:pPr>
        <w:jc w:val="both"/>
        <w:rPr>
          <w:rFonts w:cs="Arial"/>
          <w:color w:val="121212"/>
          <w:shd w:val="clear" w:color="auto" w:fill="FFFFFF"/>
        </w:rPr>
      </w:pPr>
      <w:r w:rsidRPr="002D48A9">
        <w:rPr>
          <w:rFonts w:cs="Arial"/>
        </w:rPr>
        <w:t xml:space="preserve">As experienced by other Indigenous cultures around the world, </w:t>
      </w:r>
      <w:proofErr w:type="spellStart"/>
      <w:r w:rsidRPr="002D48A9">
        <w:rPr>
          <w:rFonts w:cs="Arial"/>
        </w:rPr>
        <w:t>tamariki</w:t>
      </w:r>
      <w:proofErr w:type="spellEnd"/>
      <w:r w:rsidRPr="002D48A9">
        <w:rPr>
          <w:rFonts w:cs="Arial"/>
        </w:rPr>
        <w:t xml:space="preserve"> Māori are overrepresented in </w:t>
      </w:r>
      <w:r w:rsidR="001E1910">
        <w:rPr>
          <w:rFonts w:cs="Arial"/>
        </w:rPr>
        <w:t>Aotearoa</w:t>
      </w:r>
      <w:r w:rsidRPr="002D48A9">
        <w:rPr>
          <w:rFonts w:cs="Arial"/>
        </w:rPr>
        <w:t xml:space="preserve">’s State care system and this is a situation that has persisted across decades and </w:t>
      </w:r>
      <w:r w:rsidR="00F74D7A" w:rsidRPr="002D48A9">
        <w:rPr>
          <w:rFonts w:cs="Arial"/>
        </w:rPr>
        <w:t xml:space="preserve">is </w:t>
      </w:r>
      <w:r w:rsidR="000D54FE" w:rsidRPr="002D48A9">
        <w:rPr>
          <w:rFonts w:cs="Arial"/>
        </w:rPr>
        <w:t xml:space="preserve">linked </w:t>
      </w:r>
      <w:r w:rsidR="00F74D7A" w:rsidRPr="002D48A9">
        <w:rPr>
          <w:rFonts w:cs="Arial"/>
        </w:rPr>
        <w:t>to</w:t>
      </w:r>
      <w:r w:rsidR="000D54FE" w:rsidRPr="002D48A9">
        <w:rPr>
          <w:rFonts w:cs="Arial"/>
        </w:rPr>
        <w:t xml:space="preserve"> </w:t>
      </w:r>
      <w:r w:rsidRPr="002D48A9">
        <w:rPr>
          <w:rFonts w:cs="Arial"/>
        </w:rPr>
        <w:t xml:space="preserve">colonisation. As of </w:t>
      </w:r>
      <w:r w:rsidR="00C15ABF" w:rsidRPr="002D48A9">
        <w:rPr>
          <w:rFonts w:cs="Arial"/>
        </w:rPr>
        <w:t>December 2020</w:t>
      </w:r>
      <w:r w:rsidRPr="002D48A9">
        <w:rPr>
          <w:rFonts w:cs="Arial"/>
        </w:rPr>
        <w:t xml:space="preserve">, </w:t>
      </w:r>
      <w:proofErr w:type="spellStart"/>
      <w:r w:rsidRPr="002D48A9">
        <w:rPr>
          <w:rFonts w:cs="Arial"/>
        </w:rPr>
        <w:t>tamariki</w:t>
      </w:r>
      <w:proofErr w:type="spellEnd"/>
      <w:r w:rsidRPr="002D48A9">
        <w:rPr>
          <w:rFonts w:cs="Arial"/>
        </w:rPr>
        <w:t xml:space="preserve"> Māori </w:t>
      </w:r>
      <w:r w:rsidRPr="002D48A9">
        <w:rPr>
          <w:rFonts w:cs="Arial"/>
          <w:color w:val="121212"/>
          <w:shd w:val="clear" w:color="auto" w:fill="FFFFFF"/>
        </w:rPr>
        <w:t>make up 68% of children in State care</w:t>
      </w:r>
      <w:r w:rsidR="00C15ABF" w:rsidRPr="002D48A9">
        <w:rPr>
          <w:rStyle w:val="FootnoteReference"/>
          <w:rFonts w:cs="Arial"/>
          <w:color w:val="121212"/>
          <w:shd w:val="clear" w:color="auto" w:fill="FFFFFF"/>
        </w:rPr>
        <w:footnoteReference w:id="3"/>
      </w:r>
      <w:r w:rsidR="000507B3" w:rsidRPr="002D48A9">
        <w:rPr>
          <w:rFonts w:cs="Arial"/>
          <w:color w:val="121212"/>
          <w:shd w:val="clear" w:color="auto" w:fill="FFFFFF"/>
        </w:rPr>
        <w:t xml:space="preserve"> even though Māori only constitute 16.</w:t>
      </w:r>
      <w:r w:rsidR="00682F3F" w:rsidRPr="002D48A9">
        <w:rPr>
          <w:rFonts w:cs="Arial"/>
          <w:color w:val="121212"/>
          <w:shd w:val="clear" w:color="auto" w:fill="FFFFFF"/>
        </w:rPr>
        <w:t>7</w:t>
      </w:r>
      <w:r w:rsidR="000507B3" w:rsidRPr="002D48A9">
        <w:rPr>
          <w:rFonts w:cs="Arial"/>
          <w:color w:val="121212"/>
          <w:shd w:val="clear" w:color="auto" w:fill="FFFFFF"/>
        </w:rPr>
        <w:t>% of New Zealand’s population.</w:t>
      </w:r>
      <w:r w:rsidR="00682F3F" w:rsidRPr="002D48A9">
        <w:rPr>
          <w:rStyle w:val="FootnoteReference"/>
          <w:rFonts w:cs="Arial"/>
          <w:color w:val="121212"/>
          <w:shd w:val="clear" w:color="auto" w:fill="FFFFFF"/>
        </w:rPr>
        <w:footnoteReference w:id="4"/>
      </w:r>
      <w:r w:rsidRPr="002D48A9">
        <w:rPr>
          <w:rFonts w:cs="Arial"/>
          <w:color w:val="121212"/>
          <w:shd w:val="clear" w:color="auto" w:fill="FFFFFF"/>
        </w:rPr>
        <w:t xml:space="preserve"> </w:t>
      </w:r>
      <w:proofErr w:type="spellStart"/>
      <w:r w:rsidRPr="002D48A9">
        <w:rPr>
          <w:rFonts w:cs="Arial"/>
        </w:rPr>
        <w:t>Pepi</w:t>
      </w:r>
      <w:proofErr w:type="spellEnd"/>
      <w:r w:rsidRPr="002D48A9">
        <w:rPr>
          <w:rFonts w:cs="Arial"/>
        </w:rPr>
        <w:t xml:space="preserve"> M</w:t>
      </w:r>
      <w:r w:rsidRPr="002D48A9">
        <w:rPr>
          <w:rFonts w:cs="Arial"/>
          <w:lang w:val="mi-NZ"/>
        </w:rPr>
        <w:t>āori (Māori babies) are f</w:t>
      </w:r>
      <w:proofErr w:type="spellStart"/>
      <w:r w:rsidRPr="002D48A9">
        <w:rPr>
          <w:rFonts w:cs="Arial"/>
          <w:color w:val="121212"/>
          <w:shd w:val="clear" w:color="auto" w:fill="FFFFFF"/>
        </w:rPr>
        <w:t>ive</w:t>
      </w:r>
      <w:proofErr w:type="spellEnd"/>
      <w:r w:rsidRPr="002D48A9">
        <w:rPr>
          <w:rFonts w:cs="Arial"/>
          <w:color w:val="121212"/>
          <w:shd w:val="clear" w:color="auto" w:fill="FFFFFF"/>
        </w:rPr>
        <w:t xml:space="preserve"> times more likely to be taken into state custody than non-Māori babies.</w:t>
      </w:r>
      <w:r w:rsidR="00C01655" w:rsidRPr="002D48A9">
        <w:rPr>
          <w:rStyle w:val="FootnoteReference"/>
          <w:rFonts w:cs="Arial"/>
          <w:color w:val="121212"/>
          <w:shd w:val="clear" w:color="auto" w:fill="FFFFFF"/>
        </w:rPr>
        <w:footnoteReference w:id="5"/>
      </w:r>
    </w:p>
    <w:p w14:paraId="448FCD37" w14:textId="29E7027D" w:rsidR="001619E9" w:rsidRPr="002D48A9" w:rsidRDefault="001619E9" w:rsidP="001619E9">
      <w:pPr>
        <w:jc w:val="both"/>
        <w:rPr>
          <w:rFonts w:cs="Arial"/>
        </w:rPr>
      </w:pPr>
      <w:r w:rsidRPr="002D48A9">
        <w:rPr>
          <w:rFonts w:cs="Arial"/>
        </w:rPr>
        <w:t xml:space="preserve">The high removal rate of </w:t>
      </w:r>
      <w:proofErr w:type="spellStart"/>
      <w:r w:rsidRPr="002D48A9">
        <w:rPr>
          <w:rFonts w:cs="Arial"/>
        </w:rPr>
        <w:t>tamariki</w:t>
      </w:r>
      <w:proofErr w:type="spellEnd"/>
      <w:r w:rsidRPr="002D48A9">
        <w:rPr>
          <w:rFonts w:cs="Arial"/>
        </w:rPr>
        <w:t xml:space="preserve"> Māori into state care is a topical issue in </w:t>
      </w:r>
      <w:r w:rsidR="001E1910">
        <w:rPr>
          <w:rFonts w:cs="Arial"/>
        </w:rPr>
        <w:t>Aotearoa</w:t>
      </w:r>
      <w:r w:rsidRPr="002D48A9">
        <w:rPr>
          <w:rFonts w:cs="Arial"/>
        </w:rPr>
        <w:t xml:space="preserve">, brought to fore by the highly publicised ‘uplift’ of a newborn </w:t>
      </w:r>
      <w:proofErr w:type="spellStart"/>
      <w:r w:rsidRPr="002D48A9">
        <w:rPr>
          <w:rFonts w:cs="Arial"/>
        </w:rPr>
        <w:t>pēpi</w:t>
      </w:r>
      <w:proofErr w:type="spellEnd"/>
      <w:r w:rsidRPr="002D48A9">
        <w:rPr>
          <w:rFonts w:cs="Arial"/>
        </w:rPr>
        <w:t xml:space="preserve"> Māori in 2019. </w:t>
      </w:r>
      <w:r w:rsidRPr="002D48A9">
        <w:rPr>
          <w:rFonts w:cs="Arial"/>
          <w:color w:val="121212"/>
          <w:shd w:val="clear" w:color="auto" w:fill="FFFFFF"/>
        </w:rPr>
        <w:t xml:space="preserve">The removal triggered five high-level reviews and inquiries into </w:t>
      </w:r>
      <w:r w:rsidRPr="002D48A9">
        <w:rPr>
          <w:rFonts w:cs="Arial"/>
        </w:rPr>
        <w:t xml:space="preserve">Oranga Tamariki – the government ministry charged with the care and protection of children - and its removal policies and practices relating to </w:t>
      </w:r>
      <w:proofErr w:type="spellStart"/>
      <w:r w:rsidRPr="002D48A9">
        <w:rPr>
          <w:rFonts w:cs="Arial"/>
        </w:rPr>
        <w:t>pēpi</w:t>
      </w:r>
      <w:proofErr w:type="spellEnd"/>
      <w:r w:rsidRPr="002D48A9">
        <w:rPr>
          <w:rFonts w:cs="Arial"/>
        </w:rPr>
        <w:t xml:space="preserve"> </w:t>
      </w:r>
      <w:proofErr w:type="spellStart"/>
      <w:r w:rsidRPr="002D48A9">
        <w:rPr>
          <w:rFonts w:cs="Arial"/>
        </w:rPr>
        <w:t>Maori</w:t>
      </w:r>
      <w:proofErr w:type="spellEnd"/>
      <w:r w:rsidRPr="002D48A9">
        <w:rPr>
          <w:rFonts w:cs="Arial"/>
        </w:rPr>
        <w:t>.</w:t>
      </w:r>
      <w:r w:rsidRPr="002D48A9">
        <w:rPr>
          <w:rStyle w:val="FootnoteReference"/>
          <w:rFonts w:cs="Arial"/>
        </w:rPr>
        <w:footnoteReference w:id="6"/>
      </w:r>
      <w:r w:rsidRPr="002D48A9">
        <w:rPr>
          <w:rFonts w:cs="Arial"/>
        </w:rPr>
        <w:t xml:space="preserve"> Overall, these reviews found that </w:t>
      </w:r>
      <w:proofErr w:type="spellStart"/>
      <w:r w:rsidRPr="002D48A9">
        <w:rPr>
          <w:rFonts w:cs="Arial"/>
        </w:rPr>
        <w:t>tamariki</w:t>
      </w:r>
      <w:proofErr w:type="spellEnd"/>
      <w:r w:rsidRPr="002D48A9">
        <w:rPr>
          <w:rFonts w:cs="Arial"/>
        </w:rPr>
        <w:t xml:space="preserve"> Māori were removed by the state at a much higher rate than non-Māori children, that removals powers were often used in non-urgent cases, removals were made at short notice and without adequate or timely consideration of alternative options, and with little or no involvement of Māori </w:t>
      </w:r>
      <w:proofErr w:type="spellStart"/>
      <w:r w:rsidRPr="002D48A9">
        <w:rPr>
          <w:rFonts w:cs="Arial"/>
        </w:rPr>
        <w:t>whānau</w:t>
      </w:r>
      <w:proofErr w:type="spellEnd"/>
      <w:r w:rsidRPr="002D48A9">
        <w:rPr>
          <w:rFonts w:cs="Arial"/>
        </w:rPr>
        <w:t xml:space="preserve">. Additionally, actors within the state care system – from social workers through to the judiciary – lack the cultural capacity or appropriate training, </w:t>
      </w:r>
      <w:proofErr w:type="gramStart"/>
      <w:r w:rsidRPr="002D48A9">
        <w:rPr>
          <w:rFonts w:cs="Arial"/>
        </w:rPr>
        <w:t>tools</w:t>
      </w:r>
      <w:proofErr w:type="gramEnd"/>
      <w:r w:rsidRPr="002D48A9">
        <w:rPr>
          <w:rFonts w:cs="Arial"/>
        </w:rPr>
        <w:t xml:space="preserve"> and guidelines to work effectively with Māori </w:t>
      </w:r>
      <w:proofErr w:type="spellStart"/>
      <w:r w:rsidRPr="002D48A9">
        <w:rPr>
          <w:rFonts w:cs="Arial"/>
        </w:rPr>
        <w:t>whānau</w:t>
      </w:r>
      <w:proofErr w:type="spellEnd"/>
      <w:r w:rsidRPr="002D48A9">
        <w:rPr>
          <w:rFonts w:cs="Arial"/>
        </w:rPr>
        <w:t xml:space="preserve"> and protect their</w:t>
      </w:r>
      <w:r w:rsidR="00682F3F" w:rsidRPr="002D48A9">
        <w:rPr>
          <w:rFonts w:cs="Arial"/>
        </w:rPr>
        <w:t xml:space="preserve"> </w:t>
      </w:r>
      <w:proofErr w:type="spellStart"/>
      <w:r w:rsidRPr="002D48A9">
        <w:rPr>
          <w:rFonts w:cs="Arial"/>
        </w:rPr>
        <w:t>Tiriti</w:t>
      </w:r>
      <w:proofErr w:type="spellEnd"/>
      <w:r w:rsidRPr="002D48A9">
        <w:rPr>
          <w:rFonts w:cs="Arial"/>
        </w:rPr>
        <w:t xml:space="preserve"> </w:t>
      </w:r>
      <w:r w:rsidR="00234A90" w:rsidRPr="002D48A9">
        <w:rPr>
          <w:rFonts w:cs="Arial"/>
        </w:rPr>
        <w:t xml:space="preserve">and </w:t>
      </w:r>
      <w:r w:rsidR="00A22803">
        <w:rPr>
          <w:rFonts w:cs="Arial"/>
        </w:rPr>
        <w:t xml:space="preserve">Indigenous </w:t>
      </w:r>
      <w:r w:rsidR="00234A90" w:rsidRPr="002D48A9">
        <w:rPr>
          <w:rFonts w:cs="Arial"/>
        </w:rPr>
        <w:t xml:space="preserve">Declaration </w:t>
      </w:r>
      <w:r w:rsidRPr="002D48A9">
        <w:rPr>
          <w:rFonts w:cs="Arial"/>
        </w:rPr>
        <w:t xml:space="preserve">rights to maintain family unity and connection to culture. This review process also brought to light the </w:t>
      </w:r>
      <w:r w:rsidR="00CB52BF">
        <w:rPr>
          <w:rFonts w:cs="Arial"/>
        </w:rPr>
        <w:t>’</w:t>
      </w:r>
      <w:r w:rsidRPr="002D48A9">
        <w:rPr>
          <w:rFonts w:cs="Arial"/>
        </w:rPr>
        <w:t>subsequent children</w:t>
      </w:r>
      <w:r w:rsidR="00CB52BF">
        <w:rPr>
          <w:rFonts w:cs="Arial"/>
        </w:rPr>
        <w:t>’</w:t>
      </w:r>
      <w:r w:rsidRPr="002D48A9">
        <w:rPr>
          <w:rFonts w:cs="Arial"/>
        </w:rPr>
        <w:t xml:space="preserve"> provision, which provides that p</w:t>
      </w:r>
      <w:r w:rsidRPr="002D48A9">
        <w:rPr>
          <w:rFonts w:cs="Arial"/>
          <w:shd w:val="clear" w:color="auto" w:fill="FFFFFF"/>
        </w:rPr>
        <w:t>arents who had a child removed from their care will be assessed by the state if they get pregnant again, and that baby can be taken too.</w:t>
      </w:r>
      <w:r w:rsidRPr="002D48A9">
        <w:rPr>
          <w:rStyle w:val="FootnoteReference"/>
          <w:rFonts w:cs="Arial"/>
          <w:shd w:val="clear" w:color="auto" w:fill="FFFFFF"/>
        </w:rPr>
        <w:footnoteReference w:id="7"/>
      </w:r>
    </w:p>
    <w:p w14:paraId="5BC08222" w14:textId="50F932C9" w:rsidR="001619E9" w:rsidRPr="002D48A9" w:rsidRDefault="001619E9" w:rsidP="001619E9">
      <w:pPr>
        <w:jc w:val="both"/>
        <w:rPr>
          <w:rFonts w:cs="Arial"/>
        </w:rPr>
      </w:pPr>
      <w:r w:rsidRPr="002D48A9">
        <w:rPr>
          <w:rFonts w:cs="Arial"/>
        </w:rPr>
        <w:t xml:space="preserve">Through these different reviews, Māori </w:t>
      </w:r>
      <w:proofErr w:type="spellStart"/>
      <w:r w:rsidRPr="002D48A9">
        <w:rPr>
          <w:rFonts w:cs="Arial"/>
        </w:rPr>
        <w:t>whānau</w:t>
      </w:r>
      <w:proofErr w:type="spellEnd"/>
      <w:r w:rsidRPr="002D48A9">
        <w:rPr>
          <w:rFonts w:cs="Arial"/>
        </w:rPr>
        <w:t xml:space="preserve"> were consulted and regularly reported: the trauma they experienced from losing custody of </w:t>
      </w:r>
      <w:proofErr w:type="spellStart"/>
      <w:r w:rsidRPr="002D48A9">
        <w:rPr>
          <w:rFonts w:cs="Arial"/>
        </w:rPr>
        <w:t>tamariki</w:t>
      </w:r>
      <w:proofErr w:type="spellEnd"/>
      <w:r w:rsidRPr="002D48A9">
        <w:rPr>
          <w:rFonts w:cs="Arial"/>
        </w:rPr>
        <w:t xml:space="preserve"> Māori, and the intergenerational impacts of state care removal</w:t>
      </w:r>
      <w:r w:rsidRPr="002D48A9">
        <w:rPr>
          <w:rFonts w:cs="Arial"/>
          <w:lang w:val="mi-NZ"/>
        </w:rPr>
        <w:t xml:space="preserve">; the discrimination and the prejudice they experienced across the state care system; </w:t>
      </w:r>
      <w:proofErr w:type="gramStart"/>
      <w:r w:rsidRPr="002D48A9">
        <w:rPr>
          <w:rFonts w:cs="Arial"/>
          <w:lang w:val="mi-NZ"/>
        </w:rPr>
        <w:t>and,</w:t>
      </w:r>
      <w:proofErr w:type="gramEnd"/>
      <w:r w:rsidRPr="002D48A9">
        <w:rPr>
          <w:rFonts w:cs="Arial"/>
          <w:lang w:val="mi-NZ"/>
        </w:rPr>
        <w:t xml:space="preserve"> their fear of being reported and coming to the attention of the system, making them highly vulnerable to having their children removed without notice.</w:t>
      </w:r>
      <w:r w:rsidR="00366FA2">
        <w:rPr>
          <w:rStyle w:val="FootnoteReference"/>
          <w:rFonts w:cs="Arial"/>
          <w:lang w:val="mi-NZ"/>
        </w:rPr>
        <w:footnoteReference w:id="8"/>
      </w:r>
    </w:p>
    <w:p w14:paraId="034D3350" w14:textId="0CECA27D" w:rsidR="001619E9" w:rsidRPr="002D48A9" w:rsidRDefault="001619E9" w:rsidP="001619E9">
      <w:pPr>
        <w:jc w:val="both"/>
        <w:rPr>
          <w:rFonts w:cs="Arial"/>
        </w:rPr>
      </w:pPr>
      <w:r w:rsidRPr="002D48A9">
        <w:rPr>
          <w:rFonts w:cs="Arial"/>
        </w:rPr>
        <w:t xml:space="preserve">The reviews overwhelming called for a complete overhaul of the Oranga Tamariki system and a wholescale transformation in approach, which sees the transfer of responsibility, resources and power </w:t>
      </w:r>
      <w:r w:rsidRPr="002D48A9">
        <w:rPr>
          <w:rFonts w:cs="Arial"/>
        </w:rPr>
        <w:lastRenderedPageBreak/>
        <w:t xml:space="preserve">to </w:t>
      </w:r>
      <w:proofErr w:type="gramStart"/>
      <w:r w:rsidRPr="002D48A9">
        <w:rPr>
          <w:rFonts w:cs="Arial"/>
        </w:rPr>
        <w:t>Māori</w:t>
      </w:r>
      <w:proofErr w:type="gramEnd"/>
      <w:r w:rsidRPr="002D48A9">
        <w:rPr>
          <w:rFonts w:cs="Arial"/>
        </w:rPr>
        <w:t xml:space="preserve"> so they lead on deciding how to best to manage the care and protection of </w:t>
      </w:r>
      <w:proofErr w:type="spellStart"/>
      <w:r w:rsidRPr="002D48A9">
        <w:rPr>
          <w:rFonts w:cs="Arial"/>
        </w:rPr>
        <w:t>tamariki</w:t>
      </w:r>
      <w:proofErr w:type="spellEnd"/>
      <w:r w:rsidRPr="002D48A9">
        <w:rPr>
          <w:rFonts w:cs="Arial"/>
        </w:rPr>
        <w:t xml:space="preserve"> Māori from a </w:t>
      </w:r>
      <w:proofErr w:type="spellStart"/>
      <w:r w:rsidRPr="002D48A9">
        <w:rPr>
          <w:rFonts w:cs="Arial"/>
        </w:rPr>
        <w:t>Ao</w:t>
      </w:r>
      <w:proofErr w:type="spellEnd"/>
      <w:r w:rsidRPr="002D48A9">
        <w:rPr>
          <w:rFonts w:cs="Arial"/>
        </w:rPr>
        <w:t xml:space="preserve"> Māori perspective. </w:t>
      </w:r>
      <w:r w:rsidR="000E4E03">
        <w:rPr>
          <w:rFonts w:cs="Arial"/>
        </w:rPr>
        <w:t xml:space="preserve">Potential solutions proposed by Māori include replacing Oranga Tamariki with an </w:t>
      </w:r>
      <w:r w:rsidR="004D5C9A">
        <w:rPr>
          <w:rFonts w:cs="Arial"/>
        </w:rPr>
        <w:t xml:space="preserve">independent </w:t>
      </w:r>
      <w:r w:rsidR="004D5C9A">
        <w:t>Māori authority</w:t>
      </w:r>
      <w:r w:rsidR="000E4E03">
        <w:t xml:space="preserve">, </w:t>
      </w:r>
      <w:proofErr w:type="gramStart"/>
      <w:r w:rsidR="000E4E03">
        <w:t>similar to</w:t>
      </w:r>
      <w:proofErr w:type="gramEnd"/>
      <w:r w:rsidR="000E4E03">
        <w:t xml:space="preserve"> the Māori Council or </w:t>
      </w:r>
      <w:proofErr w:type="spellStart"/>
      <w:r w:rsidR="000E4E03">
        <w:t>Whānau</w:t>
      </w:r>
      <w:proofErr w:type="spellEnd"/>
      <w:r w:rsidR="000E4E03">
        <w:t xml:space="preserve"> Ora models; others are calling for an interim Māori authority to be established to take over the care and protection of </w:t>
      </w:r>
      <w:proofErr w:type="spellStart"/>
      <w:r w:rsidR="00EF346F">
        <w:t>tamariki</w:t>
      </w:r>
      <w:proofErr w:type="spellEnd"/>
      <w:r w:rsidR="00EF346F">
        <w:t xml:space="preserve"> Māori</w:t>
      </w:r>
      <w:r w:rsidR="000E4E03">
        <w:t xml:space="preserve"> while all possible options are considered</w:t>
      </w:r>
      <w:r w:rsidR="000E4E03">
        <w:rPr>
          <w:rFonts w:cs="Arial"/>
        </w:rPr>
        <w:t>.</w:t>
      </w:r>
      <w:r w:rsidR="00EF346F">
        <w:rPr>
          <w:rStyle w:val="FootnoteReference"/>
          <w:rFonts w:cs="Arial"/>
        </w:rPr>
        <w:footnoteReference w:id="9"/>
      </w:r>
      <w:r w:rsidR="004D5C9A">
        <w:rPr>
          <w:rFonts w:cs="Arial"/>
        </w:rPr>
        <w:t xml:space="preserve"> </w:t>
      </w:r>
    </w:p>
    <w:p w14:paraId="43B63930" w14:textId="79AB19D5" w:rsidR="001619E9" w:rsidRPr="002D48A9" w:rsidRDefault="001619E9" w:rsidP="001619E9">
      <w:pPr>
        <w:jc w:val="both"/>
        <w:rPr>
          <w:rFonts w:cs="Arial"/>
        </w:rPr>
      </w:pPr>
      <w:r w:rsidRPr="002D48A9">
        <w:rPr>
          <w:rFonts w:cs="Arial"/>
        </w:rPr>
        <w:t xml:space="preserve">In the aftermath of these reviews, the Chief Executive Officer of Oranga Tamariki resigned and a </w:t>
      </w:r>
      <w:r w:rsidRPr="002D48A9">
        <w:rPr>
          <w:rFonts w:cs="Arial"/>
          <w:shd w:val="clear" w:color="auto" w:fill="FFFFFF"/>
        </w:rPr>
        <w:t xml:space="preserve">ministerial advisory board of high-profile Māori leaders was established to advise the </w:t>
      </w:r>
      <w:proofErr w:type="gramStart"/>
      <w:r w:rsidRPr="002D48A9">
        <w:rPr>
          <w:rFonts w:cs="Arial"/>
          <w:shd w:val="clear" w:color="auto" w:fill="FFFFFF"/>
        </w:rPr>
        <w:t>Children’s Minister</w:t>
      </w:r>
      <w:proofErr w:type="gramEnd"/>
      <w:r w:rsidRPr="002D48A9">
        <w:rPr>
          <w:rFonts w:cs="Arial"/>
          <w:shd w:val="clear" w:color="auto" w:fill="FFFFFF"/>
        </w:rPr>
        <w:t xml:space="preserve"> on the agency's relationships with families, </w:t>
      </w:r>
      <w:proofErr w:type="spellStart"/>
      <w:r w:rsidRPr="002D48A9">
        <w:rPr>
          <w:rFonts w:cs="Arial"/>
          <w:shd w:val="clear" w:color="auto" w:fill="FFFFFF"/>
        </w:rPr>
        <w:t>whānau</w:t>
      </w:r>
      <w:proofErr w:type="spellEnd"/>
      <w:r w:rsidRPr="002D48A9">
        <w:rPr>
          <w:rFonts w:cs="Arial"/>
          <w:shd w:val="clear" w:color="auto" w:fill="FFFFFF"/>
        </w:rPr>
        <w:t>, and Māori, professional social work practices and organisational culture</w:t>
      </w:r>
      <w:r w:rsidRPr="002D48A9">
        <w:rPr>
          <w:rFonts w:cs="Arial"/>
        </w:rPr>
        <w:t xml:space="preserve">. </w:t>
      </w:r>
    </w:p>
    <w:p w14:paraId="340AFFAF" w14:textId="2AF2FAC2" w:rsidR="006A36F8" w:rsidRPr="002D48A9" w:rsidRDefault="006A36F8" w:rsidP="001619E9">
      <w:pPr>
        <w:jc w:val="both"/>
        <w:rPr>
          <w:rFonts w:cs="Arial"/>
        </w:rPr>
      </w:pPr>
      <w:r w:rsidRPr="002D48A9">
        <w:rPr>
          <w:rFonts w:cs="Arial"/>
        </w:rPr>
        <w:t xml:space="preserve">We now await the </w:t>
      </w:r>
      <w:r w:rsidR="00192CBA" w:rsidRPr="002D48A9">
        <w:rPr>
          <w:rFonts w:cs="Arial"/>
        </w:rPr>
        <w:t xml:space="preserve">outcomes of the </w:t>
      </w:r>
      <w:r w:rsidRPr="002D48A9">
        <w:rPr>
          <w:rFonts w:cs="Arial"/>
        </w:rPr>
        <w:t>W</w:t>
      </w:r>
      <w:r w:rsidR="00192CBA" w:rsidRPr="002D48A9">
        <w:rPr>
          <w:rFonts w:cs="Arial"/>
        </w:rPr>
        <w:t xml:space="preserve">aitangi </w:t>
      </w:r>
      <w:r w:rsidRPr="002D48A9">
        <w:rPr>
          <w:rFonts w:cs="Arial"/>
        </w:rPr>
        <w:t>T</w:t>
      </w:r>
      <w:r w:rsidR="00192CBA" w:rsidRPr="002D48A9">
        <w:rPr>
          <w:rFonts w:cs="Arial"/>
        </w:rPr>
        <w:t>ribunal inquiry,</w:t>
      </w:r>
      <w:r w:rsidR="00D00577" w:rsidRPr="002D48A9">
        <w:rPr>
          <w:rFonts w:cs="Arial"/>
        </w:rPr>
        <w:t xml:space="preserve"> which is</w:t>
      </w:r>
      <w:r w:rsidR="003C637C" w:rsidRPr="002D48A9">
        <w:rPr>
          <w:rFonts w:cs="Arial"/>
        </w:rPr>
        <w:t xml:space="preserve"> </w:t>
      </w:r>
      <w:r w:rsidR="00192CBA" w:rsidRPr="002D48A9">
        <w:rPr>
          <w:rFonts w:cs="Arial"/>
        </w:rPr>
        <w:t xml:space="preserve">the </w:t>
      </w:r>
      <w:r w:rsidR="009479C8" w:rsidRPr="002D48A9">
        <w:rPr>
          <w:rFonts w:cs="Arial"/>
        </w:rPr>
        <w:t>fifth and final</w:t>
      </w:r>
      <w:r w:rsidR="008E1112" w:rsidRPr="002D48A9">
        <w:rPr>
          <w:rFonts w:cs="Arial"/>
        </w:rPr>
        <w:t xml:space="preserve"> review</w:t>
      </w:r>
      <w:r w:rsidR="009479C8" w:rsidRPr="002D48A9">
        <w:rPr>
          <w:rFonts w:cs="Arial"/>
        </w:rPr>
        <w:t xml:space="preserve"> on state care removals</w:t>
      </w:r>
      <w:r w:rsidR="008E1112" w:rsidRPr="002D48A9">
        <w:rPr>
          <w:rFonts w:cs="Arial"/>
        </w:rPr>
        <w:t>.</w:t>
      </w:r>
      <w:r w:rsidR="009479C8" w:rsidRPr="002D48A9">
        <w:rPr>
          <w:rFonts w:cs="Arial"/>
        </w:rPr>
        <w:t xml:space="preserve"> As the Waitangi Tribunal </w:t>
      </w:r>
      <w:r w:rsidR="008C46CA" w:rsidRPr="002D48A9">
        <w:rPr>
          <w:rFonts w:cs="Arial"/>
        </w:rPr>
        <w:t xml:space="preserve">has the authority to </w:t>
      </w:r>
      <w:r w:rsidR="003C637C" w:rsidRPr="002D48A9">
        <w:rPr>
          <w:rFonts w:cs="Arial"/>
        </w:rPr>
        <w:t>find th</w:t>
      </w:r>
      <w:r w:rsidR="001072F4" w:rsidRPr="002D48A9">
        <w:rPr>
          <w:rFonts w:cs="Arial"/>
        </w:rPr>
        <w:t>at</w:t>
      </w:r>
      <w:r w:rsidR="009479C8" w:rsidRPr="002D48A9">
        <w:rPr>
          <w:rFonts w:cs="Arial"/>
        </w:rPr>
        <w:t xml:space="preserve"> </w:t>
      </w:r>
      <w:r w:rsidR="008C46CA" w:rsidRPr="002D48A9">
        <w:rPr>
          <w:rFonts w:cs="Arial"/>
        </w:rPr>
        <w:t>government</w:t>
      </w:r>
      <w:r w:rsidR="001072F4" w:rsidRPr="002D48A9">
        <w:rPr>
          <w:rFonts w:cs="Arial"/>
        </w:rPr>
        <w:t xml:space="preserve"> actions</w:t>
      </w:r>
      <w:r w:rsidR="008C46CA" w:rsidRPr="002D48A9">
        <w:rPr>
          <w:rFonts w:cs="Arial"/>
        </w:rPr>
        <w:t xml:space="preserve"> ha</w:t>
      </w:r>
      <w:r w:rsidR="001072F4" w:rsidRPr="002D48A9">
        <w:rPr>
          <w:rFonts w:cs="Arial"/>
        </w:rPr>
        <w:t>ve</w:t>
      </w:r>
      <w:r w:rsidR="009479C8" w:rsidRPr="002D48A9">
        <w:rPr>
          <w:rFonts w:cs="Arial"/>
        </w:rPr>
        <w:t xml:space="preserve"> breache</w:t>
      </w:r>
      <w:r w:rsidR="008C46CA" w:rsidRPr="002D48A9">
        <w:rPr>
          <w:rFonts w:cs="Arial"/>
        </w:rPr>
        <w:t>d</w:t>
      </w:r>
      <w:r w:rsidR="009479C8" w:rsidRPr="002D48A9">
        <w:rPr>
          <w:rFonts w:cs="Arial"/>
        </w:rPr>
        <w:t xml:space="preserve"> </w:t>
      </w:r>
      <w:r w:rsidR="001072F4" w:rsidRPr="002D48A9">
        <w:rPr>
          <w:rFonts w:cs="Arial"/>
        </w:rPr>
        <w:t xml:space="preserve">the promises in </w:t>
      </w:r>
      <w:proofErr w:type="spellStart"/>
      <w:r w:rsidR="00573022">
        <w:rPr>
          <w:rFonts w:cs="Arial"/>
        </w:rPr>
        <w:t>t</w:t>
      </w:r>
      <w:r w:rsidR="009479C8" w:rsidRPr="002D48A9">
        <w:rPr>
          <w:rFonts w:cs="Arial"/>
        </w:rPr>
        <w:t>e</w:t>
      </w:r>
      <w:proofErr w:type="spellEnd"/>
      <w:r w:rsidR="009479C8" w:rsidRPr="002D48A9">
        <w:rPr>
          <w:rFonts w:cs="Arial"/>
        </w:rPr>
        <w:t xml:space="preserve"> </w:t>
      </w:r>
      <w:proofErr w:type="spellStart"/>
      <w:r w:rsidR="009479C8" w:rsidRPr="002D48A9">
        <w:rPr>
          <w:rFonts w:cs="Arial"/>
        </w:rPr>
        <w:t>Tiriti</w:t>
      </w:r>
      <w:proofErr w:type="spellEnd"/>
      <w:r w:rsidR="003C637C" w:rsidRPr="002D48A9">
        <w:rPr>
          <w:rFonts w:cs="Arial"/>
        </w:rPr>
        <w:t xml:space="preserve"> and make recommendations on how to </w:t>
      </w:r>
      <w:r w:rsidR="001815C0" w:rsidRPr="002D48A9">
        <w:rPr>
          <w:rFonts w:cs="Arial"/>
        </w:rPr>
        <w:t>ameliorate t</w:t>
      </w:r>
      <w:r w:rsidR="001072F4" w:rsidRPr="002D48A9">
        <w:rPr>
          <w:rFonts w:cs="Arial"/>
        </w:rPr>
        <w:t>hese</w:t>
      </w:r>
      <w:r w:rsidR="001815C0" w:rsidRPr="002D48A9">
        <w:rPr>
          <w:rFonts w:cs="Arial"/>
        </w:rPr>
        <w:t xml:space="preserve"> breach</w:t>
      </w:r>
      <w:r w:rsidR="001072F4" w:rsidRPr="002D48A9">
        <w:rPr>
          <w:rFonts w:cs="Arial"/>
        </w:rPr>
        <w:t>es</w:t>
      </w:r>
      <w:r w:rsidR="009479C8" w:rsidRPr="002D48A9">
        <w:rPr>
          <w:rFonts w:cs="Arial"/>
        </w:rPr>
        <w:t>,</w:t>
      </w:r>
      <w:r w:rsidR="003C637C" w:rsidRPr="002D48A9">
        <w:rPr>
          <w:rFonts w:cs="Arial"/>
        </w:rPr>
        <w:t xml:space="preserve"> i</w:t>
      </w:r>
      <w:r w:rsidR="001072F4" w:rsidRPr="002D48A9">
        <w:rPr>
          <w:rFonts w:cs="Arial"/>
        </w:rPr>
        <w:t>ts finding</w:t>
      </w:r>
      <w:r w:rsidR="004A3984">
        <w:rPr>
          <w:rFonts w:cs="Arial"/>
        </w:rPr>
        <w:t>s</w:t>
      </w:r>
      <w:r w:rsidR="001072F4" w:rsidRPr="002D48A9">
        <w:rPr>
          <w:rFonts w:cs="Arial"/>
        </w:rPr>
        <w:t xml:space="preserve"> in relation to the removal of </w:t>
      </w:r>
      <w:proofErr w:type="spellStart"/>
      <w:r w:rsidR="001072F4" w:rsidRPr="002D48A9">
        <w:rPr>
          <w:rFonts w:cs="Arial"/>
        </w:rPr>
        <w:t>tamariki</w:t>
      </w:r>
      <w:proofErr w:type="spellEnd"/>
      <w:r w:rsidR="001072F4" w:rsidRPr="002D48A9">
        <w:rPr>
          <w:rFonts w:cs="Arial"/>
        </w:rPr>
        <w:t xml:space="preserve"> Māori into state care will provide a clear direction on  what </w:t>
      </w:r>
      <w:r w:rsidR="001815C0" w:rsidRPr="002D48A9">
        <w:rPr>
          <w:rFonts w:cs="Arial"/>
        </w:rPr>
        <w:t>duties the</w:t>
      </w:r>
      <w:r w:rsidR="009479C8" w:rsidRPr="002D48A9">
        <w:rPr>
          <w:rFonts w:cs="Arial"/>
        </w:rPr>
        <w:t xml:space="preserve"> government</w:t>
      </w:r>
      <w:r w:rsidR="001815C0" w:rsidRPr="002D48A9">
        <w:rPr>
          <w:rFonts w:cs="Arial"/>
        </w:rPr>
        <w:t xml:space="preserve"> </w:t>
      </w:r>
      <w:r w:rsidR="001072F4" w:rsidRPr="002D48A9">
        <w:rPr>
          <w:rFonts w:cs="Arial"/>
        </w:rPr>
        <w:t>owe</w:t>
      </w:r>
      <w:r w:rsidR="004A3984">
        <w:rPr>
          <w:rFonts w:cs="Arial"/>
        </w:rPr>
        <w:t>s</w:t>
      </w:r>
      <w:r w:rsidR="001072F4" w:rsidRPr="002D48A9">
        <w:rPr>
          <w:rFonts w:cs="Arial"/>
        </w:rPr>
        <w:t xml:space="preserve"> to</w:t>
      </w:r>
      <w:r w:rsidR="001815C0" w:rsidRPr="002D48A9">
        <w:rPr>
          <w:rFonts w:cs="Arial"/>
        </w:rPr>
        <w:t xml:space="preserve"> </w:t>
      </w:r>
      <w:proofErr w:type="spellStart"/>
      <w:r w:rsidR="00D26F86" w:rsidRPr="002D48A9">
        <w:rPr>
          <w:rFonts w:cs="Arial"/>
        </w:rPr>
        <w:t>tamariki</w:t>
      </w:r>
      <w:proofErr w:type="spellEnd"/>
      <w:r w:rsidR="00D26F86" w:rsidRPr="002D48A9">
        <w:rPr>
          <w:rFonts w:cs="Arial"/>
        </w:rPr>
        <w:t xml:space="preserve"> Māori and their </w:t>
      </w:r>
      <w:proofErr w:type="spellStart"/>
      <w:r w:rsidR="00D26F86" w:rsidRPr="002D48A9">
        <w:rPr>
          <w:rFonts w:cs="Arial"/>
        </w:rPr>
        <w:t>whānau</w:t>
      </w:r>
      <w:proofErr w:type="spellEnd"/>
      <w:r w:rsidR="00D26F86" w:rsidRPr="002D48A9">
        <w:rPr>
          <w:rFonts w:cs="Arial"/>
        </w:rPr>
        <w:t xml:space="preserve">, </w:t>
      </w:r>
      <w:proofErr w:type="spellStart"/>
      <w:r w:rsidR="00D26F86" w:rsidRPr="002D48A9">
        <w:rPr>
          <w:rFonts w:cs="Arial"/>
        </w:rPr>
        <w:t>hapū</w:t>
      </w:r>
      <w:proofErr w:type="spellEnd"/>
      <w:r w:rsidR="00D26F86" w:rsidRPr="002D48A9">
        <w:rPr>
          <w:rFonts w:cs="Arial"/>
        </w:rPr>
        <w:t xml:space="preserve"> and iwi </w:t>
      </w:r>
      <w:r w:rsidR="001815C0" w:rsidRPr="002D48A9">
        <w:rPr>
          <w:rFonts w:cs="Arial"/>
        </w:rPr>
        <w:t xml:space="preserve">under </w:t>
      </w:r>
      <w:proofErr w:type="spellStart"/>
      <w:r w:rsidR="00573022">
        <w:rPr>
          <w:rFonts w:cs="Arial"/>
        </w:rPr>
        <w:t>t</w:t>
      </w:r>
      <w:r w:rsidR="001815C0" w:rsidRPr="002D48A9">
        <w:rPr>
          <w:rFonts w:cs="Arial"/>
        </w:rPr>
        <w:t>e</w:t>
      </w:r>
      <w:proofErr w:type="spellEnd"/>
      <w:r w:rsidR="001815C0" w:rsidRPr="002D48A9">
        <w:rPr>
          <w:rFonts w:cs="Arial"/>
        </w:rPr>
        <w:t xml:space="preserve"> </w:t>
      </w:r>
      <w:proofErr w:type="spellStart"/>
      <w:r w:rsidR="001815C0" w:rsidRPr="002D48A9">
        <w:rPr>
          <w:rFonts w:cs="Arial"/>
        </w:rPr>
        <w:t>Tiriti</w:t>
      </w:r>
      <w:proofErr w:type="spellEnd"/>
      <w:r w:rsidR="001815C0" w:rsidRPr="002D48A9">
        <w:rPr>
          <w:rFonts w:cs="Arial"/>
        </w:rPr>
        <w:t xml:space="preserve">, what omissions it made </w:t>
      </w:r>
      <w:r w:rsidR="001072F4" w:rsidRPr="002D48A9">
        <w:rPr>
          <w:rFonts w:cs="Arial"/>
        </w:rPr>
        <w:t xml:space="preserve">in the removal of </w:t>
      </w:r>
      <w:proofErr w:type="spellStart"/>
      <w:r w:rsidR="001072F4" w:rsidRPr="002D48A9">
        <w:rPr>
          <w:rFonts w:cs="Arial"/>
        </w:rPr>
        <w:t>tamariki</w:t>
      </w:r>
      <w:proofErr w:type="spellEnd"/>
      <w:r w:rsidR="001072F4" w:rsidRPr="002D48A9">
        <w:rPr>
          <w:rFonts w:cs="Arial"/>
        </w:rPr>
        <w:t xml:space="preserve"> Māori </w:t>
      </w:r>
      <w:r w:rsidR="00B83701" w:rsidRPr="002D48A9">
        <w:rPr>
          <w:rFonts w:cs="Arial"/>
        </w:rPr>
        <w:t xml:space="preserve">into state care and what actions is should take to prevent </w:t>
      </w:r>
      <w:proofErr w:type="spellStart"/>
      <w:r w:rsidR="00573022">
        <w:rPr>
          <w:rFonts w:cs="Arial"/>
        </w:rPr>
        <w:t>t</w:t>
      </w:r>
      <w:r w:rsidR="00573022" w:rsidRPr="002D48A9">
        <w:rPr>
          <w:rFonts w:cs="Arial"/>
        </w:rPr>
        <w:t>e</w:t>
      </w:r>
      <w:proofErr w:type="spellEnd"/>
      <w:r w:rsidR="00573022" w:rsidRPr="002D48A9">
        <w:rPr>
          <w:rFonts w:cs="Arial"/>
        </w:rPr>
        <w:t xml:space="preserve"> </w:t>
      </w:r>
      <w:proofErr w:type="spellStart"/>
      <w:r w:rsidR="00B83701" w:rsidRPr="002D48A9">
        <w:rPr>
          <w:rFonts w:cs="Arial"/>
        </w:rPr>
        <w:t>Tiriti</w:t>
      </w:r>
      <w:proofErr w:type="spellEnd"/>
      <w:r w:rsidR="00B83701" w:rsidRPr="002D48A9">
        <w:rPr>
          <w:rFonts w:cs="Arial"/>
        </w:rPr>
        <w:t xml:space="preserve"> breaches in the future. </w:t>
      </w:r>
      <w:r w:rsidR="001815C0" w:rsidRPr="002D48A9">
        <w:rPr>
          <w:rFonts w:cs="Arial"/>
        </w:rPr>
        <w:t xml:space="preserve"> </w:t>
      </w:r>
    </w:p>
    <w:p w14:paraId="40BCB7F6" w14:textId="56B76A67" w:rsidR="001619E9" w:rsidRPr="002D48A9" w:rsidRDefault="001619E9" w:rsidP="001619E9">
      <w:pPr>
        <w:jc w:val="both"/>
        <w:rPr>
          <w:rFonts w:cs="Arial"/>
          <w:u w:val="single"/>
        </w:rPr>
      </w:pPr>
      <w:r w:rsidRPr="002D48A9">
        <w:rPr>
          <w:rFonts w:cs="Arial"/>
          <w:u w:val="single"/>
        </w:rPr>
        <w:t xml:space="preserve">A legacy of </w:t>
      </w:r>
      <w:r w:rsidR="006A36F8" w:rsidRPr="002D48A9">
        <w:rPr>
          <w:rFonts w:cs="Arial"/>
          <w:u w:val="single"/>
        </w:rPr>
        <w:t xml:space="preserve">Indigenous child </w:t>
      </w:r>
      <w:r w:rsidRPr="002D48A9">
        <w:rPr>
          <w:rFonts w:cs="Arial"/>
          <w:u w:val="single"/>
        </w:rPr>
        <w:t>removal</w:t>
      </w:r>
    </w:p>
    <w:p w14:paraId="0EDF7E0E" w14:textId="0528F849" w:rsidR="001619E9" w:rsidRPr="002D48A9" w:rsidRDefault="001619E9" w:rsidP="001619E9">
      <w:pPr>
        <w:jc w:val="both"/>
        <w:rPr>
          <w:rFonts w:cs="Arial"/>
        </w:rPr>
      </w:pPr>
      <w:r w:rsidRPr="002D48A9">
        <w:rPr>
          <w:rFonts w:cs="Arial"/>
        </w:rPr>
        <w:t>The recent events</w:t>
      </w:r>
      <w:r w:rsidR="003F0188" w:rsidRPr="002D48A9">
        <w:rPr>
          <w:rFonts w:cs="Arial"/>
        </w:rPr>
        <w:t xml:space="preserve"> outlined above</w:t>
      </w:r>
      <w:r w:rsidRPr="002D48A9">
        <w:rPr>
          <w:rFonts w:cs="Arial"/>
        </w:rPr>
        <w:t xml:space="preserve"> sit in the foreground of a long history of </w:t>
      </w:r>
      <w:proofErr w:type="spellStart"/>
      <w:r w:rsidRPr="002D48A9">
        <w:rPr>
          <w:rFonts w:cs="Arial"/>
        </w:rPr>
        <w:t>tamariki</w:t>
      </w:r>
      <w:proofErr w:type="spellEnd"/>
      <w:r w:rsidRPr="002D48A9">
        <w:rPr>
          <w:rFonts w:cs="Arial"/>
        </w:rPr>
        <w:t xml:space="preserve"> Māori removal in </w:t>
      </w:r>
      <w:r w:rsidR="001E1910">
        <w:rPr>
          <w:rFonts w:cs="Arial"/>
        </w:rPr>
        <w:t>Aotearoa</w:t>
      </w:r>
      <w:r w:rsidRPr="002D48A9">
        <w:rPr>
          <w:rFonts w:cs="Arial"/>
        </w:rPr>
        <w:t xml:space="preserve">. A Royal Commission of Inquiry was recently established in </w:t>
      </w:r>
      <w:r w:rsidR="001E1910">
        <w:rPr>
          <w:rFonts w:cs="Arial"/>
        </w:rPr>
        <w:t>Aotearoa</w:t>
      </w:r>
      <w:r w:rsidR="004A3984">
        <w:rPr>
          <w:rFonts w:cs="Arial"/>
        </w:rPr>
        <w:t xml:space="preserve"> </w:t>
      </w:r>
      <w:r w:rsidRPr="002D48A9">
        <w:rPr>
          <w:rFonts w:cs="Arial"/>
        </w:rPr>
        <w:t>to investigate abuse in State care and faith-based institutions.</w:t>
      </w:r>
      <w:r w:rsidR="00E14EAD" w:rsidRPr="002D48A9">
        <w:rPr>
          <w:rStyle w:val="FootnoteReference"/>
          <w:rFonts w:cs="Arial"/>
        </w:rPr>
        <w:footnoteReference w:id="10"/>
      </w:r>
      <w:r w:rsidRPr="002D48A9">
        <w:rPr>
          <w:rFonts w:cs="Arial"/>
        </w:rPr>
        <w:t xml:space="preserve"> A key part of the Commission’s mandate is to inquire into the specific experience of Māori, the harm they suffered and the impact of abuse on individual Māori, </w:t>
      </w:r>
      <w:proofErr w:type="spellStart"/>
      <w:r w:rsidRPr="002D48A9">
        <w:rPr>
          <w:rFonts w:cs="Arial"/>
        </w:rPr>
        <w:t>whānau</w:t>
      </w:r>
      <w:proofErr w:type="spellEnd"/>
      <w:r w:rsidRPr="002D48A9">
        <w:rPr>
          <w:rFonts w:cs="Arial"/>
        </w:rPr>
        <w:t xml:space="preserve"> and the wider Māori community, including intergenerational impacts. In its interim report,</w:t>
      </w:r>
      <w:r w:rsidR="00E14EAD" w:rsidRPr="002D48A9">
        <w:rPr>
          <w:rStyle w:val="FootnoteReference"/>
          <w:rFonts w:cs="Arial"/>
        </w:rPr>
        <w:footnoteReference w:id="11"/>
      </w:r>
      <w:r w:rsidRPr="002D48A9">
        <w:rPr>
          <w:rFonts w:cs="Arial"/>
        </w:rPr>
        <w:t xml:space="preserve"> released in late 2020, the Royal Commission confirmed that Māori have been overrepresented in State care for generations and disproportionately subjected to abuse. The taking of so many </w:t>
      </w:r>
      <w:proofErr w:type="spellStart"/>
      <w:r w:rsidRPr="002D48A9">
        <w:rPr>
          <w:rFonts w:cs="Arial"/>
        </w:rPr>
        <w:t>tamariki</w:t>
      </w:r>
      <w:proofErr w:type="spellEnd"/>
      <w:r w:rsidRPr="002D48A9">
        <w:rPr>
          <w:rFonts w:cs="Arial"/>
        </w:rPr>
        <w:t xml:space="preserve"> Māori into State care, over generations, has also damaged Māori communities and struck at the heart of tikanga Māori and </w:t>
      </w:r>
      <w:proofErr w:type="spellStart"/>
      <w:r w:rsidRPr="002D48A9">
        <w:rPr>
          <w:rFonts w:cs="Arial"/>
        </w:rPr>
        <w:t>tino</w:t>
      </w:r>
      <w:proofErr w:type="spellEnd"/>
      <w:r w:rsidRPr="002D48A9">
        <w:rPr>
          <w:rFonts w:cs="Arial"/>
        </w:rPr>
        <w:t xml:space="preserve"> rangatiratanga</w:t>
      </w:r>
      <w:r w:rsidR="004A3984">
        <w:rPr>
          <w:rFonts w:cs="Arial"/>
        </w:rPr>
        <w:t>/self-determination</w:t>
      </w:r>
      <w:r w:rsidRPr="002D48A9">
        <w:rPr>
          <w:rFonts w:cs="Arial"/>
        </w:rPr>
        <w:t xml:space="preserve">. Over the course of its inquiry, the Royal Commission will continue to consider the extent to which the New Zealand government honoured its obligations under </w:t>
      </w:r>
      <w:proofErr w:type="spellStart"/>
      <w:r w:rsidR="00573022">
        <w:rPr>
          <w:rFonts w:cs="Arial"/>
        </w:rPr>
        <w:t>t</w:t>
      </w:r>
      <w:r w:rsidRPr="002D48A9">
        <w:rPr>
          <w:rFonts w:cs="Arial"/>
        </w:rPr>
        <w:t>e</w:t>
      </w:r>
      <w:proofErr w:type="spellEnd"/>
      <w:r w:rsidRPr="002D48A9">
        <w:rPr>
          <w:rFonts w:cs="Arial"/>
        </w:rPr>
        <w:t xml:space="preserve"> </w:t>
      </w:r>
      <w:proofErr w:type="spellStart"/>
      <w:r w:rsidRPr="002D48A9">
        <w:rPr>
          <w:rFonts w:cs="Arial"/>
        </w:rPr>
        <w:t>Tiriti</w:t>
      </w:r>
      <w:proofErr w:type="spellEnd"/>
      <w:r w:rsidRPr="002D48A9">
        <w:rPr>
          <w:rFonts w:cs="Arial"/>
        </w:rPr>
        <w:t xml:space="preserve"> and the </w:t>
      </w:r>
      <w:r w:rsidR="004A3984">
        <w:rPr>
          <w:rFonts w:cs="Arial"/>
        </w:rPr>
        <w:t xml:space="preserve">Indigenous </w:t>
      </w:r>
      <w:r w:rsidRPr="002D48A9">
        <w:rPr>
          <w:rFonts w:cs="Arial"/>
        </w:rPr>
        <w:t xml:space="preserve">Declaration </w:t>
      </w:r>
      <w:r w:rsidR="00ED7005" w:rsidRPr="002D48A9">
        <w:rPr>
          <w:rFonts w:cs="Arial"/>
        </w:rPr>
        <w:t xml:space="preserve">when it removed </w:t>
      </w:r>
      <w:proofErr w:type="spellStart"/>
      <w:r w:rsidRPr="002D48A9">
        <w:rPr>
          <w:rFonts w:cs="Arial"/>
        </w:rPr>
        <w:t>tamariki</w:t>
      </w:r>
      <w:proofErr w:type="spellEnd"/>
      <w:r w:rsidRPr="002D48A9">
        <w:rPr>
          <w:rFonts w:cs="Arial"/>
        </w:rPr>
        <w:t xml:space="preserve"> Māori into </w:t>
      </w:r>
      <w:r w:rsidR="004A3984">
        <w:rPr>
          <w:rFonts w:cs="Arial"/>
        </w:rPr>
        <w:t>s</w:t>
      </w:r>
      <w:r w:rsidRPr="002D48A9">
        <w:rPr>
          <w:rFonts w:cs="Arial"/>
        </w:rPr>
        <w:t xml:space="preserve">tate care and </w:t>
      </w:r>
      <w:r w:rsidR="00ED7005" w:rsidRPr="002D48A9">
        <w:rPr>
          <w:rFonts w:cs="Arial"/>
        </w:rPr>
        <w:t>how they were treated</w:t>
      </w:r>
      <w:r w:rsidRPr="002D48A9">
        <w:rPr>
          <w:rFonts w:cs="Arial"/>
        </w:rPr>
        <w:t xml:space="preserve"> while in care and will make findings and recommendations in 2023, including redress options for Māori.</w:t>
      </w:r>
    </w:p>
    <w:p w14:paraId="2EF3AAEA" w14:textId="77777777" w:rsidR="001619E9" w:rsidRPr="002D48A9" w:rsidRDefault="001619E9" w:rsidP="001619E9">
      <w:pPr>
        <w:rPr>
          <w:rFonts w:cs="Arial"/>
          <w:u w:val="single"/>
        </w:rPr>
      </w:pPr>
      <w:r w:rsidRPr="002D48A9">
        <w:rPr>
          <w:rFonts w:cs="Arial"/>
          <w:u w:val="single"/>
        </w:rPr>
        <w:t>Potential for change – new legislation</w:t>
      </w:r>
    </w:p>
    <w:p w14:paraId="1B984490" w14:textId="1CFC8132" w:rsidR="004767AA" w:rsidRPr="002D48A9" w:rsidRDefault="001619E9" w:rsidP="001619E9">
      <w:pPr>
        <w:jc w:val="both"/>
        <w:rPr>
          <w:rFonts w:cs="Arial"/>
        </w:rPr>
      </w:pPr>
      <w:r w:rsidRPr="002D48A9">
        <w:rPr>
          <w:rFonts w:cs="Arial"/>
        </w:rPr>
        <w:t>I</w:t>
      </w:r>
      <w:r w:rsidR="00135981" w:rsidRPr="002D48A9">
        <w:rPr>
          <w:rFonts w:cs="Arial"/>
        </w:rPr>
        <w:t xml:space="preserve">n tandem </w:t>
      </w:r>
      <w:r w:rsidR="00A575E5" w:rsidRPr="002D48A9">
        <w:rPr>
          <w:rFonts w:cs="Arial"/>
        </w:rPr>
        <w:t xml:space="preserve">with the momentum for change </w:t>
      </w:r>
      <w:r w:rsidR="004D706A" w:rsidRPr="002D48A9">
        <w:rPr>
          <w:rFonts w:cs="Arial"/>
        </w:rPr>
        <w:t xml:space="preserve">created by </w:t>
      </w:r>
      <w:r w:rsidR="00135981" w:rsidRPr="002D48A9">
        <w:rPr>
          <w:rFonts w:cs="Arial"/>
        </w:rPr>
        <w:t xml:space="preserve">the multiple reviews and inquiries into removal of </w:t>
      </w:r>
      <w:proofErr w:type="spellStart"/>
      <w:r w:rsidR="00135981" w:rsidRPr="002D48A9">
        <w:rPr>
          <w:rFonts w:cs="Arial"/>
        </w:rPr>
        <w:t>tamari</w:t>
      </w:r>
      <w:r w:rsidR="004D706A" w:rsidRPr="002D48A9">
        <w:rPr>
          <w:rFonts w:cs="Arial"/>
        </w:rPr>
        <w:t>k</w:t>
      </w:r>
      <w:r w:rsidR="00135981" w:rsidRPr="002D48A9">
        <w:rPr>
          <w:rFonts w:cs="Arial"/>
        </w:rPr>
        <w:t>i</w:t>
      </w:r>
      <w:proofErr w:type="spellEnd"/>
      <w:r w:rsidR="00135981" w:rsidRPr="002D48A9">
        <w:rPr>
          <w:rFonts w:cs="Arial"/>
        </w:rPr>
        <w:t xml:space="preserve"> Māori into </w:t>
      </w:r>
      <w:r w:rsidR="004A3984">
        <w:rPr>
          <w:rFonts w:cs="Arial"/>
        </w:rPr>
        <w:t>s</w:t>
      </w:r>
      <w:r w:rsidR="00135981" w:rsidRPr="002D48A9">
        <w:rPr>
          <w:rFonts w:cs="Arial"/>
        </w:rPr>
        <w:t xml:space="preserve">tate care, </w:t>
      </w:r>
      <w:r w:rsidRPr="002D48A9">
        <w:rPr>
          <w:rFonts w:cs="Arial"/>
        </w:rPr>
        <w:t xml:space="preserve">recent changes to </w:t>
      </w:r>
      <w:r w:rsidR="001E1910">
        <w:rPr>
          <w:rFonts w:cs="Arial"/>
        </w:rPr>
        <w:t>Aotearoa</w:t>
      </w:r>
      <w:r w:rsidRPr="002D48A9">
        <w:rPr>
          <w:rFonts w:cs="Arial"/>
        </w:rPr>
        <w:t xml:space="preserve">’s care and protection legislation </w:t>
      </w:r>
      <w:r w:rsidR="00135981" w:rsidRPr="002D48A9">
        <w:rPr>
          <w:rFonts w:cs="Arial"/>
        </w:rPr>
        <w:t xml:space="preserve">also </w:t>
      </w:r>
      <w:r w:rsidRPr="002D48A9">
        <w:rPr>
          <w:rFonts w:cs="Arial"/>
        </w:rPr>
        <w:t xml:space="preserve">represent a significant step towards advancing the rights of </w:t>
      </w:r>
      <w:proofErr w:type="spellStart"/>
      <w:r w:rsidRPr="002D48A9">
        <w:rPr>
          <w:rFonts w:cs="Arial"/>
        </w:rPr>
        <w:t>tamariki</w:t>
      </w:r>
      <w:proofErr w:type="spellEnd"/>
      <w:r w:rsidRPr="002D48A9">
        <w:rPr>
          <w:rFonts w:cs="Arial"/>
        </w:rPr>
        <w:t xml:space="preserve"> Māori and their </w:t>
      </w:r>
      <w:proofErr w:type="spellStart"/>
      <w:r w:rsidRPr="002D48A9">
        <w:rPr>
          <w:rFonts w:cs="Arial"/>
        </w:rPr>
        <w:t>whānau</w:t>
      </w:r>
      <w:proofErr w:type="spellEnd"/>
      <w:r w:rsidRPr="002D48A9">
        <w:rPr>
          <w:rFonts w:cs="Arial"/>
        </w:rPr>
        <w:t xml:space="preserve"> under </w:t>
      </w:r>
      <w:proofErr w:type="spellStart"/>
      <w:r w:rsidR="004A3984">
        <w:rPr>
          <w:rFonts w:cs="Arial"/>
        </w:rPr>
        <w:t>t</w:t>
      </w:r>
      <w:r w:rsidRPr="002D48A9">
        <w:rPr>
          <w:rFonts w:cs="Arial"/>
        </w:rPr>
        <w:t>e</w:t>
      </w:r>
      <w:proofErr w:type="spellEnd"/>
      <w:r w:rsidRPr="002D48A9">
        <w:rPr>
          <w:rFonts w:cs="Arial"/>
        </w:rPr>
        <w:t xml:space="preserve"> </w:t>
      </w:r>
      <w:proofErr w:type="spellStart"/>
      <w:r w:rsidRPr="002D48A9">
        <w:rPr>
          <w:rFonts w:cs="Arial"/>
        </w:rPr>
        <w:t>Tiriti</w:t>
      </w:r>
      <w:proofErr w:type="spellEnd"/>
      <w:r w:rsidRPr="002D48A9">
        <w:rPr>
          <w:rFonts w:cs="Arial"/>
        </w:rPr>
        <w:t xml:space="preserve">, the </w:t>
      </w:r>
      <w:r w:rsidR="004A3984">
        <w:rPr>
          <w:rFonts w:cs="Arial"/>
        </w:rPr>
        <w:t xml:space="preserve">Indigenous </w:t>
      </w:r>
      <w:r w:rsidRPr="002D48A9">
        <w:rPr>
          <w:rFonts w:cs="Arial"/>
        </w:rPr>
        <w:t xml:space="preserve">Declaration and the CRC. </w:t>
      </w:r>
    </w:p>
    <w:p w14:paraId="54F0A5F4" w14:textId="7F8D7382" w:rsidR="001619E9" w:rsidRPr="002D48A9" w:rsidRDefault="001619E9" w:rsidP="001619E9">
      <w:pPr>
        <w:jc w:val="both"/>
        <w:rPr>
          <w:rFonts w:cs="Arial"/>
        </w:rPr>
      </w:pPr>
      <w:r w:rsidRPr="002D48A9">
        <w:rPr>
          <w:rFonts w:cs="Arial"/>
        </w:rPr>
        <w:t xml:space="preserve">Specifically, there is now repeated recognition of tikanga Māori concepts throughout the legislation, requiring decision-makers to </w:t>
      </w:r>
      <w:proofErr w:type="gramStart"/>
      <w:r w:rsidRPr="002D48A9">
        <w:rPr>
          <w:rFonts w:cs="Arial"/>
        </w:rPr>
        <w:t>take into account</w:t>
      </w:r>
      <w:proofErr w:type="gramEnd"/>
      <w:r w:rsidRPr="002D48A9">
        <w:rPr>
          <w:rFonts w:cs="Arial"/>
        </w:rPr>
        <w:t xml:space="preserve"> the mana </w:t>
      </w:r>
      <w:proofErr w:type="spellStart"/>
      <w:r w:rsidRPr="002D48A9">
        <w:rPr>
          <w:rFonts w:cs="Arial"/>
        </w:rPr>
        <w:t>tamaiti</w:t>
      </w:r>
      <w:proofErr w:type="spellEnd"/>
      <w:r w:rsidRPr="002D48A9">
        <w:rPr>
          <w:rFonts w:cs="Arial"/>
        </w:rPr>
        <w:t xml:space="preserve"> (</w:t>
      </w:r>
      <w:r w:rsidRPr="002D48A9">
        <w:rPr>
          <w:rFonts w:cs="Arial"/>
          <w:shd w:val="clear" w:color="auto" w:fill="FFFFFF"/>
        </w:rPr>
        <w:t xml:space="preserve">deep intrinsic worth and human </w:t>
      </w:r>
      <w:r w:rsidRPr="002D48A9">
        <w:rPr>
          <w:rFonts w:cs="Arial"/>
          <w:shd w:val="clear" w:color="auto" w:fill="FFFFFF"/>
        </w:rPr>
        <w:lastRenderedPageBreak/>
        <w:t xml:space="preserve">potential), </w:t>
      </w:r>
      <w:r w:rsidRPr="002D48A9">
        <w:rPr>
          <w:rFonts w:cs="Arial"/>
        </w:rPr>
        <w:t>whakapapa (ancestry, genealogy) and whanaungatanga (</w:t>
      </w:r>
      <w:r w:rsidRPr="002D48A9">
        <w:rPr>
          <w:rFonts w:cs="Arial"/>
          <w:shd w:val="clear" w:color="auto" w:fill="FFFFFF"/>
        </w:rPr>
        <w:t xml:space="preserve">relationship, kinship, sense of family connection) of </w:t>
      </w:r>
      <w:proofErr w:type="spellStart"/>
      <w:r w:rsidRPr="002D48A9">
        <w:rPr>
          <w:rFonts w:cs="Arial"/>
          <w:shd w:val="clear" w:color="auto" w:fill="FFFFFF"/>
        </w:rPr>
        <w:t>tamariki</w:t>
      </w:r>
      <w:proofErr w:type="spellEnd"/>
      <w:r w:rsidRPr="002D48A9">
        <w:rPr>
          <w:rFonts w:cs="Arial"/>
          <w:shd w:val="clear" w:color="auto" w:fill="FFFFFF"/>
        </w:rPr>
        <w:t xml:space="preserve"> Māori</w:t>
      </w:r>
      <w:r w:rsidRPr="002D48A9">
        <w:rPr>
          <w:rFonts w:cs="Arial"/>
        </w:rPr>
        <w:t xml:space="preserve">. These provisions oblige decision-makers to see </w:t>
      </w:r>
      <w:proofErr w:type="spellStart"/>
      <w:r w:rsidRPr="002D48A9">
        <w:rPr>
          <w:rFonts w:cs="Arial"/>
        </w:rPr>
        <w:t>tamariki</w:t>
      </w:r>
      <w:proofErr w:type="spellEnd"/>
      <w:r w:rsidRPr="002D48A9">
        <w:rPr>
          <w:rFonts w:cs="Arial"/>
        </w:rPr>
        <w:t xml:space="preserve"> Māori within the wider context of their </w:t>
      </w:r>
      <w:proofErr w:type="spellStart"/>
      <w:r w:rsidRPr="002D48A9">
        <w:rPr>
          <w:rFonts w:cs="Arial"/>
        </w:rPr>
        <w:t>whānau</w:t>
      </w:r>
      <w:proofErr w:type="spellEnd"/>
      <w:r w:rsidRPr="002D48A9">
        <w:rPr>
          <w:rFonts w:cs="Arial"/>
        </w:rPr>
        <w:t xml:space="preserve">, </w:t>
      </w:r>
      <w:proofErr w:type="spellStart"/>
      <w:r w:rsidRPr="002D48A9">
        <w:rPr>
          <w:rFonts w:cs="Arial"/>
        </w:rPr>
        <w:t>hapū</w:t>
      </w:r>
      <w:proofErr w:type="spellEnd"/>
      <w:r w:rsidRPr="002D48A9">
        <w:rPr>
          <w:rFonts w:cs="Arial"/>
        </w:rPr>
        <w:t xml:space="preserve"> and iwi and the central role </w:t>
      </w:r>
      <w:r w:rsidR="00995FB6" w:rsidRPr="002D48A9">
        <w:rPr>
          <w:rFonts w:cs="Arial"/>
        </w:rPr>
        <w:t xml:space="preserve">that </w:t>
      </w:r>
      <w:r w:rsidRPr="002D48A9">
        <w:rPr>
          <w:rFonts w:cs="Arial"/>
        </w:rPr>
        <w:t xml:space="preserve">cultural identity </w:t>
      </w:r>
      <w:r w:rsidR="00995FB6" w:rsidRPr="002D48A9">
        <w:rPr>
          <w:rFonts w:cs="Arial"/>
        </w:rPr>
        <w:t>plays in</w:t>
      </w:r>
      <w:r w:rsidRPr="002D48A9">
        <w:rPr>
          <w:rFonts w:cs="Arial"/>
        </w:rPr>
        <w:t xml:space="preserve"> their wellbeing. The legislation now also encourages the Chief Executive Officer of Oranga Tamariki to broker </w:t>
      </w:r>
      <w:r w:rsidR="00135981" w:rsidRPr="002D48A9">
        <w:rPr>
          <w:rFonts w:cs="Arial"/>
        </w:rPr>
        <w:t>‘</w:t>
      </w:r>
      <w:r w:rsidRPr="002D48A9">
        <w:rPr>
          <w:rFonts w:cs="Arial"/>
        </w:rPr>
        <w:t>strategic partnerships</w:t>
      </w:r>
      <w:r w:rsidR="00135981" w:rsidRPr="002D48A9">
        <w:rPr>
          <w:rFonts w:cs="Arial"/>
        </w:rPr>
        <w:t>’</w:t>
      </w:r>
      <w:r w:rsidRPr="002D48A9">
        <w:rPr>
          <w:rFonts w:cs="Arial"/>
        </w:rPr>
        <w:t xml:space="preserve"> with iwi and Māori organisations to</w:t>
      </w:r>
      <w:r w:rsidR="0011506D" w:rsidRPr="002D48A9">
        <w:rPr>
          <w:rFonts w:cs="Arial"/>
        </w:rPr>
        <w:t xml:space="preserve"> provide for th</w:t>
      </w:r>
      <w:r w:rsidR="0035767E" w:rsidRPr="002D48A9">
        <w:rPr>
          <w:rFonts w:cs="Arial"/>
        </w:rPr>
        <w:t>eir</w:t>
      </w:r>
      <w:r w:rsidR="0011506D" w:rsidRPr="002D48A9">
        <w:rPr>
          <w:rFonts w:cs="Arial"/>
        </w:rPr>
        <w:t xml:space="preserve"> direct involvement in the care and protection </w:t>
      </w:r>
      <w:r w:rsidR="0035767E" w:rsidRPr="002D48A9">
        <w:rPr>
          <w:rFonts w:cs="Arial"/>
        </w:rPr>
        <w:t>on</w:t>
      </w:r>
      <w:r w:rsidRPr="002D48A9">
        <w:rPr>
          <w:rFonts w:cs="Arial"/>
        </w:rPr>
        <w:t xml:space="preserve"> </w:t>
      </w:r>
      <w:proofErr w:type="spellStart"/>
      <w:r w:rsidRPr="002D48A9">
        <w:rPr>
          <w:rFonts w:cs="Arial"/>
        </w:rPr>
        <w:t>tamariki</w:t>
      </w:r>
      <w:proofErr w:type="spellEnd"/>
      <w:r w:rsidRPr="002D48A9">
        <w:rPr>
          <w:rFonts w:cs="Arial"/>
        </w:rPr>
        <w:t xml:space="preserve"> Māori. The legislation also incorporates the CRC and includes significantly strengthened child participation provisions, including the requirement for judges to explain their decisions to </w:t>
      </w:r>
      <w:proofErr w:type="spellStart"/>
      <w:r w:rsidRPr="002D48A9">
        <w:rPr>
          <w:rFonts w:cs="Arial"/>
        </w:rPr>
        <w:t>tamariki</w:t>
      </w:r>
      <w:proofErr w:type="spellEnd"/>
      <w:r w:rsidRPr="002D48A9">
        <w:rPr>
          <w:rFonts w:cs="Arial"/>
        </w:rPr>
        <w:t xml:space="preserve"> Māori and how they will be affected. A judge must also include the views of </w:t>
      </w:r>
      <w:proofErr w:type="spellStart"/>
      <w:r w:rsidRPr="002D48A9">
        <w:rPr>
          <w:rFonts w:cs="Arial"/>
        </w:rPr>
        <w:t>tamariki</w:t>
      </w:r>
      <w:proofErr w:type="spellEnd"/>
      <w:r w:rsidRPr="002D48A9">
        <w:rPr>
          <w:rFonts w:cs="Arial"/>
        </w:rPr>
        <w:t xml:space="preserve"> Māori in their written decision and, if not followed, their reasons for not doing so.</w:t>
      </w:r>
      <w:r w:rsidRPr="002D48A9">
        <w:rPr>
          <w:rStyle w:val="FootnoteReference"/>
          <w:rFonts w:cs="Arial"/>
        </w:rPr>
        <w:footnoteReference w:id="12"/>
      </w:r>
      <w:r w:rsidRPr="002D48A9">
        <w:rPr>
          <w:rFonts w:cs="Arial"/>
        </w:rPr>
        <w:t xml:space="preserve"> Additionally, under new National Care Standards, when </w:t>
      </w:r>
      <w:proofErr w:type="spellStart"/>
      <w:r w:rsidRPr="002D48A9">
        <w:rPr>
          <w:rFonts w:cs="Arial"/>
        </w:rPr>
        <w:t>tamariki</w:t>
      </w:r>
      <w:proofErr w:type="spellEnd"/>
      <w:r w:rsidRPr="002D48A9">
        <w:rPr>
          <w:rFonts w:cs="Arial"/>
        </w:rPr>
        <w:t xml:space="preserve"> Māori are taken into care an assessment must be undertaken and plan developed to provide for, among other things, how they will maintain contact with their </w:t>
      </w:r>
      <w:proofErr w:type="spellStart"/>
      <w:r w:rsidRPr="002D48A9">
        <w:rPr>
          <w:rFonts w:cs="Arial"/>
        </w:rPr>
        <w:t>whānau</w:t>
      </w:r>
      <w:proofErr w:type="spellEnd"/>
      <w:r w:rsidRPr="002D48A9">
        <w:rPr>
          <w:rFonts w:cs="Arial"/>
        </w:rPr>
        <w:t xml:space="preserve">, </w:t>
      </w:r>
      <w:proofErr w:type="spellStart"/>
      <w:r w:rsidRPr="002D48A9">
        <w:rPr>
          <w:rFonts w:cs="Arial"/>
        </w:rPr>
        <w:t>hapū</w:t>
      </w:r>
      <w:proofErr w:type="spellEnd"/>
      <w:r w:rsidRPr="002D48A9">
        <w:rPr>
          <w:rFonts w:cs="Arial"/>
        </w:rPr>
        <w:t xml:space="preserve"> and iwi and connection to their culture. Whether Oranga Tamariki is meeting these standards will be regularly scrutin</w:t>
      </w:r>
      <w:r w:rsidR="00573022">
        <w:rPr>
          <w:rFonts w:cs="Arial"/>
        </w:rPr>
        <w:t>i</w:t>
      </w:r>
      <w:r w:rsidRPr="002D48A9">
        <w:rPr>
          <w:rFonts w:cs="Arial"/>
        </w:rPr>
        <w:t>sed by the Independent Children’s Monitor.</w:t>
      </w:r>
      <w:r w:rsidRPr="002D48A9">
        <w:rPr>
          <w:rStyle w:val="FootnoteReference"/>
          <w:rFonts w:cs="Arial"/>
        </w:rPr>
        <w:footnoteReference w:id="13"/>
      </w:r>
    </w:p>
    <w:p w14:paraId="2F1B5E67" w14:textId="0CA0552B" w:rsidR="001619E9" w:rsidRPr="002D48A9" w:rsidRDefault="001619E9" w:rsidP="001619E9">
      <w:pPr>
        <w:jc w:val="both"/>
        <w:rPr>
          <w:rFonts w:cs="Arial"/>
        </w:rPr>
      </w:pPr>
      <w:r w:rsidRPr="002D48A9">
        <w:rPr>
          <w:rFonts w:cs="Arial"/>
        </w:rPr>
        <w:t>While these changes are significant, at the same time</w:t>
      </w:r>
      <w:r w:rsidR="0035767E" w:rsidRPr="002D48A9">
        <w:rPr>
          <w:rFonts w:cs="Arial"/>
        </w:rPr>
        <w:t xml:space="preserve"> it is important to acknowledge </w:t>
      </w:r>
      <w:r w:rsidRPr="002D48A9">
        <w:rPr>
          <w:rFonts w:cs="Arial"/>
        </w:rPr>
        <w:t xml:space="preserve">we have been here before – over 30 years ago in the wake of the ground-breaking </w:t>
      </w:r>
      <w:proofErr w:type="spellStart"/>
      <w:r w:rsidRPr="002D48A9">
        <w:rPr>
          <w:rFonts w:cs="Arial"/>
        </w:rPr>
        <w:t>Pūao</w:t>
      </w:r>
      <w:proofErr w:type="spellEnd"/>
      <w:r w:rsidRPr="002D48A9">
        <w:rPr>
          <w:rFonts w:cs="Arial"/>
        </w:rPr>
        <w:t>-</w:t>
      </w:r>
      <w:proofErr w:type="spellStart"/>
      <w:r w:rsidRPr="002D48A9">
        <w:rPr>
          <w:rFonts w:cs="Arial"/>
        </w:rPr>
        <w:t>te</w:t>
      </w:r>
      <w:proofErr w:type="spellEnd"/>
      <w:r w:rsidRPr="002D48A9">
        <w:rPr>
          <w:rFonts w:cs="Arial"/>
        </w:rPr>
        <w:t>-Ata-</w:t>
      </w:r>
      <w:proofErr w:type="spellStart"/>
      <w:r w:rsidRPr="002D48A9">
        <w:rPr>
          <w:rFonts w:cs="Arial"/>
        </w:rPr>
        <w:t>Tū</w:t>
      </w:r>
      <w:proofErr w:type="spellEnd"/>
      <w:r w:rsidRPr="002D48A9">
        <w:rPr>
          <w:rFonts w:cs="Arial"/>
        </w:rPr>
        <w:t xml:space="preserve"> report,</w:t>
      </w:r>
      <w:r w:rsidRPr="002D48A9">
        <w:rPr>
          <w:rStyle w:val="FootnoteReference"/>
          <w:rFonts w:cs="Arial"/>
        </w:rPr>
        <w:footnoteReference w:id="14"/>
      </w:r>
      <w:r w:rsidRPr="002D48A9">
        <w:rPr>
          <w:rFonts w:cs="Arial"/>
        </w:rPr>
        <w:t xml:space="preserve"> </w:t>
      </w:r>
      <w:r w:rsidR="001E1910">
        <w:rPr>
          <w:rFonts w:cs="Arial"/>
        </w:rPr>
        <w:t>Aotearoa</w:t>
      </w:r>
      <w:r w:rsidR="009C459A" w:rsidRPr="002D48A9">
        <w:rPr>
          <w:rFonts w:cs="Arial"/>
        </w:rPr>
        <w:t>’s</w:t>
      </w:r>
      <w:r w:rsidRPr="002D48A9">
        <w:rPr>
          <w:rFonts w:cs="Arial"/>
        </w:rPr>
        <w:t xml:space="preserve"> care and protection legislation was amended to require decision-makers to see </w:t>
      </w:r>
      <w:proofErr w:type="spellStart"/>
      <w:r w:rsidRPr="002D48A9">
        <w:rPr>
          <w:rFonts w:cs="Arial"/>
        </w:rPr>
        <w:t>tamariki</w:t>
      </w:r>
      <w:proofErr w:type="spellEnd"/>
      <w:r w:rsidRPr="002D48A9">
        <w:rPr>
          <w:rFonts w:cs="Arial"/>
        </w:rPr>
        <w:t xml:space="preserve"> Māori not in isolation but in the context of their </w:t>
      </w:r>
      <w:r w:rsidR="009C459A" w:rsidRPr="002D48A9">
        <w:rPr>
          <w:rFonts w:cs="Arial"/>
        </w:rPr>
        <w:t xml:space="preserve">wider </w:t>
      </w:r>
      <w:proofErr w:type="spellStart"/>
      <w:r w:rsidRPr="002D48A9">
        <w:rPr>
          <w:rFonts w:cs="Arial"/>
        </w:rPr>
        <w:t>whānau</w:t>
      </w:r>
      <w:proofErr w:type="spellEnd"/>
      <w:r w:rsidRPr="002D48A9">
        <w:rPr>
          <w:rFonts w:cs="Arial"/>
        </w:rPr>
        <w:t xml:space="preserve">, </w:t>
      </w:r>
      <w:proofErr w:type="spellStart"/>
      <w:r w:rsidRPr="002D48A9">
        <w:rPr>
          <w:rFonts w:cs="Arial"/>
        </w:rPr>
        <w:t>hapū</w:t>
      </w:r>
      <w:proofErr w:type="spellEnd"/>
      <w:r w:rsidRPr="002D48A9">
        <w:rPr>
          <w:rFonts w:cs="Arial"/>
        </w:rPr>
        <w:t xml:space="preserve"> and iwi, to ensure that connections of </w:t>
      </w:r>
      <w:proofErr w:type="spellStart"/>
      <w:r w:rsidRPr="002D48A9">
        <w:rPr>
          <w:rFonts w:cs="Arial"/>
        </w:rPr>
        <w:t>whānau</w:t>
      </w:r>
      <w:proofErr w:type="spellEnd"/>
      <w:r w:rsidRPr="002D48A9">
        <w:rPr>
          <w:rFonts w:cs="Arial"/>
        </w:rPr>
        <w:t xml:space="preserve">, </w:t>
      </w:r>
      <w:proofErr w:type="spellStart"/>
      <w:r w:rsidRPr="002D48A9">
        <w:rPr>
          <w:rFonts w:cs="Arial"/>
        </w:rPr>
        <w:t>hapū</w:t>
      </w:r>
      <w:proofErr w:type="spellEnd"/>
      <w:r w:rsidRPr="002D48A9">
        <w:rPr>
          <w:rFonts w:cs="Arial"/>
        </w:rPr>
        <w:t xml:space="preserve"> and iwi were maintained and strengthened</w:t>
      </w:r>
      <w:r w:rsidR="00211A49" w:rsidRPr="002D48A9">
        <w:rPr>
          <w:rFonts w:cs="Arial"/>
        </w:rPr>
        <w:t>,</w:t>
      </w:r>
      <w:r w:rsidRPr="002D48A9">
        <w:rPr>
          <w:rFonts w:cs="Arial"/>
        </w:rPr>
        <w:t xml:space="preserve"> and for Māori to be involved in decisions affecting their children. </w:t>
      </w:r>
    </w:p>
    <w:p w14:paraId="48016A50" w14:textId="3C9FDE0E" w:rsidR="001619E9" w:rsidRPr="002D48A9" w:rsidRDefault="001619E9" w:rsidP="001619E9">
      <w:pPr>
        <w:ind w:left="720"/>
        <w:jc w:val="both"/>
        <w:rPr>
          <w:rFonts w:cs="Arial"/>
          <w:i/>
          <w:iCs/>
        </w:rPr>
      </w:pPr>
      <w:r w:rsidRPr="002D48A9">
        <w:rPr>
          <w:rFonts w:cs="Arial"/>
          <w:i/>
          <w:iCs/>
          <w:shd w:val="clear" w:color="auto" w:fill="FFFFFF"/>
        </w:rPr>
        <w:t xml:space="preserve">"At the heart of the issue is a profound misunderstanding or ignorance of the place of the child in Māori society and its relationship with </w:t>
      </w:r>
      <w:proofErr w:type="spellStart"/>
      <w:r w:rsidRPr="002D48A9">
        <w:rPr>
          <w:rFonts w:cs="Arial"/>
          <w:i/>
          <w:iCs/>
          <w:shd w:val="clear" w:color="auto" w:fill="FFFFFF"/>
        </w:rPr>
        <w:t>whānau</w:t>
      </w:r>
      <w:proofErr w:type="spellEnd"/>
      <w:r w:rsidRPr="002D48A9">
        <w:rPr>
          <w:rFonts w:cs="Arial"/>
          <w:i/>
          <w:iCs/>
          <w:shd w:val="clear" w:color="auto" w:fill="FFFFFF"/>
        </w:rPr>
        <w:t xml:space="preserve">, </w:t>
      </w:r>
      <w:proofErr w:type="spellStart"/>
      <w:r w:rsidRPr="002D48A9">
        <w:rPr>
          <w:rFonts w:cs="Arial"/>
          <w:i/>
          <w:iCs/>
          <w:shd w:val="clear" w:color="auto" w:fill="FFFFFF"/>
        </w:rPr>
        <w:t>hapū</w:t>
      </w:r>
      <w:proofErr w:type="spellEnd"/>
      <w:r w:rsidRPr="002D48A9">
        <w:rPr>
          <w:rFonts w:cs="Arial"/>
          <w:i/>
          <w:iCs/>
          <w:shd w:val="clear" w:color="auto" w:fill="FFFFFF"/>
        </w:rPr>
        <w:t xml:space="preserve">, iwi structures.” - </w:t>
      </w:r>
      <w:r w:rsidRPr="002D48A9">
        <w:rPr>
          <w:rFonts w:cs="Arial"/>
        </w:rPr>
        <w:t xml:space="preserve">Department of Social Welfare Māori Ministerial Advisory Committee, </w:t>
      </w:r>
      <w:proofErr w:type="spellStart"/>
      <w:r w:rsidRPr="002D48A9">
        <w:rPr>
          <w:rFonts w:cs="Arial"/>
        </w:rPr>
        <w:t>Pūao</w:t>
      </w:r>
      <w:proofErr w:type="spellEnd"/>
      <w:r w:rsidRPr="002D48A9">
        <w:rPr>
          <w:rFonts w:cs="Arial"/>
        </w:rPr>
        <w:t>-</w:t>
      </w:r>
      <w:proofErr w:type="spellStart"/>
      <w:r w:rsidRPr="002D48A9">
        <w:rPr>
          <w:rFonts w:cs="Arial"/>
        </w:rPr>
        <w:t>te</w:t>
      </w:r>
      <w:proofErr w:type="spellEnd"/>
      <w:r w:rsidRPr="002D48A9">
        <w:rPr>
          <w:rFonts w:cs="Arial"/>
        </w:rPr>
        <w:t>-Ata-</w:t>
      </w:r>
      <w:proofErr w:type="spellStart"/>
      <w:r w:rsidRPr="002D48A9">
        <w:rPr>
          <w:rFonts w:cs="Arial"/>
        </w:rPr>
        <w:t>Tū</w:t>
      </w:r>
      <w:proofErr w:type="spellEnd"/>
      <w:r w:rsidRPr="002D48A9">
        <w:rPr>
          <w:rFonts w:cs="Arial"/>
        </w:rPr>
        <w:t xml:space="preserve"> report, 198</w:t>
      </w:r>
      <w:r w:rsidR="00DD0689">
        <w:rPr>
          <w:rFonts w:cs="Arial"/>
        </w:rPr>
        <w:t>8</w:t>
      </w:r>
    </w:p>
    <w:p w14:paraId="745D789E" w14:textId="77777777" w:rsidR="009700C8" w:rsidRDefault="001619E9" w:rsidP="001619E9">
      <w:pPr>
        <w:jc w:val="both"/>
        <w:rPr>
          <w:rFonts w:cs="Arial"/>
          <w:color w:val="000000"/>
        </w:rPr>
      </w:pPr>
      <w:r w:rsidRPr="002D48A9">
        <w:rPr>
          <w:rFonts w:cs="Arial"/>
        </w:rPr>
        <w:t>A decade later, the Family Court</w:t>
      </w:r>
      <w:r w:rsidRPr="002D48A9">
        <w:rPr>
          <w:rStyle w:val="FootnoteReference"/>
          <w:rFonts w:cs="Arial"/>
        </w:rPr>
        <w:footnoteReference w:id="15"/>
      </w:r>
      <w:r w:rsidRPr="002D48A9">
        <w:rPr>
          <w:rFonts w:cs="Arial"/>
        </w:rPr>
        <w:t xml:space="preserve"> – in recognising that </w:t>
      </w:r>
      <w:proofErr w:type="spellStart"/>
      <w:r w:rsidR="00573022">
        <w:rPr>
          <w:rFonts w:cs="Arial"/>
        </w:rPr>
        <w:t>t</w:t>
      </w:r>
      <w:r w:rsidRPr="002D48A9">
        <w:rPr>
          <w:rFonts w:cs="Arial"/>
        </w:rPr>
        <w:t>e</w:t>
      </w:r>
      <w:proofErr w:type="spellEnd"/>
      <w:r w:rsidRPr="002D48A9">
        <w:rPr>
          <w:rFonts w:cs="Arial"/>
        </w:rPr>
        <w:t xml:space="preserve"> </w:t>
      </w:r>
      <w:proofErr w:type="spellStart"/>
      <w:r w:rsidRPr="002D48A9">
        <w:rPr>
          <w:rFonts w:cs="Arial"/>
        </w:rPr>
        <w:t>Tiriti</w:t>
      </w:r>
      <w:proofErr w:type="spellEnd"/>
      <w:r w:rsidRPr="002D48A9">
        <w:rPr>
          <w:rFonts w:cs="Arial"/>
        </w:rPr>
        <w:t xml:space="preserve"> protected Māori family organisation and that all legislation</w:t>
      </w:r>
      <w:r w:rsidRPr="002D48A9">
        <w:rPr>
          <w:rFonts w:cs="Arial"/>
          <w:color w:val="000000"/>
        </w:rPr>
        <w:t xml:space="preserve"> dealing with the status, future, and control of children must be interpreted and coloured by it – then laid the foundation for its judges to develop a body of jurisprudence that would take an Indigenous rights-informed approach to determining</w:t>
      </w:r>
      <w:r w:rsidR="00211A49" w:rsidRPr="002D48A9">
        <w:rPr>
          <w:rFonts w:cs="Arial"/>
          <w:color w:val="000000"/>
        </w:rPr>
        <w:t xml:space="preserve"> placement</w:t>
      </w:r>
      <w:r w:rsidRPr="002D48A9">
        <w:rPr>
          <w:rFonts w:cs="Arial"/>
          <w:color w:val="000000"/>
        </w:rPr>
        <w:t xml:space="preserve"> outcomes for </w:t>
      </w:r>
      <w:proofErr w:type="spellStart"/>
      <w:r w:rsidRPr="002D48A9">
        <w:rPr>
          <w:rFonts w:cs="Arial"/>
          <w:color w:val="000000"/>
        </w:rPr>
        <w:t>tamariki</w:t>
      </w:r>
      <w:proofErr w:type="spellEnd"/>
      <w:r w:rsidRPr="002D48A9">
        <w:rPr>
          <w:rFonts w:cs="Arial"/>
          <w:color w:val="000000"/>
        </w:rPr>
        <w:t xml:space="preserve"> Māori and their </w:t>
      </w:r>
      <w:proofErr w:type="spellStart"/>
      <w:r w:rsidRPr="002D48A9">
        <w:rPr>
          <w:rFonts w:cs="Arial"/>
          <w:color w:val="000000"/>
        </w:rPr>
        <w:t>whānau</w:t>
      </w:r>
      <w:proofErr w:type="spellEnd"/>
      <w:r w:rsidRPr="002D48A9">
        <w:rPr>
          <w:rFonts w:cs="Arial"/>
          <w:color w:val="000000"/>
        </w:rPr>
        <w:t>.</w:t>
      </w:r>
      <w:r w:rsidRPr="002D48A9">
        <w:rPr>
          <w:rStyle w:val="FootnoteReference"/>
          <w:rFonts w:cs="Arial"/>
          <w:color w:val="000000"/>
        </w:rPr>
        <w:footnoteReference w:id="16"/>
      </w:r>
    </w:p>
    <w:p w14:paraId="4C2F54E9" w14:textId="3CA0800E" w:rsidR="001619E9" w:rsidRPr="009700C8" w:rsidRDefault="001619E9" w:rsidP="001619E9">
      <w:pPr>
        <w:jc w:val="both"/>
        <w:rPr>
          <w:rFonts w:cs="Arial"/>
          <w:color w:val="000000"/>
        </w:rPr>
      </w:pPr>
      <w:r w:rsidRPr="002D48A9">
        <w:rPr>
          <w:rFonts w:cs="Arial"/>
        </w:rPr>
        <w:lastRenderedPageBreak/>
        <w:t xml:space="preserve">However, as the persistent over-representation of </w:t>
      </w:r>
      <w:proofErr w:type="spellStart"/>
      <w:r w:rsidRPr="002D48A9">
        <w:rPr>
          <w:rFonts w:cs="Arial"/>
        </w:rPr>
        <w:t>tamariki</w:t>
      </w:r>
      <w:proofErr w:type="spellEnd"/>
      <w:r w:rsidRPr="002D48A9">
        <w:rPr>
          <w:rFonts w:cs="Arial"/>
        </w:rPr>
        <w:t xml:space="preserve"> Māori in </w:t>
      </w:r>
      <w:r w:rsidR="00D029FD">
        <w:rPr>
          <w:rFonts w:cs="Arial"/>
        </w:rPr>
        <w:t>s</w:t>
      </w:r>
      <w:r w:rsidRPr="002D48A9">
        <w:rPr>
          <w:rFonts w:cs="Arial"/>
        </w:rPr>
        <w:t>tate care shows, the potential of these shifts in legislation and judicial thinking in the late 1980s and 1990s were never fully realised.</w:t>
      </w:r>
    </w:p>
    <w:p w14:paraId="17CFEEFA" w14:textId="7DF2AA0F" w:rsidR="00BE24C6" w:rsidRPr="002D48A9" w:rsidRDefault="00BE24C6" w:rsidP="001619E9">
      <w:pPr>
        <w:pStyle w:val="Corpo"/>
        <w:jc w:val="both"/>
        <w:rPr>
          <w:rFonts w:asciiTheme="minorHAnsi" w:hAnsiTheme="minorHAnsi" w:cs="Arial"/>
        </w:rPr>
      </w:pPr>
      <w:r w:rsidRPr="002D48A9">
        <w:rPr>
          <w:rFonts w:asciiTheme="minorHAnsi" w:hAnsiTheme="minorHAnsi" w:cs="Arial"/>
        </w:rPr>
        <w:t>While the reasons for this are varied,</w:t>
      </w:r>
      <w:r w:rsidRPr="002D48A9">
        <w:rPr>
          <w:rStyle w:val="FootnoteReference"/>
          <w:rFonts w:asciiTheme="minorHAnsi" w:hAnsiTheme="minorHAnsi" w:cs="Arial"/>
        </w:rPr>
        <w:footnoteReference w:id="17"/>
      </w:r>
      <w:r w:rsidR="00016686" w:rsidRPr="002D48A9">
        <w:rPr>
          <w:rFonts w:asciiTheme="minorHAnsi" w:hAnsiTheme="minorHAnsi" w:cs="Arial"/>
        </w:rPr>
        <w:t xml:space="preserve"> the </w:t>
      </w:r>
      <w:r w:rsidR="00B720CF" w:rsidRPr="002D48A9">
        <w:rPr>
          <w:rFonts w:asciiTheme="minorHAnsi" w:hAnsiTheme="minorHAnsi" w:cs="Arial"/>
        </w:rPr>
        <w:t xml:space="preserve">overwhelming issue </w:t>
      </w:r>
      <w:r w:rsidR="00045268" w:rsidRPr="002D48A9">
        <w:rPr>
          <w:rFonts w:asciiTheme="minorHAnsi" w:hAnsiTheme="minorHAnsi" w:cs="Arial"/>
        </w:rPr>
        <w:t>is</w:t>
      </w:r>
      <w:r w:rsidR="00C1176F" w:rsidRPr="002D48A9">
        <w:rPr>
          <w:rFonts w:asciiTheme="minorHAnsi" w:hAnsiTheme="minorHAnsi" w:cs="Arial"/>
        </w:rPr>
        <w:t xml:space="preserve"> that Māori </w:t>
      </w:r>
      <w:r w:rsidR="00B720CF" w:rsidRPr="002D48A9">
        <w:rPr>
          <w:rFonts w:asciiTheme="minorHAnsi" w:hAnsiTheme="minorHAnsi" w:cs="Arial"/>
        </w:rPr>
        <w:t>have n</w:t>
      </w:r>
      <w:r w:rsidR="00824006" w:rsidRPr="002D48A9">
        <w:rPr>
          <w:rFonts w:asciiTheme="minorHAnsi" w:hAnsiTheme="minorHAnsi" w:cs="Arial"/>
        </w:rPr>
        <w:t xml:space="preserve">ever </w:t>
      </w:r>
      <w:r w:rsidR="00B720CF" w:rsidRPr="002D48A9">
        <w:rPr>
          <w:rFonts w:asciiTheme="minorHAnsi" w:hAnsiTheme="minorHAnsi" w:cs="Arial"/>
        </w:rPr>
        <w:t xml:space="preserve">been </w:t>
      </w:r>
      <w:r w:rsidR="00824006" w:rsidRPr="002D48A9">
        <w:rPr>
          <w:rFonts w:asciiTheme="minorHAnsi" w:hAnsiTheme="minorHAnsi" w:cs="Arial"/>
        </w:rPr>
        <w:t xml:space="preserve">front and centre </w:t>
      </w:r>
      <w:r w:rsidR="00B720CF" w:rsidRPr="002D48A9">
        <w:rPr>
          <w:rFonts w:asciiTheme="minorHAnsi" w:hAnsiTheme="minorHAnsi" w:cs="Arial"/>
        </w:rPr>
        <w:t>in</w:t>
      </w:r>
      <w:r w:rsidR="00E307CD" w:rsidRPr="002D48A9">
        <w:rPr>
          <w:rFonts w:asciiTheme="minorHAnsi" w:hAnsiTheme="minorHAnsi" w:cs="Arial"/>
        </w:rPr>
        <w:t xml:space="preserve"> the design and implementation of the</w:t>
      </w:r>
      <w:r w:rsidR="00824006" w:rsidRPr="002D48A9">
        <w:rPr>
          <w:rFonts w:asciiTheme="minorHAnsi" w:hAnsiTheme="minorHAnsi" w:cs="Arial"/>
        </w:rPr>
        <w:t xml:space="preserve"> care and protection response</w:t>
      </w:r>
      <w:r w:rsidR="001C6722" w:rsidRPr="002D48A9">
        <w:rPr>
          <w:rFonts w:asciiTheme="minorHAnsi" w:hAnsiTheme="minorHAnsi" w:cs="Arial"/>
        </w:rPr>
        <w:t xml:space="preserve"> </w:t>
      </w:r>
      <w:r w:rsidR="00824006" w:rsidRPr="002D48A9">
        <w:rPr>
          <w:rFonts w:asciiTheme="minorHAnsi" w:hAnsiTheme="minorHAnsi" w:cs="Arial"/>
        </w:rPr>
        <w:t xml:space="preserve">– </w:t>
      </w:r>
      <w:r w:rsidR="00E144F5" w:rsidRPr="002D48A9">
        <w:rPr>
          <w:rFonts w:asciiTheme="minorHAnsi" w:hAnsiTheme="minorHAnsi" w:cs="Arial"/>
        </w:rPr>
        <w:t>as system leaders</w:t>
      </w:r>
      <w:r w:rsidR="00E307CD" w:rsidRPr="002D48A9">
        <w:rPr>
          <w:rFonts w:asciiTheme="minorHAnsi" w:hAnsiTheme="minorHAnsi" w:cs="Arial"/>
        </w:rPr>
        <w:t>,</w:t>
      </w:r>
      <w:r w:rsidR="00824006" w:rsidRPr="002D48A9">
        <w:rPr>
          <w:rFonts w:asciiTheme="minorHAnsi" w:hAnsiTheme="minorHAnsi" w:cs="Arial"/>
        </w:rPr>
        <w:t xml:space="preserve"> </w:t>
      </w:r>
      <w:r w:rsidR="00E307CD" w:rsidRPr="002D48A9">
        <w:rPr>
          <w:rFonts w:asciiTheme="minorHAnsi" w:hAnsiTheme="minorHAnsi" w:cs="Arial"/>
        </w:rPr>
        <w:t xml:space="preserve">as </w:t>
      </w:r>
      <w:r w:rsidR="00824006" w:rsidRPr="002D48A9">
        <w:rPr>
          <w:rFonts w:asciiTheme="minorHAnsi" w:hAnsiTheme="minorHAnsi" w:cs="Arial"/>
        </w:rPr>
        <w:t xml:space="preserve">social workers, </w:t>
      </w:r>
      <w:r w:rsidR="00027668" w:rsidRPr="002D48A9">
        <w:rPr>
          <w:rFonts w:asciiTheme="minorHAnsi" w:hAnsiTheme="minorHAnsi" w:cs="Arial"/>
        </w:rPr>
        <w:t>as lawyers, as judges</w:t>
      </w:r>
      <w:r w:rsidR="00E307CD" w:rsidRPr="002D48A9">
        <w:rPr>
          <w:rFonts w:asciiTheme="minorHAnsi" w:hAnsiTheme="minorHAnsi" w:cs="Arial"/>
        </w:rPr>
        <w:t xml:space="preserve"> and </w:t>
      </w:r>
      <w:r w:rsidR="00300B30" w:rsidRPr="002D48A9">
        <w:rPr>
          <w:rFonts w:asciiTheme="minorHAnsi" w:hAnsiTheme="minorHAnsi" w:cs="Arial"/>
        </w:rPr>
        <w:t>as care providers</w:t>
      </w:r>
      <w:r w:rsidR="00E144F5" w:rsidRPr="002D48A9">
        <w:rPr>
          <w:rFonts w:asciiTheme="minorHAnsi" w:hAnsiTheme="minorHAnsi" w:cs="Arial"/>
        </w:rPr>
        <w:t xml:space="preserve">. </w:t>
      </w:r>
      <w:r w:rsidR="00D02D2A" w:rsidRPr="002D48A9">
        <w:rPr>
          <w:rFonts w:asciiTheme="minorHAnsi" w:hAnsiTheme="minorHAnsi" w:cs="Arial"/>
        </w:rPr>
        <w:t xml:space="preserve">This </w:t>
      </w:r>
      <w:r w:rsidR="001C6722" w:rsidRPr="002D48A9">
        <w:rPr>
          <w:rFonts w:asciiTheme="minorHAnsi" w:hAnsiTheme="minorHAnsi" w:cs="Arial"/>
        </w:rPr>
        <w:t xml:space="preserve">has </w:t>
      </w:r>
      <w:r w:rsidR="00D02D2A" w:rsidRPr="002D48A9">
        <w:rPr>
          <w:rFonts w:asciiTheme="minorHAnsi" w:hAnsiTheme="minorHAnsi" w:cs="Arial"/>
        </w:rPr>
        <w:t>led to the</w:t>
      </w:r>
      <w:r w:rsidR="001C6722" w:rsidRPr="002D48A9">
        <w:rPr>
          <w:rFonts w:asciiTheme="minorHAnsi" w:hAnsiTheme="minorHAnsi" w:cs="Arial"/>
        </w:rPr>
        <w:t xml:space="preserve"> care and protection</w:t>
      </w:r>
      <w:r w:rsidR="00D02D2A" w:rsidRPr="002D48A9">
        <w:rPr>
          <w:rFonts w:asciiTheme="minorHAnsi" w:hAnsiTheme="minorHAnsi" w:cs="Arial"/>
        </w:rPr>
        <w:t xml:space="preserve"> system remain</w:t>
      </w:r>
      <w:r w:rsidR="004767AA" w:rsidRPr="002D48A9">
        <w:rPr>
          <w:rFonts w:asciiTheme="minorHAnsi" w:hAnsiTheme="minorHAnsi" w:cs="Arial"/>
        </w:rPr>
        <w:t>in</w:t>
      </w:r>
      <w:r w:rsidR="00D02D2A" w:rsidRPr="002D48A9">
        <w:rPr>
          <w:rFonts w:asciiTheme="minorHAnsi" w:hAnsiTheme="minorHAnsi" w:cs="Arial"/>
        </w:rPr>
        <w:t>g Pākeh</w:t>
      </w:r>
      <w:r w:rsidR="00F44DB4" w:rsidRPr="002D48A9">
        <w:rPr>
          <w:rFonts w:asciiTheme="minorHAnsi" w:hAnsiTheme="minorHAnsi" w:cs="Arial"/>
        </w:rPr>
        <w:t>ā</w:t>
      </w:r>
      <w:r w:rsidR="00D02D2A" w:rsidRPr="002D48A9">
        <w:rPr>
          <w:rFonts w:asciiTheme="minorHAnsi" w:hAnsiTheme="minorHAnsi" w:cs="Arial"/>
        </w:rPr>
        <w:t>-centric</w:t>
      </w:r>
      <w:r w:rsidR="00F44DB4" w:rsidRPr="002D48A9">
        <w:rPr>
          <w:rFonts w:asciiTheme="minorHAnsi" w:hAnsiTheme="minorHAnsi" w:cs="Arial"/>
        </w:rPr>
        <w:t xml:space="preserve"> and lacking </w:t>
      </w:r>
      <w:r w:rsidR="004767AA" w:rsidRPr="002D48A9">
        <w:rPr>
          <w:rFonts w:asciiTheme="minorHAnsi" w:hAnsiTheme="minorHAnsi" w:cs="Arial"/>
        </w:rPr>
        <w:t>the</w:t>
      </w:r>
      <w:r w:rsidR="00F44DB4" w:rsidRPr="002D48A9">
        <w:rPr>
          <w:rFonts w:asciiTheme="minorHAnsi" w:hAnsiTheme="minorHAnsi" w:cs="Arial"/>
        </w:rPr>
        <w:t xml:space="preserve"> </w:t>
      </w:r>
      <w:r w:rsidR="00573022">
        <w:rPr>
          <w:rFonts w:asciiTheme="minorHAnsi" w:hAnsiTheme="minorHAnsi" w:cs="Arial"/>
        </w:rPr>
        <w:t>t</w:t>
      </w:r>
      <w:r w:rsidR="00F44DB4" w:rsidRPr="002D48A9">
        <w:rPr>
          <w:rFonts w:asciiTheme="minorHAnsi" w:hAnsiTheme="minorHAnsi" w:cs="Arial"/>
        </w:rPr>
        <w:t>e Ao Māori</w:t>
      </w:r>
      <w:r w:rsidR="004767AA" w:rsidRPr="002D48A9">
        <w:rPr>
          <w:rFonts w:asciiTheme="minorHAnsi" w:hAnsiTheme="minorHAnsi" w:cs="Arial"/>
        </w:rPr>
        <w:t>-led</w:t>
      </w:r>
      <w:r w:rsidR="00F44DB4" w:rsidRPr="002D48A9">
        <w:rPr>
          <w:rFonts w:asciiTheme="minorHAnsi" w:hAnsiTheme="minorHAnsi" w:cs="Arial"/>
        </w:rPr>
        <w:t xml:space="preserve"> approach needed to make a step</w:t>
      </w:r>
      <w:r w:rsidR="001C6722" w:rsidRPr="002D48A9">
        <w:rPr>
          <w:rFonts w:asciiTheme="minorHAnsi" w:hAnsiTheme="minorHAnsi" w:cs="Arial"/>
        </w:rPr>
        <w:t>-</w:t>
      </w:r>
      <w:r w:rsidR="00F44DB4" w:rsidRPr="002D48A9">
        <w:rPr>
          <w:rFonts w:asciiTheme="minorHAnsi" w:hAnsiTheme="minorHAnsi" w:cs="Arial"/>
        </w:rPr>
        <w:t>change for tamariki Māori.</w:t>
      </w:r>
    </w:p>
    <w:p w14:paraId="31D4A8FF" w14:textId="53989F97" w:rsidR="007760FC" w:rsidRPr="002D48A9" w:rsidRDefault="0022143A" w:rsidP="001619E9">
      <w:pPr>
        <w:pStyle w:val="Corpo"/>
        <w:jc w:val="both"/>
        <w:rPr>
          <w:rFonts w:asciiTheme="minorHAnsi" w:hAnsiTheme="minorHAnsi" w:cs="Arial"/>
        </w:rPr>
      </w:pPr>
      <w:r w:rsidRPr="002D48A9">
        <w:rPr>
          <w:rFonts w:asciiTheme="minorHAnsi" w:hAnsiTheme="minorHAnsi" w:cs="Arial"/>
        </w:rPr>
        <w:t>As we advocate for in this submiss</w:t>
      </w:r>
      <w:r w:rsidR="00636D31" w:rsidRPr="002D48A9">
        <w:rPr>
          <w:rFonts w:asciiTheme="minorHAnsi" w:hAnsiTheme="minorHAnsi" w:cs="Arial"/>
        </w:rPr>
        <w:t>i</w:t>
      </w:r>
      <w:r w:rsidRPr="002D48A9">
        <w:rPr>
          <w:rFonts w:asciiTheme="minorHAnsi" w:hAnsiTheme="minorHAnsi" w:cs="Arial"/>
        </w:rPr>
        <w:t>on, this will only be</w:t>
      </w:r>
      <w:r w:rsidR="00D74464" w:rsidRPr="002D48A9">
        <w:rPr>
          <w:rFonts w:asciiTheme="minorHAnsi" w:hAnsiTheme="minorHAnsi" w:cs="Arial"/>
        </w:rPr>
        <w:t xml:space="preserve"> achieved if Māori </w:t>
      </w:r>
      <w:r w:rsidRPr="002D48A9">
        <w:rPr>
          <w:rFonts w:asciiTheme="minorHAnsi" w:hAnsiTheme="minorHAnsi" w:cs="Arial"/>
        </w:rPr>
        <w:t>lead,</w:t>
      </w:r>
      <w:r w:rsidR="00A66F4A" w:rsidRPr="002D48A9">
        <w:rPr>
          <w:rFonts w:asciiTheme="minorHAnsi" w:hAnsiTheme="minorHAnsi" w:cs="Arial"/>
        </w:rPr>
        <w:t xml:space="preserve"> </w:t>
      </w:r>
      <w:r w:rsidRPr="002D48A9">
        <w:rPr>
          <w:rFonts w:asciiTheme="minorHAnsi" w:hAnsiTheme="minorHAnsi" w:cs="Arial"/>
        </w:rPr>
        <w:t>develop and inform all policy, programmes and responses that relate to tamariki Māori</w:t>
      </w:r>
      <w:r w:rsidR="009A5DE4" w:rsidRPr="002D48A9">
        <w:rPr>
          <w:rFonts w:asciiTheme="minorHAnsi" w:hAnsiTheme="minorHAnsi" w:cs="Arial"/>
        </w:rPr>
        <w:t>.</w:t>
      </w:r>
      <w:r w:rsidR="00D60F0E" w:rsidRPr="002D48A9">
        <w:rPr>
          <w:rFonts w:asciiTheme="minorHAnsi" w:hAnsiTheme="minorHAnsi" w:cs="Arial"/>
        </w:rPr>
        <w:t xml:space="preserve"> </w:t>
      </w:r>
      <w:r w:rsidR="001C6722" w:rsidRPr="002D48A9">
        <w:rPr>
          <w:rFonts w:asciiTheme="minorHAnsi" w:hAnsiTheme="minorHAnsi" w:cs="Arial"/>
        </w:rPr>
        <w:t>While this</w:t>
      </w:r>
      <w:r w:rsidR="009A5DE4" w:rsidRPr="002D48A9">
        <w:rPr>
          <w:rFonts w:asciiTheme="minorHAnsi" w:hAnsiTheme="minorHAnsi" w:cs="Arial"/>
        </w:rPr>
        <w:t xml:space="preserve"> vision </w:t>
      </w:r>
      <w:r w:rsidR="00992A1D">
        <w:rPr>
          <w:rFonts w:asciiTheme="minorHAnsi" w:hAnsiTheme="minorHAnsi" w:cs="Arial"/>
        </w:rPr>
        <w:t>is being</w:t>
      </w:r>
      <w:r w:rsidR="009A5DE4" w:rsidRPr="002D48A9">
        <w:rPr>
          <w:rFonts w:asciiTheme="minorHAnsi" w:hAnsiTheme="minorHAnsi" w:cs="Arial"/>
        </w:rPr>
        <w:t xml:space="preserve"> realised, </w:t>
      </w:r>
      <w:r w:rsidR="007213D0" w:rsidRPr="002D48A9">
        <w:rPr>
          <w:rFonts w:asciiTheme="minorHAnsi" w:hAnsiTheme="minorHAnsi" w:cs="Arial"/>
        </w:rPr>
        <w:t>the state system needs</w:t>
      </w:r>
      <w:r w:rsidR="009B7CEA" w:rsidRPr="002D48A9">
        <w:rPr>
          <w:rFonts w:asciiTheme="minorHAnsi" w:hAnsiTheme="minorHAnsi" w:cs="Arial"/>
        </w:rPr>
        <w:t xml:space="preserve"> improve and </w:t>
      </w:r>
      <w:r w:rsidR="007213D0" w:rsidRPr="002D48A9">
        <w:rPr>
          <w:rFonts w:asciiTheme="minorHAnsi" w:hAnsiTheme="minorHAnsi" w:cs="Arial"/>
        </w:rPr>
        <w:t xml:space="preserve">undergo a wholescale transformation to </w:t>
      </w:r>
      <w:r w:rsidR="00992A1D">
        <w:rPr>
          <w:rFonts w:asciiTheme="minorHAnsi" w:hAnsiTheme="minorHAnsi" w:cs="Arial"/>
        </w:rPr>
        <w:t>co-govern</w:t>
      </w:r>
      <w:r w:rsidR="00992A1D" w:rsidRPr="002D48A9">
        <w:rPr>
          <w:rFonts w:asciiTheme="minorHAnsi" w:hAnsiTheme="minorHAnsi" w:cs="Arial"/>
        </w:rPr>
        <w:t xml:space="preserve"> </w:t>
      </w:r>
      <w:r w:rsidR="007760FC" w:rsidRPr="002D48A9">
        <w:rPr>
          <w:rFonts w:asciiTheme="minorHAnsi" w:hAnsiTheme="minorHAnsi" w:cs="Arial"/>
        </w:rPr>
        <w:t xml:space="preserve">with Māori and </w:t>
      </w:r>
      <w:r w:rsidR="007213D0" w:rsidRPr="002D48A9">
        <w:rPr>
          <w:rFonts w:asciiTheme="minorHAnsi" w:hAnsiTheme="minorHAnsi" w:cs="Arial"/>
        </w:rPr>
        <w:t>embed</w:t>
      </w:r>
      <w:r w:rsidR="00992A1D">
        <w:rPr>
          <w:rFonts w:asciiTheme="minorHAnsi" w:hAnsiTheme="minorHAnsi" w:cs="Arial"/>
        </w:rPr>
        <w:t xml:space="preserve"> t</w:t>
      </w:r>
      <w:r w:rsidR="007213D0" w:rsidRPr="002D48A9">
        <w:rPr>
          <w:rFonts w:asciiTheme="minorHAnsi" w:hAnsiTheme="minorHAnsi" w:cs="Arial"/>
        </w:rPr>
        <w:t xml:space="preserve">e Ao Māori in </w:t>
      </w:r>
      <w:r w:rsidR="009B7CEA" w:rsidRPr="002D48A9">
        <w:rPr>
          <w:rFonts w:asciiTheme="minorHAnsi" w:hAnsiTheme="minorHAnsi" w:cs="Arial"/>
        </w:rPr>
        <w:t>all</w:t>
      </w:r>
      <w:r w:rsidR="007213D0" w:rsidRPr="002D48A9">
        <w:rPr>
          <w:rFonts w:asciiTheme="minorHAnsi" w:hAnsiTheme="minorHAnsi" w:cs="Arial"/>
        </w:rPr>
        <w:t xml:space="preserve"> policies</w:t>
      </w:r>
      <w:r w:rsidR="009B7CEA" w:rsidRPr="002D48A9">
        <w:rPr>
          <w:rFonts w:asciiTheme="minorHAnsi" w:hAnsiTheme="minorHAnsi" w:cs="Arial"/>
        </w:rPr>
        <w:t>,</w:t>
      </w:r>
      <w:r w:rsidR="007213D0" w:rsidRPr="002D48A9">
        <w:rPr>
          <w:rFonts w:asciiTheme="minorHAnsi" w:hAnsiTheme="minorHAnsi" w:cs="Arial"/>
        </w:rPr>
        <w:t xml:space="preserve"> practices and programming</w:t>
      </w:r>
      <w:r w:rsidR="009B7CEA" w:rsidRPr="002D48A9">
        <w:rPr>
          <w:rFonts w:asciiTheme="minorHAnsi" w:hAnsiTheme="minorHAnsi" w:cs="Arial"/>
        </w:rPr>
        <w:t xml:space="preserve"> that </w:t>
      </w:r>
      <w:r w:rsidR="007760FC" w:rsidRPr="002D48A9">
        <w:rPr>
          <w:rFonts w:asciiTheme="minorHAnsi" w:hAnsiTheme="minorHAnsi" w:cs="Arial"/>
        </w:rPr>
        <w:t xml:space="preserve">impact on tamariki Māori </w:t>
      </w:r>
      <w:r w:rsidR="00573022">
        <w:rPr>
          <w:rFonts w:asciiTheme="minorHAnsi" w:hAnsiTheme="minorHAnsi" w:cs="Arial"/>
        </w:rPr>
        <w:t>d</w:t>
      </w:r>
      <w:r w:rsidR="007760FC" w:rsidRPr="002D48A9">
        <w:rPr>
          <w:rFonts w:asciiTheme="minorHAnsi" w:hAnsiTheme="minorHAnsi" w:cs="Arial"/>
        </w:rPr>
        <w:t>nd their whānau</w:t>
      </w:r>
      <w:r w:rsidR="007213D0" w:rsidRPr="002D48A9">
        <w:rPr>
          <w:rFonts w:asciiTheme="minorHAnsi" w:hAnsiTheme="minorHAnsi" w:cs="Arial"/>
        </w:rPr>
        <w:t xml:space="preserve">. </w:t>
      </w:r>
    </w:p>
    <w:p w14:paraId="34667774" w14:textId="7CB5359B" w:rsidR="001E6B4C" w:rsidRPr="002D48A9" w:rsidRDefault="007760FC" w:rsidP="001619E9">
      <w:pPr>
        <w:pStyle w:val="Corpo"/>
        <w:jc w:val="both"/>
        <w:rPr>
          <w:rFonts w:asciiTheme="minorHAnsi" w:hAnsiTheme="minorHAnsi" w:cs="Arial"/>
          <w:shd w:val="clear" w:color="auto" w:fill="FFFFFF"/>
        </w:rPr>
      </w:pPr>
      <w:r w:rsidRPr="002D48A9">
        <w:rPr>
          <w:rFonts w:asciiTheme="minorHAnsi" w:hAnsiTheme="minorHAnsi" w:cs="Arial"/>
        </w:rPr>
        <w:t xml:space="preserve">We acknowledge that </w:t>
      </w:r>
      <w:r w:rsidR="001619E9" w:rsidRPr="002D48A9">
        <w:rPr>
          <w:rFonts w:asciiTheme="minorHAnsi" w:hAnsiTheme="minorHAnsi" w:cs="Arial"/>
        </w:rPr>
        <w:t xml:space="preserve">Oranga Tamariki </w:t>
      </w:r>
      <w:r w:rsidR="00C36339" w:rsidRPr="002D48A9">
        <w:rPr>
          <w:rFonts w:asciiTheme="minorHAnsi" w:hAnsiTheme="minorHAnsi" w:cs="Arial"/>
        </w:rPr>
        <w:t>is undertaking to change its policies</w:t>
      </w:r>
      <w:r w:rsidR="00407B4F" w:rsidRPr="002D48A9">
        <w:rPr>
          <w:rFonts w:asciiTheme="minorHAnsi" w:hAnsiTheme="minorHAnsi" w:cs="Arial"/>
        </w:rPr>
        <w:t xml:space="preserve"> and practices as they relate to tamariki Māori</w:t>
      </w:r>
      <w:r w:rsidR="004F7D70">
        <w:rPr>
          <w:rStyle w:val="FootnoteReference"/>
          <w:rFonts w:asciiTheme="minorHAnsi" w:hAnsiTheme="minorHAnsi" w:cs="Arial"/>
        </w:rPr>
        <w:footnoteReference w:id="18"/>
      </w:r>
      <w:r w:rsidR="00407B4F" w:rsidRPr="002D48A9">
        <w:rPr>
          <w:rFonts w:asciiTheme="minorHAnsi" w:hAnsiTheme="minorHAnsi" w:cs="Arial"/>
        </w:rPr>
        <w:t xml:space="preserve"> and</w:t>
      </w:r>
      <w:r w:rsidR="001E4CC8" w:rsidRPr="002D48A9">
        <w:rPr>
          <w:rFonts w:asciiTheme="minorHAnsi" w:hAnsiTheme="minorHAnsi" w:cs="Arial"/>
        </w:rPr>
        <w:t xml:space="preserve"> this process is </w:t>
      </w:r>
      <w:r w:rsidR="00573022">
        <w:rPr>
          <w:rFonts w:asciiTheme="minorHAnsi" w:hAnsiTheme="minorHAnsi" w:cs="Arial"/>
        </w:rPr>
        <w:t>will hopefully</w:t>
      </w:r>
      <w:r w:rsidR="00573022" w:rsidRPr="002D48A9">
        <w:rPr>
          <w:rFonts w:asciiTheme="minorHAnsi" w:hAnsiTheme="minorHAnsi" w:cs="Arial"/>
        </w:rPr>
        <w:t xml:space="preserve">  </w:t>
      </w:r>
      <w:r w:rsidR="001E4CC8" w:rsidRPr="002D48A9">
        <w:rPr>
          <w:rFonts w:asciiTheme="minorHAnsi" w:hAnsiTheme="minorHAnsi" w:cs="Arial"/>
        </w:rPr>
        <w:t xml:space="preserve">be accelerated </w:t>
      </w:r>
      <w:r w:rsidRPr="002D48A9">
        <w:rPr>
          <w:rFonts w:asciiTheme="minorHAnsi" w:hAnsiTheme="minorHAnsi" w:cs="Arial"/>
        </w:rPr>
        <w:t xml:space="preserve">by </w:t>
      </w:r>
      <w:r w:rsidR="00F749AB" w:rsidRPr="002D48A9">
        <w:rPr>
          <w:rFonts w:asciiTheme="minorHAnsi" w:hAnsiTheme="minorHAnsi" w:cs="Arial"/>
        </w:rPr>
        <w:t xml:space="preserve">its </w:t>
      </w:r>
      <w:r w:rsidR="00FA2114" w:rsidRPr="002D48A9">
        <w:rPr>
          <w:rFonts w:asciiTheme="minorHAnsi" w:hAnsiTheme="minorHAnsi" w:cs="Arial"/>
        </w:rPr>
        <w:t>Acting Chief Executive and</w:t>
      </w:r>
      <w:r w:rsidR="00F749AB" w:rsidRPr="002D48A9">
        <w:rPr>
          <w:rFonts w:asciiTheme="minorHAnsi" w:hAnsiTheme="minorHAnsi" w:cs="Arial"/>
        </w:rPr>
        <w:t xml:space="preserve"> the newly established </w:t>
      </w:r>
      <w:r w:rsidR="00F749AB" w:rsidRPr="002D48A9">
        <w:rPr>
          <w:rFonts w:asciiTheme="minorHAnsi" w:hAnsiTheme="minorHAnsi" w:cs="Arial"/>
          <w:shd w:val="clear" w:color="auto" w:fill="FFFFFF"/>
        </w:rPr>
        <w:t>ministerial advisory board</w:t>
      </w:r>
      <w:r w:rsidR="001E6B4C" w:rsidRPr="002D48A9">
        <w:rPr>
          <w:rFonts w:asciiTheme="minorHAnsi" w:hAnsiTheme="minorHAnsi" w:cs="Arial"/>
          <w:shd w:val="clear" w:color="auto" w:fill="FFFFFF"/>
        </w:rPr>
        <w:t xml:space="preserve">. </w:t>
      </w:r>
    </w:p>
    <w:p w14:paraId="062A4C9E" w14:textId="4BB0BD18" w:rsidR="00573022" w:rsidRDefault="0063572A" w:rsidP="0063572A">
      <w:pPr>
        <w:jc w:val="both"/>
        <w:rPr>
          <w:rFonts w:cs="Arial"/>
        </w:rPr>
      </w:pPr>
      <w:r w:rsidRPr="002D48A9">
        <w:rPr>
          <w:rFonts w:cs="Arial"/>
          <w:shd w:val="clear" w:color="auto" w:fill="FFFFFF"/>
        </w:rPr>
        <w:t xml:space="preserve">As the </w:t>
      </w:r>
      <w:r w:rsidRPr="002D48A9">
        <w:rPr>
          <w:rFonts w:cs="Arial"/>
          <w:lang w:val="mi-NZ"/>
        </w:rPr>
        <w:t>ultimate decision to remove tamariki Māori from their whānau sits with Aotearoa</w:t>
      </w:r>
      <w:r w:rsidR="00573022">
        <w:rPr>
          <w:rFonts w:cs="Arial"/>
          <w:lang w:val="mi-NZ"/>
        </w:rPr>
        <w:t xml:space="preserve">’s </w:t>
      </w:r>
      <w:r w:rsidRPr="002D48A9">
        <w:rPr>
          <w:rFonts w:cs="Arial"/>
        </w:rPr>
        <w:t xml:space="preserve">Family Court, </w:t>
      </w:r>
      <w:r w:rsidR="00B766CA" w:rsidRPr="002D48A9">
        <w:rPr>
          <w:rFonts w:cs="Arial"/>
        </w:rPr>
        <w:t xml:space="preserve">we note </w:t>
      </w:r>
      <w:r w:rsidRPr="002D48A9">
        <w:rPr>
          <w:rFonts w:cs="Arial"/>
        </w:rPr>
        <w:t>th</w:t>
      </w:r>
      <w:r w:rsidR="001619E9" w:rsidRPr="002D48A9">
        <w:rPr>
          <w:rFonts w:cs="Arial"/>
        </w:rPr>
        <w:t>ere is</w:t>
      </w:r>
      <w:r w:rsidR="001E6B4C" w:rsidRPr="002D48A9">
        <w:rPr>
          <w:rFonts w:cs="Arial"/>
        </w:rPr>
        <w:t xml:space="preserve"> </w:t>
      </w:r>
      <w:r w:rsidR="001619E9" w:rsidRPr="002D48A9">
        <w:rPr>
          <w:rFonts w:cs="Arial"/>
        </w:rPr>
        <w:t>an equally pressing need for Family Court judges</w:t>
      </w:r>
      <w:r w:rsidRPr="002D48A9">
        <w:rPr>
          <w:rFonts w:cs="Arial"/>
        </w:rPr>
        <w:t xml:space="preserve"> to</w:t>
      </w:r>
      <w:r w:rsidR="001619E9" w:rsidRPr="002D48A9">
        <w:rPr>
          <w:rFonts w:cs="Arial"/>
        </w:rPr>
        <w:t xml:space="preserve"> </w:t>
      </w:r>
      <w:r w:rsidRPr="002D48A9">
        <w:rPr>
          <w:rFonts w:cs="Arial"/>
        </w:rPr>
        <w:t xml:space="preserve">be better equipped </w:t>
      </w:r>
      <w:r w:rsidR="001619E9" w:rsidRPr="002D48A9">
        <w:rPr>
          <w:rFonts w:cs="Arial"/>
        </w:rPr>
        <w:t xml:space="preserve">to appropriately assess the rights of </w:t>
      </w:r>
      <w:proofErr w:type="spellStart"/>
      <w:r w:rsidR="001619E9" w:rsidRPr="002D48A9">
        <w:rPr>
          <w:rFonts w:cs="Arial"/>
        </w:rPr>
        <w:t>tamariki</w:t>
      </w:r>
      <w:proofErr w:type="spellEnd"/>
      <w:r w:rsidR="001619E9" w:rsidRPr="002D48A9">
        <w:rPr>
          <w:rFonts w:cs="Arial"/>
        </w:rPr>
        <w:t xml:space="preserve"> Māori and their </w:t>
      </w:r>
      <w:proofErr w:type="spellStart"/>
      <w:r w:rsidR="001619E9" w:rsidRPr="002D48A9">
        <w:rPr>
          <w:rFonts w:cs="Arial"/>
        </w:rPr>
        <w:t>whānau</w:t>
      </w:r>
      <w:proofErr w:type="spellEnd"/>
      <w:r w:rsidR="001619E9" w:rsidRPr="002D48A9">
        <w:rPr>
          <w:rFonts w:cs="Arial"/>
        </w:rPr>
        <w:t xml:space="preserve"> under </w:t>
      </w:r>
      <w:proofErr w:type="spellStart"/>
      <w:r w:rsidR="00573022">
        <w:rPr>
          <w:rFonts w:cs="Arial"/>
        </w:rPr>
        <w:t>t</w:t>
      </w:r>
      <w:r w:rsidR="001619E9" w:rsidRPr="002D48A9">
        <w:rPr>
          <w:rFonts w:cs="Arial"/>
        </w:rPr>
        <w:t>e</w:t>
      </w:r>
      <w:proofErr w:type="spellEnd"/>
      <w:r w:rsidR="001619E9" w:rsidRPr="002D48A9">
        <w:rPr>
          <w:rFonts w:cs="Arial"/>
        </w:rPr>
        <w:t xml:space="preserve"> </w:t>
      </w:r>
      <w:proofErr w:type="spellStart"/>
      <w:r w:rsidR="001619E9" w:rsidRPr="002D48A9">
        <w:rPr>
          <w:rFonts w:cs="Arial"/>
        </w:rPr>
        <w:t>Tiriti</w:t>
      </w:r>
      <w:proofErr w:type="spellEnd"/>
      <w:r w:rsidR="001619E9" w:rsidRPr="002D48A9">
        <w:rPr>
          <w:rFonts w:cs="Arial"/>
        </w:rPr>
        <w:t>,</w:t>
      </w:r>
      <w:r w:rsidR="00573022">
        <w:rPr>
          <w:rFonts w:cs="Arial"/>
        </w:rPr>
        <w:t xml:space="preserve"> the</w:t>
      </w:r>
      <w:r w:rsidR="001619E9" w:rsidRPr="002D48A9">
        <w:rPr>
          <w:rFonts w:cs="Arial"/>
        </w:rPr>
        <w:t xml:space="preserve"> </w:t>
      </w:r>
      <w:r w:rsidR="002B3FE1">
        <w:rPr>
          <w:rFonts w:cs="Arial"/>
        </w:rPr>
        <w:t xml:space="preserve">Indigenous </w:t>
      </w:r>
      <w:r w:rsidR="001619E9" w:rsidRPr="002D48A9">
        <w:rPr>
          <w:rFonts w:cs="Arial"/>
        </w:rPr>
        <w:t xml:space="preserve">Declaration and the CRC when they are making critical decisions about the placement or removal of </w:t>
      </w:r>
      <w:proofErr w:type="spellStart"/>
      <w:r w:rsidR="001619E9" w:rsidRPr="002D48A9">
        <w:rPr>
          <w:rFonts w:cs="Arial"/>
        </w:rPr>
        <w:t>tamariki</w:t>
      </w:r>
      <w:proofErr w:type="spellEnd"/>
      <w:r w:rsidR="001619E9" w:rsidRPr="002D48A9">
        <w:rPr>
          <w:rFonts w:cs="Arial"/>
        </w:rPr>
        <w:t xml:space="preserve"> Māori.</w:t>
      </w:r>
      <w:r w:rsidR="004B6BA8" w:rsidRPr="002D48A9">
        <w:rPr>
          <w:rFonts w:cs="Arial"/>
        </w:rPr>
        <w:t xml:space="preserve"> </w:t>
      </w:r>
      <w:r w:rsidR="00573022" w:rsidRPr="002D48A9">
        <w:rPr>
          <w:rFonts w:cs="Arial"/>
        </w:rPr>
        <w:t>Family Court judges need better guidance</w:t>
      </w:r>
      <w:r w:rsidR="00992A1D">
        <w:rPr>
          <w:rFonts w:cs="Arial"/>
        </w:rPr>
        <w:t xml:space="preserve"> </w:t>
      </w:r>
      <w:r w:rsidR="00573022" w:rsidRPr="002D48A9">
        <w:rPr>
          <w:rFonts w:cs="Arial"/>
        </w:rPr>
        <w:t xml:space="preserve">either through training or legislative amendment on how to assess the best interests of </w:t>
      </w:r>
      <w:proofErr w:type="spellStart"/>
      <w:r w:rsidR="00573022" w:rsidRPr="002D48A9">
        <w:rPr>
          <w:rFonts w:cs="Arial"/>
        </w:rPr>
        <w:t>tamariki</w:t>
      </w:r>
      <w:proofErr w:type="spellEnd"/>
      <w:r w:rsidR="00573022" w:rsidRPr="002D48A9">
        <w:rPr>
          <w:rFonts w:cs="Arial"/>
        </w:rPr>
        <w:t xml:space="preserve"> Māori in a way that </w:t>
      </w:r>
      <w:proofErr w:type="gramStart"/>
      <w:r w:rsidR="00573022" w:rsidRPr="002D48A9">
        <w:rPr>
          <w:rFonts w:cs="Arial"/>
        </w:rPr>
        <w:t>takes into account</w:t>
      </w:r>
      <w:proofErr w:type="gramEnd"/>
      <w:r w:rsidR="00573022" w:rsidRPr="002D48A9">
        <w:rPr>
          <w:rFonts w:cs="Arial"/>
        </w:rPr>
        <w:t xml:space="preserve"> their rights to community and culture under </w:t>
      </w:r>
      <w:proofErr w:type="spellStart"/>
      <w:r w:rsidR="00EF346F">
        <w:rPr>
          <w:rFonts w:cs="Arial"/>
        </w:rPr>
        <w:t>t</w:t>
      </w:r>
      <w:r w:rsidR="00573022" w:rsidRPr="002D48A9">
        <w:rPr>
          <w:rFonts w:cs="Arial"/>
        </w:rPr>
        <w:t>e</w:t>
      </w:r>
      <w:proofErr w:type="spellEnd"/>
      <w:r w:rsidR="00573022" w:rsidRPr="002D48A9">
        <w:rPr>
          <w:rFonts w:cs="Arial"/>
        </w:rPr>
        <w:t xml:space="preserve"> </w:t>
      </w:r>
      <w:proofErr w:type="spellStart"/>
      <w:r w:rsidR="00573022" w:rsidRPr="002D48A9">
        <w:rPr>
          <w:rFonts w:cs="Arial"/>
        </w:rPr>
        <w:t>Tiriti</w:t>
      </w:r>
      <w:proofErr w:type="spellEnd"/>
      <w:r w:rsidR="00573022" w:rsidRPr="002D48A9">
        <w:rPr>
          <w:rFonts w:cs="Arial"/>
        </w:rPr>
        <w:t xml:space="preserve">, the </w:t>
      </w:r>
      <w:r w:rsidR="00EF346F">
        <w:rPr>
          <w:rFonts w:cs="Arial"/>
        </w:rPr>
        <w:t xml:space="preserve">Indigenous </w:t>
      </w:r>
      <w:r w:rsidR="00573022" w:rsidRPr="002D48A9">
        <w:rPr>
          <w:rFonts w:cs="Arial"/>
        </w:rPr>
        <w:t xml:space="preserve">Declaration and the CRC. </w:t>
      </w:r>
      <w:proofErr w:type="gramStart"/>
      <w:r w:rsidR="00573022" w:rsidRPr="002D48A9">
        <w:rPr>
          <w:rFonts w:cs="Arial"/>
        </w:rPr>
        <w:t>Otherwise</w:t>
      </w:r>
      <w:proofErr w:type="gramEnd"/>
      <w:r w:rsidR="00573022" w:rsidRPr="002D48A9">
        <w:rPr>
          <w:rFonts w:cs="Arial"/>
        </w:rPr>
        <w:t xml:space="preserve"> there is a risk that Western concepts of what is in the best interests of individual </w:t>
      </w:r>
      <w:proofErr w:type="spellStart"/>
      <w:r w:rsidR="00573022" w:rsidRPr="002D48A9">
        <w:rPr>
          <w:rFonts w:cs="Arial"/>
        </w:rPr>
        <w:t>tamariki</w:t>
      </w:r>
      <w:proofErr w:type="spellEnd"/>
      <w:r w:rsidR="00573022" w:rsidRPr="002D48A9">
        <w:rPr>
          <w:rFonts w:cs="Arial"/>
        </w:rPr>
        <w:t xml:space="preserve"> Māori will continue to trump the equally important consideration of maintaining Indigenous communities and honouring the self-determination guarantees under </w:t>
      </w:r>
      <w:proofErr w:type="spellStart"/>
      <w:r w:rsidR="00992A1D">
        <w:rPr>
          <w:rFonts w:cs="Arial"/>
        </w:rPr>
        <w:t>t</w:t>
      </w:r>
      <w:r w:rsidR="00573022" w:rsidRPr="002D48A9">
        <w:rPr>
          <w:rFonts w:cs="Arial"/>
        </w:rPr>
        <w:t>e</w:t>
      </w:r>
      <w:proofErr w:type="spellEnd"/>
      <w:r w:rsidR="00573022" w:rsidRPr="002D48A9">
        <w:rPr>
          <w:rFonts w:cs="Arial"/>
        </w:rPr>
        <w:t xml:space="preserve"> </w:t>
      </w:r>
      <w:proofErr w:type="spellStart"/>
      <w:r w:rsidR="00573022" w:rsidRPr="002D48A9">
        <w:rPr>
          <w:rFonts w:cs="Arial"/>
        </w:rPr>
        <w:t>Tiriti</w:t>
      </w:r>
      <w:proofErr w:type="spellEnd"/>
      <w:r w:rsidR="00573022" w:rsidRPr="002D48A9">
        <w:rPr>
          <w:rFonts w:cs="Arial"/>
        </w:rPr>
        <w:t xml:space="preserve"> and the</w:t>
      </w:r>
      <w:r w:rsidR="002B3FE1">
        <w:rPr>
          <w:rFonts w:cs="Arial"/>
        </w:rPr>
        <w:t xml:space="preserve"> Indigenous</w:t>
      </w:r>
      <w:r w:rsidR="00573022" w:rsidRPr="002D48A9">
        <w:rPr>
          <w:rFonts w:cs="Arial"/>
        </w:rPr>
        <w:t xml:space="preserve"> Declaration. </w:t>
      </w:r>
    </w:p>
    <w:p w14:paraId="4ED94A95" w14:textId="71BD4C70" w:rsidR="001619E9" w:rsidRPr="002D48A9" w:rsidRDefault="004B6BA8" w:rsidP="0063572A">
      <w:pPr>
        <w:jc w:val="both"/>
        <w:rPr>
          <w:rFonts w:cs="Arial"/>
        </w:rPr>
      </w:pPr>
      <w:r w:rsidRPr="002D48A9">
        <w:rPr>
          <w:rFonts w:cs="Arial"/>
        </w:rPr>
        <w:t>As a recent study shows,</w:t>
      </w:r>
      <w:r w:rsidR="00CA6DE2" w:rsidRPr="002D48A9">
        <w:rPr>
          <w:rStyle w:val="FootnoteReference"/>
          <w:rFonts w:cs="Arial"/>
        </w:rPr>
        <w:footnoteReference w:id="19"/>
      </w:r>
      <w:r w:rsidRPr="002D48A9">
        <w:rPr>
          <w:rFonts w:cs="Arial"/>
        </w:rPr>
        <w:t xml:space="preserve"> the</w:t>
      </w:r>
      <w:r w:rsidR="00521965" w:rsidRPr="002D48A9">
        <w:rPr>
          <w:rFonts w:cs="Arial"/>
        </w:rPr>
        <w:t xml:space="preserve"> Family Court is</w:t>
      </w:r>
      <w:r w:rsidRPr="002D48A9">
        <w:rPr>
          <w:rFonts w:cs="Arial"/>
        </w:rPr>
        <w:t xml:space="preserve"> missing the mark in these respects </w:t>
      </w:r>
      <w:proofErr w:type="gramStart"/>
      <w:r w:rsidRPr="002D48A9">
        <w:rPr>
          <w:rFonts w:cs="Arial"/>
        </w:rPr>
        <w:t>and,</w:t>
      </w:r>
      <w:proofErr w:type="gramEnd"/>
      <w:r w:rsidRPr="002D48A9">
        <w:rPr>
          <w:rFonts w:cs="Arial"/>
        </w:rPr>
        <w:t xml:space="preserve"> as acknowledged by Principal Family Court Judge Jacqu</w:t>
      </w:r>
      <w:r w:rsidR="00E821F7" w:rsidRPr="002D48A9">
        <w:rPr>
          <w:rFonts w:cs="Arial"/>
        </w:rPr>
        <w:t>e</w:t>
      </w:r>
      <w:r w:rsidRPr="002D48A9">
        <w:rPr>
          <w:rFonts w:cs="Arial"/>
        </w:rPr>
        <w:t>l</w:t>
      </w:r>
      <w:r w:rsidR="00E821F7" w:rsidRPr="002D48A9">
        <w:rPr>
          <w:rFonts w:cs="Arial"/>
        </w:rPr>
        <w:t>y</w:t>
      </w:r>
      <w:r w:rsidRPr="002D48A9">
        <w:rPr>
          <w:rFonts w:cs="Arial"/>
        </w:rPr>
        <w:t xml:space="preserve">n Moran, </w:t>
      </w:r>
      <w:r w:rsidR="00632532" w:rsidRPr="002D48A9">
        <w:rPr>
          <w:rFonts w:cs="Arial"/>
          <w:color w:val="000000"/>
          <w:shd w:val="clear" w:color="auto" w:fill="FFFFFF"/>
        </w:rPr>
        <w:t xml:space="preserve">the Family Court must change the way it undertakes care and protection work to promote and facilitate engagement with </w:t>
      </w:r>
      <w:proofErr w:type="spellStart"/>
      <w:r w:rsidR="00632532" w:rsidRPr="002D48A9">
        <w:rPr>
          <w:rFonts w:cs="Arial"/>
          <w:color w:val="000000"/>
          <w:shd w:val="clear" w:color="auto" w:fill="FFFFFF"/>
        </w:rPr>
        <w:t>whānau</w:t>
      </w:r>
      <w:proofErr w:type="spellEnd"/>
      <w:r w:rsidR="00632532" w:rsidRPr="002D48A9">
        <w:rPr>
          <w:rFonts w:cs="Arial"/>
          <w:color w:val="000000"/>
          <w:shd w:val="clear" w:color="auto" w:fill="FFFFFF"/>
        </w:rPr>
        <w:t xml:space="preserve"> </w:t>
      </w:r>
      <w:r w:rsidR="007F3203" w:rsidRPr="002D48A9">
        <w:rPr>
          <w:rFonts w:cs="Arial"/>
          <w:color w:val="000000"/>
          <w:shd w:val="clear" w:color="auto" w:fill="FFFFFF"/>
        </w:rPr>
        <w:t>and</w:t>
      </w:r>
      <w:r w:rsidR="00632532" w:rsidRPr="002D48A9">
        <w:rPr>
          <w:rFonts w:cs="Arial"/>
          <w:color w:val="000000"/>
          <w:shd w:val="clear" w:color="auto" w:fill="FFFFFF"/>
        </w:rPr>
        <w:t xml:space="preserve"> achieve better outcomes for </w:t>
      </w:r>
      <w:proofErr w:type="spellStart"/>
      <w:r w:rsidR="00632532" w:rsidRPr="002D48A9">
        <w:rPr>
          <w:rFonts w:cs="Arial"/>
          <w:color w:val="000000"/>
          <w:shd w:val="clear" w:color="auto" w:fill="FFFFFF"/>
        </w:rPr>
        <w:t>tamariki</w:t>
      </w:r>
      <w:proofErr w:type="spellEnd"/>
      <w:r w:rsidR="007F3203" w:rsidRPr="002D48A9">
        <w:rPr>
          <w:rFonts w:cs="Arial"/>
          <w:color w:val="000000"/>
          <w:shd w:val="clear" w:color="auto" w:fill="FFFFFF"/>
        </w:rPr>
        <w:t xml:space="preserve"> Māori.</w:t>
      </w:r>
      <w:r w:rsidR="00521965" w:rsidRPr="002D48A9">
        <w:rPr>
          <w:rStyle w:val="FootnoteReference"/>
          <w:rFonts w:cs="Arial"/>
          <w:color w:val="000000"/>
          <w:shd w:val="clear" w:color="auto" w:fill="FFFFFF"/>
        </w:rPr>
        <w:footnoteReference w:id="20"/>
      </w:r>
    </w:p>
    <w:p w14:paraId="010F0B1A" w14:textId="728722CA" w:rsidR="001619E9" w:rsidRPr="002D48A9" w:rsidRDefault="001619E9" w:rsidP="001619E9">
      <w:pPr>
        <w:pStyle w:val="Corpo"/>
        <w:jc w:val="both"/>
        <w:rPr>
          <w:rFonts w:asciiTheme="minorHAnsi" w:hAnsiTheme="minorHAnsi" w:cs="Arial"/>
        </w:rPr>
      </w:pPr>
      <w:r w:rsidRPr="002D48A9">
        <w:rPr>
          <w:rFonts w:asciiTheme="minorHAnsi" w:hAnsiTheme="minorHAnsi" w:cs="Arial"/>
        </w:rPr>
        <w:t xml:space="preserve">The changes in </w:t>
      </w:r>
      <w:r w:rsidR="001E1910">
        <w:rPr>
          <w:rFonts w:asciiTheme="minorHAnsi" w:hAnsiTheme="minorHAnsi" w:cs="Arial"/>
        </w:rPr>
        <w:t>Aotearoa</w:t>
      </w:r>
      <w:r w:rsidRPr="002D48A9">
        <w:rPr>
          <w:rFonts w:asciiTheme="minorHAnsi" w:hAnsiTheme="minorHAnsi" w:cs="Arial"/>
        </w:rPr>
        <w:t>’s care and protection laws</w:t>
      </w:r>
      <w:r w:rsidR="00521965" w:rsidRPr="002D48A9">
        <w:rPr>
          <w:rFonts w:asciiTheme="minorHAnsi" w:hAnsiTheme="minorHAnsi" w:cs="Arial"/>
        </w:rPr>
        <w:t>, as outlined above,</w:t>
      </w:r>
      <w:r w:rsidRPr="002D48A9">
        <w:rPr>
          <w:rFonts w:asciiTheme="minorHAnsi" w:hAnsiTheme="minorHAnsi" w:cs="Arial"/>
        </w:rPr>
        <w:t xml:space="preserve"> are a clear signal to the judiciary to more actively interpret the law in favour of ensuring tamariki Māori stay within their </w:t>
      </w:r>
      <w:r w:rsidRPr="002D48A9">
        <w:rPr>
          <w:rFonts w:asciiTheme="minorHAnsi" w:hAnsiTheme="minorHAnsi" w:cs="Arial"/>
        </w:rPr>
        <w:lastRenderedPageBreak/>
        <w:t xml:space="preserve">whānau, hapū or iwi group and that such decisions </w:t>
      </w:r>
      <w:r w:rsidR="00573022">
        <w:rPr>
          <w:rFonts w:asciiTheme="minorHAnsi" w:hAnsiTheme="minorHAnsi" w:cs="Arial"/>
        </w:rPr>
        <w:t>must</w:t>
      </w:r>
      <w:r w:rsidR="00573022" w:rsidRPr="002D48A9">
        <w:rPr>
          <w:rFonts w:asciiTheme="minorHAnsi" w:hAnsiTheme="minorHAnsi" w:cs="Arial"/>
        </w:rPr>
        <w:t xml:space="preserve"> </w:t>
      </w:r>
      <w:r w:rsidRPr="002D48A9">
        <w:rPr>
          <w:rFonts w:asciiTheme="minorHAnsi" w:hAnsiTheme="minorHAnsi" w:cs="Arial"/>
        </w:rPr>
        <w:t>always promote their best interests and welfare as  Indigenous children.</w:t>
      </w:r>
      <w:r w:rsidRPr="002D48A9">
        <w:rPr>
          <w:rStyle w:val="FootnoteReference"/>
          <w:rFonts w:asciiTheme="minorHAnsi" w:hAnsiTheme="minorHAnsi" w:cs="Arial"/>
        </w:rPr>
        <w:footnoteReference w:id="21"/>
      </w:r>
      <w:r w:rsidRPr="002D48A9">
        <w:rPr>
          <w:rFonts w:asciiTheme="minorHAnsi" w:hAnsiTheme="minorHAnsi" w:cs="Arial"/>
        </w:rPr>
        <w:t xml:space="preserve"> </w:t>
      </w:r>
    </w:p>
    <w:p w14:paraId="3929972C" w14:textId="74E5684F" w:rsidR="001619E9" w:rsidRPr="002D48A9" w:rsidRDefault="001619E9" w:rsidP="001619E9">
      <w:pPr>
        <w:pStyle w:val="Corpo"/>
        <w:jc w:val="both"/>
        <w:rPr>
          <w:rFonts w:asciiTheme="minorHAnsi" w:hAnsiTheme="minorHAnsi" w:cs="Arial"/>
        </w:rPr>
      </w:pPr>
      <w:r w:rsidRPr="002D48A9">
        <w:rPr>
          <w:rFonts w:asciiTheme="minorHAnsi" w:hAnsiTheme="minorHAnsi" w:cs="Arial"/>
        </w:rPr>
        <w:t xml:space="preserve">To these ends, </w:t>
      </w:r>
      <w:r w:rsidR="001E1910">
        <w:rPr>
          <w:rFonts w:asciiTheme="minorHAnsi" w:hAnsiTheme="minorHAnsi" w:cs="Arial"/>
        </w:rPr>
        <w:t>Aotearoa</w:t>
      </w:r>
      <w:r w:rsidRPr="002D48A9">
        <w:rPr>
          <w:rFonts w:asciiTheme="minorHAnsi" w:hAnsiTheme="minorHAnsi" w:cs="Arial"/>
        </w:rPr>
        <w:t xml:space="preserve"> should consider following the lead of other countries with Indigenous populations (such as Australia and Canada</w:t>
      </w:r>
      <w:r w:rsidRPr="002D48A9">
        <w:rPr>
          <w:rStyle w:val="FootnoteReference"/>
          <w:rFonts w:asciiTheme="minorHAnsi" w:hAnsiTheme="minorHAnsi" w:cs="Arial"/>
        </w:rPr>
        <w:footnoteReference w:id="22"/>
      </w:r>
      <w:r w:rsidRPr="002D48A9">
        <w:rPr>
          <w:rFonts w:asciiTheme="minorHAnsi" w:hAnsiTheme="minorHAnsi" w:cs="Arial"/>
        </w:rPr>
        <w:t>) and develop Indigenous-specific rules or principles for the judiciary to ensure tamariki Māori are always placed within their wider family or hapū or iwi group, are only placed in non-kin or state care as a last resort and these decisions are made in partnership with the relevant Māori authorities.</w:t>
      </w:r>
    </w:p>
    <w:p w14:paraId="0B994BB4" w14:textId="5E1DD86F" w:rsidR="001619E9" w:rsidRPr="002D48A9" w:rsidRDefault="001619E9" w:rsidP="00F564B4">
      <w:pPr>
        <w:pStyle w:val="Corpo"/>
        <w:spacing w:after="240"/>
        <w:jc w:val="both"/>
        <w:rPr>
          <w:rFonts w:asciiTheme="minorHAnsi" w:hAnsiTheme="minorHAnsi" w:cs="Arial"/>
        </w:rPr>
      </w:pPr>
      <w:r w:rsidRPr="002D48A9">
        <w:rPr>
          <w:rFonts w:asciiTheme="minorHAnsi" w:hAnsiTheme="minorHAnsi" w:cs="Arial"/>
        </w:rPr>
        <w:t xml:space="preserve">At the same time, </w:t>
      </w:r>
      <w:r w:rsidR="00EF346F">
        <w:rPr>
          <w:rFonts w:asciiTheme="minorHAnsi" w:hAnsiTheme="minorHAnsi" w:cs="Arial"/>
        </w:rPr>
        <w:t>en</w:t>
      </w:r>
      <w:r w:rsidR="00D95253">
        <w:rPr>
          <w:rFonts w:asciiTheme="minorHAnsi" w:hAnsiTheme="minorHAnsi" w:cs="Arial"/>
        </w:rPr>
        <w:t>abling a process that facilitates</w:t>
      </w:r>
      <w:r w:rsidR="00EF346F">
        <w:rPr>
          <w:rFonts w:asciiTheme="minorHAnsi" w:hAnsiTheme="minorHAnsi" w:cs="Arial"/>
        </w:rPr>
        <w:t xml:space="preserve"> tikanga-consistent outcomes in </w:t>
      </w:r>
      <w:r w:rsidR="002B3FE1">
        <w:rPr>
          <w:rFonts w:asciiTheme="minorHAnsi" w:hAnsiTheme="minorHAnsi" w:cs="Arial"/>
        </w:rPr>
        <w:t xml:space="preserve">Aotearoa’s </w:t>
      </w:r>
      <w:r w:rsidR="00EF346F">
        <w:rPr>
          <w:rFonts w:asciiTheme="minorHAnsi" w:hAnsiTheme="minorHAnsi" w:cs="Arial"/>
        </w:rPr>
        <w:t>Family Court</w:t>
      </w:r>
      <w:r w:rsidR="00E56A02">
        <w:rPr>
          <w:rFonts w:asciiTheme="minorHAnsi" w:hAnsiTheme="minorHAnsi" w:cs="Arial"/>
        </w:rPr>
        <w:t xml:space="preserve"> must be prioritised</w:t>
      </w:r>
      <w:r w:rsidR="00EF346F">
        <w:rPr>
          <w:rFonts w:asciiTheme="minorHAnsi" w:hAnsiTheme="minorHAnsi" w:cs="Arial"/>
        </w:rPr>
        <w:t xml:space="preserve">. While further consideration is needed </w:t>
      </w:r>
      <w:r w:rsidR="00E56A02">
        <w:rPr>
          <w:rFonts w:asciiTheme="minorHAnsi" w:hAnsiTheme="minorHAnsi" w:cs="Arial"/>
        </w:rPr>
        <w:t xml:space="preserve">on the most effective </w:t>
      </w:r>
      <w:r w:rsidR="00EF346F">
        <w:rPr>
          <w:rFonts w:asciiTheme="minorHAnsi" w:hAnsiTheme="minorHAnsi" w:cs="Arial"/>
        </w:rPr>
        <w:t>approach</w:t>
      </w:r>
      <w:r w:rsidR="00E56A02">
        <w:rPr>
          <w:rFonts w:asciiTheme="minorHAnsi" w:hAnsiTheme="minorHAnsi" w:cs="Arial"/>
        </w:rPr>
        <w:t xml:space="preserve"> to reach this end</w:t>
      </w:r>
      <w:r w:rsidR="00EF346F">
        <w:rPr>
          <w:rFonts w:asciiTheme="minorHAnsi" w:hAnsiTheme="minorHAnsi" w:cs="Arial"/>
        </w:rPr>
        <w:t xml:space="preserve">, potential options </w:t>
      </w:r>
      <w:r w:rsidR="0006643B">
        <w:rPr>
          <w:rFonts w:asciiTheme="minorHAnsi" w:hAnsiTheme="minorHAnsi" w:cs="Arial"/>
        </w:rPr>
        <w:t xml:space="preserve">may </w:t>
      </w:r>
      <w:r w:rsidR="00EF346F">
        <w:rPr>
          <w:rFonts w:asciiTheme="minorHAnsi" w:hAnsiTheme="minorHAnsi" w:cs="Arial"/>
        </w:rPr>
        <w:t xml:space="preserve">include </w:t>
      </w:r>
      <w:r w:rsidRPr="002D48A9">
        <w:rPr>
          <w:rFonts w:asciiTheme="minorHAnsi" w:hAnsiTheme="minorHAnsi" w:cs="Arial"/>
        </w:rPr>
        <w:t>the establishment of specialist courts to determine what is in the best interests of tamariki Māori, which are presided over by Māori judges with tikanga Māori expertise or a representative decision-making panel.</w:t>
      </w:r>
      <w:r w:rsidRPr="002D48A9">
        <w:rPr>
          <w:rStyle w:val="FootnoteReference"/>
          <w:rFonts w:asciiTheme="minorHAnsi" w:hAnsiTheme="minorHAnsi" w:cs="Arial"/>
        </w:rPr>
        <w:footnoteReference w:id="23"/>
      </w:r>
    </w:p>
    <w:p w14:paraId="3E19E5A8" w14:textId="25C39620" w:rsidR="001619E9" w:rsidRPr="002D48A9" w:rsidRDefault="00AB3278" w:rsidP="001619E9">
      <w:pPr>
        <w:rPr>
          <w:rFonts w:cs="Arial"/>
          <w:b/>
          <w:bCs/>
        </w:rPr>
      </w:pPr>
      <w:r w:rsidRPr="002D48A9">
        <w:rPr>
          <w:rFonts w:cs="Arial"/>
          <w:b/>
          <w:bCs/>
        </w:rPr>
        <w:t xml:space="preserve">Other key disparities faced by </w:t>
      </w:r>
      <w:proofErr w:type="spellStart"/>
      <w:r w:rsidRPr="002D48A9">
        <w:rPr>
          <w:rFonts w:cs="Arial"/>
          <w:b/>
          <w:bCs/>
        </w:rPr>
        <w:t>tamariki</w:t>
      </w:r>
      <w:proofErr w:type="spellEnd"/>
      <w:r w:rsidRPr="002D48A9">
        <w:rPr>
          <w:rFonts w:cs="Arial"/>
          <w:b/>
          <w:bCs/>
        </w:rPr>
        <w:t xml:space="preserve"> Māori</w:t>
      </w:r>
      <w:r w:rsidR="00E70FA3" w:rsidRPr="002D48A9">
        <w:rPr>
          <w:rFonts w:cs="Arial"/>
          <w:b/>
          <w:bCs/>
        </w:rPr>
        <w:t xml:space="preserve"> </w:t>
      </w:r>
    </w:p>
    <w:p w14:paraId="028C3254" w14:textId="13F46326" w:rsidR="001619E9" w:rsidRPr="002D48A9" w:rsidRDefault="00F05035" w:rsidP="006C3A0E">
      <w:pPr>
        <w:jc w:val="both"/>
        <w:rPr>
          <w:rFonts w:cs="Arial"/>
        </w:rPr>
      </w:pPr>
      <w:r w:rsidRPr="002D48A9">
        <w:rPr>
          <w:rFonts w:cs="Arial"/>
        </w:rPr>
        <w:t xml:space="preserve">While we have focussed </w:t>
      </w:r>
      <w:r w:rsidR="00C84E4C" w:rsidRPr="002D48A9">
        <w:rPr>
          <w:rFonts w:cs="Arial"/>
        </w:rPr>
        <w:t xml:space="preserve">our submission on the experience of </w:t>
      </w:r>
      <w:proofErr w:type="spellStart"/>
      <w:r w:rsidR="00C84E4C" w:rsidRPr="002D48A9">
        <w:rPr>
          <w:rFonts w:cs="Arial"/>
        </w:rPr>
        <w:t>tamariki</w:t>
      </w:r>
      <w:proofErr w:type="spellEnd"/>
      <w:r w:rsidR="00C84E4C" w:rsidRPr="002D48A9">
        <w:rPr>
          <w:rFonts w:cs="Arial"/>
        </w:rPr>
        <w:t xml:space="preserve"> Māori and their </w:t>
      </w:r>
      <w:proofErr w:type="spellStart"/>
      <w:r w:rsidR="00C84E4C" w:rsidRPr="002D48A9">
        <w:rPr>
          <w:rFonts w:cs="Arial"/>
        </w:rPr>
        <w:t>whānau</w:t>
      </w:r>
      <w:proofErr w:type="spellEnd"/>
      <w:r w:rsidR="00C84E4C" w:rsidRPr="002D48A9">
        <w:rPr>
          <w:rFonts w:cs="Arial"/>
        </w:rPr>
        <w:t xml:space="preserve"> in </w:t>
      </w:r>
      <w:r w:rsidR="001E1910">
        <w:rPr>
          <w:rFonts w:cs="Arial"/>
        </w:rPr>
        <w:t>Aotearoa</w:t>
      </w:r>
      <w:r w:rsidR="00573022">
        <w:rPr>
          <w:rFonts w:cs="Arial"/>
        </w:rPr>
        <w:t xml:space="preserve">’s </w:t>
      </w:r>
      <w:r w:rsidR="00C84E4C" w:rsidRPr="002D48A9">
        <w:rPr>
          <w:rFonts w:cs="Arial"/>
        </w:rPr>
        <w:t xml:space="preserve">care and protection system, </w:t>
      </w:r>
      <w:r w:rsidR="00FF5DD0" w:rsidRPr="002D48A9">
        <w:rPr>
          <w:rFonts w:cs="Arial"/>
        </w:rPr>
        <w:t xml:space="preserve">we </w:t>
      </w:r>
      <w:r w:rsidR="006C3A0E" w:rsidRPr="002D48A9">
        <w:rPr>
          <w:rFonts w:cs="Arial"/>
        </w:rPr>
        <w:t xml:space="preserve">also </w:t>
      </w:r>
      <w:r w:rsidR="00FF5DD0" w:rsidRPr="002D48A9">
        <w:rPr>
          <w:rFonts w:cs="Arial"/>
        </w:rPr>
        <w:t xml:space="preserve">want to highlight for the EMRIP other key areas where the rights of </w:t>
      </w:r>
      <w:proofErr w:type="spellStart"/>
      <w:r w:rsidR="00FF5DD0" w:rsidRPr="002D48A9">
        <w:rPr>
          <w:rFonts w:cs="Arial"/>
        </w:rPr>
        <w:t>tamariki</w:t>
      </w:r>
      <w:proofErr w:type="spellEnd"/>
      <w:r w:rsidR="00FF5DD0" w:rsidRPr="002D48A9">
        <w:rPr>
          <w:rFonts w:cs="Arial"/>
        </w:rPr>
        <w:t xml:space="preserve"> Māori as guaranteed under </w:t>
      </w:r>
      <w:proofErr w:type="spellStart"/>
      <w:r w:rsidR="00573022">
        <w:rPr>
          <w:rFonts w:cs="Arial"/>
        </w:rPr>
        <w:t>t</w:t>
      </w:r>
      <w:r w:rsidR="00FF5DD0" w:rsidRPr="002D48A9">
        <w:rPr>
          <w:rFonts w:cs="Arial"/>
        </w:rPr>
        <w:t>e</w:t>
      </w:r>
      <w:proofErr w:type="spellEnd"/>
      <w:r w:rsidR="00FF5DD0" w:rsidRPr="002D48A9">
        <w:rPr>
          <w:rFonts w:cs="Arial"/>
        </w:rPr>
        <w:t xml:space="preserve"> </w:t>
      </w:r>
      <w:proofErr w:type="spellStart"/>
      <w:r w:rsidR="00FF5DD0" w:rsidRPr="002D48A9">
        <w:rPr>
          <w:rFonts w:cs="Arial"/>
        </w:rPr>
        <w:t>Tiriti</w:t>
      </w:r>
      <w:proofErr w:type="spellEnd"/>
      <w:r w:rsidR="00FF5DD0" w:rsidRPr="002D48A9">
        <w:rPr>
          <w:rFonts w:cs="Arial"/>
        </w:rPr>
        <w:t xml:space="preserve">, the </w:t>
      </w:r>
      <w:r w:rsidR="008E6A62">
        <w:rPr>
          <w:rFonts w:cs="Arial"/>
        </w:rPr>
        <w:t xml:space="preserve">Indigenous </w:t>
      </w:r>
      <w:r w:rsidR="00FF5DD0" w:rsidRPr="002D48A9">
        <w:rPr>
          <w:rFonts w:cs="Arial"/>
        </w:rPr>
        <w:t>Declaration and the CRC</w:t>
      </w:r>
      <w:r w:rsidR="001619E9" w:rsidRPr="002D48A9">
        <w:rPr>
          <w:rFonts w:cs="Arial"/>
        </w:rPr>
        <w:t xml:space="preserve"> are also neglected. </w:t>
      </w:r>
      <w:r w:rsidR="004554C3" w:rsidRPr="002D48A9">
        <w:rPr>
          <w:rFonts w:cs="Arial"/>
        </w:rPr>
        <w:t xml:space="preserve">Like their overrepresentation in state care, </w:t>
      </w:r>
      <w:r w:rsidR="00AA20B9" w:rsidRPr="002D48A9">
        <w:rPr>
          <w:rFonts w:cs="Arial"/>
        </w:rPr>
        <w:t xml:space="preserve">the additional disparities experienced by </w:t>
      </w:r>
      <w:proofErr w:type="spellStart"/>
      <w:r w:rsidR="00AA20B9" w:rsidRPr="002D48A9">
        <w:rPr>
          <w:rFonts w:cs="Arial"/>
        </w:rPr>
        <w:t>tamarki</w:t>
      </w:r>
      <w:proofErr w:type="spellEnd"/>
      <w:r w:rsidR="00AA20B9" w:rsidRPr="002D48A9">
        <w:rPr>
          <w:rFonts w:cs="Arial"/>
        </w:rPr>
        <w:t xml:space="preserve"> Māori are linke</w:t>
      </w:r>
      <w:r w:rsidR="00377F79" w:rsidRPr="002D48A9">
        <w:rPr>
          <w:rFonts w:cs="Arial"/>
        </w:rPr>
        <w:t xml:space="preserve">d to colonisation and the discrimination they face when interacting with a </w:t>
      </w:r>
      <w:proofErr w:type="spellStart"/>
      <w:r w:rsidR="00377F79" w:rsidRPr="002D48A9">
        <w:rPr>
          <w:rFonts w:cs="Arial"/>
        </w:rPr>
        <w:t>Pākehā</w:t>
      </w:r>
      <w:proofErr w:type="spellEnd"/>
      <w:r w:rsidR="00377F79" w:rsidRPr="002D48A9">
        <w:rPr>
          <w:rFonts w:cs="Arial"/>
        </w:rPr>
        <w:t xml:space="preserve">-led system and </w:t>
      </w:r>
      <w:proofErr w:type="spellStart"/>
      <w:r w:rsidR="00377F79" w:rsidRPr="002D48A9">
        <w:rPr>
          <w:rFonts w:cs="Arial"/>
        </w:rPr>
        <w:t>Pākehā</w:t>
      </w:r>
      <w:proofErr w:type="spellEnd"/>
      <w:r w:rsidR="00377F79" w:rsidRPr="002D48A9">
        <w:rPr>
          <w:rFonts w:cs="Arial"/>
        </w:rPr>
        <w:t xml:space="preserve"> dominant society. As detailed </w:t>
      </w:r>
      <w:r w:rsidR="00EF22EE" w:rsidRPr="002D48A9">
        <w:rPr>
          <w:rFonts w:cs="Arial"/>
        </w:rPr>
        <w:t>below, these disparities are closely interlinked and</w:t>
      </w:r>
      <w:r w:rsidR="00250C7B" w:rsidRPr="002D48A9">
        <w:rPr>
          <w:rFonts w:cs="Arial"/>
        </w:rPr>
        <w:t xml:space="preserve"> make</w:t>
      </w:r>
      <w:r w:rsidR="00333622" w:rsidRPr="002D48A9">
        <w:rPr>
          <w:rFonts w:cs="Arial"/>
        </w:rPr>
        <w:t xml:space="preserve"> </w:t>
      </w:r>
      <w:proofErr w:type="spellStart"/>
      <w:r w:rsidR="00333622" w:rsidRPr="002D48A9">
        <w:rPr>
          <w:rFonts w:cs="Arial"/>
        </w:rPr>
        <w:t>tamariki</w:t>
      </w:r>
      <w:proofErr w:type="spellEnd"/>
      <w:r w:rsidR="00333622" w:rsidRPr="002D48A9">
        <w:rPr>
          <w:rFonts w:cs="Arial"/>
        </w:rPr>
        <w:t xml:space="preserve"> Māori </w:t>
      </w:r>
      <w:r w:rsidR="00AB2941" w:rsidRPr="002D48A9">
        <w:rPr>
          <w:rFonts w:cs="Arial"/>
        </w:rPr>
        <w:t>highly vulnerable to becoming involved in the state care and youth justice systems.</w:t>
      </w:r>
    </w:p>
    <w:p w14:paraId="01EAF000" w14:textId="1566F6BA" w:rsidR="004554C3" w:rsidRPr="002D48A9" w:rsidRDefault="004554C3" w:rsidP="006C3A0E">
      <w:pPr>
        <w:jc w:val="both"/>
        <w:rPr>
          <w:rFonts w:cs="Arial"/>
          <w:u w:val="single"/>
        </w:rPr>
      </w:pPr>
      <w:r w:rsidRPr="002D48A9">
        <w:rPr>
          <w:rFonts w:cs="Arial"/>
          <w:u w:val="single"/>
        </w:rPr>
        <w:t>Child p</w:t>
      </w:r>
      <w:r w:rsidR="001619E9" w:rsidRPr="002D48A9">
        <w:rPr>
          <w:rFonts w:cs="Arial"/>
          <w:u w:val="single"/>
        </w:rPr>
        <w:t>overty</w:t>
      </w:r>
    </w:p>
    <w:p w14:paraId="3A1DDE90" w14:textId="2A203645" w:rsidR="00775B18" w:rsidRPr="002D48A9" w:rsidRDefault="001619E9" w:rsidP="00775B18">
      <w:pPr>
        <w:pStyle w:val="ListParagraph"/>
        <w:numPr>
          <w:ilvl w:val="0"/>
          <w:numId w:val="11"/>
        </w:numPr>
        <w:rPr>
          <w:rFonts w:cs="Arial"/>
        </w:rPr>
      </w:pPr>
      <w:r w:rsidRPr="002D48A9">
        <w:rPr>
          <w:rFonts w:cs="Arial"/>
        </w:rPr>
        <w:t xml:space="preserve">Tamariki Māori and their </w:t>
      </w:r>
      <w:proofErr w:type="spellStart"/>
      <w:r w:rsidRPr="002D48A9">
        <w:rPr>
          <w:rFonts w:cs="Arial"/>
        </w:rPr>
        <w:t>whānau</w:t>
      </w:r>
      <w:proofErr w:type="spellEnd"/>
      <w:r w:rsidRPr="002D48A9">
        <w:rPr>
          <w:rFonts w:cs="Arial"/>
        </w:rPr>
        <w:t xml:space="preserve"> experience high levels of poverty in </w:t>
      </w:r>
      <w:r w:rsidR="001E1910">
        <w:rPr>
          <w:rFonts w:cs="Arial"/>
        </w:rPr>
        <w:t>Aotearoa</w:t>
      </w:r>
      <w:r w:rsidRPr="002D48A9">
        <w:rPr>
          <w:rFonts w:cs="Arial"/>
        </w:rPr>
        <w:t>. According to recent child poverty statistics,</w:t>
      </w:r>
      <w:r w:rsidRPr="002D48A9">
        <w:rPr>
          <w:rStyle w:val="FootnoteReference"/>
          <w:rFonts w:cs="Arial"/>
        </w:rPr>
        <w:footnoteReference w:id="24"/>
      </w:r>
      <w:r w:rsidRPr="002D48A9">
        <w:rPr>
          <w:rFonts w:cs="Arial"/>
        </w:rPr>
        <w:t xml:space="preserve"> nearly 1 in 4 </w:t>
      </w:r>
      <w:proofErr w:type="spellStart"/>
      <w:r w:rsidRPr="002D48A9">
        <w:rPr>
          <w:rFonts w:cs="Arial"/>
        </w:rPr>
        <w:t>tamariki</w:t>
      </w:r>
      <w:proofErr w:type="spellEnd"/>
      <w:r w:rsidRPr="002D48A9">
        <w:rPr>
          <w:rFonts w:cs="Arial"/>
        </w:rPr>
        <w:t xml:space="preserve"> Māori live in material hardship compared to just over 1 in 10 children overall. </w:t>
      </w:r>
    </w:p>
    <w:p w14:paraId="0EDC7D3F" w14:textId="1646EDCF" w:rsidR="00775B18" w:rsidRPr="002D48A9" w:rsidRDefault="001619E9" w:rsidP="00775B18">
      <w:pPr>
        <w:pStyle w:val="ListParagraph"/>
        <w:numPr>
          <w:ilvl w:val="0"/>
          <w:numId w:val="11"/>
        </w:numPr>
        <w:rPr>
          <w:rFonts w:cs="Arial"/>
        </w:rPr>
      </w:pPr>
      <w:r w:rsidRPr="002D48A9">
        <w:rPr>
          <w:rFonts w:cs="Arial"/>
        </w:rPr>
        <w:t xml:space="preserve">This means that 1 in 4 </w:t>
      </w:r>
      <w:proofErr w:type="spellStart"/>
      <w:r w:rsidRPr="002D48A9">
        <w:rPr>
          <w:rFonts w:cs="Arial"/>
        </w:rPr>
        <w:t>tamariki</w:t>
      </w:r>
      <w:proofErr w:type="spellEnd"/>
      <w:r w:rsidRPr="002D48A9">
        <w:rPr>
          <w:rFonts w:cs="Arial"/>
        </w:rPr>
        <w:t xml:space="preserve"> Māori are lacking more than six of 17 essential items, including fresh fruit and vegetables, clothing, </w:t>
      </w:r>
      <w:proofErr w:type="gramStart"/>
      <w:r w:rsidRPr="002D48A9">
        <w:rPr>
          <w:rFonts w:cs="Arial"/>
        </w:rPr>
        <w:t>heating</w:t>
      </w:r>
      <w:proofErr w:type="gramEnd"/>
      <w:r w:rsidRPr="002D48A9">
        <w:rPr>
          <w:rFonts w:cs="Arial"/>
        </w:rPr>
        <w:t xml:space="preserve"> or access to doctors’ visits. </w:t>
      </w:r>
    </w:p>
    <w:p w14:paraId="05327210" w14:textId="12A119F6" w:rsidR="001619E9" w:rsidRPr="002D48A9" w:rsidRDefault="001619E9" w:rsidP="004554C3">
      <w:pPr>
        <w:pStyle w:val="ListParagraph"/>
        <w:numPr>
          <w:ilvl w:val="0"/>
          <w:numId w:val="11"/>
        </w:numPr>
        <w:rPr>
          <w:rFonts w:cs="Arial"/>
        </w:rPr>
      </w:pPr>
      <w:proofErr w:type="gramStart"/>
      <w:r w:rsidRPr="002D48A9">
        <w:rPr>
          <w:rFonts w:cs="Arial"/>
        </w:rPr>
        <w:t>As a consequence</w:t>
      </w:r>
      <w:proofErr w:type="gramEnd"/>
      <w:r w:rsidRPr="002D48A9">
        <w:rPr>
          <w:rFonts w:cs="Arial"/>
        </w:rPr>
        <w:t>, they experience the highest prevalence of food insecurity</w:t>
      </w:r>
      <w:r w:rsidR="00775B18" w:rsidRPr="002D48A9">
        <w:rPr>
          <w:rStyle w:val="FootnoteReference"/>
          <w:rFonts w:cs="Arial"/>
        </w:rPr>
        <w:footnoteReference w:id="25"/>
      </w:r>
      <w:r w:rsidRPr="002D48A9">
        <w:rPr>
          <w:rFonts w:cs="Arial"/>
        </w:rPr>
        <w:t xml:space="preserve"> and, due to </w:t>
      </w:r>
      <w:r w:rsidR="00D2775B">
        <w:rPr>
          <w:rFonts w:cs="Arial"/>
        </w:rPr>
        <w:t xml:space="preserve">poor </w:t>
      </w:r>
      <w:r w:rsidRPr="002D48A9">
        <w:rPr>
          <w:rFonts w:cs="Arial"/>
        </w:rPr>
        <w:t xml:space="preserve">nutrition diets, are 1.6 times to be obese compared to </w:t>
      </w:r>
      <w:r w:rsidRPr="002D48A9">
        <w:rPr>
          <w:rFonts w:cs="Arial"/>
          <w:shd w:val="clear" w:color="auto" w:fill="FFFFFF"/>
        </w:rPr>
        <w:t>non-Māori children</w:t>
      </w:r>
      <w:r w:rsidR="00573022">
        <w:rPr>
          <w:rFonts w:cs="Arial"/>
          <w:shd w:val="clear" w:color="auto" w:fill="FFFFFF"/>
        </w:rPr>
        <w:t>.</w:t>
      </w:r>
      <w:r w:rsidRPr="002D48A9">
        <w:rPr>
          <w:rStyle w:val="FootnoteReference"/>
          <w:rFonts w:cs="Arial"/>
          <w:shd w:val="clear" w:color="auto" w:fill="FFFFFF"/>
        </w:rPr>
        <w:footnoteReference w:id="26"/>
      </w:r>
    </w:p>
    <w:p w14:paraId="5E13840A" w14:textId="7447C532" w:rsidR="006E3682" w:rsidRPr="002D48A9" w:rsidRDefault="006E3682" w:rsidP="006E3682">
      <w:pPr>
        <w:rPr>
          <w:rFonts w:cs="Arial"/>
          <w:i/>
          <w:iCs/>
        </w:rPr>
      </w:pPr>
      <w:r w:rsidRPr="002D48A9">
        <w:rPr>
          <w:rFonts w:cs="Arial"/>
          <w:i/>
          <w:iCs/>
        </w:rPr>
        <w:lastRenderedPageBreak/>
        <w:t xml:space="preserve">Link between poverty and overrepresentation of </w:t>
      </w:r>
      <w:proofErr w:type="spellStart"/>
      <w:r w:rsidRPr="002D48A9">
        <w:rPr>
          <w:rFonts w:cs="Arial"/>
          <w:i/>
          <w:iCs/>
        </w:rPr>
        <w:t>tamariki</w:t>
      </w:r>
      <w:proofErr w:type="spellEnd"/>
      <w:r w:rsidRPr="002D48A9">
        <w:rPr>
          <w:rFonts w:cs="Arial"/>
          <w:i/>
          <w:iCs/>
        </w:rPr>
        <w:t xml:space="preserve"> Māori in state care:</w:t>
      </w:r>
    </w:p>
    <w:p w14:paraId="53AAAFB5" w14:textId="06048D10" w:rsidR="00D936F3" w:rsidRPr="002D48A9" w:rsidRDefault="006E3682" w:rsidP="006E3682">
      <w:pPr>
        <w:pStyle w:val="ListParagraph"/>
        <w:numPr>
          <w:ilvl w:val="0"/>
          <w:numId w:val="16"/>
        </w:numPr>
        <w:jc w:val="both"/>
        <w:rPr>
          <w:rFonts w:cs="Arial"/>
          <w:shd w:val="clear" w:color="auto" w:fill="FFFFFF"/>
        </w:rPr>
      </w:pPr>
      <w:r w:rsidRPr="002D48A9">
        <w:rPr>
          <w:rFonts w:cs="Arial"/>
        </w:rPr>
        <w:t xml:space="preserve">Tamariki </w:t>
      </w:r>
      <w:r w:rsidR="00CB52BF">
        <w:rPr>
          <w:rFonts w:cs="Arial"/>
        </w:rPr>
        <w:t>M</w:t>
      </w:r>
      <w:r w:rsidRPr="002D48A9">
        <w:rPr>
          <w:rFonts w:cs="Arial"/>
        </w:rPr>
        <w:t xml:space="preserve">āori are 3.4 times more likely to be brought to the attention of </w:t>
      </w:r>
      <w:r w:rsidR="00573022">
        <w:rPr>
          <w:rFonts w:cs="Arial"/>
        </w:rPr>
        <w:t>the state</w:t>
      </w:r>
      <w:r w:rsidR="00573022" w:rsidRPr="002D48A9">
        <w:rPr>
          <w:rFonts w:cs="Arial"/>
        </w:rPr>
        <w:t xml:space="preserve"> </w:t>
      </w:r>
      <w:r w:rsidRPr="002D48A9">
        <w:rPr>
          <w:rFonts w:cs="Arial"/>
        </w:rPr>
        <w:t>(through a ‘report of concern’) compared to non-Māori children.</w:t>
      </w:r>
      <w:r w:rsidRPr="002D48A9">
        <w:rPr>
          <w:rStyle w:val="FootnoteReference"/>
          <w:rFonts w:cs="Arial"/>
        </w:rPr>
        <w:footnoteReference w:id="27"/>
      </w:r>
      <w:r w:rsidRPr="002D48A9">
        <w:rPr>
          <w:rFonts w:cs="Arial"/>
        </w:rPr>
        <w:t xml:space="preserve"> Low parental income was found to have a significant association with more </w:t>
      </w:r>
      <w:proofErr w:type="spellStart"/>
      <w:r w:rsidRPr="002D48A9">
        <w:rPr>
          <w:rFonts w:cs="Arial"/>
        </w:rPr>
        <w:t>tamariki</w:t>
      </w:r>
      <w:proofErr w:type="spellEnd"/>
      <w:r w:rsidRPr="002D48A9">
        <w:rPr>
          <w:rFonts w:cs="Arial"/>
        </w:rPr>
        <w:t xml:space="preserve"> Māori being involved at this stage and then moving through the care and protection system compared to non-Māori children. </w:t>
      </w:r>
    </w:p>
    <w:p w14:paraId="2CB5D651" w14:textId="459806C0" w:rsidR="00D936F3" w:rsidRPr="002D48A9" w:rsidRDefault="00D936F3" w:rsidP="00D936F3">
      <w:pPr>
        <w:rPr>
          <w:rFonts w:cs="Arial"/>
          <w:i/>
          <w:iCs/>
        </w:rPr>
      </w:pPr>
      <w:r w:rsidRPr="002D48A9">
        <w:rPr>
          <w:rFonts w:cs="Arial"/>
          <w:i/>
          <w:iCs/>
        </w:rPr>
        <w:t xml:space="preserve">Link between discrimination and overrepresentation of </w:t>
      </w:r>
      <w:proofErr w:type="spellStart"/>
      <w:r w:rsidRPr="002D48A9">
        <w:rPr>
          <w:rFonts w:cs="Arial"/>
          <w:i/>
          <w:iCs/>
        </w:rPr>
        <w:t>tamariki</w:t>
      </w:r>
      <w:proofErr w:type="spellEnd"/>
      <w:r w:rsidRPr="002D48A9">
        <w:rPr>
          <w:rFonts w:cs="Arial"/>
          <w:i/>
          <w:iCs/>
        </w:rPr>
        <w:t xml:space="preserve"> Māori in state care:</w:t>
      </w:r>
    </w:p>
    <w:p w14:paraId="7454C972" w14:textId="77777777" w:rsidR="00D936F3" w:rsidRPr="002D48A9" w:rsidRDefault="00D936F3" w:rsidP="006E3682">
      <w:pPr>
        <w:pStyle w:val="ListParagraph"/>
        <w:numPr>
          <w:ilvl w:val="0"/>
          <w:numId w:val="16"/>
        </w:numPr>
        <w:jc w:val="both"/>
        <w:rPr>
          <w:rFonts w:cs="Arial"/>
          <w:shd w:val="clear" w:color="auto" w:fill="FFFFFF"/>
        </w:rPr>
      </w:pPr>
      <w:r w:rsidRPr="002D48A9">
        <w:rPr>
          <w:rFonts w:cs="Arial"/>
        </w:rPr>
        <w:t>In the study noted above, a</w:t>
      </w:r>
      <w:r w:rsidR="006E3682" w:rsidRPr="002D48A9">
        <w:rPr>
          <w:rFonts w:cs="Arial"/>
        </w:rPr>
        <w:t xml:space="preserve">fter controlling for socio-economic and other factors, </w:t>
      </w:r>
      <w:proofErr w:type="spellStart"/>
      <w:r w:rsidR="006E3682" w:rsidRPr="002D48A9">
        <w:rPr>
          <w:rFonts w:cs="Arial"/>
        </w:rPr>
        <w:t>tamariki</w:t>
      </w:r>
      <w:proofErr w:type="spellEnd"/>
      <w:r w:rsidR="006E3682" w:rsidRPr="002D48A9">
        <w:rPr>
          <w:rFonts w:cs="Arial"/>
        </w:rPr>
        <w:t xml:space="preserve"> Māori were still 1.2 times more likely to be subject to a ‘report of concern’ compared to non-Māori children, suggesting their ethnicity was a key factor at play. </w:t>
      </w:r>
    </w:p>
    <w:p w14:paraId="7BC783A4" w14:textId="1E3EB0A2" w:rsidR="006E3682" w:rsidRPr="007C4BC0" w:rsidRDefault="006E3682" w:rsidP="007C4BC0">
      <w:pPr>
        <w:pStyle w:val="ListParagraph"/>
        <w:numPr>
          <w:ilvl w:val="0"/>
          <w:numId w:val="16"/>
        </w:numPr>
        <w:jc w:val="both"/>
        <w:rPr>
          <w:rFonts w:cs="Arial"/>
          <w:shd w:val="clear" w:color="auto" w:fill="FFFFFF"/>
        </w:rPr>
      </w:pPr>
      <w:r w:rsidRPr="002D48A9">
        <w:rPr>
          <w:rFonts w:cs="Arial"/>
        </w:rPr>
        <w:t xml:space="preserve">Similar findings were also made in another study – </w:t>
      </w:r>
      <w:r w:rsidR="000E32D5">
        <w:rPr>
          <w:rFonts w:cs="Arial"/>
        </w:rPr>
        <w:t>strong disparities</w:t>
      </w:r>
      <w:r w:rsidR="00D92F6B">
        <w:rPr>
          <w:rFonts w:cs="Arial"/>
        </w:rPr>
        <w:t xml:space="preserve"> for </w:t>
      </w:r>
      <w:proofErr w:type="spellStart"/>
      <w:r w:rsidR="00D92F6B">
        <w:rPr>
          <w:rFonts w:cs="Arial"/>
        </w:rPr>
        <w:t>tamariki</w:t>
      </w:r>
      <w:proofErr w:type="spellEnd"/>
      <w:r w:rsidR="00D92F6B">
        <w:rPr>
          <w:rFonts w:cs="Arial"/>
        </w:rPr>
        <w:t xml:space="preserve"> Māori in their involvement with the care and protection system</w:t>
      </w:r>
      <w:r w:rsidR="007D5067">
        <w:rPr>
          <w:rFonts w:cs="Arial"/>
          <w:shd w:val="clear" w:color="auto" w:fill="FFFFFF"/>
        </w:rPr>
        <w:t xml:space="preserve"> </w:t>
      </w:r>
      <w:r w:rsidRPr="007C4BC0">
        <w:rPr>
          <w:rFonts w:cs="Arial"/>
          <w:shd w:val="clear" w:color="auto" w:fill="FFFFFF"/>
        </w:rPr>
        <w:t>remained regardless of economic status</w:t>
      </w:r>
      <w:r w:rsidR="005B54A9">
        <w:rPr>
          <w:rFonts w:cs="Arial"/>
          <w:shd w:val="clear" w:color="auto" w:fill="FFFFFF"/>
        </w:rPr>
        <w:t>. W</w:t>
      </w:r>
      <w:r w:rsidRPr="007C4BC0">
        <w:rPr>
          <w:rFonts w:cs="Arial"/>
          <w:shd w:val="clear" w:color="auto" w:fill="FFFFFF"/>
        </w:rPr>
        <w:t>hile the reason for the disparity was not clear from the data, the</w:t>
      </w:r>
      <w:r w:rsidR="00DD3020">
        <w:rPr>
          <w:rFonts w:cs="Arial"/>
          <w:shd w:val="clear" w:color="auto" w:fill="FFFFFF"/>
        </w:rPr>
        <w:t xml:space="preserve"> study authors noted the</w:t>
      </w:r>
      <w:r w:rsidRPr="007C4BC0">
        <w:rPr>
          <w:rFonts w:cs="Arial"/>
          <w:shd w:val="clear" w:color="auto" w:fill="FFFFFF"/>
        </w:rPr>
        <w:t xml:space="preserve"> findings signal that </w:t>
      </w:r>
      <w:proofErr w:type="spellStart"/>
      <w:r w:rsidRPr="007C4BC0">
        <w:rPr>
          <w:rFonts w:cs="Arial"/>
          <w:shd w:val="clear" w:color="auto" w:fill="FFFFFF"/>
        </w:rPr>
        <w:t>tamariki</w:t>
      </w:r>
      <w:proofErr w:type="spellEnd"/>
      <w:r w:rsidRPr="007C4BC0">
        <w:rPr>
          <w:rFonts w:cs="Arial"/>
          <w:shd w:val="clear" w:color="auto" w:fill="FFFFFF"/>
        </w:rPr>
        <w:t xml:space="preserve"> </w:t>
      </w:r>
      <w:r w:rsidR="005B54A9">
        <w:rPr>
          <w:rFonts w:cs="Arial"/>
          <w:shd w:val="clear" w:color="auto" w:fill="FFFFFF"/>
        </w:rPr>
        <w:t xml:space="preserve">Māori </w:t>
      </w:r>
      <w:r w:rsidRPr="007C4BC0">
        <w:rPr>
          <w:rFonts w:cs="Arial"/>
          <w:shd w:val="clear" w:color="auto" w:fill="FFFFFF"/>
        </w:rPr>
        <w:t>are likely to be treat</w:t>
      </w:r>
      <w:r w:rsidR="00573022" w:rsidRPr="007C4BC0">
        <w:rPr>
          <w:rFonts w:cs="Arial"/>
          <w:shd w:val="clear" w:color="auto" w:fill="FFFFFF"/>
        </w:rPr>
        <w:t>ed</w:t>
      </w:r>
      <w:r w:rsidRPr="007C4BC0">
        <w:rPr>
          <w:rFonts w:cs="Arial"/>
          <w:shd w:val="clear" w:color="auto" w:fill="FFFFFF"/>
        </w:rPr>
        <w:t xml:space="preserve"> differently in the care and protection system and an ethnic or cultural bias exists in communities in terms of reporting Māori to child protection services and the treatment of </w:t>
      </w:r>
      <w:proofErr w:type="spellStart"/>
      <w:r w:rsidRPr="007C4BC0">
        <w:rPr>
          <w:rFonts w:cs="Arial"/>
          <w:shd w:val="clear" w:color="auto" w:fill="FFFFFF"/>
        </w:rPr>
        <w:t>whānau</w:t>
      </w:r>
      <w:proofErr w:type="spellEnd"/>
      <w:r w:rsidRPr="007C4BC0">
        <w:rPr>
          <w:rFonts w:cs="Arial"/>
          <w:shd w:val="clear" w:color="auto" w:fill="FFFFFF"/>
        </w:rPr>
        <w:t xml:space="preserve"> within those services.</w:t>
      </w:r>
      <w:r w:rsidRPr="002D48A9">
        <w:rPr>
          <w:rStyle w:val="FootnoteReference"/>
          <w:rFonts w:cs="Arial"/>
          <w:shd w:val="clear" w:color="auto" w:fill="FFFFFF"/>
        </w:rPr>
        <w:footnoteReference w:id="28"/>
      </w:r>
      <w:r w:rsidRPr="007C4BC0">
        <w:rPr>
          <w:rFonts w:cs="Arial"/>
          <w:shd w:val="clear" w:color="auto" w:fill="FFFFFF"/>
        </w:rPr>
        <w:t xml:space="preserve">  </w:t>
      </w:r>
    </w:p>
    <w:p w14:paraId="7AAC81F5" w14:textId="77777777" w:rsidR="00FA33A5" w:rsidRPr="002D48A9" w:rsidRDefault="00FA33A5" w:rsidP="00FA33A5">
      <w:pPr>
        <w:jc w:val="both"/>
        <w:rPr>
          <w:rFonts w:cs="Arial"/>
          <w:u w:val="single"/>
        </w:rPr>
      </w:pPr>
      <w:r w:rsidRPr="002D48A9">
        <w:rPr>
          <w:rFonts w:cs="Arial"/>
          <w:u w:val="single"/>
        </w:rPr>
        <w:t>Health</w:t>
      </w:r>
    </w:p>
    <w:p w14:paraId="636D0BE6" w14:textId="545CB214" w:rsidR="00775B18" w:rsidRPr="002D48A9" w:rsidRDefault="001619E9" w:rsidP="001619E9">
      <w:pPr>
        <w:jc w:val="both"/>
        <w:rPr>
          <w:rFonts w:cs="Arial"/>
        </w:rPr>
      </w:pPr>
      <w:r w:rsidRPr="002D48A9">
        <w:rPr>
          <w:rFonts w:cs="Arial"/>
        </w:rPr>
        <w:t xml:space="preserve">Poverty is </w:t>
      </w:r>
      <w:r w:rsidR="00FA33A5" w:rsidRPr="002D48A9">
        <w:rPr>
          <w:rFonts w:cs="Arial"/>
        </w:rPr>
        <w:t xml:space="preserve">also </w:t>
      </w:r>
      <w:r w:rsidRPr="002D48A9">
        <w:rPr>
          <w:rFonts w:cs="Arial"/>
        </w:rPr>
        <w:t xml:space="preserve">affecting </w:t>
      </w:r>
      <w:proofErr w:type="spellStart"/>
      <w:r w:rsidRPr="002D48A9">
        <w:rPr>
          <w:rFonts w:cs="Arial"/>
        </w:rPr>
        <w:t>tamariki</w:t>
      </w:r>
      <w:proofErr w:type="spellEnd"/>
      <w:r w:rsidRPr="002D48A9">
        <w:rPr>
          <w:rFonts w:cs="Arial"/>
        </w:rPr>
        <w:t xml:space="preserve"> Māori in a range of other ways. </w:t>
      </w:r>
      <w:r w:rsidR="00FA33A5" w:rsidRPr="002D48A9">
        <w:rPr>
          <w:rFonts w:cs="Arial"/>
        </w:rPr>
        <w:t>For example, it is</w:t>
      </w:r>
      <w:r w:rsidRPr="002D48A9">
        <w:rPr>
          <w:rFonts w:cs="Arial"/>
        </w:rPr>
        <w:t xml:space="preserve"> closely linked to the persistent health inequities </w:t>
      </w:r>
      <w:proofErr w:type="spellStart"/>
      <w:r w:rsidRPr="002D48A9">
        <w:rPr>
          <w:rFonts w:cs="Arial"/>
        </w:rPr>
        <w:t>tamariki</w:t>
      </w:r>
      <w:proofErr w:type="spellEnd"/>
      <w:r w:rsidRPr="002D48A9">
        <w:rPr>
          <w:rFonts w:cs="Arial"/>
        </w:rPr>
        <w:t xml:space="preserve"> Māori face.</w:t>
      </w:r>
      <w:r w:rsidRPr="002D48A9">
        <w:rPr>
          <w:rStyle w:val="FootnoteReference"/>
          <w:rFonts w:cs="Arial"/>
        </w:rPr>
        <w:footnoteReference w:id="29"/>
      </w:r>
      <w:r w:rsidRPr="002D48A9">
        <w:rPr>
          <w:rFonts w:cs="Arial"/>
        </w:rPr>
        <w:t xml:space="preserve">  </w:t>
      </w:r>
    </w:p>
    <w:p w14:paraId="0A1F40EB" w14:textId="77777777" w:rsidR="00775B18" w:rsidRPr="002D48A9" w:rsidRDefault="001619E9" w:rsidP="00775B18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2D48A9">
        <w:rPr>
          <w:rFonts w:cs="Arial"/>
        </w:rPr>
        <w:t xml:space="preserve">Compared to non-Māori children, </w:t>
      </w:r>
      <w:proofErr w:type="spellStart"/>
      <w:r w:rsidRPr="002D48A9">
        <w:rPr>
          <w:rFonts w:cs="Arial"/>
        </w:rPr>
        <w:t>tamariki</w:t>
      </w:r>
      <w:proofErr w:type="spellEnd"/>
      <w:r w:rsidRPr="002D48A9">
        <w:rPr>
          <w:rFonts w:cs="Arial"/>
        </w:rPr>
        <w:t xml:space="preserve"> Māori experience higher rates of health risks across most categories. </w:t>
      </w:r>
      <w:proofErr w:type="gramStart"/>
      <w:r w:rsidRPr="002D48A9">
        <w:rPr>
          <w:rFonts w:cs="Arial"/>
        </w:rPr>
        <w:t xml:space="preserve">In particular, </w:t>
      </w:r>
      <w:proofErr w:type="spellStart"/>
      <w:r w:rsidRPr="002D48A9">
        <w:rPr>
          <w:rFonts w:cs="Arial"/>
        </w:rPr>
        <w:t>tamariki</w:t>
      </w:r>
      <w:proofErr w:type="spellEnd"/>
      <w:proofErr w:type="gramEnd"/>
      <w:r w:rsidRPr="002D48A9">
        <w:rPr>
          <w:rFonts w:cs="Arial"/>
        </w:rPr>
        <w:t xml:space="preserve"> Māori experience large and persistent inequalities in oral, respiratory, and skin health.</w:t>
      </w:r>
      <w:r w:rsidRPr="002D48A9">
        <w:rPr>
          <w:rStyle w:val="FootnoteReference"/>
          <w:rFonts w:cs="Arial"/>
        </w:rPr>
        <w:footnoteReference w:id="30"/>
      </w:r>
      <w:r w:rsidRPr="002D48A9">
        <w:rPr>
          <w:rFonts w:cs="Arial"/>
        </w:rPr>
        <w:t xml:space="preserve"> </w:t>
      </w:r>
    </w:p>
    <w:p w14:paraId="5DBB9143" w14:textId="60FC2EE0" w:rsidR="00775B18" w:rsidRPr="002D48A9" w:rsidRDefault="001619E9" w:rsidP="00775B18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2D48A9">
        <w:rPr>
          <w:rFonts w:cs="Arial"/>
        </w:rPr>
        <w:t xml:space="preserve">Due to poverty, </w:t>
      </w:r>
      <w:proofErr w:type="spellStart"/>
      <w:r w:rsidR="003C7C27">
        <w:rPr>
          <w:rFonts w:cs="Arial"/>
        </w:rPr>
        <w:t>tamariki</w:t>
      </w:r>
      <w:proofErr w:type="spellEnd"/>
      <w:r w:rsidR="003C7C27">
        <w:rPr>
          <w:rFonts w:cs="Arial"/>
        </w:rPr>
        <w:t xml:space="preserve"> </w:t>
      </w:r>
      <w:r w:rsidRPr="002D48A9">
        <w:rPr>
          <w:rFonts w:cs="Arial"/>
        </w:rPr>
        <w:t>Māori are also less likely to access healthcare compared to non-Māori children</w:t>
      </w:r>
      <w:r w:rsidR="006E6CC1">
        <w:rPr>
          <w:rFonts w:cs="Arial"/>
        </w:rPr>
        <w:t>,</w:t>
      </w:r>
      <w:r w:rsidR="00EA0820" w:rsidRPr="002D48A9">
        <w:rPr>
          <w:rStyle w:val="FootnoteReference"/>
          <w:rFonts w:cs="Arial"/>
        </w:rPr>
        <w:footnoteReference w:id="31"/>
      </w:r>
      <w:r w:rsidR="00EA0820" w:rsidRPr="002D48A9">
        <w:rPr>
          <w:rFonts w:cs="Arial"/>
        </w:rPr>
        <w:t xml:space="preserve"> </w:t>
      </w:r>
      <w:r w:rsidRPr="002D48A9">
        <w:rPr>
          <w:rFonts w:cs="Arial"/>
        </w:rPr>
        <w:t>are more likely to be admitted to hospita</w:t>
      </w:r>
      <w:r w:rsidR="00573022">
        <w:rPr>
          <w:rFonts w:cs="Arial"/>
        </w:rPr>
        <w:t>l</w:t>
      </w:r>
      <w:r w:rsidRPr="002D48A9">
        <w:rPr>
          <w:rFonts w:cs="Arial"/>
        </w:rPr>
        <w:t xml:space="preserve"> with preventable illnesses</w:t>
      </w:r>
      <w:r w:rsidR="00613273">
        <w:rPr>
          <w:rFonts w:cs="Arial"/>
        </w:rPr>
        <w:t xml:space="preserve"> and twice as likely to die from treatable conditions</w:t>
      </w:r>
      <w:r w:rsidR="00EA0820" w:rsidRPr="002D48A9">
        <w:rPr>
          <w:rFonts w:cs="Arial"/>
        </w:rPr>
        <w:t>.</w:t>
      </w:r>
      <w:r w:rsidR="00EA0820" w:rsidRPr="002D48A9">
        <w:rPr>
          <w:rStyle w:val="FootnoteReference"/>
          <w:rFonts w:cs="Arial"/>
        </w:rPr>
        <w:footnoteReference w:id="32"/>
      </w:r>
      <w:r w:rsidRPr="002D48A9">
        <w:rPr>
          <w:rFonts w:cs="Arial"/>
        </w:rPr>
        <w:t xml:space="preserve"> </w:t>
      </w:r>
    </w:p>
    <w:p w14:paraId="7B4E72F3" w14:textId="1884A605" w:rsidR="001619E9" w:rsidRDefault="00571793" w:rsidP="00775B18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2D48A9">
        <w:rPr>
          <w:rFonts w:cs="Arial"/>
        </w:rPr>
        <w:t>T</w:t>
      </w:r>
      <w:r w:rsidR="001619E9" w:rsidRPr="002D48A9">
        <w:rPr>
          <w:rFonts w:cs="Arial"/>
        </w:rPr>
        <w:t xml:space="preserve">amariki Māori also have high mortality rates compared to other ethnic groups and children living in the most deprived areas in New Zealand </w:t>
      </w:r>
      <w:r w:rsidR="00573022">
        <w:rPr>
          <w:rFonts w:cs="Arial"/>
        </w:rPr>
        <w:t xml:space="preserve">and </w:t>
      </w:r>
      <w:r w:rsidR="001619E9" w:rsidRPr="002D48A9">
        <w:rPr>
          <w:rFonts w:cs="Arial"/>
        </w:rPr>
        <w:t>are 2.5 times more likely to die than children living in the least deprived areas.</w:t>
      </w:r>
      <w:r w:rsidR="001619E9" w:rsidRPr="002D48A9">
        <w:rPr>
          <w:rStyle w:val="FootnoteReference"/>
          <w:rFonts w:cs="Arial"/>
        </w:rPr>
        <w:footnoteReference w:id="33"/>
      </w:r>
    </w:p>
    <w:p w14:paraId="315556B7" w14:textId="77777777" w:rsidR="00F564B4" w:rsidRDefault="00F564B4" w:rsidP="001619E9">
      <w:pPr>
        <w:jc w:val="both"/>
        <w:rPr>
          <w:rFonts w:cs="Arial"/>
          <w:color w:val="000000"/>
          <w:u w:val="single"/>
          <w:shd w:val="clear" w:color="auto" w:fill="FFFFFF"/>
        </w:rPr>
      </w:pPr>
    </w:p>
    <w:p w14:paraId="55644016" w14:textId="77777777" w:rsidR="00F564B4" w:rsidRDefault="00F564B4" w:rsidP="001619E9">
      <w:pPr>
        <w:jc w:val="both"/>
        <w:rPr>
          <w:rFonts w:cs="Arial"/>
          <w:color w:val="000000"/>
          <w:u w:val="single"/>
          <w:shd w:val="clear" w:color="auto" w:fill="FFFFFF"/>
        </w:rPr>
      </w:pPr>
    </w:p>
    <w:p w14:paraId="0DFEB443" w14:textId="31EC6826" w:rsidR="00FA33A5" w:rsidRPr="002D48A9" w:rsidRDefault="00FA33A5" w:rsidP="001619E9">
      <w:pPr>
        <w:jc w:val="both"/>
        <w:rPr>
          <w:rFonts w:cs="Arial"/>
        </w:rPr>
      </w:pPr>
      <w:r w:rsidRPr="002D48A9">
        <w:rPr>
          <w:rFonts w:cs="Arial"/>
          <w:color w:val="000000"/>
          <w:u w:val="single"/>
          <w:shd w:val="clear" w:color="auto" w:fill="FFFFFF"/>
        </w:rPr>
        <w:lastRenderedPageBreak/>
        <w:t>Housing</w:t>
      </w:r>
      <w:r w:rsidRPr="002D48A9">
        <w:rPr>
          <w:rFonts w:cs="Arial"/>
        </w:rPr>
        <w:t xml:space="preserve"> </w:t>
      </w:r>
    </w:p>
    <w:p w14:paraId="3FDD56E9" w14:textId="78C45238" w:rsidR="00571793" w:rsidRPr="002D48A9" w:rsidRDefault="001619E9" w:rsidP="001619E9">
      <w:pPr>
        <w:jc w:val="both"/>
        <w:rPr>
          <w:rFonts w:cs="Arial"/>
          <w:color w:val="000000"/>
          <w:shd w:val="clear" w:color="auto" w:fill="FFFFFF"/>
        </w:rPr>
      </w:pPr>
      <w:r w:rsidRPr="002D48A9">
        <w:rPr>
          <w:rFonts w:cs="Arial"/>
        </w:rPr>
        <w:t xml:space="preserve">Due to poverty, </w:t>
      </w:r>
      <w:proofErr w:type="spellStart"/>
      <w:r w:rsidRPr="002D48A9">
        <w:rPr>
          <w:rFonts w:cs="Arial"/>
        </w:rPr>
        <w:t>tamariki</w:t>
      </w:r>
      <w:proofErr w:type="spellEnd"/>
      <w:r w:rsidRPr="002D48A9">
        <w:rPr>
          <w:rFonts w:cs="Arial"/>
        </w:rPr>
        <w:t xml:space="preserve"> Māori are also more likely to live in substandard and unhealthy housing. </w:t>
      </w:r>
      <w:r w:rsidRPr="002D48A9">
        <w:rPr>
          <w:rFonts w:cs="Arial"/>
          <w:color w:val="000000"/>
          <w:shd w:val="clear" w:color="auto" w:fill="FFFFFF"/>
        </w:rPr>
        <w:t xml:space="preserve">This is due to a housing crisis in </w:t>
      </w:r>
      <w:r w:rsidR="001E1910">
        <w:rPr>
          <w:rFonts w:cs="Arial"/>
          <w:color w:val="000000"/>
          <w:shd w:val="clear" w:color="auto" w:fill="FFFFFF"/>
        </w:rPr>
        <w:t>Aotearoa</w:t>
      </w:r>
      <w:r w:rsidRPr="002D48A9">
        <w:rPr>
          <w:rFonts w:cs="Arial"/>
          <w:color w:val="000000"/>
          <w:shd w:val="clear" w:color="auto" w:fill="FFFFFF"/>
        </w:rPr>
        <w:t>, which the UN Special Rapporteur on the Right to Adequate Housing recently called a “human rights crisis”.</w:t>
      </w:r>
      <w:r w:rsidRPr="002D48A9">
        <w:rPr>
          <w:rStyle w:val="FootnoteReference"/>
          <w:rFonts w:cs="Arial"/>
          <w:color w:val="000000"/>
          <w:shd w:val="clear" w:color="auto" w:fill="FFFFFF"/>
        </w:rPr>
        <w:footnoteReference w:id="34"/>
      </w:r>
      <w:r w:rsidRPr="002D48A9">
        <w:rPr>
          <w:rFonts w:cs="Arial"/>
          <w:color w:val="000000"/>
          <w:shd w:val="clear" w:color="auto" w:fill="FFFFFF"/>
        </w:rPr>
        <w:t xml:space="preserve"> </w:t>
      </w:r>
    </w:p>
    <w:p w14:paraId="6DA93953" w14:textId="1942AA94" w:rsidR="00CB4F6D" w:rsidRPr="002D48A9" w:rsidRDefault="001619E9" w:rsidP="00571793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2D48A9">
        <w:rPr>
          <w:rFonts w:cs="Arial"/>
          <w:color w:val="000000"/>
          <w:shd w:val="clear" w:color="auto" w:fill="FFFFFF"/>
        </w:rPr>
        <w:t xml:space="preserve">Māori represent 60% of people who receive emergency accommodation </w:t>
      </w:r>
      <w:proofErr w:type="gramStart"/>
      <w:r w:rsidRPr="002D48A9">
        <w:rPr>
          <w:rFonts w:cs="Arial"/>
          <w:color w:val="000000"/>
          <w:shd w:val="clear" w:color="auto" w:fill="FFFFFF"/>
        </w:rPr>
        <w:t>grants</w:t>
      </w:r>
      <w:proofErr w:type="gramEnd"/>
      <w:r w:rsidRPr="002D48A9">
        <w:rPr>
          <w:rFonts w:cs="Arial"/>
          <w:color w:val="000000"/>
          <w:shd w:val="clear" w:color="auto" w:fill="FFFFFF"/>
        </w:rPr>
        <w:t xml:space="preserve"> and they make up 36% of social housing tenants.</w:t>
      </w:r>
      <w:r w:rsidR="00CB4F6D" w:rsidRPr="002D48A9">
        <w:rPr>
          <w:rStyle w:val="FootnoteReference"/>
          <w:rFonts w:cs="Arial"/>
          <w:color w:val="000000"/>
          <w:shd w:val="clear" w:color="auto" w:fill="FFFFFF"/>
        </w:rPr>
        <w:footnoteReference w:id="35"/>
      </w:r>
      <w:r w:rsidRPr="002D48A9">
        <w:rPr>
          <w:rFonts w:cs="Arial"/>
          <w:color w:val="000000"/>
          <w:shd w:val="clear" w:color="auto" w:fill="FFFFFF"/>
        </w:rPr>
        <w:t xml:space="preserve"> </w:t>
      </w:r>
    </w:p>
    <w:p w14:paraId="743C0156" w14:textId="77777777" w:rsidR="00A9439A" w:rsidRPr="002D48A9" w:rsidRDefault="001619E9" w:rsidP="00571793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2D48A9">
        <w:rPr>
          <w:rFonts w:cs="Arial"/>
          <w:color w:val="000000"/>
          <w:shd w:val="clear" w:color="auto" w:fill="FFFFFF"/>
        </w:rPr>
        <w:t>Māori are four times more likely to live in overcrowded housing conditions than non-Māori</w:t>
      </w:r>
      <w:r w:rsidRPr="002D48A9">
        <w:rPr>
          <w:rStyle w:val="FootnoteReference"/>
          <w:rFonts w:cs="Arial"/>
          <w:color w:val="000000"/>
          <w:shd w:val="clear" w:color="auto" w:fill="FFFFFF"/>
        </w:rPr>
        <w:footnoteReference w:id="36"/>
      </w:r>
      <w:r w:rsidRPr="002D48A9">
        <w:rPr>
          <w:rFonts w:cs="Arial"/>
          <w:color w:val="000000"/>
          <w:shd w:val="clear" w:color="auto" w:fill="FFFFFF"/>
        </w:rPr>
        <w:t xml:space="preserve"> an</w:t>
      </w:r>
      <w:r w:rsidR="00CB4F6D" w:rsidRPr="002D48A9">
        <w:rPr>
          <w:rFonts w:cs="Arial"/>
          <w:color w:val="000000"/>
          <w:shd w:val="clear" w:color="auto" w:fill="FFFFFF"/>
        </w:rPr>
        <w:t xml:space="preserve">d </w:t>
      </w:r>
      <w:r w:rsidRPr="002D48A9">
        <w:rPr>
          <w:rFonts w:cs="Arial"/>
          <w:color w:val="000000"/>
          <w:shd w:val="clear" w:color="auto" w:fill="FFFFFF"/>
        </w:rPr>
        <w:t>40% of Māori live in damp homes compared to 24% of non-Māori.</w:t>
      </w:r>
      <w:r w:rsidRPr="002D48A9">
        <w:rPr>
          <w:rStyle w:val="FootnoteReference"/>
          <w:rFonts w:cs="Arial"/>
          <w:color w:val="000000"/>
          <w:shd w:val="clear" w:color="auto" w:fill="FFFFFF"/>
        </w:rPr>
        <w:footnoteReference w:id="37"/>
      </w:r>
      <w:r w:rsidRPr="002D48A9">
        <w:rPr>
          <w:rFonts w:cs="Arial"/>
          <w:color w:val="000000"/>
          <w:shd w:val="clear" w:color="auto" w:fill="FFFFFF"/>
        </w:rPr>
        <w:t xml:space="preserve"> </w:t>
      </w:r>
    </w:p>
    <w:p w14:paraId="0B9CDBC0" w14:textId="0691AC6D" w:rsidR="001619E9" w:rsidRPr="002D48A9" w:rsidRDefault="001619E9" w:rsidP="00A9439A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2D48A9">
        <w:rPr>
          <w:rFonts w:cs="Arial"/>
          <w:color w:val="000000"/>
          <w:shd w:val="clear" w:color="auto" w:fill="FFFFFF"/>
        </w:rPr>
        <w:t xml:space="preserve">This has led to </w:t>
      </w:r>
      <w:r w:rsidR="000805FD" w:rsidRPr="002D48A9">
        <w:rPr>
          <w:rFonts w:cs="Arial"/>
          <w:color w:val="000000"/>
          <w:shd w:val="clear" w:color="auto" w:fill="FFFFFF"/>
        </w:rPr>
        <w:t xml:space="preserve">higher rates of </w:t>
      </w:r>
      <w:r w:rsidRPr="002D48A9">
        <w:rPr>
          <w:rFonts w:cs="Arial"/>
          <w:color w:val="000000"/>
          <w:shd w:val="clear" w:color="auto" w:fill="FFFFFF"/>
        </w:rPr>
        <w:t>acute respiratory conditions</w:t>
      </w:r>
      <w:r w:rsidR="000805FD" w:rsidRPr="002D48A9">
        <w:rPr>
          <w:rFonts w:cs="Arial"/>
          <w:color w:val="000000"/>
          <w:shd w:val="clear" w:color="auto" w:fill="FFFFFF"/>
        </w:rPr>
        <w:t xml:space="preserve"> in </w:t>
      </w:r>
      <w:proofErr w:type="spellStart"/>
      <w:r w:rsidR="000805FD" w:rsidRPr="002D48A9">
        <w:rPr>
          <w:rFonts w:cs="Arial"/>
          <w:color w:val="000000"/>
          <w:shd w:val="clear" w:color="auto" w:fill="FFFFFF"/>
        </w:rPr>
        <w:t>tamariki</w:t>
      </w:r>
      <w:proofErr w:type="spellEnd"/>
      <w:r w:rsidR="000805FD" w:rsidRPr="002D48A9">
        <w:rPr>
          <w:rFonts w:cs="Arial"/>
          <w:color w:val="000000"/>
          <w:shd w:val="clear" w:color="auto" w:fill="FFFFFF"/>
        </w:rPr>
        <w:t xml:space="preserve"> Māori</w:t>
      </w:r>
      <w:r w:rsidRPr="002D48A9">
        <w:rPr>
          <w:rFonts w:cs="Arial"/>
          <w:color w:val="000000"/>
          <w:shd w:val="clear" w:color="auto" w:fill="FFFFFF"/>
        </w:rPr>
        <w:t>.</w:t>
      </w:r>
      <w:r w:rsidR="000805FD" w:rsidRPr="002D48A9">
        <w:rPr>
          <w:rStyle w:val="FootnoteReference"/>
          <w:rFonts w:cs="Arial"/>
          <w:color w:val="000000"/>
          <w:shd w:val="clear" w:color="auto" w:fill="FFFFFF"/>
        </w:rPr>
        <w:footnoteReference w:id="38"/>
      </w:r>
      <w:r w:rsidRPr="002D48A9">
        <w:rPr>
          <w:rFonts w:cs="Arial"/>
        </w:rPr>
        <w:t xml:space="preserve"> A recent study found that 20% of hospital admissions of young children with acute respiratory infections could be prevented if their houses were free from damp and mould.</w:t>
      </w:r>
      <w:r w:rsidR="000805FD" w:rsidRPr="002D48A9">
        <w:rPr>
          <w:rStyle w:val="FootnoteReference"/>
          <w:rFonts w:cs="Arial"/>
        </w:rPr>
        <w:footnoteReference w:id="39"/>
      </w:r>
      <w:r w:rsidRPr="002D48A9">
        <w:rPr>
          <w:rFonts w:cs="Arial"/>
        </w:rPr>
        <w:t xml:space="preserve"> </w:t>
      </w:r>
    </w:p>
    <w:p w14:paraId="10E46BD6" w14:textId="77777777" w:rsidR="00E46A2E" w:rsidRPr="002D48A9" w:rsidRDefault="00E46A2E" w:rsidP="00E46A2E">
      <w:pPr>
        <w:jc w:val="both"/>
        <w:rPr>
          <w:rFonts w:cs="Arial"/>
          <w:u w:val="single"/>
          <w:shd w:val="clear" w:color="auto" w:fill="FFFFFF"/>
        </w:rPr>
      </w:pPr>
      <w:r w:rsidRPr="002D48A9">
        <w:rPr>
          <w:rFonts w:cs="Arial"/>
          <w:u w:val="single"/>
          <w:shd w:val="clear" w:color="auto" w:fill="FFFFFF"/>
        </w:rPr>
        <w:t>Youth suicide</w:t>
      </w:r>
    </w:p>
    <w:p w14:paraId="2609BC0C" w14:textId="77777777" w:rsidR="00E46A2E" w:rsidRPr="002D48A9" w:rsidRDefault="00E46A2E" w:rsidP="00E46A2E">
      <w:pPr>
        <w:pStyle w:val="ListParagraph"/>
        <w:numPr>
          <w:ilvl w:val="0"/>
          <w:numId w:val="14"/>
        </w:numPr>
        <w:jc w:val="both"/>
        <w:rPr>
          <w:rFonts w:cs="Arial"/>
        </w:rPr>
      </w:pPr>
      <w:r w:rsidRPr="002D48A9">
        <w:rPr>
          <w:rFonts w:cs="Arial"/>
        </w:rPr>
        <w:t xml:space="preserve">Between 2013-2017, suicide was the leading cause of intentional deaths in </w:t>
      </w:r>
      <w:proofErr w:type="spellStart"/>
      <w:r w:rsidRPr="002D48A9">
        <w:rPr>
          <w:rFonts w:cs="Arial"/>
        </w:rPr>
        <w:t>tamariki</w:t>
      </w:r>
      <w:proofErr w:type="spellEnd"/>
      <w:r w:rsidRPr="002D48A9">
        <w:rPr>
          <w:rFonts w:cs="Arial"/>
        </w:rPr>
        <w:t xml:space="preserve"> Māori from age 10 years upwards.  </w:t>
      </w:r>
    </w:p>
    <w:p w14:paraId="5E7FE0E3" w14:textId="77777777" w:rsidR="00E46A2E" w:rsidRPr="002D48A9" w:rsidRDefault="00E46A2E" w:rsidP="00E46A2E">
      <w:pPr>
        <w:pStyle w:val="ListParagraph"/>
        <w:numPr>
          <w:ilvl w:val="0"/>
          <w:numId w:val="14"/>
        </w:numPr>
        <w:jc w:val="both"/>
        <w:rPr>
          <w:rFonts w:cs="Arial"/>
        </w:rPr>
      </w:pPr>
      <w:r w:rsidRPr="002D48A9">
        <w:rPr>
          <w:rFonts w:cs="Arial"/>
        </w:rPr>
        <w:t xml:space="preserve">Studies show that </w:t>
      </w:r>
      <w:proofErr w:type="spellStart"/>
      <w:r w:rsidRPr="002D48A9">
        <w:rPr>
          <w:rFonts w:cs="Arial"/>
        </w:rPr>
        <w:t>tamariki</w:t>
      </w:r>
      <w:proofErr w:type="spellEnd"/>
      <w:r w:rsidRPr="002D48A9">
        <w:rPr>
          <w:rFonts w:cs="Arial"/>
        </w:rPr>
        <w:t xml:space="preserve"> Māori suicide rates grow consistently higher with </w:t>
      </w:r>
      <w:r w:rsidRPr="002D48A9">
        <w:rPr>
          <w:rFonts w:cs="Arial"/>
          <w:color w:val="1C1D1E"/>
          <w:shd w:val="clear" w:color="auto" w:fill="FFFFFF"/>
        </w:rPr>
        <w:t>increasing deprivation,</w:t>
      </w:r>
      <w:r w:rsidRPr="002D48A9">
        <w:rPr>
          <w:rStyle w:val="FootnoteReference"/>
          <w:rFonts w:cs="Arial"/>
        </w:rPr>
        <w:footnoteReference w:id="40"/>
      </w:r>
      <w:r w:rsidRPr="002D48A9">
        <w:rPr>
          <w:rFonts w:cs="Arial"/>
          <w:color w:val="1C1D1E"/>
          <w:shd w:val="clear" w:color="auto" w:fill="FFFFFF"/>
        </w:rPr>
        <w:t> poor healthcare access</w:t>
      </w:r>
      <w:r w:rsidRPr="002D48A9">
        <w:rPr>
          <w:rStyle w:val="FootnoteReference"/>
          <w:rFonts w:cs="Arial"/>
          <w:color w:val="1C1D1E"/>
          <w:shd w:val="clear" w:color="auto" w:fill="FFFFFF"/>
        </w:rPr>
        <w:footnoteReference w:id="41"/>
      </w:r>
      <w:r w:rsidRPr="002D48A9">
        <w:rPr>
          <w:rFonts w:cs="Arial"/>
          <w:color w:val="1C1D1E"/>
          <w:shd w:val="clear" w:color="auto" w:fill="FFFFFF"/>
        </w:rPr>
        <w:t> and exposure to discrimination.</w:t>
      </w:r>
      <w:r w:rsidRPr="002D48A9">
        <w:rPr>
          <w:rStyle w:val="FootnoteReference"/>
          <w:rFonts w:cs="Arial"/>
          <w:color w:val="1C1D1E"/>
          <w:shd w:val="clear" w:color="auto" w:fill="FFFFFF"/>
        </w:rPr>
        <w:footnoteReference w:id="42"/>
      </w:r>
      <w:r w:rsidRPr="002D48A9">
        <w:rPr>
          <w:rFonts w:cs="Arial"/>
          <w:color w:val="1C1D1E"/>
          <w:shd w:val="clear" w:color="auto" w:fill="FFFFFF"/>
          <w:vertAlign w:val="superscript"/>
        </w:rPr>
        <w:t xml:space="preserve"> </w:t>
      </w:r>
    </w:p>
    <w:p w14:paraId="6AE35E12" w14:textId="3302D2DA" w:rsidR="00E46A2E" w:rsidRPr="002D48A9" w:rsidRDefault="00E46A2E" w:rsidP="00E46A2E">
      <w:pPr>
        <w:pStyle w:val="ListParagraph"/>
        <w:numPr>
          <w:ilvl w:val="0"/>
          <w:numId w:val="14"/>
        </w:numPr>
        <w:jc w:val="both"/>
        <w:rPr>
          <w:rFonts w:cs="Arial"/>
        </w:rPr>
      </w:pPr>
      <w:r w:rsidRPr="002D48A9">
        <w:rPr>
          <w:rFonts w:cs="Arial"/>
        </w:rPr>
        <w:t xml:space="preserve">Additionally, 46% of </w:t>
      </w:r>
      <w:proofErr w:type="spellStart"/>
      <w:r w:rsidRPr="002D48A9">
        <w:rPr>
          <w:rFonts w:cs="Arial"/>
        </w:rPr>
        <w:t>tamariki</w:t>
      </w:r>
      <w:proofErr w:type="spellEnd"/>
      <w:r w:rsidRPr="002D48A9">
        <w:rPr>
          <w:rFonts w:cs="Arial"/>
        </w:rPr>
        <w:t xml:space="preserve"> Māori who died by suicide had a care and protection notification at some point in their lives.</w:t>
      </w:r>
      <w:r w:rsidR="008C5763" w:rsidRPr="002D48A9">
        <w:rPr>
          <w:rStyle w:val="FootnoteReference"/>
          <w:rFonts w:cs="Arial"/>
        </w:rPr>
        <w:footnoteReference w:id="43"/>
      </w:r>
    </w:p>
    <w:p w14:paraId="33D1F122" w14:textId="77777777" w:rsidR="001619E9" w:rsidRPr="002D48A9" w:rsidRDefault="001619E9" w:rsidP="001619E9">
      <w:pPr>
        <w:jc w:val="both"/>
        <w:rPr>
          <w:rFonts w:cs="Arial"/>
          <w:u w:val="single"/>
        </w:rPr>
      </w:pPr>
      <w:r w:rsidRPr="002D48A9">
        <w:rPr>
          <w:rFonts w:cs="Arial"/>
          <w:u w:val="single"/>
        </w:rPr>
        <w:t>Youth justice</w:t>
      </w:r>
    </w:p>
    <w:p w14:paraId="641810D2" w14:textId="77777777" w:rsidR="000805FD" w:rsidRPr="002D48A9" w:rsidRDefault="001619E9" w:rsidP="000805FD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 w:rsidRPr="002D48A9">
        <w:rPr>
          <w:rFonts w:cs="Arial"/>
        </w:rPr>
        <w:t>Tamariki Māori continue to be overrepresented in the youth justice system, making up 62% of children and young people who appear in court.</w:t>
      </w:r>
      <w:r w:rsidRPr="002D48A9">
        <w:rPr>
          <w:rStyle w:val="FootnoteReference"/>
          <w:rFonts w:cs="Arial"/>
        </w:rPr>
        <w:footnoteReference w:id="44"/>
      </w:r>
      <w:r w:rsidRPr="002D48A9">
        <w:rPr>
          <w:rFonts w:cs="Arial"/>
        </w:rPr>
        <w:t xml:space="preserve"> </w:t>
      </w:r>
    </w:p>
    <w:p w14:paraId="62ECF29B" w14:textId="77777777" w:rsidR="006E3682" w:rsidRPr="002D48A9" w:rsidRDefault="000805FD" w:rsidP="000805FD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 w:rsidRPr="002D48A9">
        <w:rPr>
          <w:rFonts w:cs="Arial"/>
        </w:rPr>
        <w:lastRenderedPageBreak/>
        <w:t>T</w:t>
      </w:r>
      <w:r w:rsidR="001619E9" w:rsidRPr="002D48A9">
        <w:rPr>
          <w:rFonts w:cs="Arial"/>
        </w:rPr>
        <w:t xml:space="preserve">here are clear links between the offending of </w:t>
      </w:r>
      <w:proofErr w:type="spellStart"/>
      <w:r w:rsidR="001619E9" w:rsidRPr="002D48A9">
        <w:rPr>
          <w:rFonts w:cs="Arial"/>
        </w:rPr>
        <w:t>tamariki</w:t>
      </w:r>
      <w:proofErr w:type="spellEnd"/>
      <w:r w:rsidR="001619E9" w:rsidRPr="002D48A9">
        <w:rPr>
          <w:rFonts w:cs="Arial"/>
        </w:rPr>
        <w:t xml:space="preserve"> Māori and </w:t>
      </w:r>
      <w:proofErr w:type="spellStart"/>
      <w:r w:rsidR="001619E9" w:rsidRPr="002D48A9">
        <w:rPr>
          <w:rFonts w:cs="Arial"/>
        </w:rPr>
        <w:t>neurodisability</w:t>
      </w:r>
      <w:proofErr w:type="spellEnd"/>
      <w:r w:rsidR="001619E9" w:rsidRPr="002D48A9">
        <w:rPr>
          <w:rFonts w:cs="Arial"/>
        </w:rPr>
        <w:t xml:space="preserve">, alienation from </w:t>
      </w:r>
      <w:proofErr w:type="spellStart"/>
      <w:r w:rsidR="001619E9" w:rsidRPr="002D48A9">
        <w:rPr>
          <w:rFonts w:cs="Arial"/>
        </w:rPr>
        <w:t>whānau</w:t>
      </w:r>
      <w:proofErr w:type="spellEnd"/>
      <w:r w:rsidR="001619E9" w:rsidRPr="002D48A9">
        <w:rPr>
          <w:rFonts w:cs="Arial"/>
        </w:rPr>
        <w:t>, school and community, substance abuse and family violence</w:t>
      </w:r>
      <w:r w:rsidR="006E3682" w:rsidRPr="002D48A9">
        <w:rPr>
          <w:rFonts w:cs="Arial"/>
        </w:rPr>
        <w:t>.</w:t>
      </w:r>
      <w:r w:rsidR="001619E9" w:rsidRPr="002D48A9">
        <w:rPr>
          <w:rStyle w:val="FootnoteReference"/>
          <w:rFonts w:cs="Arial"/>
        </w:rPr>
        <w:footnoteReference w:id="45"/>
      </w:r>
      <w:r w:rsidR="001619E9" w:rsidRPr="002D48A9">
        <w:rPr>
          <w:rFonts w:cs="Arial"/>
        </w:rPr>
        <w:t xml:space="preserve"> </w:t>
      </w:r>
    </w:p>
    <w:p w14:paraId="5FD06B74" w14:textId="6D657BE2" w:rsidR="00DA716D" w:rsidRPr="00F564B4" w:rsidRDefault="001619E9" w:rsidP="00F564B4">
      <w:pPr>
        <w:pStyle w:val="ListParagraph"/>
        <w:numPr>
          <w:ilvl w:val="0"/>
          <w:numId w:val="15"/>
        </w:numPr>
        <w:spacing w:after="240"/>
        <w:ind w:left="714" w:hanging="357"/>
        <w:jc w:val="both"/>
        <w:rPr>
          <w:rFonts w:cs="Arial"/>
        </w:rPr>
      </w:pPr>
      <w:r w:rsidRPr="002D48A9">
        <w:rPr>
          <w:rFonts w:cs="Arial"/>
        </w:rPr>
        <w:t>83% of young people starting a prison sentence before the age of 20 had prior State care involvement.</w:t>
      </w:r>
      <w:r w:rsidRPr="002D48A9">
        <w:rPr>
          <w:rStyle w:val="FootnoteReference"/>
          <w:rFonts w:cs="Arial"/>
        </w:rPr>
        <w:footnoteReference w:id="46"/>
      </w:r>
      <w:r w:rsidRPr="002D48A9">
        <w:rPr>
          <w:rFonts w:cs="Arial"/>
        </w:rPr>
        <w:t xml:space="preserve"> </w:t>
      </w:r>
    </w:p>
    <w:p w14:paraId="0D0FF822" w14:textId="33C67703" w:rsidR="005849D7" w:rsidRDefault="003A0A96" w:rsidP="001619E9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Examples of ‘by Māori for Māori </w:t>
      </w:r>
      <w:proofErr w:type="gramStart"/>
      <w:r>
        <w:rPr>
          <w:rFonts w:cs="Arial"/>
          <w:b/>
          <w:bCs/>
        </w:rPr>
        <w:t>approaches’</w:t>
      </w:r>
      <w:proofErr w:type="gramEnd"/>
      <w:r>
        <w:rPr>
          <w:rFonts w:cs="Arial"/>
          <w:b/>
          <w:bCs/>
        </w:rPr>
        <w:t xml:space="preserve"> or promising practices </w:t>
      </w:r>
    </w:p>
    <w:p w14:paraId="22E6AB1C" w14:textId="1D9B3506" w:rsidR="003A0A96" w:rsidRPr="003A0A96" w:rsidRDefault="003A0A96" w:rsidP="001619E9">
      <w:pPr>
        <w:rPr>
          <w:rFonts w:cs="Arial"/>
          <w:u w:val="single"/>
        </w:rPr>
      </w:pPr>
      <w:r w:rsidRPr="003A0A96">
        <w:rPr>
          <w:rFonts w:cs="Arial"/>
          <w:u w:val="single"/>
        </w:rPr>
        <w:t>Care and protection</w:t>
      </w:r>
    </w:p>
    <w:p w14:paraId="48219B77" w14:textId="1E9333A5" w:rsidR="003A0A96" w:rsidRPr="00EB3C3F" w:rsidRDefault="003A0A96" w:rsidP="00332D1A">
      <w:pPr>
        <w:pStyle w:val="ListParagraph"/>
        <w:numPr>
          <w:ilvl w:val="0"/>
          <w:numId w:val="18"/>
        </w:numPr>
        <w:jc w:val="both"/>
        <w:rPr>
          <w:rFonts w:cs="Arial"/>
          <w:b/>
          <w:bCs/>
        </w:rPr>
      </w:pPr>
      <w:r w:rsidRPr="00F5000A">
        <w:rPr>
          <w:rFonts w:cs="Arial"/>
          <w:b/>
          <w:bCs/>
        </w:rPr>
        <w:t>Iwi Strategic Partnerships:</w:t>
      </w:r>
      <w:r w:rsidR="00AA6866" w:rsidRPr="00F5000A">
        <w:rPr>
          <w:rFonts w:cs="Arial"/>
          <w:b/>
          <w:bCs/>
        </w:rPr>
        <w:t xml:space="preserve"> </w:t>
      </w:r>
      <w:r w:rsidR="005E6CE5" w:rsidRPr="00F5000A">
        <w:rPr>
          <w:rFonts w:cs="Arial"/>
        </w:rPr>
        <w:t>since July 2019,</w:t>
      </w:r>
      <w:r w:rsidRPr="00F5000A">
        <w:rPr>
          <w:rFonts w:cs="Arial"/>
        </w:rPr>
        <w:t xml:space="preserve"> Oranga Tamariki is </w:t>
      </w:r>
      <w:r w:rsidR="00F20464" w:rsidRPr="00F5000A">
        <w:rPr>
          <w:rFonts w:cs="Arial"/>
        </w:rPr>
        <w:t xml:space="preserve">developing partnerships </w:t>
      </w:r>
      <w:r w:rsidR="00F434C1" w:rsidRPr="00F5000A">
        <w:rPr>
          <w:rFonts w:cs="Arial"/>
        </w:rPr>
        <w:t xml:space="preserve">with iwi and Māori organisations </w:t>
      </w:r>
      <w:r w:rsidR="00096DBB" w:rsidRPr="00F5000A">
        <w:rPr>
          <w:rFonts w:cs="Arial"/>
        </w:rPr>
        <w:t xml:space="preserve">to improve outcomes for </w:t>
      </w:r>
      <w:proofErr w:type="spellStart"/>
      <w:r w:rsidR="00096DBB" w:rsidRPr="00F5000A">
        <w:rPr>
          <w:rFonts w:cs="Arial"/>
        </w:rPr>
        <w:t>tamariki</w:t>
      </w:r>
      <w:proofErr w:type="spellEnd"/>
      <w:r w:rsidR="00096DBB" w:rsidRPr="00F5000A">
        <w:rPr>
          <w:rFonts w:cs="Arial"/>
        </w:rPr>
        <w:t xml:space="preserve"> Māori</w:t>
      </w:r>
      <w:r w:rsidR="00AA6866" w:rsidRPr="00F5000A">
        <w:rPr>
          <w:rFonts w:cs="Arial"/>
        </w:rPr>
        <w:t xml:space="preserve"> by working</w:t>
      </w:r>
      <w:r w:rsidR="00AA6866">
        <w:t xml:space="preserve"> “in partnership together to design new services, to better involve </w:t>
      </w:r>
      <w:proofErr w:type="spellStart"/>
      <w:r w:rsidR="00AA6866">
        <w:t>whānau</w:t>
      </w:r>
      <w:proofErr w:type="spellEnd"/>
      <w:r w:rsidR="00AA6866">
        <w:t xml:space="preserve">, </w:t>
      </w:r>
      <w:proofErr w:type="spellStart"/>
      <w:r w:rsidR="00AA6866">
        <w:t>hapū</w:t>
      </w:r>
      <w:proofErr w:type="spellEnd"/>
      <w:r w:rsidR="00AA6866">
        <w:t xml:space="preserve"> and iwi in decision-making, and to delegate accountabilities and power”. </w:t>
      </w:r>
      <w:r w:rsidR="00096DBB" w:rsidRPr="00F5000A">
        <w:rPr>
          <w:rFonts w:cs="Arial"/>
        </w:rPr>
        <w:t>So far</w:t>
      </w:r>
      <w:r w:rsidR="00F5000A" w:rsidRPr="00F5000A">
        <w:rPr>
          <w:rFonts w:cs="Arial"/>
        </w:rPr>
        <w:t xml:space="preserve">, Oranga Tamariki has </w:t>
      </w:r>
      <w:proofErr w:type="gramStart"/>
      <w:r w:rsidR="00F5000A" w:rsidRPr="00F5000A">
        <w:rPr>
          <w:rFonts w:cs="Arial"/>
        </w:rPr>
        <w:t>entered into</w:t>
      </w:r>
      <w:proofErr w:type="gramEnd"/>
      <w:r w:rsidR="00096DBB" w:rsidRPr="00F5000A">
        <w:rPr>
          <w:rFonts w:cs="Arial"/>
        </w:rPr>
        <w:t xml:space="preserve"> strategic partnerships </w:t>
      </w:r>
      <w:r w:rsidR="00F5000A">
        <w:rPr>
          <w:rFonts w:cs="Arial"/>
        </w:rPr>
        <w:t>with four iwi</w:t>
      </w:r>
      <w:r w:rsidR="00501932">
        <w:rPr>
          <w:rFonts w:cs="Arial"/>
        </w:rPr>
        <w:t xml:space="preserve"> and two </w:t>
      </w:r>
      <w:proofErr w:type="spellStart"/>
      <w:r w:rsidR="00501932">
        <w:rPr>
          <w:rFonts w:cs="Arial"/>
        </w:rPr>
        <w:t>Maori</w:t>
      </w:r>
      <w:proofErr w:type="spellEnd"/>
      <w:r w:rsidR="00501932">
        <w:rPr>
          <w:rFonts w:cs="Arial"/>
        </w:rPr>
        <w:t xml:space="preserve"> organisations.</w:t>
      </w:r>
      <w:r w:rsidR="00501932">
        <w:rPr>
          <w:rStyle w:val="FootnoteReference"/>
          <w:rFonts w:cs="Arial"/>
        </w:rPr>
        <w:footnoteReference w:id="47"/>
      </w:r>
      <w:r w:rsidR="00D53D06">
        <w:rPr>
          <w:rFonts w:cs="Arial"/>
        </w:rPr>
        <w:t xml:space="preserve"> While it is </w:t>
      </w:r>
      <w:r w:rsidR="009136A1">
        <w:rPr>
          <w:rFonts w:cs="Arial"/>
        </w:rPr>
        <w:t xml:space="preserve">still early days, the hope is that these partnerships provide </w:t>
      </w:r>
      <w:r w:rsidR="00573022">
        <w:rPr>
          <w:rFonts w:cs="Arial"/>
        </w:rPr>
        <w:t xml:space="preserve">a sustainable and good </w:t>
      </w:r>
      <w:r w:rsidR="009136A1">
        <w:rPr>
          <w:rFonts w:cs="Arial"/>
        </w:rPr>
        <w:t>model</w:t>
      </w:r>
      <w:r w:rsidR="00573022">
        <w:rPr>
          <w:rFonts w:cs="Arial"/>
        </w:rPr>
        <w:t xml:space="preserve"> for the future.</w:t>
      </w:r>
      <w:r w:rsidR="009136A1">
        <w:rPr>
          <w:rFonts w:cs="Arial"/>
        </w:rPr>
        <w:t xml:space="preserve"> </w:t>
      </w:r>
    </w:p>
    <w:p w14:paraId="56F798A7" w14:textId="64F6CE49" w:rsidR="00446DEC" w:rsidRPr="003D2C8B" w:rsidRDefault="00EB3C3F" w:rsidP="003D2C8B">
      <w:pPr>
        <w:pStyle w:val="ListParagraph"/>
        <w:numPr>
          <w:ilvl w:val="0"/>
          <w:numId w:val="18"/>
        </w:numPr>
        <w:jc w:val="both"/>
        <w:rPr>
          <w:rFonts w:cs="Arial"/>
          <w:b/>
          <w:bCs/>
        </w:rPr>
      </w:pPr>
      <w:r w:rsidRPr="00446DEC">
        <w:rPr>
          <w:rFonts w:cs="Arial"/>
          <w:b/>
          <w:bCs/>
        </w:rPr>
        <w:t xml:space="preserve">Specialist Māori roles in Oranga Tamariki: </w:t>
      </w:r>
      <w:r w:rsidR="00CF4D3B" w:rsidRPr="00446DEC">
        <w:rPr>
          <w:rFonts w:cs="Arial"/>
        </w:rPr>
        <w:t xml:space="preserve">specialist </w:t>
      </w:r>
      <w:r w:rsidR="00494909">
        <w:rPr>
          <w:rFonts w:cs="Arial"/>
        </w:rPr>
        <w:t xml:space="preserve">Māori </w:t>
      </w:r>
      <w:r w:rsidR="00CF4D3B" w:rsidRPr="00446DEC">
        <w:rPr>
          <w:rFonts w:cs="Arial"/>
        </w:rPr>
        <w:t>roles</w:t>
      </w:r>
      <w:r w:rsidR="00446DEC" w:rsidRPr="00446DEC">
        <w:rPr>
          <w:rFonts w:cs="Arial"/>
        </w:rPr>
        <w:t>, referred to as ‘weaver of family connections’,</w:t>
      </w:r>
      <w:r w:rsidR="00DA716D">
        <w:rPr>
          <w:rFonts w:cs="Arial"/>
        </w:rPr>
        <w:t xml:space="preserve"> </w:t>
      </w:r>
      <w:r w:rsidR="00CF4D3B" w:rsidRPr="00446DEC">
        <w:rPr>
          <w:rFonts w:cs="Arial"/>
        </w:rPr>
        <w:t xml:space="preserve">have been created within Oranga Tamariki to facilitate the early engagement of </w:t>
      </w:r>
      <w:proofErr w:type="spellStart"/>
      <w:r w:rsidR="00CF4D3B" w:rsidRPr="00446DEC">
        <w:rPr>
          <w:rFonts w:cs="Arial"/>
        </w:rPr>
        <w:t>tamariki</w:t>
      </w:r>
      <w:proofErr w:type="spellEnd"/>
      <w:r w:rsidR="00CF4D3B" w:rsidRPr="00446DEC">
        <w:rPr>
          <w:rFonts w:cs="Arial"/>
        </w:rPr>
        <w:t xml:space="preserve"> and their </w:t>
      </w:r>
      <w:proofErr w:type="spellStart"/>
      <w:r w:rsidR="00CF4D3B" w:rsidRPr="00446DEC">
        <w:rPr>
          <w:rFonts w:cs="Arial"/>
        </w:rPr>
        <w:t>whānau</w:t>
      </w:r>
      <w:proofErr w:type="spellEnd"/>
      <w:r w:rsidR="00CF4D3B" w:rsidRPr="00446DEC">
        <w:rPr>
          <w:rFonts w:cs="Arial"/>
        </w:rPr>
        <w:t xml:space="preserve"> in the </w:t>
      </w:r>
      <w:r w:rsidR="00D30DD0" w:rsidRPr="00446DEC">
        <w:rPr>
          <w:rFonts w:cs="Arial"/>
        </w:rPr>
        <w:t xml:space="preserve">care and protection process, </w:t>
      </w:r>
      <w:r w:rsidR="007D2343" w:rsidRPr="00446DEC">
        <w:rPr>
          <w:rFonts w:cs="Arial"/>
        </w:rPr>
        <w:t xml:space="preserve">prioritise </w:t>
      </w:r>
      <w:proofErr w:type="spellStart"/>
      <w:r w:rsidR="007D2343" w:rsidRPr="00446DEC">
        <w:rPr>
          <w:rFonts w:cs="Arial"/>
        </w:rPr>
        <w:t>whānau</w:t>
      </w:r>
      <w:proofErr w:type="spellEnd"/>
      <w:r w:rsidR="007D2343" w:rsidRPr="00446DEC">
        <w:rPr>
          <w:rFonts w:cs="Arial"/>
        </w:rPr>
        <w:t xml:space="preserve"> opportunities for</w:t>
      </w:r>
      <w:r w:rsidR="00D30DD0" w:rsidRPr="00446DEC">
        <w:rPr>
          <w:rFonts w:cs="Arial"/>
        </w:rPr>
        <w:t xml:space="preserve"> placement </w:t>
      </w:r>
      <w:r w:rsidR="0040707E" w:rsidRPr="00446DEC">
        <w:rPr>
          <w:rFonts w:cs="Arial"/>
        </w:rPr>
        <w:t xml:space="preserve">and support </w:t>
      </w:r>
      <w:proofErr w:type="spellStart"/>
      <w:r w:rsidR="0040707E" w:rsidRPr="00446DEC">
        <w:rPr>
          <w:rFonts w:cs="Arial"/>
        </w:rPr>
        <w:t>tamariki</w:t>
      </w:r>
      <w:proofErr w:type="spellEnd"/>
      <w:r w:rsidR="0040707E" w:rsidRPr="00446DEC">
        <w:rPr>
          <w:rFonts w:cs="Arial"/>
        </w:rPr>
        <w:t xml:space="preserve"> to maintain </w:t>
      </w:r>
      <w:r w:rsidR="00D30DD0" w:rsidRPr="00446DEC">
        <w:rPr>
          <w:rFonts w:cs="Arial"/>
        </w:rPr>
        <w:t xml:space="preserve">their </w:t>
      </w:r>
      <w:r w:rsidR="0040707E" w:rsidRPr="00446DEC">
        <w:rPr>
          <w:rFonts w:cs="Arial"/>
        </w:rPr>
        <w:t>cultural connection</w:t>
      </w:r>
      <w:r w:rsidR="00D30DD0" w:rsidRPr="00446DEC">
        <w:rPr>
          <w:rFonts w:cs="Arial"/>
        </w:rPr>
        <w:t>s</w:t>
      </w:r>
      <w:r w:rsidR="0040707E" w:rsidRPr="00446DEC">
        <w:rPr>
          <w:rFonts w:cs="Arial"/>
        </w:rPr>
        <w:t xml:space="preserve"> while in care.</w:t>
      </w:r>
      <w:r w:rsidR="00CF4D3B" w:rsidRPr="00446DEC">
        <w:rPr>
          <w:rFonts w:cs="Arial"/>
        </w:rPr>
        <w:t xml:space="preserve"> According to a recent evaluation, these roles </w:t>
      </w:r>
      <w:r w:rsidR="00332D1A" w:rsidRPr="00446DEC">
        <w:rPr>
          <w:rFonts w:cs="Arial"/>
        </w:rPr>
        <w:t xml:space="preserve">provide a promising way to engage and support </w:t>
      </w:r>
      <w:proofErr w:type="spellStart"/>
      <w:r w:rsidR="00332D1A" w:rsidRPr="00446DEC">
        <w:rPr>
          <w:rFonts w:cs="Arial"/>
        </w:rPr>
        <w:t>tamariki</w:t>
      </w:r>
      <w:proofErr w:type="spellEnd"/>
      <w:r w:rsidR="00332D1A" w:rsidRPr="00446DEC">
        <w:rPr>
          <w:rFonts w:cs="Arial"/>
        </w:rPr>
        <w:t xml:space="preserve"> and </w:t>
      </w:r>
      <w:proofErr w:type="spellStart"/>
      <w:r w:rsidR="00332D1A" w:rsidRPr="00446DEC">
        <w:rPr>
          <w:rFonts w:cs="Arial"/>
        </w:rPr>
        <w:t>whānau</w:t>
      </w:r>
      <w:proofErr w:type="spellEnd"/>
      <w:r w:rsidR="00D30DD0" w:rsidRPr="00446DEC">
        <w:rPr>
          <w:rFonts w:cs="Arial"/>
        </w:rPr>
        <w:t xml:space="preserve"> </w:t>
      </w:r>
      <w:r w:rsidR="00332D1A" w:rsidRPr="00446DEC">
        <w:rPr>
          <w:rFonts w:cs="Arial"/>
        </w:rPr>
        <w:t xml:space="preserve">as they navigate the </w:t>
      </w:r>
      <w:r w:rsidR="00EF0906" w:rsidRPr="00446DEC">
        <w:rPr>
          <w:rFonts w:cs="Arial"/>
        </w:rPr>
        <w:t>care and protection system</w:t>
      </w:r>
      <w:r w:rsidR="00332D1A" w:rsidRPr="00446DEC">
        <w:rPr>
          <w:rFonts w:cs="Arial"/>
        </w:rPr>
        <w:t xml:space="preserve"> and have the potential to contribute to improved outcomes for </w:t>
      </w:r>
      <w:proofErr w:type="spellStart"/>
      <w:r w:rsidR="00332D1A" w:rsidRPr="00446DEC">
        <w:rPr>
          <w:rFonts w:cs="Arial"/>
        </w:rPr>
        <w:t>tamariki</w:t>
      </w:r>
      <w:proofErr w:type="spellEnd"/>
      <w:r w:rsidR="00332D1A" w:rsidRPr="00446DEC">
        <w:rPr>
          <w:rFonts w:cs="Arial"/>
        </w:rPr>
        <w:t xml:space="preserve"> Māori over time</w:t>
      </w:r>
      <w:r w:rsidR="00EF0906" w:rsidRPr="00446DEC">
        <w:rPr>
          <w:rFonts w:cs="Arial"/>
        </w:rPr>
        <w:t>.</w:t>
      </w:r>
      <w:r w:rsidR="00332D1A">
        <w:rPr>
          <w:rStyle w:val="FootnoteReference"/>
          <w:rFonts w:cs="Arial"/>
        </w:rPr>
        <w:footnoteReference w:id="48"/>
      </w:r>
      <w:r w:rsidR="00EF0906" w:rsidRPr="00446DEC">
        <w:rPr>
          <w:rFonts w:cs="Arial"/>
        </w:rPr>
        <w:t xml:space="preserve"> </w:t>
      </w:r>
      <w:r w:rsidR="00CF4D3B" w:rsidRPr="00446DEC">
        <w:rPr>
          <w:rFonts w:cs="Arial"/>
        </w:rPr>
        <w:t xml:space="preserve"> </w:t>
      </w:r>
    </w:p>
    <w:p w14:paraId="7A1B7F13" w14:textId="73C10CEA" w:rsidR="00EB3C3F" w:rsidRDefault="00EB3C3F" w:rsidP="00EB3C3F">
      <w:pPr>
        <w:rPr>
          <w:rFonts w:cs="Arial"/>
          <w:u w:val="single"/>
        </w:rPr>
      </w:pPr>
      <w:r w:rsidRPr="00EB3C3F">
        <w:rPr>
          <w:rFonts w:cs="Arial"/>
          <w:u w:val="single"/>
        </w:rPr>
        <w:t xml:space="preserve">Health </w:t>
      </w:r>
    </w:p>
    <w:p w14:paraId="75FAA235" w14:textId="4C265B76" w:rsidR="00417C8B" w:rsidRPr="00417C8B" w:rsidRDefault="00A01D57" w:rsidP="00417C8B">
      <w:pPr>
        <w:pStyle w:val="ListParagraph"/>
        <w:numPr>
          <w:ilvl w:val="0"/>
          <w:numId w:val="19"/>
        </w:numPr>
        <w:jc w:val="both"/>
        <w:rPr>
          <w:rFonts w:cs="Arial"/>
          <w:u w:val="single"/>
        </w:rPr>
      </w:pPr>
      <w:r w:rsidRPr="00943C50">
        <w:rPr>
          <w:b/>
          <w:bCs/>
          <w:shd w:val="clear" w:color="auto" w:fill="FFFFFF"/>
        </w:rPr>
        <w:t>Independent Māori Health Authority</w:t>
      </w:r>
      <w:r w:rsidRPr="00943C50">
        <w:rPr>
          <w:shd w:val="clear" w:color="auto" w:fill="FFFFFF"/>
        </w:rPr>
        <w:t xml:space="preserve">: as a direct result of the Waitangi Tribunal’s </w:t>
      </w:r>
      <w:r w:rsidR="00565719" w:rsidRPr="00943C50">
        <w:rPr>
          <w:shd w:val="clear" w:color="auto" w:fill="FFFFFF"/>
        </w:rPr>
        <w:t xml:space="preserve">recent Māori </w:t>
      </w:r>
      <w:r w:rsidRPr="00943C50">
        <w:rPr>
          <w:shd w:val="clear" w:color="auto" w:fill="FFFFFF"/>
        </w:rPr>
        <w:t>health inquiry,</w:t>
      </w:r>
      <w:r w:rsidR="00741D0E">
        <w:rPr>
          <w:rStyle w:val="FootnoteReference"/>
          <w:shd w:val="clear" w:color="auto" w:fill="FFFFFF"/>
        </w:rPr>
        <w:footnoteReference w:id="49"/>
      </w:r>
      <w:r w:rsidRPr="00943C50">
        <w:rPr>
          <w:shd w:val="clear" w:color="auto" w:fill="FFFFFF"/>
        </w:rPr>
        <w:t xml:space="preserve"> </w:t>
      </w:r>
      <w:r w:rsidR="00943C50" w:rsidRPr="00943C50">
        <w:rPr>
          <w:shd w:val="clear" w:color="auto" w:fill="FFFFFF"/>
        </w:rPr>
        <w:t xml:space="preserve">which </w:t>
      </w:r>
      <w:r w:rsidR="00943C50" w:rsidRPr="00943C50">
        <w:rPr>
          <w:rFonts w:cs="Arial"/>
          <w:color w:val="000000"/>
          <w:shd w:val="clear" w:color="auto" w:fill="FFFFFF"/>
        </w:rPr>
        <w:t xml:space="preserve">found that the government breached </w:t>
      </w:r>
      <w:proofErr w:type="spellStart"/>
      <w:r w:rsidR="00573022">
        <w:rPr>
          <w:rFonts w:cs="Arial"/>
          <w:color w:val="000000"/>
          <w:shd w:val="clear" w:color="auto" w:fill="FFFFFF"/>
        </w:rPr>
        <w:t>t</w:t>
      </w:r>
      <w:r w:rsidR="00943C50" w:rsidRPr="00943C50">
        <w:rPr>
          <w:rFonts w:cs="Arial"/>
          <w:color w:val="000000"/>
          <w:shd w:val="clear" w:color="auto" w:fill="FFFFFF"/>
        </w:rPr>
        <w:t>e</w:t>
      </w:r>
      <w:proofErr w:type="spellEnd"/>
      <w:r w:rsidR="00943C50" w:rsidRPr="00943C50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943C50" w:rsidRPr="00943C50">
        <w:rPr>
          <w:rFonts w:cs="Arial"/>
          <w:color w:val="000000"/>
          <w:shd w:val="clear" w:color="auto" w:fill="FFFFFF"/>
        </w:rPr>
        <w:t>Tiriti</w:t>
      </w:r>
      <w:proofErr w:type="spellEnd"/>
      <w:r w:rsidR="00943C50" w:rsidRPr="00943C50">
        <w:rPr>
          <w:rFonts w:cs="Arial"/>
          <w:color w:val="000000"/>
          <w:shd w:val="clear" w:color="auto" w:fill="FFFFFF"/>
        </w:rPr>
        <w:t xml:space="preserve"> by failing to design and administer the current primary health care system to actively address persistent Māori health inequities and give effect </w:t>
      </w:r>
      <w:r w:rsidR="00943C50">
        <w:rPr>
          <w:rFonts w:cs="Arial"/>
          <w:color w:val="000000"/>
          <w:shd w:val="clear" w:color="auto" w:fill="FFFFFF"/>
        </w:rPr>
        <w:t>to</w:t>
      </w:r>
      <w:r w:rsidR="00943C50" w:rsidRPr="00943C50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943C50" w:rsidRPr="00943C50">
        <w:rPr>
          <w:rFonts w:cs="Arial"/>
          <w:color w:val="000000"/>
          <w:shd w:val="clear" w:color="auto" w:fill="FFFFFF"/>
        </w:rPr>
        <w:t>tino</w:t>
      </w:r>
      <w:proofErr w:type="spellEnd"/>
      <w:r w:rsidR="00943C50" w:rsidRPr="00943C50">
        <w:rPr>
          <w:rFonts w:cs="Arial"/>
          <w:color w:val="000000"/>
          <w:shd w:val="clear" w:color="auto" w:fill="FFFFFF"/>
        </w:rPr>
        <w:t xml:space="preserve"> rangatiratanga</w:t>
      </w:r>
      <w:r w:rsidR="00943C50">
        <w:rPr>
          <w:rFonts w:cs="Arial"/>
          <w:color w:val="000000"/>
          <w:shd w:val="clear" w:color="auto" w:fill="FFFFFF"/>
        </w:rPr>
        <w:t xml:space="preserve">, </w:t>
      </w:r>
      <w:r w:rsidRPr="00943C50">
        <w:rPr>
          <w:shd w:val="clear" w:color="auto" w:fill="FFFFFF"/>
        </w:rPr>
        <w:t xml:space="preserve">the </w:t>
      </w:r>
      <w:r w:rsidR="00FE1E1F" w:rsidRPr="00943C50">
        <w:rPr>
          <w:shd w:val="clear" w:color="auto" w:fill="FFFFFF"/>
        </w:rPr>
        <w:t>government has agreed to establish an independent agency that will oversee Māori health</w:t>
      </w:r>
      <w:r w:rsidR="00565719" w:rsidRPr="00943C50">
        <w:rPr>
          <w:shd w:val="clear" w:color="auto" w:fill="FFFFFF"/>
        </w:rPr>
        <w:t xml:space="preserve">. While </w:t>
      </w:r>
      <w:r w:rsidR="0053212E">
        <w:rPr>
          <w:shd w:val="clear" w:color="auto" w:fill="FFFFFF"/>
        </w:rPr>
        <w:t xml:space="preserve">Māori </w:t>
      </w:r>
      <w:r w:rsidR="00565719" w:rsidRPr="00943C50">
        <w:rPr>
          <w:shd w:val="clear" w:color="auto" w:fill="FFFFFF"/>
        </w:rPr>
        <w:t xml:space="preserve">claimants welcome this news, they </w:t>
      </w:r>
      <w:r w:rsidR="00573022">
        <w:rPr>
          <w:shd w:val="clear" w:color="auto" w:fill="FFFFFF"/>
        </w:rPr>
        <w:t>seek</w:t>
      </w:r>
      <w:r w:rsidR="00573022" w:rsidRPr="00943C50">
        <w:rPr>
          <w:shd w:val="clear" w:color="auto" w:fill="FFFFFF"/>
        </w:rPr>
        <w:t xml:space="preserve"> </w:t>
      </w:r>
      <w:r w:rsidR="003D224A" w:rsidRPr="00943C50">
        <w:rPr>
          <w:shd w:val="clear" w:color="auto" w:fill="FFFFFF"/>
        </w:rPr>
        <w:t>a commitment that it will be i</w:t>
      </w:r>
      <w:r w:rsidR="00565719" w:rsidRPr="00943C50">
        <w:rPr>
          <w:shd w:val="clear" w:color="auto" w:fill="FFFFFF"/>
        </w:rPr>
        <w:t>ndependent, with control over its own budget and power to commission its own services</w:t>
      </w:r>
      <w:r w:rsidR="003D224A" w:rsidRPr="00943C50">
        <w:rPr>
          <w:shd w:val="clear" w:color="auto" w:fill="FFFFFF"/>
        </w:rPr>
        <w:t>.</w:t>
      </w:r>
      <w:r w:rsidR="00303B3E" w:rsidRPr="00943C50">
        <w:rPr>
          <w:rStyle w:val="FootnoteReference"/>
          <w:shd w:val="clear" w:color="auto" w:fill="FFFFFF"/>
        </w:rPr>
        <w:footnoteReference w:id="50"/>
      </w:r>
    </w:p>
    <w:p w14:paraId="2927A506" w14:textId="16F4CDC7" w:rsidR="005849D7" w:rsidRPr="00F51DFA" w:rsidRDefault="001B5983" w:rsidP="001619E9">
      <w:pPr>
        <w:pStyle w:val="ListParagraph"/>
        <w:numPr>
          <w:ilvl w:val="0"/>
          <w:numId w:val="19"/>
        </w:numPr>
        <w:jc w:val="both"/>
        <w:rPr>
          <w:rFonts w:cs="Arial"/>
          <w:b/>
          <w:bCs/>
        </w:rPr>
      </w:pPr>
      <w:proofErr w:type="spellStart"/>
      <w:r w:rsidRPr="00E56DEA">
        <w:rPr>
          <w:b/>
          <w:bCs/>
          <w:shd w:val="clear" w:color="auto" w:fill="FFFFFF"/>
        </w:rPr>
        <w:t>Whānau</w:t>
      </w:r>
      <w:proofErr w:type="spellEnd"/>
      <w:r w:rsidRPr="00E56DEA">
        <w:rPr>
          <w:b/>
          <w:bCs/>
          <w:shd w:val="clear" w:color="auto" w:fill="FFFFFF"/>
        </w:rPr>
        <w:t xml:space="preserve"> Ora</w:t>
      </w:r>
      <w:r w:rsidRPr="00E56DEA">
        <w:rPr>
          <w:rFonts w:cs="Arial"/>
        </w:rPr>
        <w:t>:</w:t>
      </w:r>
      <w:r w:rsidR="006E3A83" w:rsidRPr="00E56DEA">
        <w:rPr>
          <w:rFonts w:cs="Arial"/>
        </w:rPr>
        <w:t xml:space="preserve"> </w:t>
      </w:r>
      <w:proofErr w:type="spellStart"/>
      <w:r w:rsidR="00417C8B" w:rsidRPr="00E56DEA">
        <w:rPr>
          <w:rFonts w:cs="Helvetica"/>
        </w:rPr>
        <w:t>Whānau</w:t>
      </w:r>
      <w:proofErr w:type="spellEnd"/>
      <w:r w:rsidR="00417C8B" w:rsidRPr="00E56DEA">
        <w:rPr>
          <w:rFonts w:cs="Helvetica"/>
        </w:rPr>
        <w:t xml:space="preserve"> Ora,</w:t>
      </w:r>
      <w:r w:rsidR="00172CFF" w:rsidRPr="00E56DEA">
        <w:rPr>
          <w:rFonts w:cs="Helvetica"/>
        </w:rPr>
        <w:t xml:space="preserve"> a</w:t>
      </w:r>
      <w:r w:rsidR="00417C8B" w:rsidRPr="00E56DEA">
        <w:rPr>
          <w:rFonts w:cs="Helvetica"/>
        </w:rPr>
        <w:t xml:space="preserve"> </w:t>
      </w:r>
      <w:proofErr w:type="spellStart"/>
      <w:r w:rsidR="00417C8B" w:rsidRPr="00E56DEA">
        <w:rPr>
          <w:rFonts w:eastAsia="Times New Roman" w:cs="Helvetica"/>
          <w:lang w:eastAsia="en-AU"/>
        </w:rPr>
        <w:t>whānau</w:t>
      </w:r>
      <w:proofErr w:type="spellEnd"/>
      <w:r w:rsidR="00417C8B" w:rsidRPr="00E56DEA">
        <w:rPr>
          <w:rFonts w:eastAsia="Times New Roman" w:cs="Helvetica"/>
          <w:lang w:eastAsia="en-AU"/>
        </w:rPr>
        <w:t xml:space="preserve">-centred approach to supporting </w:t>
      </w:r>
      <w:proofErr w:type="spellStart"/>
      <w:r w:rsidR="00417C8B" w:rsidRPr="00E56DEA">
        <w:rPr>
          <w:rFonts w:eastAsia="Times New Roman" w:cs="Helvetica"/>
          <w:lang w:eastAsia="en-AU"/>
        </w:rPr>
        <w:t>whānau</w:t>
      </w:r>
      <w:proofErr w:type="spellEnd"/>
      <w:r w:rsidR="00417C8B" w:rsidRPr="00E56DEA">
        <w:rPr>
          <w:rFonts w:eastAsia="Times New Roman" w:cs="Helvetica"/>
          <w:lang w:eastAsia="en-AU"/>
        </w:rPr>
        <w:t xml:space="preserve"> wellbeing and development, was </w:t>
      </w:r>
      <w:r w:rsidR="00417C8B" w:rsidRPr="00E56DEA">
        <w:rPr>
          <w:rFonts w:cs="Helvetica"/>
        </w:rPr>
        <w:t xml:space="preserve">created in response to a recognition by government </w:t>
      </w:r>
      <w:proofErr w:type="gramStart"/>
      <w:r w:rsidR="00417C8B" w:rsidRPr="00E56DEA">
        <w:rPr>
          <w:rFonts w:cs="Helvetica"/>
        </w:rPr>
        <w:t>that standard ways</w:t>
      </w:r>
      <w:proofErr w:type="gramEnd"/>
      <w:r w:rsidR="00417C8B" w:rsidRPr="00E56DEA">
        <w:rPr>
          <w:rFonts w:cs="Helvetica"/>
        </w:rPr>
        <w:t xml:space="preserve"> of delivering social and health services was not working and outcomes particularly for Māori </w:t>
      </w:r>
      <w:proofErr w:type="spellStart"/>
      <w:r w:rsidR="00417C8B" w:rsidRPr="00E56DEA">
        <w:rPr>
          <w:rFonts w:cs="Helvetica"/>
        </w:rPr>
        <w:lastRenderedPageBreak/>
        <w:t>whānau</w:t>
      </w:r>
      <w:proofErr w:type="spellEnd"/>
      <w:r w:rsidR="00417C8B" w:rsidRPr="00E56DEA">
        <w:rPr>
          <w:rFonts w:cs="Helvetica"/>
        </w:rPr>
        <w:t xml:space="preserve"> were not improving. </w:t>
      </w:r>
      <w:proofErr w:type="spellStart"/>
      <w:r w:rsidR="00172CFF" w:rsidRPr="00E56DEA">
        <w:rPr>
          <w:rFonts w:cs="Helvetica"/>
        </w:rPr>
        <w:t>Whānau</w:t>
      </w:r>
      <w:proofErr w:type="spellEnd"/>
      <w:r w:rsidR="00172CFF" w:rsidRPr="00E56DEA">
        <w:rPr>
          <w:rFonts w:cs="Helvetica"/>
        </w:rPr>
        <w:t xml:space="preserve"> Ora </w:t>
      </w:r>
      <w:r w:rsidR="00872E89" w:rsidRPr="00E56DEA">
        <w:rPr>
          <w:rFonts w:cs="Helvetica"/>
          <w:shd w:val="clear" w:color="auto" w:fill="FFFFFF"/>
        </w:rPr>
        <w:t xml:space="preserve">Commissioning Agencies </w:t>
      </w:r>
      <w:r w:rsidR="00172CFF" w:rsidRPr="00E56DEA">
        <w:rPr>
          <w:rFonts w:cs="Helvetica"/>
          <w:shd w:val="clear" w:color="auto" w:fill="FFFFFF"/>
        </w:rPr>
        <w:t>work with Māori</w:t>
      </w:r>
      <w:r w:rsidR="00872E89" w:rsidRPr="00E56DEA">
        <w:rPr>
          <w:rFonts w:cs="Helvetica"/>
          <w:shd w:val="clear" w:color="auto" w:fill="FFFFFF"/>
        </w:rPr>
        <w:t xml:space="preserve"> communities to determine the best ways to support their development. </w:t>
      </w:r>
      <w:r w:rsidR="00172CFF" w:rsidRPr="00E56DEA">
        <w:rPr>
          <w:rFonts w:cs="Helvetica"/>
          <w:shd w:val="clear" w:color="auto" w:fill="FFFFFF"/>
        </w:rPr>
        <w:t xml:space="preserve">A key </w:t>
      </w:r>
      <w:r w:rsidR="00E56DEA" w:rsidRPr="00E56DEA">
        <w:rPr>
          <w:rFonts w:cs="Helvetica"/>
          <w:shd w:val="clear" w:color="auto" w:fill="FFFFFF"/>
        </w:rPr>
        <w:t xml:space="preserve">component </w:t>
      </w:r>
      <w:r w:rsidR="00172CFF" w:rsidRPr="00E56DEA">
        <w:rPr>
          <w:rFonts w:cs="Helvetica"/>
          <w:shd w:val="clear" w:color="auto" w:fill="FFFFFF"/>
        </w:rPr>
        <w:t xml:space="preserve">of the </w:t>
      </w:r>
      <w:proofErr w:type="spellStart"/>
      <w:r w:rsidR="00172CFF" w:rsidRPr="00E56DEA">
        <w:rPr>
          <w:rFonts w:cs="Helvetica"/>
          <w:shd w:val="clear" w:color="auto" w:fill="FFFFFF"/>
        </w:rPr>
        <w:t>Whānau</w:t>
      </w:r>
      <w:proofErr w:type="spellEnd"/>
      <w:r w:rsidR="00172CFF" w:rsidRPr="00E56DEA">
        <w:rPr>
          <w:rFonts w:cs="Helvetica"/>
          <w:shd w:val="clear" w:color="auto" w:fill="FFFFFF"/>
        </w:rPr>
        <w:t xml:space="preserve"> Ora approach </w:t>
      </w:r>
      <w:proofErr w:type="gramStart"/>
      <w:r w:rsidR="00E56DEA" w:rsidRPr="00E56DEA">
        <w:rPr>
          <w:rFonts w:cs="Helvetica"/>
          <w:shd w:val="clear" w:color="auto" w:fill="FFFFFF"/>
        </w:rPr>
        <w:t>are</w:t>
      </w:r>
      <w:proofErr w:type="gramEnd"/>
      <w:r w:rsidR="00E56DEA" w:rsidRPr="00E56DEA">
        <w:rPr>
          <w:rFonts w:cs="Helvetica"/>
          <w:shd w:val="clear" w:color="auto" w:fill="FFFFFF"/>
        </w:rPr>
        <w:t xml:space="preserve"> </w:t>
      </w:r>
      <w:proofErr w:type="spellStart"/>
      <w:r w:rsidR="00E56DEA" w:rsidRPr="00E56DEA">
        <w:rPr>
          <w:rFonts w:cs="Helvetica"/>
          <w:shd w:val="clear" w:color="auto" w:fill="FFFFFF"/>
        </w:rPr>
        <w:t>Kaiārahi</w:t>
      </w:r>
      <w:proofErr w:type="spellEnd"/>
      <w:r w:rsidR="00E56DEA" w:rsidRPr="00E56DEA">
        <w:rPr>
          <w:rFonts w:cs="Helvetica"/>
          <w:shd w:val="clear" w:color="auto" w:fill="FFFFFF"/>
        </w:rPr>
        <w:t xml:space="preserve">, or Navigators, who work closely with </w:t>
      </w:r>
      <w:proofErr w:type="spellStart"/>
      <w:r w:rsidR="00E56DEA" w:rsidRPr="00E56DEA">
        <w:rPr>
          <w:rFonts w:cs="Helvetica"/>
          <w:shd w:val="clear" w:color="auto" w:fill="FFFFFF"/>
        </w:rPr>
        <w:t>whānau</w:t>
      </w:r>
      <w:proofErr w:type="spellEnd"/>
      <w:r w:rsidR="00E56DEA" w:rsidRPr="00E56DEA">
        <w:rPr>
          <w:rFonts w:cs="Helvetica"/>
          <w:shd w:val="clear" w:color="auto" w:fill="FFFFFF"/>
        </w:rPr>
        <w:t xml:space="preserve"> to identify their specific needs and aspirations then help identify the services, education providers or employment and business opportunities.</w:t>
      </w:r>
      <w:r w:rsidR="00E56DEA">
        <w:rPr>
          <w:rStyle w:val="FootnoteReference"/>
          <w:rFonts w:cs="Helvetica"/>
          <w:shd w:val="clear" w:color="auto" w:fill="FFFFFF"/>
        </w:rPr>
        <w:footnoteReference w:id="51"/>
      </w:r>
    </w:p>
    <w:p w14:paraId="488713F9" w14:textId="3507ED8A" w:rsidR="00F51DFA" w:rsidRPr="00F51DFA" w:rsidRDefault="00F51DFA" w:rsidP="00F51DFA">
      <w:pPr>
        <w:jc w:val="both"/>
        <w:rPr>
          <w:rFonts w:cs="Arial"/>
          <w:u w:val="single"/>
        </w:rPr>
      </w:pPr>
      <w:r w:rsidRPr="00F51DFA">
        <w:rPr>
          <w:rFonts w:cs="Arial"/>
          <w:u w:val="single"/>
        </w:rPr>
        <w:t>Youth Justice</w:t>
      </w:r>
    </w:p>
    <w:p w14:paraId="0C30A180" w14:textId="169A3904" w:rsidR="00F51DFA" w:rsidRPr="00803590" w:rsidRDefault="00F51DFA" w:rsidP="00F564B4">
      <w:pPr>
        <w:pStyle w:val="ListParagraph"/>
        <w:numPr>
          <w:ilvl w:val="0"/>
          <w:numId w:val="20"/>
        </w:numPr>
        <w:spacing w:after="240"/>
        <w:ind w:left="714" w:hanging="357"/>
        <w:jc w:val="both"/>
        <w:rPr>
          <w:rFonts w:cs="Arial"/>
          <w:b/>
          <w:bCs/>
        </w:rPr>
      </w:pPr>
      <w:r w:rsidRPr="003D31AC">
        <w:rPr>
          <w:rFonts w:cs="Arial"/>
          <w:b/>
          <w:bCs/>
        </w:rPr>
        <w:t>Rangatahi Courts:</w:t>
      </w:r>
      <w:r w:rsidR="003B1E71" w:rsidRPr="003D31AC">
        <w:rPr>
          <w:rFonts w:cs="Arial"/>
          <w:b/>
          <w:bCs/>
        </w:rPr>
        <w:t xml:space="preserve"> </w:t>
      </w:r>
      <w:r w:rsidR="003B1E71" w:rsidRPr="003D31AC">
        <w:t>Rangatahi courts</w:t>
      </w:r>
      <w:r w:rsidR="00510FDF" w:rsidRPr="003D31AC">
        <w:t xml:space="preserve"> were established to reduce reoffending by </w:t>
      </w:r>
      <w:proofErr w:type="spellStart"/>
      <w:r w:rsidR="00510FDF" w:rsidRPr="003D31AC">
        <w:t>rangatahi</w:t>
      </w:r>
      <w:proofErr w:type="spellEnd"/>
      <w:r w:rsidR="00510FDF" w:rsidRPr="003D31AC">
        <w:t xml:space="preserve"> Māori (Māori youth) and to provide the best possible rehabilitative response, by encouraging strong cultural links and meaningfully involvement of </w:t>
      </w:r>
      <w:proofErr w:type="spellStart"/>
      <w:r w:rsidR="00510FDF" w:rsidRPr="003D31AC">
        <w:t>whānau</w:t>
      </w:r>
      <w:proofErr w:type="spellEnd"/>
      <w:r w:rsidR="00510FDF" w:rsidRPr="003D31AC">
        <w:t xml:space="preserve">, </w:t>
      </w:r>
      <w:proofErr w:type="spellStart"/>
      <w:r w:rsidR="00510FDF" w:rsidRPr="003D31AC">
        <w:t>hapū</w:t>
      </w:r>
      <w:proofErr w:type="spellEnd"/>
      <w:r w:rsidR="00510FDF" w:rsidRPr="003D31AC">
        <w:t xml:space="preserve"> and iwi in the youth justice process.</w:t>
      </w:r>
      <w:r w:rsidR="00304966" w:rsidRPr="003D31AC">
        <w:t xml:space="preserve"> They are held on a marae (Māori meeting place)</w:t>
      </w:r>
      <w:r w:rsidR="009D59C4" w:rsidRPr="003D31AC">
        <w:t xml:space="preserve">, are presided over by a Youth Court judge, facilitated by Māori </w:t>
      </w:r>
      <w:proofErr w:type="spellStart"/>
      <w:r w:rsidR="009D59C4" w:rsidRPr="003D31AC">
        <w:t>kaum</w:t>
      </w:r>
      <w:r w:rsidR="00876A5F" w:rsidRPr="003D31AC">
        <w:t>ā</w:t>
      </w:r>
      <w:r w:rsidR="009D59C4" w:rsidRPr="003D31AC">
        <w:t>tua</w:t>
      </w:r>
      <w:proofErr w:type="spellEnd"/>
      <w:r w:rsidR="009D59C4" w:rsidRPr="003D31AC">
        <w:t xml:space="preserve"> or kuia (Māori elders)</w:t>
      </w:r>
      <w:r w:rsidR="00304966" w:rsidRPr="003D31AC">
        <w:t xml:space="preserve"> and </w:t>
      </w:r>
      <w:r w:rsidR="00580000" w:rsidRPr="003D31AC">
        <w:t>follow tikanga Māori.</w:t>
      </w:r>
      <w:r w:rsidRPr="003D31AC">
        <w:rPr>
          <w:rFonts w:cs="Arial"/>
          <w:b/>
          <w:bCs/>
        </w:rPr>
        <w:t xml:space="preserve"> </w:t>
      </w:r>
      <w:r w:rsidR="00876A5F" w:rsidRPr="003D31AC">
        <w:rPr>
          <w:rFonts w:cs="Arial"/>
        </w:rPr>
        <w:t>As a recent evaluation shows,</w:t>
      </w:r>
      <w:r w:rsidR="00876A5F" w:rsidRPr="003D31AC">
        <w:rPr>
          <w:rFonts w:cs="Arial"/>
          <w:b/>
          <w:bCs/>
        </w:rPr>
        <w:t xml:space="preserve"> </w:t>
      </w:r>
      <w:r w:rsidR="008A5D2D" w:rsidRPr="003D31AC">
        <w:rPr>
          <w:rFonts w:cs="Arial"/>
          <w:color w:val="000000"/>
          <w:shd w:val="clear" w:color="auto" w:fill="FFFFFF"/>
        </w:rPr>
        <w:t xml:space="preserve">Rangatahi Courts helped </w:t>
      </w:r>
      <w:proofErr w:type="spellStart"/>
      <w:r w:rsidR="00876A5F" w:rsidRPr="003D31AC">
        <w:rPr>
          <w:rFonts w:cs="Arial"/>
          <w:color w:val="000000"/>
          <w:shd w:val="clear" w:color="auto" w:fill="FFFFFF"/>
        </w:rPr>
        <w:t>rangatahi</w:t>
      </w:r>
      <w:proofErr w:type="spellEnd"/>
      <w:r w:rsidR="008A5D2D" w:rsidRPr="003D31AC">
        <w:rPr>
          <w:rFonts w:cs="Arial"/>
          <w:color w:val="000000"/>
          <w:shd w:val="clear" w:color="auto" w:fill="FFFFFF"/>
        </w:rPr>
        <w:t xml:space="preserve"> M</w:t>
      </w:r>
      <w:r w:rsidR="00876A5F" w:rsidRPr="003D31AC">
        <w:rPr>
          <w:rFonts w:cs="Arial"/>
          <w:color w:val="000000"/>
          <w:shd w:val="clear" w:color="auto" w:fill="FFFFFF"/>
        </w:rPr>
        <w:t>ā</w:t>
      </w:r>
      <w:r w:rsidR="008A5D2D" w:rsidRPr="003D31AC">
        <w:rPr>
          <w:rFonts w:cs="Arial"/>
          <w:color w:val="000000"/>
          <w:shd w:val="clear" w:color="auto" w:fill="FFFFFF"/>
        </w:rPr>
        <w:t xml:space="preserve">ori connect with their cultural identity, engage with their local marae </w:t>
      </w:r>
      <w:proofErr w:type="gramStart"/>
      <w:r w:rsidR="008A5D2D" w:rsidRPr="003D31AC">
        <w:rPr>
          <w:rFonts w:cs="Arial"/>
          <w:color w:val="000000"/>
          <w:shd w:val="clear" w:color="auto" w:fill="FFFFFF"/>
        </w:rPr>
        <w:t>community</w:t>
      </w:r>
      <w:proofErr w:type="gramEnd"/>
      <w:r w:rsidR="008A5D2D" w:rsidRPr="003D31AC">
        <w:rPr>
          <w:rFonts w:cs="Arial"/>
          <w:color w:val="000000"/>
          <w:shd w:val="clear" w:color="auto" w:fill="FFFFFF"/>
        </w:rPr>
        <w:t xml:space="preserve"> and find positive role models, which in turn encouraged positive behaviour such as active engagement with the court process</w:t>
      </w:r>
      <w:r w:rsidR="003D31AC" w:rsidRPr="003D31AC">
        <w:rPr>
          <w:rFonts w:cs="Arial"/>
          <w:color w:val="000000"/>
          <w:shd w:val="clear" w:color="auto" w:fill="FFFFFF"/>
        </w:rPr>
        <w:t>.</w:t>
      </w:r>
      <w:r w:rsidR="002746BC">
        <w:rPr>
          <w:rStyle w:val="FootnoteReference"/>
          <w:rFonts w:cs="Arial"/>
          <w:color w:val="000000"/>
          <w:shd w:val="clear" w:color="auto" w:fill="FFFFFF"/>
        </w:rPr>
        <w:footnoteReference w:id="52"/>
      </w:r>
    </w:p>
    <w:p w14:paraId="005A3CD7" w14:textId="51AC25EB" w:rsidR="001619E9" w:rsidRPr="002D48A9" w:rsidRDefault="001619E9" w:rsidP="001619E9">
      <w:pPr>
        <w:rPr>
          <w:rFonts w:cs="Arial"/>
          <w:b/>
          <w:bCs/>
          <w:lang w:val="mi-NZ"/>
        </w:rPr>
      </w:pPr>
      <w:r w:rsidRPr="002D48A9">
        <w:rPr>
          <w:rFonts w:cs="Arial"/>
          <w:b/>
          <w:bCs/>
          <w:lang w:val="mi-NZ"/>
        </w:rPr>
        <w:t>Conclu</w:t>
      </w:r>
      <w:r w:rsidR="00FA4783" w:rsidRPr="002D48A9">
        <w:rPr>
          <w:rFonts w:cs="Arial"/>
          <w:b/>
          <w:bCs/>
          <w:lang w:val="mi-NZ"/>
        </w:rPr>
        <w:t>sion</w:t>
      </w:r>
    </w:p>
    <w:p w14:paraId="5572B605" w14:textId="6D6DB658" w:rsidR="00AA40D1" w:rsidRPr="002D48A9" w:rsidRDefault="0082015F" w:rsidP="00AA40D1">
      <w:pPr>
        <w:jc w:val="both"/>
        <w:rPr>
          <w:rFonts w:cs="Arial"/>
        </w:rPr>
      </w:pPr>
      <w:r w:rsidRPr="002D48A9">
        <w:rPr>
          <w:rFonts w:cs="Arial"/>
          <w:lang w:val="mi-NZ"/>
        </w:rPr>
        <w:t>As we have advocated for throughout this submission, we strongly beli</w:t>
      </w:r>
      <w:r w:rsidR="00DB695D" w:rsidRPr="002D48A9">
        <w:rPr>
          <w:rFonts w:cs="Arial"/>
          <w:lang w:val="mi-NZ"/>
        </w:rPr>
        <w:t>e</w:t>
      </w:r>
      <w:r w:rsidRPr="002D48A9">
        <w:rPr>
          <w:rFonts w:cs="Arial"/>
          <w:lang w:val="mi-NZ"/>
        </w:rPr>
        <w:t xml:space="preserve">ve that the inequities </w:t>
      </w:r>
      <w:r w:rsidR="007574A2" w:rsidRPr="002D48A9">
        <w:rPr>
          <w:rFonts w:cs="Arial"/>
          <w:lang w:val="mi-NZ"/>
        </w:rPr>
        <w:t>tamariki Māori face can be addressed if</w:t>
      </w:r>
      <w:r w:rsidR="00DB695D" w:rsidRPr="002D48A9">
        <w:rPr>
          <w:rFonts w:cs="Arial"/>
          <w:lang w:val="mi-NZ"/>
        </w:rPr>
        <w:t xml:space="preserve"> Māori </w:t>
      </w:r>
      <w:r w:rsidR="00AA40D1" w:rsidRPr="002D48A9">
        <w:rPr>
          <w:rFonts w:cs="Arial"/>
          <w:lang w:val="mi-NZ"/>
        </w:rPr>
        <w:t>l</w:t>
      </w:r>
      <w:r w:rsidR="00DB695D" w:rsidRPr="002D48A9">
        <w:rPr>
          <w:rFonts w:cs="Arial"/>
          <w:lang w:val="mi-NZ"/>
        </w:rPr>
        <w:t>ead on the design, development and implemen</w:t>
      </w:r>
      <w:r w:rsidR="00AA40D1" w:rsidRPr="002D48A9">
        <w:rPr>
          <w:rFonts w:cs="Arial"/>
          <w:lang w:val="mi-NZ"/>
        </w:rPr>
        <w:t>t</w:t>
      </w:r>
      <w:r w:rsidR="00DB695D" w:rsidRPr="002D48A9">
        <w:rPr>
          <w:rFonts w:cs="Arial"/>
          <w:lang w:val="mi-NZ"/>
        </w:rPr>
        <w:t>atio</w:t>
      </w:r>
      <w:r w:rsidR="00AA40D1" w:rsidRPr="002D48A9">
        <w:rPr>
          <w:rFonts w:cs="Arial"/>
          <w:lang w:val="mi-NZ"/>
        </w:rPr>
        <w:t>n of</w:t>
      </w:r>
      <w:r w:rsidR="00AA40D1" w:rsidRPr="002D48A9">
        <w:rPr>
          <w:rFonts w:cs="Arial"/>
        </w:rPr>
        <w:t xml:space="preserve"> all policy, programmes and responses that relate to </w:t>
      </w:r>
      <w:proofErr w:type="spellStart"/>
      <w:r w:rsidR="00AA40D1" w:rsidRPr="002D48A9">
        <w:rPr>
          <w:rFonts w:cs="Arial"/>
        </w:rPr>
        <w:t>tamariki</w:t>
      </w:r>
      <w:proofErr w:type="spellEnd"/>
      <w:r w:rsidR="00AA40D1" w:rsidRPr="002D48A9">
        <w:rPr>
          <w:rFonts w:cs="Arial"/>
        </w:rPr>
        <w:t xml:space="preserve"> Māori.</w:t>
      </w:r>
    </w:p>
    <w:p w14:paraId="73B9CFB5" w14:textId="77777777" w:rsidR="00B903D1" w:rsidRPr="002D48A9" w:rsidRDefault="00B903D1">
      <w:pPr>
        <w:rPr>
          <w:rFonts w:cs="Arial"/>
        </w:rPr>
      </w:pPr>
    </w:p>
    <w:sectPr w:rsidR="00B903D1" w:rsidRPr="002D48A9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05A8C" w14:textId="77777777" w:rsidR="00003996" w:rsidRDefault="00003996" w:rsidP="001619E9">
      <w:pPr>
        <w:spacing w:after="0" w:line="240" w:lineRule="auto"/>
      </w:pPr>
      <w:r>
        <w:separator/>
      </w:r>
    </w:p>
  </w:endnote>
  <w:endnote w:type="continuationSeparator" w:id="0">
    <w:p w14:paraId="10436C91" w14:textId="77777777" w:rsidR="00003996" w:rsidRDefault="00003996" w:rsidP="00161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3D642" w14:textId="77777777" w:rsidR="00003996" w:rsidRDefault="00003996" w:rsidP="001619E9">
      <w:pPr>
        <w:spacing w:after="0" w:line="240" w:lineRule="auto"/>
      </w:pPr>
      <w:r>
        <w:separator/>
      </w:r>
    </w:p>
  </w:footnote>
  <w:footnote w:type="continuationSeparator" w:id="0">
    <w:p w14:paraId="4626E883" w14:textId="77777777" w:rsidR="00003996" w:rsidRDefault="00003996" w:rsidP="001619E9">
      <w:pPr>
        <w:spacing w:after="0" w:line="240" w:lineRule="auto"/>
      </w:pPr>
      <w:r>
        <w:continuationSeparator/>
      </w:r>
    </w:p>
  </w:footnote>
  <w:footnote w:id="1">
    <w:p w14:paraId="0A1CD01F" w14:textId="686630AC" w:rsidR="006D3D4E" w:rsidRPr="006D3D4E" w:rsidRDefault="006D3D4E">
      <w:pPr>
        <w:pStyle w:val="FootnoteText"/>
        <w:rPr>
          <w:lang w:val="mi-NZ"/>
        </w:rPr>
      </w:pPr>
      <w:r>
        <w:rPr>
          <w:rStyle w:val="FootnoteReference"/>
        </w:rPr>
        <w:footnoteRef/>
      </w:r>
      <w:r>
        <w:t xml:space="preserve"> </w:t>
      </w:r>
      <w:r w:rsidR="00E41950">
        <w:t>As said by Dr</w:t>
      </w:r>
      <w:r w:rsidR="004E25B6">
        <w:t xml:space="preserve"> Rose Pere</w:t>
      </w:r>
      <w:r w:rsidR="00E41950">
        <w:t xml:space="preserve"> and cited in </w:t>
      </w:r>
      <w:r w:rsidR="00172C03" w:rsidRPr="00172C03">
        <w:t>King, P</w:t>
      </w:r>
      <w:r w:rsidR="004E25B6">
        <w:t>.,</w:t>
      </w:r>
      <w:r w:rsidR="00172C03" w:rsidRPr="00172C03">
        <w:t xml:space="preserve"> Cormack, D</w:t>
      </w:r>
      <w:r w:rsidR="004E25B6">
        <w:t>.</w:t>
      </w:r>
      <w:r w:rsidR="00172C03" w:rsidRPr="00172C03">
        <w:t xml:space="preserve"> &amp; Kōpua, M.</w:t>
      </w:r>
      <w:r w:rsidR="00867AFC">
        <w:t xml:space="preserve"> (</w:t>
      </w:r>
      <w:r w:rsidR="00172C03" w:rsidRPr="00172C03">
        <w:t>2018</w:t>
      </w:r>
      <w:r w:rsidR="00867AFC">
        <w:t>)</w:t>
      </w:r>
      <w:r w:rsidR="00172C03" w:rsidRPr="00172C03">
        <w:t xml:space="preserve">. </w:t>
      </w:r>
      <w:hyperlink r:id="rId1" w:history="1">
        <w:r w:rsidR="00172C03" w:rsidRPr="004E25B6">
          <w:rPr>
            <w:rStyle w:val="Hyperlink"/>
          </w:rPr>
          <w:t>Oranga mokopuna: A tāngata whenua rights-based approach to health and wellbeing</w:t>
        </w:r>
      </w:hyperlink>
      <w:r w:rsidR="00172C03" w:rsidRPr="00172C03">
        <w:t>.</w:t>
      </w:r>
    </w:p>
  </w:footnote>
  <w:footnote w:id="2">
    <w:p w14:paraId="106C73F0" w14:textId="2D3A7150" w:rsidR="001E1910" w:rsidRPr="0078758C" w:rsidRDefault="001E1910">
      <w:pPr>
        <w:pStyle w:val="FootnoteText"/>
        <w:rPr>
          <w:lang w:val="mi-N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mi-NZ"/>
        </w:rPr>
        <w:t>Rameka, L.</w:t>
      </w:r>
      <w:r w:rsidR="00867AFC">
        <w:rPr>
          <w:lang w:val="mi-NZ"/>
        </w:rPr>
        <w:t xml:space="preserve"> (</w:t>
      </w:r>
      <w:r>
        <w:rPr>
          <w:lang w:val="mi-NZ"/>
        </w:rPr>
        <w:t>2016</w:t>
      </w:r>
      <w:r w:rsidR="00867AFC">
        <w:rPr>
          <w:lang w:val="mi-NZ"/>
        </w:rPr>
        <w:t>)</w:t>
      </w:r>
      <w:hyperlink r:id="rId2" w:history="1">
        <w:r w:rsidRPr="001E1910">
          <w:rPr>
            <w:rStyle w:val="Hyperlink"/>
            <w:lang w:val="mi-NZ"/>
          </w:rPr>
          <w:t>. Kia whakatōmuri te haere whakamua: ‘I wallk backwards into the future with my eyes fixed on the my past</w:t>
        </w:r>
      </w:hyperlink>
      <w:r>
        <w:rPr>
          <w:lang w:val="mi-NZ"/>
        </w:rPr>
        <w:t>.</w:t>
      </w:r>
    </w:p>
  </w:footnote>
  <w:footnote w:id="3">
    <w:p w14:paraId="08E2A807" w14:textId="40DF99EA" w:rsidR="006F49DC" w:rsidRPr="00C15ABF" w:rsidRDefault="006F49DC">
      <w:pPr>
        <w:pStyle w:val="FootnoteText"/>
        <w:rPr>
          <w:lang w:val="mi-N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mi-NZ"/>
        </w:rPr>
        <w:t xml:space="preserve">See </w:t>
      </w:r>
      <w:hyperlink r:id="rId3" w:history="1">
        <w:r>
          <w:rPr>
            <w:rStyle w:val="Hyperlink"/>
          </w:rPr>
          <w:t>Care and protection – statistics | Oranga Tamariki — Ministry for Children</w:t>
        </w:r>
      </w:hyperlink>
      <w:r>
        <w:t>. For the total number of tamariki Māori in care we have combined the number of children who identify as “Māori” (57%) and “Māori &amp; Pacific” (11%).</w:t>
      </w:r>
    </w:p>
  </w:footnote>
  <w:footnote w:id="4">
    <w:p w14:paraId="7DCFFA84" w14:textId="557BBC73" w:rsidR="006F49DC" w:rsidRPr="00682F3F" w:rsidRDefault="006F49DC">
      <w:pPr>
        <w:pStyle w:val="FootnoteText"/>
        <w:rPr>
          <w:lang w:val="mi-N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mi-NZ"/>
        </w:rPr>
        <w:t xml:space="preserve">See </w:t>
      </w:r>
      <w:hyperlink r:id="rId4" w:history="1">
        <w:r>
          <w:rPr>
            <w:rStyle w:val="Hyperlink"/>
          </w:rPr>
          <w:t>Māori population estimates: At 30 June 2020 | Stats NZ</w:t>
        </w:r>
      </w:hyperlink>
      <w:r>
        <w:t>.</w:t>
      </w:r>
    </w:p>
  </w:footnote>
  <w:footnote w:id="5">
    <w:p w14:paraId="65789279" w14:textId="69B5AC97" w:rsidR="006F49DC" w:rsidRPr="00C01655" w:rsidRDefault="006F49DC">
      <w:pPr>
        <w:pStyle w:val="FootnoteText"/>
        <w:rPr>
          <w:lang w:val="mi-N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mi-NZ"/>
        </w:rPr>
        <w:t xml:space="preserve">See </w:t>
      </w:r>
      <w:hyperlink r:id="rId5" w:history="1">
        <w:r w:rsidRPr="006A36F8">
          <w:rPr>
            <w:rStyle w:val="Hyperlink"/>
          </w:rPr>
          <w:t>Infographic – Pēpi Māori 0-3 Months And The Care And Protection System</w:t>
        </w:r>
      </w:hyperlink>
      <w:r>
        <w:t>.</w:t>
      </w:r>
    </w:p>
  </w:footnote>
  <w:footnote w:id="6">
    <w:p w14:paraId="51DE95FB" w14:textId="716BB1ED" w:rsidR="006F49DC" w:rsidRPr="00DC611F" w:rsidRDefault="006F49DC" w:rsidP="001619E9">
      <w:pPr>
        <w:pStyle w:val="FootnoteText"/>
      </w:pPr>
      <w:r>
        <w:rPr>
          <w:rStyle w:val="FootnoteReference"/>
        </w:rPr>
        <w:footnoteRef/>
      </w:r>
      <w:r>
        <w:t xml:space="preserve"> These inquiries include </w:t>
      </w:r>
      <w:r w:rsidR="00C836C8">
        <w:t xml:space="preserve">an </w:t>
      </w:r>
      <w:r>
        <w:t xml:space="preserve">Oranga Tamariki’s internal </w:t>
      </w:r>
      <w:hyperlink r:id="rId6" w:history="1">
        <w:r w:rsidRPr="00C836C8">
          <w:rPr>
            <w:rStyle w:val="Hyperlink"/>
          </w:rPr>
          <w:t>practice review</w:t>
        </w:r>
      </w:hyperlink>
      <w:r>
        <w:t xml:space="preserve">, the </w:t>
      </w:r>
      <w:hyperlink r:id="rId7" w:history="1">
        <w:r w:rsidRPr="00C836C8">
          <w:rPr>
            <w:rStyle w:val="Hyperlink"/>
          </w:rPr>
          <w:t>Māori-led Inquiry into Oranga Tamariki</w:t>
        </w:r>
      </w:hyperlink>
      <w:r w:rsidR="00C836C8">
        <w:t xml:space="preserve"> </w:t>
      </w:r>
      <w:r>
        <w:t xml:space="preserve">and independent inquiries by both the </w:t>
      </w:r>
      <w:hyperlink r:id="rId8" w:history="1">
        <w:r w:rsidRPr="00C836C8">
          <w:rPr>
            <w:rStyle w:val="Hyperlink"/>
          </w:rPr>
          <w:t>Children’s Commissioner</w:t>
        </w:r>
      </w:hyperlink>
      <w:r>
        <w:t xml:space="preserve"> and the </w:t>
      </w:r>
      <w:hyperlink r:id="rId9" w:history="1">
        <w:r w:rsidRPr="00C836C8">
          <w:rPr>
            <w:rStyle w:val="Hyperlink"/>
          </w:rPr>
          <w:t>Chief Ombudsman</w:t>
        </w:r>
      </w:hyperlink>
      <w:r>
        <w:t>.</w:t>
      </w:r>
      <w:r w:rsidR="00C836C8">
        <w:t xml:space="preserve"> </w:t>
      </w:r>
      <w:r w:rsidR="00C836C8" w:rsidRPr="00C836C8">
        <w:t xml:space="preserve">A Waitangi Tribunal </w:t>
      </w:r>
      <w:r w:rsidR="00C836C8" w:rsidRPr="0078758C">
        <w:rPr>
          <w:rFonts w:cs="Helvetica"/>
          <w:color w:val="000000"/>
          <w:spacing w:val="-3"/>
          <w:shd w:val="clear" w:color="auto" w:fill="FFFFFF"/>
        </w:rPr>
        <w:t xml:space="preserve">urgent inquiry into the consistency of Oranga Tamariki policies and practice with </w:t>
      </w:r>
      <w:r w:rsidR="00C836C8">
        <w:rPr>
          <w:rFonts w:cs="Helvetica"/>
          <w:color w:val="000000"/>
          <w:spacing w:val="-3"/>
          <w:shd w:val="clear" w:color="auto" w:fill="FFFFFF"/>
        </w:rPr>
        <w:t xml:space="preserve">te Tiriti </w:t>
      </w:r>
      <w:r w:rsidR="00C836C8" w:rsidRPr="00C836C8">
        <w:t>is also underway</w:t>
      </w:r>
      <w:r w:rsidR="00C836C8">
        <w:t>.</w:t>
      </w:r>
    </w:p>
  </w:footnote>
  <w:footnote w:id="7">
    <w:p w14:paraId="632CA522" w14:textId="77777777" w:rsidR="006F49DC" w:rsidRPr="00012B07" w:rsidRDefault="006F49DC" w:rsidP="001619E9">
      <w:pPr>
        <w:pStyle w:val="FootnoteText"/>
        <w:jc w:val="both"/>
        <w:rPr>
          <w:rFonts w:cstheme="minorHAnsi"/>
          <w:shd w:val="clear" w:color="auto" w:fill="FFFFFF"/>
        </w:rPr>
      </w:pPr>
      <w:r w:rsidRPr="00012B07">
        <w:rPr>
          <w:rStyle w:val="FootnoteReference"/>
          <w:rFonts w:cstheme="minorHAnsi"/>
        </w:rPr>
        <w:footnoteRef/>
      </w:r>
      <w:r w:rsidRPr="00012B07">
        <w:rPr>
          <w:rFonts w:cstheme="minorHAnsi"/>
        </w:rPr>
        <w:t xml:space="preserve"> </w:t>
      </w:r>
      <w:r w:rsidRPr="00012B07">
        <w:rPr>
          <w:rFonts w:cstheme="minorHAnsi"/>
          <w:lang w:val="mi-NZ"/>
        </w:rPr>
        <w:t>The New Zealand Government has recently decided to repeal this provision as it relates to</w:t>
      </w:r>
      <w:r w:rsidRPr="00012B07">
        <w:rPr>
          <w:rFonts w:cstheme="minorHAnsi"/>
          <w:shd w:val="clear" w:color="auto" w:fill="FFFFFF"/>
        </w:rPr>
        <w:t xml:space="preserve"> cases where a parent had a previous child permanently taken into care. It will </w:t>
      </w:r>
      <w:r>
        <w:rPr>
          <w:rFonts w:cstheme="minorHAnsi"/>
          <w:shd w:val="clear" w:color="auto" w:fill="FFFFFF"/>
        </w:rPr>
        <w:t>continue to</w:t>
      </w:r>
      <w:r w:rsidRPr="00012B07">
        <w:rPr>
          <w:rFonts w:cstheme="minorHAnsi"/>
          <w:shd w:val="clear" w:color="auto" w:fill="FFFFFF"/>
        </w:rPr>
        <w:t xml:space="preserve"> apply where a parent has a conviction for the murder, manslaughter or infanticide of a child in their care.</w:t>
      </w:r>
    </w:p>
  </w:footnote>
  <w:footnote w:id="8">
    <w:p w14:paraId="031E385E" w14:textId="19DD3ECF" w:rsidR="00366FA2" w:rsidRPr="00366FA2" w:rsidRDefault="00366FA2">
      <w:pPr>
        <w:pStyle w:val="FootnoteText"/>
        <w:rPr>
          <w:lang w:val="mi-NZ"/>
        </w:rPr>
      </w:pPr>
      <w:r>
        <w:rPr>
          <w:rStyle w:val="FootnoteReference"/>
        </w:rPr>
        <w:footnoteRef/>
      </w:r>
      <w:r>
        <w:t xml:space="preserve"> </w:t>
      </w:r>
      <w:r w:rsidR="00F36948">
        <w:rPr>
          <w:lang w:val="mi-NZ"/>
        </w:rPr>
        <w:t xml:space="preserve">See </w:t>
      </w:r>
      <w:hyperlink r:id="rId10" w:history="1">
        <w:r w:rsidR="00F36948" w:rsidRPr="00867AFC">
          <w:rPr>
            <w:rStyle w:val="Hyperlink"/>
          </w:rPr>
          <w:t>Te Mura o Te Ahi, Fighting for our Tamariki: A Collection of Whānau Stories produced as a part of the Māori Inquiry into Oranga Tamariki</w:t>
        </w:r>
      </w:hyperlink>
      <w:r w:rsidR="00867AFC">
        <w:t>.</w:t>
      </w:r>
    </w:p>
  </w:footnote>
  <w:footnote w:id="9">
    <w:p w14:paraId="09DB571C" w14:textId="1D914260" w:rsidR="00EF346F" w:rsidRPr="0078758C" w:rsidRDefault="00EF346F">
      <w:pPr>
        <w:pStyle w:val="FootnoteText"/>
        <w:rPr>
          <w:lang w:val="mi-N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mi-NZ"/>
        </w:rPr>
        <w:t xml:space="preserve">See </w:t>
      </w:r>
      <w:hyperlink r:id="rId11" w:history="1">
        <w:r>
          <w:rPr>
            <w:rStyle w:val="Hyperlink"/>
          </w:rPr>
          <w:t>Oranga Tamariki beyond repair and needs careful replacement, Waitangi Tribunal told | Stuff.co.nz</w:t>
        </w:r>
      </w:hyperlink>
    </w:p>
  </w:footnote>
  <w:footnote w:id="10">
    <w:p w14:paraId="13FE0C1A" w14:textId="101F7F6C" w:rsidR="006F49DC" w:rsidRPr="00E14EAD" w:rsidRDefault="006F49DC">
      <w:pPr>
        <w:pStyle w:val="FootnoteText"/>
        <w:rPr>
          <w:lang w:val="mi-N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mi-NZ"/>
        </w:rPr>
        <w:t xml:space="preserve">See </w:t>
      </w:r>
      <w:hyperlink r:id="rId12" w:history="1">
        <w:r>
          <w:rPr>
            <w:rStyle w:val="Hyperlink"/>
          </w:rPr>
          <w:t>Home | Abuse in Care - Royal Commission of Inquiry</w:t>
        </w:r>
      </w:hyperlink>
      <w:r>
        <w:t>.</w:t>
      </w:r>
    </w:p>
  </w:footnote>
  <w:footnote w:id="11">
    <w:p w14:paraId="3C321B95" w14:textId="19429F2A" w:rsidR="006F49DC" w:rsidRPr="00E14EAD" w:rsidRDefault="006F49DC">
      <w:pPr>
        <w:pStyle w:val="FootnoteText"/>
        <w:rPr>
          <w:lang w:val="mi-N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mi-NZ"/>
        </w:rPr>
        <w:t xml:space="preserve">See </w:t>
      </w:r>
      <w:hyperlink r:id="rId13" w:history="1">
        <w:r>
          <w:rPr>
            <w:rStyle w:val="Hyperlink"/>
          </w:rPr>
          <w:t>Reports | Abuse in Care - Royal Commission of Inquiry</w:t>
        </w:r>
      </w:hyperlink>
      <w:r>
        <w:t>.</w:t>
      </w:r>
    </w:p>
  </w:footnote>
  <w:footnote w:id="12">
    <w:p w14:paraId="42C7F938" w14:textId="2609617D" w:rsidR="006F49DC" w:rsidRPr="000F118C" w:rsidRDefault="006F49DC" w:rsidP="001619E9">
      <w:pPr>
        <w:pStyle w:val="FootnoteText"/>
        <w:rPr>
          <w:lang w:val="mi-NZ"/>
        </w:rPr>
      </w:pPr>
      <w:r>
        <w:rPr>
          <w:rStyle w:val="FootnoteReference"/>
        </w:rPr>
        <w:footnoteRef/>
      </w:r>
      <w:r>
        <w:t xml:space="preserve"> </w:t>
      </w:r>
      <w:r w:rsidR="009630C2">
        <w:rPr>
          <w:lang w:val="mi-NZ"/>
        </w:rPr>
        <w:t xml:space="preserve">Otene, S. </w:t>
      </w:r>
      <w:r w:rsidR="009630C2" w:rsidRPr="00D029FD">
        <w:t>Te Hurihanga Tuarua? Examining amendments to the Oranga Tamariki Act 1989 that took effect on 1 July 2019</w:t>
      </w:r>
      <w:r w:rsidR="009630C2">
        <w:t>. (2019) 9 NZFLJ 139.</w:t>
      </w:r>
    </w:p>
  </w:footnote>
  <w:footnote w:id="13">
    <w:p w14:paraId="0CB0BA74" w14:textId="54FEEA60" w:rsidR="006F49DC" w:rsidRPr="002B7A28" w:rsidRDefault="006F49DC" w:rsidP="001619E9">
      <w:pPr>
        <w:pStyle w:val="FootnoteText"/>
        <w:rPr>
          <w:lang w:val="mi-NZ"/>
        </w:rPr>
      </w:pPr>
      <w:r>
        <w:rPr>
          <w:rStyle w:val="FootnoteReference"/>
        </w:rPr>
        <w:footnoteRef/>
      </w:r>
      <w:r w:rsidR="001A3C07">
        <w:t xml:space="preserve"> For more information, please see </w:t>
      </w:r>
      <w:hyperlink r:id="rId14" w:history="1">
        <w:r w:rsidR="001A3C07" w:rsidRPr="001A3C07">
          <w:rPr>
            <w:rStyle w:val="Hyperlink"/>
          </w:rPr>
          <w:t>Independent Children’s Monitor</w:t>
        </w:r>
      </w:hyperlink>
      <w:r w:rsidR="001A3C07">
        <w:t xml:space="preserve">. </w:t>
      </w:r>
      <w:r>
        <w:t xml:space="preserve"> </w:t>
      </w:r>
    </w:p>
  </w:footnote>
  <w:footnote w:id="14">
    <w:p w14:paraId="72EDB733" w14:textId="40E0360D" w:rsidR="006F49DC" w:rsidRPr="00F22742" w:rsidRDefault="006F49DC" w:rsidP="00DD0689">
      <w:pPr>
        <w:pStyle w:val="FootnoteText"/>
        <w:jc w:val="both"/>
        <w:rPr>
          <w:lang w:val="mi-NZ"/>
        </w:rPr>
      </w:pPr>
      <w:r>
        <w:rPr>
          <w:rStyle w:val="FootnoteReference"/>
        </w:rPr>
        <w:footnoteRef/>
      </w:r>
      <w:r w:rsidR="00900A23">
        <w:t xml:space="preserve"> See</w:t>
      </w:r>
      <w:r>
        <w:t xml:space="preserve"> </w:t>
      </w:r>
      <w:hyperlink r:id="rId15" w:history="1">
        <w:r w:rsidR="00602374" w:rsidRPr="00405D2D">
          <w:rPr>
            <w:rStyle w:val="Hyperlink"/>
          </w:rPr>
          <w:t>P</w:t>
        </w:r>
        <w:r w:rsidR="00480122">
          <w:rPr>
            <w:rStyle w:val="Hyperlink"/>
          </w:rPr>
          <w:t>ū</w:t>
        </w:r>
        <w:r w:rsidR="00602374" w:rsidRPr="00405D2D">
          <w:rPr>
            <w:rStyle w:val="Hyperlink"/>
          </w:rPr>
          <w:t>ao-</w:t>
        </w:r>
        <w:r w:rsidR="00D17581">
          <w:rPr>
            <w:rStyle w:val="Hyperlink"/>
          </w:rPr>
          <w:t>T</w:t>
        </w:r>
        <w:r w:rsidR="00602374" w:rsidRPr="00405D2D">
          <w:rPr>
            <w:rStyle w:val="Hyperlink"/>
          </w:rPr>
          <w:t>e-</w:t>
        </w:r>
        <w:r w:rsidR="00D17581">
          <w:rPr>
            <w:rStyle w:val="Hyperlink"/>
          </w:rPr>
          <w:t>A</w:t>
        </w:r>
        <w:r w:rsidR="00602374" w:rsidRPr="00405D2D">
          <w:rPr>
            <w:rStyle w:val="Hyperlink"/>
          </w:rPr>
          <w:t>ta-</w:t>
        </w:r>
        <w:r w:rsidR="00D17581">
          <w:rPr>
            <w:rStyle w:val="Hyperlink"/>
          </w:rPr>
          <w:t>T</w:t>
        </w:r>
        <w:r w:rsidR="00480122">
          <w:rPr>
            <w:rStyle w:val="Hyperlink"/>
          </w:rPr>
          <w:t>ū</w:t>
        </w:r>
        <w:r w:rsidR="00900A23" w:rsidRPr="00405D2D">
          <w:rPr>
            <w:rStyle w:val="Hyperlink"/>
          </w:rPr>
          <w:t xml:space="preserve"> (Day break): </w:t>
        </w:r>
        <w:r w:rsidR="00210679" w:rsidRPr="00405D2D">
          <w:rPr>
            <w:rStyle w:val="Hyperlink"/>
          </w:rPr>
          <w:t xml:space="preserve">the Report of </w:t>
        </w:r>
        <w:r w:rsidR="00405D2D" w:rsidRPr="00405D2D">
          <w:rPr>
            <w:rStyle w:val="Hyperlink"/>
          </w:rPr>
          <w:t>t</w:t>
        </w:r>
        <w:r w:rsidR="00210679" w:rsidRPr="00405D2D">
          <w:rPr>
            <w:rStyle w:val="Hyperlink"/>
          </w:rPr>
          <w:t xml:space="preserve">he Ministerial Advisory Committee </w:t>
        </w:r>
        <w:r w:rsidR="00405D2D" w:rsidRPr="00405D2D">
          <w:rPr>
            <w:rStyle w:val="Hyperlink"/>
          </w:rPr>
          <w:t>o</w:t>
        </w:r>
        <w:r w:rsidR="00210679" w:rsidRPr="00405D2D">
          <w:rPr>
            <w:rStyle w:val="Hyperlink"/>
          </w:rPr>
          <w:t xml:space="preserve">n </w:t>
        </w:r>
        <w:r w:rsidR="00405D2D" w:rsidRPr="00405D2D">
          <w:rPr>
            <w:rStyle w:val="Hyperlink"/>
          </w:rPr>
          <w:t>a</w:t>
        </w:r>
        <w:r w:rsidR="00210679" w:rsidRPr="00405D2D">
          <w:rPr>
            <w:rStyle w:val="Hyperlink"/>
          </w:rPr>
          <w:t xml:space="preserve"> Maori Perspective </w:t>
        </w:r>
        <w:r w:rsidR="00405D2D" w:rsidRPr="00405D2D">
          <w:rPr>
            <w:rStyle w:val="Hyperlink"/>
          </w:rPr>
          <w:t>f</w:t>
        </w:r>
        <w:r w:rsidR="00210679" w:rsidRPr="00405D2D">
          <w:rPr>
            <w:rStyle w:val="Hyperlink"/>
          </w:rPr>
          <w:t xml:space="preserve">or </w:t>
        </w:r>
        <w:r w:rsidR="00405D2D" w:rsidRPr="00405D2D">
          <w:rPr>
            <w:rStyle w:val="Hyperlink"/>
          </w:rPr>
          <w:t>t</w:t>
        </w:r>
        <w:r w:rsidR="00210679" w:rsidRPr="00405D2D">
          <w:rPr>
            <w:rStyle w:val="Hyperlink"/>
          </w:rPr>
          <w:t>he Department Of Social Welfare</w:t>
        </w:r>
      </w:hyperlink>
      <w:r w:rsidR="00DD0689">
        <w:t xml:space="preserve"> (1988)</w:t>
      </w:r>
      <w:r w:rsidR="00210679">
        <w:t xml:space="preserve">. </w:t>
      </w:r>
      <w:r w:rsidR="00DD0689">
        <w:t>The</w:t>
      </w:r>
      <w:r w:rsidR="00210679">
        <w:t xml:space="preserve"> </w:t>
      </w:r>
      <w:r w:rsidR="00602374">
        <w:t>task of the Committee was to advise the Minister on how the</w:t>
      </w:r>
      <w:r w:rsidR="00DD0689">
        <w:t xml:space="preserve"> </w:t>
      </w:r>
      <w:r w:rsidR="00602374" w:rsidRPr="00D17581">
        <w:t>Department could meet the needs of Māori in policy, planning and service delivery and its recommendations were based upon feedback gathered in hui around the country</w:t>
      </w:r>
      <w:r w:rsidR="00DB3CB3" w:rsidRPr="00D17581">
        <w:t>. The report recognised that the social issues facing Māori resulted from failing systems of state provision underpinned by a broader context of co</w:t>
      </w:r>
      <w:r w:rsidR="00CD701F" w:rsidRPr="00D17581">
        <w:t>lonisation, racism and structural inequality. For further background, please see</w:t>
      </w:r>
      <w:r w:rsidR="00C234ED" w:rsidRPr="00D17581">
        <w:t xml:space="preserve"> </w:t>
      </w:r>
      <w:r w:rsidR="00C234ED" w:rsidRPr="00D17581">
        <w:rPr>
          <w:shd w:val="clear" w:color="auto" w:fill="FFFFFF"/>
        </w:rPr>
        <w:t>Boulton, A., Levy, M. &amp; Cvitanovic, L.</w:t>
      </w:r>
      <w:r w:rsidR="00372EB6" w:rsidRPr="00D17581">
        <w:rPr>
          <w:shd w:val="clear" w:color="auto" w:fill="FFFFFF"/>
        </w:rPr>
        <w:t xml:space="preserve"> (2020). </w:t>
      </w:r>
      <w:hyperlink r:id="rId16" w:history="1">
        <w:r w:rsidRPr="00D17581">
          <w:rPr>
            <w:rStyle w:val="Hyperlink"/>
            <w:lang w:val="mi-NZ"/>
          </w:rPr>
          <w:t>Beyond P</w:t>
        </w:r>
        <w:r w:rsidR="00480122">
          <w:rPr>
            <w:rStyle w:val="Hyperlink"/>
            <w:lang w:val="mi-NZ"/>
          </w:rPr>
          <w:t>ū</w:t>
        </w:r>
        <w:r w:rsidR="00372EB6" w:rsidRPr="00D17581">
          <w:rPr>
            <w:rStyle w:val="Hyperlink"/>
            <w:lang w:val="mi-NZ"/>
          </w:rPr>
          <w:t>ao-</w:t>
        </w:r>
        <w:r w:rsidRPr="00D17581">
          <w:rPr>
            <w:rStyle w:val="Hyperlink"/>
            <w:lang w:val="mi-NZ"/>
          </w:rPr>
          <w:t>T</w:t>
        </w:r>
        <w:r w:rsidR="00372EB6" w:rsidRPr="00D17581">
          <w:rPr>
            <w:rStyle w:val="Hyperlink"/>
            <w:lang w:val="mi-NZ"/>
          </w:rPr>
          <w:t>e-</w:t>
        </w:r>
        <w:r w:rsidRPr="00D17581">
          <w:rPr>
            <w:rStyle w:val="Hyperlink"/>
            <w:lang w:val="mi-NZ"/>
          </w:rPr>
          <w:t>A</w:t>
        </w:r>
        <w:r w:rsidR="00372EB6" w:rsidRPr="00D17581">
          <w:rPr>
            <w:rStyle w:val="Hyperlink"/>
            <w:lang w:val="mi-NZ"/>
          </w:rPr>
          <w:t>ta-</w:t>
        </w:r>
        <w:r w:rsidRPr="00D17581">
          <w:rPr>
            <w:rStyle w:val="Hyperlink"/>
            <w:lang w:val="mi-NZ"/>
          </w:rPr>
          <w:t>T</w:t>
        </w:r>
        <w:r w:rsidR="00480122">
          <w:rPr>
            <w:rStyle w:val="Hyperlink"/>
            <w:lang w:val="mi-NZ"/>
          </w:rPr>
          <w:t>ū</w:t>
        </w:r>
        <w:r w:rsidR="00372EB6" w:rsidRPr="00D17581">
          <w:rPr>
            <w:rStyle w:val="Hyperlink"/>
            <w:lang w:val="mi-NZ"/>
          </w:rPr>
          <w:t xml:space="preserve">: </w:t>
        </w:r>
        <w:r w:rsidR="00D17581" w:rsidRPr="00D17581">
          <w:rPr>
            <w:rStyle w:val="Hyperlink"/>
            <w:lang w:val="mi-NZ"/>
          </w:rPr>
          <w:t>Realising the Promise of a New Day</w:t>
        </w:r>
      </w:hyperlink>
      <w:r w:rsidR="00D17581" w:rsidRPr="00D17581">
        <w:rPr>
          <w:lang w:val="mi-NZ"/>
        </w:rPr>
        <w:t>.</w:t>
      </w:r>
    </w:p>
  </w:footnote>
  <w:footnote w:id="15">
    <w:p w14:paraId="249A0F2C" w14:textId="40231CF2" w:rsidR="006F49DC" w:rsidRPr="00102BB3" w:rsidRDefault="006F49DC" w:rsidP="001619E9">
      <w:pPr>
        <w:pStyle w:val="FootnoteText"/>
        <w:rPr>
          <w:lang w:val="mi-NZ"/>
        </w:rPr>
      </w:pPr>
      <w:r>
        <w:rPr>
          <w:rStyle w:val="FootnoteReference"/>
        </w:rPr>
        <w:footnoteRef/>
      </w:r>
      <w:r>
        <w:t xml:space="preserve"> </w:t>
      </w:r>
      <w:r w:rsidR="000622E1" w:rsidRPr="003D6D02">
        <w:rPr>
          <w:i/>
          <w:iCs/>
          <w:lang w:val="mi-NZ"/>
        </w:rPr>
        <w:t>Barton-Prescott v Director-General of Social Welfare</w:t>
      </w:r>
      <w:r w:rsidR="000622E1">
        <w:rPr>
          <w:lang w:val="mi-NZ"/>
        </w:rPr>
        <w:t xml:space="preserve"> [1997</w:t>
      </w:r>
      <w:r w:rsidR="003D6D02">
        <w:rPr>
          <w:lang w:val="mi-NZ"/>
        </w:rPr>
        <w:t>] 3 NZLR 179 (HC).</w:t>
      </w:r>
    </w:p>
  </w:footnote>
  <w:footnote w:id="16">
    <w:p w14:paraId="457B9A25" w14:textId="59584D34" w:rsidR="003270BE" w:rsidRPr="000F118C" w:rsidRDefault="006F49DC" w:rsidP="003270BE">
      <w:pPr>
        <w:pStyle w:val="FootnoteText"/>
        <w:rPr>
          <w:lang w:val="mi-NZ"/>
        </w:rPr>
      </w:pPr>
      <w:r>
        <w:rPr>
          <w:rStyle w:val="FootnoteReference"/>
        </w:rPr>
        <w:footnoteRef/>
      </w:r>
      <w:r>
        <w:t xml:space="preserve"> </w:t>
      </w:r>
      <w:r w:rsidR="003270BE">
        <w:rPr>
          <w:lang w:val="mi-NZ"/>
        </w:rPr>
        <w:t xml:space="preserve">Otene, S. </w:t>
      </w:r>
      <w:r w:rsidR="003270BE" w:rsidRPr="00D029FD">
        <w:t xml:space="preserve">Te Hurihanga Tuarua? Examining amendments to the Oranga Tamariki Act 1989 that took effect on 1 July 2019. </w:t>
      </w:r>
      <w:r w:rsidR="009630C2">
        <w:t xml:space="preserve">(2019) </w:t>
      </w:r>
      <w:r w:rsidR="003270BE">
        <w:t>9 NZFLJ 139.</w:t>
      </w:r>
    </w:p>
    <w:p w14:paraId="4544D756" w14:textId="31D5527C" w:rsidR="006F49DC" w:rsidRPr="007505F5" w:rsidRDefault="006F49DC" w:rsidP="001619E9">
      <w:pPr>
        <w:pStyle w:val="FootnoteText"/>
        <w:rPr>
          <w:lang w:val="mi-NZ"/>
        </w:rPr>
      </w:pPr>
    </w:p>
  </w:footnote>
  <w:footnote w:id="17">
    <w:p w14:paraId="065FAF41" w14:textId="70066729" w:rsidR="006F49DC" w:rsidRPr="007C2C1F" w:rsidRDefault="006F49DC" w:rsidP="00BE24C6">
      <w:pPr>
        <w:pStyle w:val="FootnoteText"/>
        <w:rPr>
          <w:lang w:val="mi-N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mi-NZ"/>
        </w:rPr>
        <w:t xml:space="preserve">For a detailed overview of this </w:t>
      </w:r>
      <w:r>
        <w:t xml:space="preserve">30-year period, please see pp.32-39 </w:t>
      </w:r>
      <w:r w:rsidR="00192996">
        <w:t xml:space="preserve">of </w:t>
      </w:r>
      <w:hyperlink r:id="rId17" w:history="1">
        <w:r w:rsidR="00192996" w:rsidRPr="00C836C8">
          <w:rPr>
            <w:rStyle w:val="Hyperlink"/>
          </w:rPr>
          <w:t>Māori-led Inquiry into Oranga Tamariki</w:t>
        </w:r>
      </w:hyperlink>
      <w:r w:rsidR="00192996">
        <w:t xml:space="preserve"> report.</w:t>
      </w:r>
    </w:p>
  </w:footnote>
  <w:footnote w:id="18">
    <w:p w14:paraId="0DBF0B34" w14:textId="047D5F7D" w:rsidR="004F7D70" w:rsidRPr="004F7D70" w:rsidRDefault="004F7D70">
      <w:pPr>
        <w:pStyle w:val="FootnoteText"/>
        <w:rPr>
          <w:lang w:val="mi-NZ"/>
        </w:rPr>
      </w:pPr>
      <w:r>
        <w:rPr>
          <w:rStyle w:val="FootnoteReference"/>
        </w:rPr>
        <w:footnoteRef/>
      </w:r>
      <w:r>
        <w:t xml:space="preserve"> </w:t>
      </w:r>
      <w:r w:rsidR="000F2A3B">
        <w:rPr>
          <w:lang w:val="mi-NZ"/>
        </w:rPr>
        <w:t xml:space="preserve">For further information on the steps Oranga Tamariki </w:t>
      </w:r>
      <w:r w:rsidR="006645C9">
        <w:rPr>
          <w:lang w:val="mi-NZ"/>
        </w:rPr>
        <w:t>is</w:t>
      </w:r>
      <w:r w:rsidR="000F2A3B">
        <w:rPr>
          <w:lang w:val="mi-NZ"/>
        </w:rPr>
        <w:t xml:space="preserve"> taking, please</w:t>
      </w:r>
      <w:r w:rsidR="006645C9">
        <w:rPr>
          <w:lang w:val="mi-NZ"/>
        </w:rPr>
        <w:t xml:space="preserve"> see</w:t>
      </w:r>
      <w:r w:rsidR="000F2A3B">
        <w:rPr>
          <w:lang w:val="mi-NZ"/>
        </w:rPr>
        <w:t xml:space="preserve"> </w:t>
      </w:r>
      <w:hyperlink r:id="rId18" w:history="1">
        <w:r w:rsidR="004F5095" w:rsidRPr="004F5095">
          <w:rPr>
            <w:rStyle w:val="Hyperlink"/>
          </w:rPr>
          <w:t>Improving outcomes for tamariki Māori, their whānau, hapū and iwi: Section 7AA report</w:t>
        </w:r>
      </w:hyperlink>
      <w:r w:rsidR="004F5095">
        <w:t>.</w:t>
      </w:r>
      <w:r w:rsidR="000F2A3B">
        <w:rPr>
          <w:lang w:val="mi-NZ"/>
        </w:rPr>
        <w:t xml:space="preserve"> </w:t>
      </w:r>
      <w:r>
        <w:rPr>
          <w:lang w:val="mi-NZ"/>
        </w:rPr>
        <w:t xml:space="preserve"> </w:t>
      </w:r>
    </w:p>
  </w:footnote>
  <w:footnote w:id="19">
    <w:p w14:paraId="1F56D53B" w14:textId="372C3390" w:rsidR="006F49DC" w:rsidRPr="00CA6DE2" w:rsidRDefault="006F49DC">
      <w:pPr>
        <w:pStyle w:val="FootnoteText"/>
        <w:rPr>
          <w:lang w:val="mi-NZ"/>
        </w:rPr>
      </w:pPr>
      <w:r>
        <w:rPr>
          <w:rStyle w:val="FootnoteReference"/>
        </w:rPr>
        <w:footnoteRef/>
      </w:r>
      <w:r>
        <w:t xml:space="preserve"> </w:t>
      </w:r>
      <w:r w:rsidRPr="00EC2630">
        <w:rPr>
          <w:rFonts w:ascii="Calibri" w:hAnsi="Calibri"/>
          <w:shd w:val="clear" w:color="auto" w:fill="FFFFFF"/>
        </w:rPr>
        <w:t>Boulton, A., Cvitanovic, L, Wikaira, M. and Williams Blyth,T.</w:t>
      </w:r>
      <w:r w:rsidR="00192996">
        <w:rPr>
          <w:rFonts w:ascii="Calibri" w:hAnsi="Calibri"/>
          <w:shd w:val="clear" w:color="auto" w:fill="FFFFFF"/>
        </w:rPr>
        <w:t xml:space="preserve"> (2020)</w:t>
      </w:r>
      <w:r w:rsidRPr="00EC2630">
        <w:rPr>
          <w:rFonts w:ascii="Calibri" w:hAnsi="Calibri"/>
          <w:shd w:val="clear" w:color="auto" w:fill="FFFFFF"/>
        </w:rPr>
        <w:t xml:space="preserve"> </w:t>
      </w:r>
      <w:hyperlink r:id="rId19" w:history="1">
        <w:r w:rsidRPr="00EC2630">
          <w:rPr>
            <w:rStyle w:val="Hyperlink"/>
            <w:rFonts w:ascii="Calibri" w:hAnsi="Calibri"/>
            <w:shd w:val="clear" w:color="auto" w:fill="FFFFFF"/>
          </w:rPr>
          <w:t>Te Taniwha I Te Ao Ture-ā-Whānau, Whānau Experience of Care and Protection in the Family Court</w:t>
        </w:r>
      </w:hyperlink>
      <w:r w:rsidR="00192996">
        <w:rPr>
          <w:rFonts w:ascii="Calibri" w:hAnsi="Calibri"/>
          <w:shd w:val="clear" w:color="auto" w:fill="FFFFFF"/>
        </w:rPr>
        <w:t>.</w:t>
      </w:r>
    </w:p>
  </w:footnote>
  <w:footnote w:id="20">
    <w:p w14:paraId="552A854C" w14:textId="0C58400E" w:rsidR="006F49DC" w:rsidRPr="00521965" w:rsidRDefault="006F49DC">
      <w:pPr>
        <w:pStyle w:val="FootnoteText"/>
        <w:rPr>
          <w:lang w:val="mi-NZ"/>
        </w:rPr>
      </w:pPr>
      <w:r>
        <w:rPr>
          <w:rStyle w:val="FootnoteReference"/>
        </w:rPr>
        <w:footnoteRef/>
      </w:r>
      <w:r>
        <w:t xml:space="preserve"> See </w:t>
      </w:r>
      <w:hyperlink r:id="rId20" w:history="1">
        <w:r>
          <w:rPr>
            <w:rStyle w:val="Hyperlink"/>
          </w:rPr>
          <w:t>Children's care or protection: Calls for radical changes to be made to Family Court - NZ Herald</w:t>
        </w:r>
      </w:hyperlink>
    </w:p>
  </w:footnote>
  <w:footnote w:id="21">
    <w:p w14:paraId="64C68938" w14:textId="5003F491" w:rsidR="006F49DC" w:rsidRPr="00EC2630" w:rsidRDefault="006F49DC" w:rsidP="001619E9">
      <w:pPr>
        <w:pStyle w:val="FootnoteText"/>
        <w:rPr>
          <w:lang w:val="mi-NZ"/>
        </w:rPr>
      </w:pPr>
      <w:r w:rsidRPr="00EC2630">
        <w:rPr>
          <w:rStyle w:val="FootnoteReference"/>
        </w:rPr>
        <w:footnoteRef/>
      </w:r>
      <w:r w:rsidRPr="00EC2630">
        <w:t xml:space="preserve"> </w:t>
      </w:r>
      <w:r w:rsidR="006645C9">
        <w:rPr>
          <w:lang w:val="mi-NZ"/>
        </w:rPr>
        <w:t xml:space="preserve">Otene, S. </w:t>
      </w:r>
      <w:r w:rsidR="006645C9" w:rsidRPr="00DD3020">
        <w:t>Te Hurihanga Tuarua? Examining amendments to the Oranga Tamariki Act 1989 that took effect on 1 July 2019</w:t>
      </w:r>
      <w:r w:rsidR="006645C9">
        <w:t>. (2019) 9 NZFLJ 139.</w:t>
      </w:r>
    </w:p>
  </w:footnote>
  <w:footnote w:id="22">
    <w:p w14:paraId="2F8B274D" w14:textId="77777777" w:rsidR="006F49DC" w:rsidRPr="00EC2630" w:rsidRDefault="006F49DC" w:rsidP="001619E9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="Helvetica"/>
          <w:b w:val="0"/>
          <w:bCs w:val="0"/>
          <w:color w:val="333333"/>
          <w:sz w:val="20"/>
          <w:szCs w:val="20"/>
        </w:rPr>
      </w:pPr>
      <w:r w:rsidRPr="00EC2630">
        <w:rPr>
          <w:rStyle w:val="FootnoteReference"/>
          <w:rFonts w:asciiTheme="minorHAnsi" w:hAnsiTheme="minorHAnsi"/>
          <w:b w:val="0"/>
          <w:bCs w:val="0"/>
          <w:sz w:val="20"/>
          <w:szCs w:val="20"/>
        </w:rPr>
        <w:footnoteRef/>
      </w:r>
      <w:r w:rsidRPr="00EC2630">
        <w:rPr>
          <w:rFonts w:asciiTheme="minorHAnsi" w:hAnsiTheme="minorHAnsi"/>
          <w:b w:val="0"/>
          <w:bCs w:val="0"/>
          <w:sz w:val="20"/>
          <w:szCs w:val="20"/>
        </w:rPr>
        <w:t xml:space="preserve"> </w:t>
      </w:r>
      <w:r w:rsidRPr="00EC2630">
        <w:rPr>
          <w:rFonts w:asciiTheme="minorHAnsi" w:hAnsiTheme="minorHAnsi"/>
          <w:b w:val="0"/>
          <w:bCs w:val="0"/>
          <w:sz w:val="20"/>
          <w:szCs w:val="20"/>
          <w:lang w:val="mi-NZ"/>
        </w:rPr>
        <w:t xml:space="preserve">For example, Australia’s Aboriginal Child Placement Principle and Canada’s </w:t>
      </w:r>
      <w:r w:rsidRPr="00EC2630">
        <w:rPr>
          <w:rFonts w:asciiTheme="minorHAnsi" w:hAnsiTheme="minorHAnsi" w:cs="Helvetica"/>
          <w:b w:val="0"/>
          <w:bCs w:val="0"/>
          <w:sz w:val="20"/>
          <w:szCs w:val="20"/>
        </w:rPr>
        <w:t>Act respecting First Nations, Inuit and Métis children, youth and families.</w:t>
      </w:r>
    </w:p>
  </w:footnote>
  <w:footnote w:id="23">
    <w:p w14:paraId="36F81F14" w14:textId="0A331CEB" w:rsidR="006F49DC" w:rsidRPr="00EC2630" w:rsidRDefault="006F49DC" w:rsidP="001619E9">
      <w:pPr>
        <w:pStyle w:val="FootnoteText"/>
        <w:rPr>
          <w:lang w:val="mi-NZ"/>
        </w:rPr>
      </w:pPr>
      <w:r w:rsidRPr="00EC2630">
        <w:rPr>
          <w:rStyle w:val="FootnoteReference"/>
        </w:rPr>
        <w:footnoteRef/>
      </w:r>
      <w:r w:rsidRPr="00EC2630">
        <w:t xml:space="preserve"> A recent study of Māori whānau experience of care and protection proceedings in the Family Court called for </w:t>
      </w:r>
      <w:r w:rsidRPr="00EC2630">
        <w:rPr>
          <w:rFonts w:cstheme="minorHAnsi"/>
          <w:shd w:val="clear" w:color="auto" w:fill="FFFFFF"/>
        </w:rPr>
        <w:t xml:space="preserve">the establishment of a Board, equally representative of Māori and non-Māori, to facilitate non-urgent care and protection proceedings. </w:t>
      </w:r>
      <w:r w:rsidRPr="00EC2630">
        <w:rPr>
          <w:lang w:val="mi-NZ"/>
        </w:rPr>
        <w:t xml:space="preserve">See </w:t>
      </w:r>
      <w:r w:rsidRPr="00EC2630">
        <w:rPr>
          <w:rFonts w:ascii="Calibri" w:hAnsi="Calibri"/>
          <w:shd w:val="clear" w:color="auto" w:fill="FFFFFF"/>
        </w:rPr>
        <w:t>Boulton, A., Cvitanovic, L, Wikaira, M. and Williams Blyth,T</w:t>
      </w:r>
      <w:r w:rsidR="006645C9">
        <w:rPr>
          <w:rFonts w:ascii="Calibri" w:hAnsi="Calibri"/>
          <w:shd w:val="clear" w:color="auto" w:fill="FFFFFF"/>
        </w:rPr>
        <w:t>. (2020).</w:t>
      </w:r>
      <w:r w:rsidRPr="00EC2630">
        <w:rPr>
          <w:rFonts w:ascii="Calibri" w:hAnsi="Calibri"/>
          <w:shd w:val="clear" w:color="auto" w:fill="FFFFFF"/>
        </w:rPr>
        <w:t xml:space="preserve"> </w:t>
      </w:r>
      <w:hyperlink r:id="rId21" w:history="1">
        <w:r w:rsidRPr="00EC2630">
          <w:rPr>
            <w:rStyle w:val="Hyperlink"/>
            <w:rFonts w:ascii="Calibri" w:hAnsi="Calibri"/>
            <w:shd w:val="clear" w:color="auto" w:fill="FFFFFF"/>
          </w:rPr>
          <w:t>Te Taniwha I Te Ao Ture-ā-Whānau, Whānau Experience of Care and Protection in the Family Court</w:t>
        </w:r>
      </w:hyperlink>
      <w:r w:rsidRPr="00EC2630">
        <w:rPr>
          <w:rFonts w:ascii="Calibri" w:hAnsi="Calibri"/>
          <w:shd w:val="clear" w:color="auto" w:fill="FFFFFF"/>
        </w:rPr>
        <w:t>.</w:t>
      </w:r>
    </w:p>
  </w:footnote>
  <w:footnote w:id="24">
    <w:p w14:paraId="67CD0540" w14:textId="77777777" w:rsidR="006F49DC" w:rsidRPr="00053A8C" w:rsidRDefault="006F49DC" w:rsidP="001619E9">
      <w:pPr>
        <w:pStyle w:val="FootnoteText"/>
        <w:rPr>
          <w:lang w:val="mi-NZ"/>
        </w:rPr>
      </w:pPr>
      <w:r w:rsidRPr="00EC2630">
        <w:rPr>
          <w:rStyle w:val="FootnoteReference"/>
        </w:rPr>
        <w:footnoteRef/>
      </w:r>
      <w:r w:rsidRPr="00EC2630">
        <w:t xml:space="preserve"> </w:t>
      </w:r>
      <w:r w:rsidRPr="00EC2630">
        <w:rPr>
          <w:lang w:val="mi-NZ"/>
        </w:rPr>
        <w:t xml:space="preserve">See </w:t>
      </w:r>
      <w:hyperlink r:id="rId22" w:history="1">
        <w:r w:rsidRPr="00EC2630">
          <w:rPr>
            <w:rStyle w:val="Hyperlink"/>
            <w:lang w:val="mi-NZ"/>
          </w:rPr>
          <w:t>https://www.stats.govt.nz/news/latest-release-of-child-poverty-statistics</w:t>
        </w:r>
      </w:hyperlink>
      <w:r w:rsidRPr="00EC2630">
        <w:rPr>
          <w:lang w:val="mi-NZ"/>
        </w:rPr>
        <w:t>. Please note these statistics are pre-COVID.</w:t>
      </w:r>
    </w:p>
  </w:footnote>
  <w:footnote w:id="25">
    <w:p w14:paraId="00946532" w14:textId="1151FF6E" w:rsidR="006F49DC" w:rsidRPr="00775B18" w:rsidRDefault="006F49DC">
      <w:pPr>
        <w:pStyle w:val="FootnoteText"/>
        <w:rPr>
          <w:lang w:val="mi-NZ"/>
        </w:rPr>
      </w:pPr>
      <w:r>
        <w:rPr>
          <w:rStyle w:val="FootnoteReference"/>
        </w:rPr>
        <w:footnoteRef/>
      </w:r>
      <w:r>
        <w:t xml:space="preserve"> </w:t>
      </w:r>
      <w:r w:rsidR="002938E5">
        <w:t xml:space="preserve">Ministry of Health. (2019). </w:t>
      </w:r>
      <w:hyperlink r:id="rId23" w:history="1">
        <w:r w:rsidR="002938E5" w:rsidRPr="00273B94">
          <w:rPr>
            <w:rStyle w:val="Hyperlink"/>
          </w:rPr>
          <w:t>Household Food Insecurity among Children: New Zealand Health Survey</w:t>
        </w:r>
      </w:hyperlink>
      <w:r w:rsidR="002938E5">
        <w:t>.</w:t>
      </w:r>
    </w:p>
  </w:footnote>
  <w:footnote w:id="26">
    <w:p w14:paraId="3F4F50ED" w14:textId="3A5522CE" w:rsidR="006F49DC" w:rsidRPr="00273B94" w:rsidRDefault="006F49DC" w:rsidP="001619E9">
      <w:pPr>
        <w:pStyle w:val="FootnoteText"/>
        <w:rPr>
          <w:lang w:val="mi-NZ"/>
        </w:rPr>
      </w:pPr>
      <w:r>
        <w:rPr>
          <w:rStyle w:val="FootnoteReference"/>
        </w:rPr>
        <w:footnoteRef/>
      </w:r>
      <w:r>
        <w:t xml:space="preserve"> </w:t>
      </w:r>
      <w:r w:rsidR="00F818AE">
        <w:t>See the</w:t>
      </w:r>
      <w:r w:rsidR="00CB4583">
        <w:t xml:space="preserve"> ‘Key Indicators’ section in the</w:t>
      </w:r>
      <w:r w:rsidR="00F818AE">
        <w:t xml:space="preserve"> </w:t>
      </w:r>
      <w:hyperlink r:id="rId24" w:anchor="!/home" w:history="1">
        <w:r w:rsidR="00F818AE" w:rsidRPr="00CB4583">
          <w:rPr>
            <w:rStyle w:val="Hyperlink"/>
          </w:rPr>
          <w:t>New Zealand Health Survey Annual Data Explorer</w:t>
        </w:r>
      </w:hyperlink>
      <w:r w:rsidR="00F818AE">
        <w:t xml:space="preserve">. </w:t>
      </w:r>
    </w:p>
  </w:footnote>
  <w:footnote w:id="27">
    <w:p w14:paraId="785A6951" w14:textId="3597A506" w:rsidR="006F49DC" w:rsidRPr="00525E1B" w:rsidRDefault="006F49DC" w:rsidP="006E3682">
      <w:pPr>
        <w:pStyle w:val="FootnoteText"/>
        <w:rPr>
          <w:lang w:val="mi-NZ"/>
        </w:rPr>
      </w:pPr>
      <w:r>
        <w:rPr>
          <w:rStyle w:val="FootnoteReference"/>
        </w:rPr>
        <w:footnoteRef/>
      </w:r>
      <w:r>
        <w:t xml:space="preserve"> </w:t>
      </w:r>
      <w:r w:rsidR="00426DA2">
        <w:t xml:space="preserve">Oranga Tamariki. (2020). </w:t>
      </w:r>
      <w:hyperlink r:id="rId25" w:history="1">
        <w:r w:rsidR="00426DA2" w:rsidRPr="00411391">
          <w:rPr>
            <w:rStyle w:val="Hyperlink"/>
          </w:rPr>
          <w:t>Factors Associated with Disparities Experienced by Tamariki Māori in the Care And Protection System</w:t>
        </w:r>
      </w:hyperlink>
      <w:r w:rsidR="00426DA2">
        <w:t>.</w:t>
      </w:r>
    </w:p>
  </w:footnote>
  <w:footnote w:id="28">
    <w:p w14:paraId="3F8734C6" w14:textId="03D88EBA" w:rsidR="006F49DC" w:rsidRPr="00217CB3" w:rsidRDefault="006F49DC" w:rsidP="006E3682">
      <w:pPr>
        <w:pStyle w:val="FootnoteText"/>
        <w:rPr>
          <w:lang w:val="mi-N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mi-NZ"/>
        </w:rPr>
        <w:t xml:space="preserve">See </w:t>
      </w:r>
      <w:hyperlink r:id="rId26" w:history="1">
        <w:r>
          <w:rPr>
            <w:rStyle w:val="Hyperlink"/>
          </w:rPr>
          <w:t>New research: Ethnic disparities in Child Protection NZ - Centre for Social Data Analytics - AUT</w:t>
        </w:r>
      </w:hyperlink>
      <w:r>
        <w:t>.</w:t>
      </w:r>
    </w:p>
  </w:footnote>
  <w:footnote w:id="29">
    <w:p w14:paraId="60E0646B" w14:textId="3C17480E" w:rsidR="006F49DC" w:rsidRPr="00A615CA" w:rsidRDefault="006F49DC" w:rsidP="001619E9">
      <w:pPr>
        <w:pStyle w:val="FootnoteText"/>
        <w:rPr>
          <w:lang w:val="mi-N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mi-NZ"/>
        </w:rPr>
        <w:t>Cure Kids</w:t>
      </w:r>
      <w:r w:rsidR="00EC47FC">
        <w:rPr>
          <w:lang w:val="mi-NZ"/>
        </w:rPr>
        <w:t xml:space="preserve">. (2020). </w:t>
      </w:r>
      <w:hyperlink r:id="rId27" w:history="1">
        <w:r w:rsidR="00EC47FC" w:rsidRPr="00C11DB0">
          <w:rPr>
            <w:rStyle w:val="Hyperlink"/>
            <w:lang w:val="mi-NZ"/>
          </w:rPr>
          <w:t>State of Chil</w:t>
        </w:r>
        <w:r w:rsidR="00C11DB0" w:rsidRPr="00C11DB0">
          <w:rPr>
            <w:rStyle w:val="Hyperlink"/>
            <w:lang w:val="mi-NZ"/>
          </w:rPr>
          <w:t>d</w:t>
        </w:r>
        <w:r w:rsidR="00EC47FC" w:rsidRPr="00C11DB0">
          <w:rPr>
            <w:rStyle w:val="Hyperlink"/>
            <w:lang w:val="mi-NZ"/>
          </w:rPr>
          <w:t xml:space="preserve"> Health </w:t>
        </w:r>
        <w:r w:rsidR="00C11DB0" w:rsidRPr="00C11DB0">
          <w:rPr>
            <w:rStyle w:val="Hyperlink"/>
            <w:lang w:val="mi-NZ"/>
          </w:rPr>
          <w:t>in Aotearoa New Zealand</w:t>
        </w:r>
      </w:hyperlink>
      <w:r w:rsidR="00EC47FC">
        <w:rPr>
          <w:lang w:val="mi-NZ"/>
        </w:rPr>
        <w:t>.</w:t>
      </w:r>
    </w:p>
  </w:footnote>
  <w:footnote w:id="30">
    <w:p w14:paraId="1B795249" w14:textId="3D761A5F" w:rsidR="006F49DC" w:rsidRPr="008D35BB" w:rsidRDefault="006F49DC" w:rsidP="001619E9">
      <w:pPr>
        <w:pStyle w:val="FootnoteText"/>
        <w:rPr>
          <w:lang w:val="mi-NZ"/>
        </w:rPr>
      </w:pPr>
      <w:r>
        <w:rPr>
          <w:rStyle w:val="FootnoteReference"/>
        </w:rPr>
        <w:footnoteRef/>
      </w:r>
      <w:r>
        <w:t xml:space="preserve"> </w:t>
      </w:r>
      <w:r w:rsidR="009907F7">
        <w:t xml:space="preserve">Royal Australasian College of Physicians. (2020). </w:t>
      </w:r>
      <w:hyperlink r:id="rId28" w:history="1">
        <w:r w:rsidR="009907F7" w:rsidRPr="002F2FA3">
          <w:rPr>
            <w:rStyle w:val="Hyperlink"/>
          </w:rPr>
          <w:t xml:space="preserve">Indigenous Child Health </w:t>
        </w:r>
        <w:r w:rsidR="002F2FA3" w:rsidRPr="002F2FA3">
          <w:rPr>
            <w:rStyle w:val="Hyperlink"/>
          </w:rPr>
          <w:t>in Australia and Aotearoa New Zealand</w:t>
        </w:r>
      </w:hyperlink>
      <w:r w:rsidR="002F2FA3">
        <w:t>.</w:t>
      </w:r>
      <w:r w:rsidR="009907F7">
        <w:t xml:space="preserve"> </w:t>
      </w:r>
      <w:r w:rsidR="009907F7">
        <w:rPr>
          <w:lang w:val="mi-NZ"/>
        </w:rPr>
        <w:t>For more information, please see</w:t>
      </w:r>
      <w:r>
        <w:rPr>
          <w:lang w:val="mi-NZ"/>
        </w:rPr>
        <w:t xml:space="preserve"> tables on pp.13-15</w:t>
      </w:r>
      <w:r w:rsidR="009907F7">
        <w:rPr>
          <w:lang w:val="mi-NZ"/>
        </w:rPr>
        <w:t xml:space="preserve"> of this report.</w:t>
      </w:r>
    </w:p>
  </w:footnote>
  <w:footnote w:id="31">
    <w:p w14:paraId="72A14080" w14:textId="40E72F6C" w:rsidR="006F49DC" w:rsidRPr="00EA0820" w:rsidRDefault="006F49DC">
      <w:pPr>
        <w:pStyle w:val="FootnoteText"/>
        <w:rPr>
          <w:lang w:val="mi-NZ"/>
        </w:rPr>
      </w:pPr>
      <w:r>
        <w:rPr>
          <w:rStyle w:val="FootnoteReference"/>
        </w:rPr>
        <w:footnoteRef/>
      </w:r>
      <w:r>
        <w:t xml:space="preserve"> </w:t>
      </w:r>
      <w:r w:rsidR="002F2FA3">
        <w:t xml:space="preserve">Royal Australasian College of Physicians. (2020). </w:t>
      </w:r>
      <w:hyperlink r:id="rId29" w:history="1">
        <w:r w:rsidR="002F2FA3" w:rsidRPr="002F2FA3">
          <w:rPr>
            <w:rStyle w:val="Hyperlink"/>
          </w:rPr>
          <w:t>Indigenous Child Health in Australia and Aotearoa New Zealand</w:t>
        </w:r>
      </w:hyperlink>
      <w:r w:rsidR="002F2FA3">
        <w:t>.</w:t>
      </w:r>
    </w:p>
  </w:footnote>
  <w:footnote w:id="32">
    <w:p w14:paraId="34C84F8B" w14:textId="25452BED" w:rsidR="006F49DC" w:rsidRPr="00EA0820" w:rsidRDefault="006F49DC">
      <w:pPr>
        <w:pStyle w:val="FootnoteText"/>
        <w:rPr>
          <w:lang w:val="mi-NZ"/>
        </w:rPr>
      </w:pPr>
      <w:r>
        <w:rPr>
          <w:rStyle w:val="FootnoteReference"/>
        </w:rPr>
        <w:footnoteRef/>
      </w:r>
      <w:r>
        <w:t xml:space="preserve"> </w:t>
      </w:r>
      <w:r w:rsidR="008A727D" w:rsidRPr="008A727D">
        <w:t>Mills, C</w:t>
      </w:r>
      <w:r w:rsidR="008A727D">
        <w:t xml:space="preserve">., </w:t>
      </w:r>
      <w:r w:rsidR="008A727D" w:rsidRPr="008A727D">
        <w:t>Reid, P</w:t>
      </w:r>
      <w:r w:rsidR="008A727D">
        <w:t>.</w:t>
      </w:r>
      <w:r w:rsidR="008A727D" w:rsidRPr="008A727D">
        <w:t xml:space="preserve"> &amp; Vaithianathan, R. (2012). </w:t>
      </w:r>
      <w:hyperlink r:id="rId30" w:history="1">
        <w:r w:rsidR="008A727D" w:rsidRPr="009C6F69">
          <w:rPr>
            <w:rStyle w:val="Hyperlink"/>
          </w:rPr>
          <w:t>The cost of child health inequalities in Aotearoa New Zealand: A preliminary scoping study</w:t>
        </w:r>
      </w:hyperlink>
      <w:r w:rsidR="008A727D" w:rsidRPr="008A727D">
        <w:t>.</w:t>
      </w:r>
    </w:p>
  </w:footnote>
  <w:footnote w:id="33">
    <w:p w14:paraId="18568633" w14:textId="223811B7" w:rsidR="006F49DC" w:rsidRPr="001D2139" w:rsidRDefault="006F49DC" w:rsidP="001619E9">
      <w:pPr>
        <w:pStyle w:val="FootnoteText"/>
        <w:rPr>
          <w:lang w:val="mi-NZ"/>
        </w:rPr>
      </w:pPr>
      <w:r>
        <w:rPr>
          <w:rStyle w:val="FootnoteReference"/>
        </w:rPr>
        <w:footnoteRef/>
      </w:r>
      <w:r>
        <w:t xml:space="preserve"> Child and Youth Mortality Review Committee</w:t>
      </w:r>
      <w:r w:rsidR="00613273">
        <w:t>. (</w:t>
      </w:r>
      <w:r>
        <w:t>2019</w:t>
      </w:r>
      <w:r w:rsidR="00613273">
        <w:t>)</w:t>
      </w:r>
      <w:r>
        <w:t xml:space="preserve">. </w:t>
      </w:r>
      <w:hyperlink r:id="rId31" w:history="1">
        <w:r w:rsidRPr="003E2D4B">
          <w:rPr>
            <w:rStyle w:val="Hyperlink"/>
          </w:rPr>
          <w:t>14th data report 2013-17</w:t>
        </w:r>
      </w:hyperlink>
      <w:r>
        <w:t>.</w:t>
      </w:r>
    </w:p>
  </w:footnote>
  <w:footnote w:id="34">
    <w:p w14:paraId="4A671789" w14:textId="1892894F" w:rsidR="006F49DC" w:rsidRPr="008C2DC9" w:rsidRDefault="006F49DC" w:rsidP="001619E9">
      <w:pPr>
        <w:pStyle w:val="FootnoteText"/>
        <w:rPr>
          <w:lang w:val="mi-NZ"/>
        </w:rPr>
      </w:pPr>
      <w:r>
        <w:rPr>
          <w:rStyle w:val="FootnoteReference"/>
        </w:rPr>
        <w:footnoteRef/>
      </w:r>
      <w:r>
        <w:t xml:space="preserve"> </w:t>
      </w:r>
      <w:r w:rsidR="009C6F69">
        <w:t>See</w:t>
      </w:r>
      <w:r w:rsidR="00C71E21">
        <w:t xml:space="preserve"> </w:t>
      </w:r>
      <w:hyperlink r:id="rId32" w:history="1">
        <w:r w:rsidR="00C71E21" w:rsidRPr="00C71E21">
          <w:rPr>
            <w:rStyle w:val="Hyperlink"/>
            <w:shd w:val="clear" w:color="auto" w:fill="FFFFFF"/>
          </w:rPr>
          <w:t>End of Mission Statement</w:t>
        </w:r>
        <w:r w:rsidR="00C41583">
          <w:rPr>
            <w:rStyle w:val="Hyperlink"/>
            <w:shd w:val="clear" w:color="auto" w:fill="FFFFFF"/>
          </w:rPr>
          <w:t>:</w:t>
        </w:r>
        <w:r w:rsidR="00C71E21" w:rsidRPr="00C71E21">
          <w:rPr>
            <w:rStyle w:val="Hyperlink"/>
          </w:rPr>
          <w:t xml:space="preserve"> </w:t>
        </w:r>
        <w:r w:rsidR="00C71E21" w:rsidRPr="00C71E21">
          <w:rPr>
            <w:rStyle w:val="Hyperlink"/>
            <w:shd w:val="clear" w:color="auto" w:fill="FFFFFF"/>
          </w:rPr>
          <w:t>Visit of the Special Rapporteur on the right to adequate housing to New Zealand</w:t>
        </w:r>
      </w:hyperlink>
      <w:r w:rsidR="00C71E21">
        <w:rPr>
          <w:color w:val="000000"/>
          <w:shd w:val="clear" w:color="auto" w:fill="FFFFFF"/>
        </w:rPr>
        <w:t>.</w:t>
      </w:r>
      <w:r w:rsidR="009C6F69" w:rsidRPr="00C71E21">
        <w:t xml:space="preserve"> </w:t>
      </w:r>
    </w:p>
  </w:footnote>
  <w:footnote w:id="35">
    <w:p w14:paraId="2D96BE84" w14:textId="6BEA20C4" w:rsidR="006F49DC" w:rsidRPr="00CB4F6D" w:rsidRDefault="006F49DC">
      <w:pPr>
        <w:pStyle w:val="FootnoteText"/>
        <w:rPr>
          <w:lang w:val="mi-NZ"/>
        </w:rPr>
      </w:pPr>
      <w:r>
        <w:rPr>
          <w:rStyle w:val="FootnoteReference"/>
        </w:rPr>
        <w:footnoteRef/>
      </w:r>
      <w:r>
        <w:t xml:space="preserve"> </w:t>
      </w:r>
      <w:r w:rsidR="00826F5F">
        <w:t>Ibid</w:t>
      </w:r>
      <w:r w:rsidR="00C41583">
        <w:rPr>
          <w:color w:val="000000"/>
          <w:shd w:val="clear" w:color="auto" w:fill="FFFFFF"/>
        </w:rPr>
        <w:t>.</w:t>
      </w:r>
    </w:p>
  </w:footnote>
  <w:footnote w:id="36">
    <w:p w14:paraId="6FFEC7C5" w14:textId="2B87402D" w:rsidR="006F49DC" w:rsidRPr="008C2DC9" w:rsidRDefault="006F49DC" w:rsidP="001619E9">
      <w:pPr>
        <w:pStyle w:val="FootnoteText"/>
        <w:rPr>
          <w:lang w:val="mi-NZ"/>
        </w:rPr>
      </w:pPr>
      <w:r>
        <w:rPr>
          <w:rStyle w:val="FootnoteReference"/>
        </w:rPr>
        <w:footnoteRef/>
      </w:r>
      <w:r>
        <w:t xml:space="preserve"> </w:t>
      </w:r>
      <w:r w:rsidR="00826F5F">
        <w:t>Ibid</w:t>
      </w:r>
      <w:r w:rsidR="00C41583">
        <w:rPr>
          <w:color w:val="000000"/>
          <w:shd w:val="clear" w:color="auto" w:fill="FFFFFF"/>
        </w:rPr>
        <w:t>.</w:t>
      </w:r>
    </w:p>
  </w:footnote>
  <w:footnote w:id="37">
    <w:p w14:paraId="1C42CB14" w14:textId="6604ABA1" w:rsidR="006F49DC" w:rsidRPr="00855ECB" w:rsidRDefault="006F49DC" w:rsidP="001619E9">
      <w:pPr>
        <w:pStyle w:val="FootnoteText"/>
        <w:rPr>
          <w:lang w:val="mi-NZ"/>
        </w:rPr>
      </w:pPr>
      <w:r>
        <w:rPr>
          <w:rStyle w:val="FootnoteReference"/>
        </w:rPr>
        <w:footnoteRef/>
      </w:r>
      <w:r>
        <w:t xml:space="preserve"> </w:t>
      </w:r>
      <w:r w:rsidR="00826F5F">
        <w:t>Ibid</w:t>
      </w:r>
      <w:r w:rsidR="00C41583">
        <w:rPr>
          <w:color w:val="000000"/>
          <w:shd w:val="clear" w:color="auto" w:fill="FFFFFF"/>
        </w:rPr>
        <w:t>.</w:t>
      </w:r>
    </w:p>
  </w:footnote>
  <w:footnote w:id="38">
    <w:p w14:paraId="1D908DFE" w14:textId="634D5083" w:rsidR="006F49DC" w:rsidRPr="000805FD" w:rsidRDefault="006F49DC">
      <w:pPr>
        <w:pStyle w:val="FootnoteText"/>
        <w:rPr>
          <w:lang w:val="mi-NZ"/>
        </w:rPr>
      </w:pPr>
      <w:r>
        <w:rPr>
          <w:rStyle w:val="FootnoteReference"/>
        </w:rPr>
        <w:footnoteRef/>
      </w:r>
      <w:r>
        <w:t xml:space="preserve"> </w:t>
      </w:r>
      <w:r w:rsidR="006527FE">
        <w:t xml:space="preserve">Royal Australasian College of Physicians. (2020). </w:t>
      </w:r>
      <w:hyperlink r:id="rId33" w:history="1">
        <w:r w:rsidR="006527FE" w:rsidRPr="002F2FA3">
          <w:rPr>
            <w:rStyle w:val="Hyperlink"/>
          </w:rPr>
          <w:t>Indigenous Child Health in Australia and Aotearoa New Zealand</w:t>
        </w:r>
      </w:hyperlink>
      <w:r w:rsidR="006527FE">
        <w:t>.</w:t>
      </w:r>
    </w:p>
  </w:footnote>
  <w:footnote w:id="39">
    <w:p w14:paraId="272B719E" w14:textId="471E8151" w:rsidR="006F49DC" w:rsidRPr="000805FD" w:rsidRDefault="006F49DC">
      <w:pPr>
        <w:pStyle w:val="FootnoteText"/>
        <w:rPr>
          <w:lang w:val="mi-NZ"/>
        </w:rPr>
      </w:pPr>
      <w:r>
        <w:rPr>
          <w:rStyle w:val="FootnoteReference"/>
        </w:rPr>
        <w:footnoteRef/>
      </w:r>
      <w:r>
        <w:t xml:space="preserve"> </w:t>
      </w:r>
      <w:r w:rsidR="00080B5F">
        <w:t xml:space="preserve">Ingham, T., Keall, M., Jones, B., et al. (2019). </w:t>
      </w:r>
      <w:hyperlink r:id="rId34" w:history="1">
        <w:r w:rsidR="00080B5F" w:rsidRPr="00826F5F">
          <w:rPr>
            <w:rStyle w:val="Hyperlink"/>
          </w:rPr>
          <w:t>Damp mouldy housing and early childhood hospital admissions for acute respiratory infection: a case control study</w:t>
        </w:r>
      </w:hyperlink>
      <w:r w:rsidR="00080B5F">
        <w:t>.</w:t>
      </w:r>
    </w:p>
  </w:footnote>
  <w:footnote w:id="40">
    <w:p w14:paraId="2F9CD12D" w14:textId="0ECA8AFA" w:rsidR="006F49DC" w:rsidRPr="00875235" w:rsidRDefault="006F49DC" w:rsidP="00E46A2E">
      <w:pPr>
        <w:pStyle w:val="FootnoteText"/>
        <w:rPr>
          <w:lang w:val="mi-NZ"/>
        </w:rPr>
      </w:pPr>
      <w:r>
        <w:rPr>
          <w:rStyle w:val="FootnoteReference"/>
        </w:rPr>
        <w:footnoteRef/>
      </w:r>
      <w:r>
        <w:t xml:space="preserve"> Child and Youth Mortality Review Committee</w:t>
      </w:r>
      <w:r w:rsidR="006527FE">
        <w:t>. (</w:t>
      </w:r>
      <w:r>
        <w:t>2019</w:t>
      </w:r>
      <w:r w:rsidR="006527FE">
        <w:t>)</w:t>
      </w:r>
      <w:r>
        <w:t xml:space="preserve">. </w:t>
      </w:r>
      <w:hyperlink r:id="rId35" w:history="1">
        <w:r w:rsidRPr="003E2D4B">
          <w:rPr>
            <w:rStyle w:val="Hyperlink"/>
          </w:rPr>
          <w:t>14th data report 2013-17</w:t>
        </w:r>
      </w:hyperlink>
      <w:r>
        <w:t>.</w:t>
      </w:r>
    </w:p>
  </w:footnote>
  <w:footnote w:id="41">
    <w:p w14:paraId="2E116FE9" w14:textId="77777777" w:rsidR="006F49DC" w:rsidRPr="00394D0C" w:rsidRDefault="006F49DC" w:rsidP="00E46A2E">
      <w:pPr>
        <w:pStyle w:val="FootnoteText"/>
        <w:rPr>
          <w:lang w:val="mi-NZ"/>
        </w:rPr>
      </w:pPr>
      <w:r>
        <w:rPr>
          <w:rStyle w:val="FootnoteReference"/>
        </w:rPr>
        <w:footnoteRef/>
      </w:r>
      <w:r>
        <w:t xml:space="preserve"> </w:t>
      </w:r>
      <w:r w:rsidRPr="00394D0C">
        <w:t xml:space="preserve">Clark, </w:t>
      </w:r>
      <w:r>
        <w:t xml:space="preserve">T., </w:t>
      </w:r>
      <w:r w:rsidRPr="00394D0C">
        <w:t>Robinson, E</w:t>
      </w:r>
      <w:r>
        <w:t xml:space="preserve">., </w:t>
      </w:r>
      <w:r w:rsidRPr="00394D0C">
        <w:t xml:space="preserve">Crengle, </w:t>
      </w:r>
      <w:r>
        <w:t>S.,</w:t>
      </w:r>
      <w:r w:rsidRPr="00394D0C">
        <w:t xml:space="preserve"> Fleming, T</w:t>
      </w:r>
      <w:r>
        <w:t xml:space="preserve">., </w:t>
      </w:r>
      <w:r w:rsidRPr="00394D0C">
        <w:t>Ameratunga, S</w:t>
      </w:r>
      <w:r>
        <w:t>.,</w:t>
      </w:r>
      <w:r w:rsidRPr="00394D0C">
        <w:t xml:space="preserve"> Denny, </w:t>
      </w:r>
      <w:r>
        <w:t>S.,</w:t>
      </w:r>
      <w:r w:rsidRPr="00394D0C">
        <w:t xml:space="preserve"> Bearinger, L</w:t>
      </w:r>
      <w:r>
        <w:t>.,</w:t>
      </w:r>
      <w:r w:rsidRPr="00394D0C">
        <w:t xml:space="preserve"> Sieving, R</w:t>
      </w:r>
      <w:r>
        <w:t>.</w:t>
      </w:r>
      <w:r w:rsidRPr="00394D0C">
        <w:t xml:space="preserve"> &amp; Saewyc, E. (2011). </w:t>
      </w:r>
      <w:hyperlink r:id="rId36" w:history="1">
        <w:r w:rsidRPr="0055141C">
          <w:rPr>
            <w:rStyle w:val="Hyperlink"/>
          </w:rPr>
          <w:t>Risk and Protective Factors for Suicide Attempt Among Indigenous Māori Youth in New Zealand: The Role of Family Connection</w:t>
        </w:r>
      </w:hyperlink>
      <w:r w:rsidRPr="00394D0C">
        <w:t xml:space="preserve">. </w:t>
      </w:r>
    </w:p>
  </w:footnote>
  <w:footnote w:id="42">
    <w:p w14:paraId="6DFEF8D6" w14:textId="77777777" w:rsidR="006F49DC" w:rsidRPr="00AA1FBF" w:rsidRDefault="006F49DC" w:rsidP="00E46A2E">
      <w:pPr>
        <w:pStyle w:val="FootnoteText"/>
        <w:rPr>
          <w:lang w:val="mi-NZ"/>
        </w:rPr>
      </w:pPr>
      <w:r>
        <w:rPr>
          <w:rStyle w:val="FootnoteReference"/>
        </w:rPr>
        <w:footnoteRef/>
      </w:r>
      <w:r>
        <w:t xml:space="preserve"> </w:t>
      </w:r>
      <w:r w:rsidRPr="00CA14B9">
        <w:t>Williams, A</w:t>
      </w:r>
      <w:r>
        <w:t>.,</w:t>
      </w:r>
      <w:r w:rsidRPr="00CA14B9">
        <w:t xml:space="preserve"> Clark, T</w:t>
      </w:r>
      <w:r>
        <w:t>.</w:t>
      </w:r>
      <w:r w:rsidRPr="00CA14B9">
        <w:t xml:space="preserve"> &amp; Lewycka, S. (2018). </w:t>
      </w:r>
      <w:hyperlink r:id="rId37" w:history="1">
        <w:r w:rsidRPr="007909E2">
          <w:rPr>
            <w:rStyle w:val="Hyperlink"/>
          </w:rPr>
          <w:t>The Associations Between Cultural Identity and Mental Health Outcomes for Indigenous Māori Youth in New Zealand</w:t>
        </w:r>
      </w:hyperlink>
      <w:r>
        <w:t xml:space="preserve">; </w:t>
      </w:r>
      <w:r w:rsidRPr="00394D0C">
        <w:t xml:space="preserve">Clark, </w:t>
      </w:r>
      <w:r>
        <w:t xml:space="preserve">T., </w:t>
      </w:r>
      <w:r w:rsidRPr="00394D0C">
        <w:t>Robinson, E</w:t>
      </w:r>
      <w:r>
        <w:t xml:space="preserve">., </w:t>
      </w:r>
      <w:r w:rsidRPr="00394D0C">
        <w:t xml:space="preserve">Crengle, </w:t>
      </w:r>
      <w:r>
        <w:t>S.,</w:t>
      </w:r>
      <w:r w:rsidRPr="00394D0C">
        <w:t xml:space="preserve"> Fleming, T</w:t>
      </w:r>
      <w:r>
        <w:t xml:space="preserve">., </w:t>
      </w:r>
      <w:r w:rsidRPr="00394D0C">
        <w:t>Ameratunga, S</w:t>
      </w:r>
      <w:r>
        <w:t>.,</w:t>
      </w:r>
      <w:r w:rsidRPr="00394D0C">
        <w:t xml:space="preserve"> Denny, </w:t>
      </w:r>
      <w:r>
        <w:t>S.,</w:t>
      </w:r>
      <w:r w:rsidRPr="00394D0C">
        <w:t xml:space="preserve"> Bearinger, L</w:t>
      </w:r>
      <w:r>
        <w:t>.,</w:t>
      </w:r>
      <w:r w:rsidRPr="00394D0C">
        <w:t xml:space="preserve"> Sieving, R</w:t>
      </w:r>
      <w:r>
        <w:t>.</w:t>
      </w:r>
      <w:r w:rsidRPr="00394D0C">
        <w:t xml:space="preserve"> &amp; Saewyc, E. (2011). </w:t>
      </w:r>
      <w:hyperlink r:id="rId38" w:history="1">
        <w:r w:rsidRPr="0055141C">
          <w:rPr>
            <w:rStyle w:val="Hyperlink"/>
          </w:rPr>
          <w:t>Risk and Protective Factors for Suicide Attempt Among Indigenous Māori Youth in New Zealand: The Role of Family Connection</w:t>
        </w:r>
      </w:hyperlink>
      <w:r>
        <w:t>.</w:t>
      </w:r>
    </w:p>
  </w:footnote>
  <w:footnote w:id="43">
    <w:p w14:paraId="0E5FCE5D" w14:textId="05830C69" w:rsidR="006F49DC" w:rsidRPr="008C5763" w:rsidRDefault="006F49DC">
      <w:pPr>
        <w:pStyle w:val="FootnoteText"/>
        <w:rPr>
          <w:lang w:val="mi-NZ"/>
        </w:rPr>
      </w:pPr>
      <w:r>
        <w:rPr>
          <w:rStyle w:val="FootnoteReference"/>
        </w:rPr>
        <w:footnoteRef/>
      </w:r>
      <w:r>
        <w:t xml:space="preserve"> Health Quality &amp; Safety Commission (2020). </w:t>
      </w:r>
      <w:hyperlink r:id="rId39" w:history="1">
        <w:r w:rsidRPr="00FA4783">
          <w:rPr>
            <w:rStyle w:val="Hyperlink"/>
          </w:rPr>
          <w:t>Te Mauri, The Life Force – Rangatahi Suicide Report</w:t>
        </w:r>
      </w:hyperlink>
      <w:r>
        <w:t xml:space="preserve">.  </w:t>
      </w:r>
    </w:p>
  </w:footnote>
  <w:footnote w:id="44">
    <w:p w14:paraId="688FB2A6" w14:textId="6E102904" w:rsidR="006F49DC" w:rsidRPr="00382BAF" w:rsidRDefault="006F49DC" w:rsidP="001619E9">
      <w:pPr>
        <w:pStyle w:val="FootnoteText"/>
        <w:rPr>
          <w:lang w:val="mi-NZ"/>
        </w:rPr>
      </w:pPr>
      <w:r>
        <w:rPr>
          <w:rStyle w:val="FootnoteReference"/>
        </w:rPr>
        <w:footnoteRef/>
      </w:r>
      <w:r w:rsidR="00A516C3">
        <w:t xml:space="preserve"> Ministry of Justice. (2020). </w:t>
      </w:r>
      <w:hyperlink r:id="rId40" w:history="1">
        <w:r w:rsidR="00A516C3" w:rsidRPr="00A516C3">
          <w:rPr>
            <w:rStyle w:val="Hyperlink"/>
          </w:rPr>
          <w:t>Trends in children and young people in court</w:t>
        </w:r>
      </w:hyperlink>
      <w:r w:rsidR="00A516C3">
        <w:t>.</w:t>
      </w:r>
      <w:r>
        <w:t xml:space="preserve"> </w:t>
      </w:r>
    </w:p>
  </w:footnote>
  <w:footnote w:id="45">
    <w:p w14:paraId="6BC58290" w14:textId="7118AB04" w:rsidR="006F49DC" w:rsidRPr="005F60B9" w:rsidRDefault="006F49DC" w:rsidP="001619E9">
      <w:pPr>
        <w:pStyle w:val="FootnoteText"/>
        <w:rPr>
          <w:lang w:val="mi-NZ"/>
        </w:rPr>
      </w:pPr>
      <w:r>
        <w:rPr>
          <w:rStyle w:val="FootnoteReference"/>
        </w:rPr>
        <w:footnoteRef/>
      </w:r>
      <w:r>
        <w:t xml:space="preserve"> Office of the Prime Minister’s Chief Science Advisor</w:t>
      </w:r>
      <w:r w:rsidR="00A516C3">
        <w:t>. (</w:t>
      </w:r>
      <w:r>
        <w:t>2018</w:t>
      </w:r>
      <w:r w:rsidR="00A516C3">
        <w:t>)</w:t>
      </w:r>
      <w:r>
        <w:t xml:space="preserve">. </w:t>
      </w:r>
      <w:hyperlink r:id="rId41" w:anchor="_blank" w:history="1">
        <w:r w:rsidRPr="004A12B8">
          <w:rPr>
            <w:rStyle w:val="Hyperlink"/>
          </w:rPr>
          <w:t>It’s never too early, never too late: A discussion paper on preventing youth offending in New Zealand</w:t>
        </w:r>
      </w:hyperlink>
      <w:r>
        <w:t>.</w:t>
      </w:r>
    </w:p>
  </w:footnote>
  <w:footnote w:id="46">
    <w:p w14:paraId="132EBC9C" w14:textId="5282BFF7" w:rsidR="006F49DC" w:rsidRPr="006E1147" w:rsidRDefault="006F49DC" w:rsidP="001619E9">
      <w:pPr>
        <w:pStyle w:val="FootnoteText"/>
        <w:rPr>
          <w:lang w:val="mi-NZ"/>
        </w:rPr>
      </w:pPr>
      <w:r>
        <w:rPr>
          <w:rStyle w:val="FootnoteReference"/>
        </w:rPr>
        <w:footnoteRef/>
      </w:r>
      <w:r>
        <w:t xml:space="preserve"> Ministry of Social Development Centre for Social Research and Evaluation</w:t>
      </w:r>
      <w:r w:rsidR="00A516C3">
        <w:t>. (2010).</w:t>
      </w:r>
      <w:r>
        <w:t xml:space="preserve"> </w:t>
      </w:r>
      <w:hyperlink r:id="rId42" w:history="1">
        <w:r w:rsidRPr="00F967F9">
          <w:rPr>
            <w:rStyle w:val="Hyperlink"/>
          </w:rPr>
          <w:t>Crossover between child protection and youth justice, and transition to the adult system</w:t>
        </w:r>
      </w:hyperlink>
      <w:r>
        <w:rPr>
          <w:lang w:val="mi-NZ"/>
        </w:rPr>
        <w:t>.</w:t>
      </w:r>
    </w:p>
  </w:footnote>
  <w:footnote w:id="47">
    <w:p w14:paraId="420A41F4" w14:textId="3CED6E74" w:rsidR="00501932" w:rsidRPr="00501932" w:rsidRDefault="00501932">
      <w:pPr>
        <w:pStyle w:val="FootnoteText"/>
        <w:rPr>
          <w:lang w:val="mi-NZ"/>
        </w:rPr>
      </w:pPr>
      <w:r>
        <w:rPr>
          <w:rStyle w:val="FootnoteReference"/>
        </w:rPr>
        <w:footnoteRef/>
      </w:r>
      <w:r>
        <w:t xml:space="preserve"> </w:t>
      </w:r>
      <w:r w:rsidR="00EB3C3F">
        <w:t xml:space="preserve">For more information on each partnership, please see </w:t>
      </w:r>
      <w:hyperlink r:id="rId43" w:history="1">
        <w:r w:rsidR="00EB3C3F">
          <w:rPr>
            <w:rStyle w:val="Hyperlink"/>
          </w:rPr>
          <w:t>Strategic partnerships with Māori | Oranga Tamariki — Ministry for Children</w:t>
        </w:r>
      </w:hyperlink>
      <w:r w:rsidR="00EB3C3F">
        <w:t>.</w:t>
      </w:r>
    </w:p>
  </w:footnote>
  <w:footnote w:id="48">
    <w:p w14:paraId="59524FFF" w14:textId="4A0ABC19" w:rsidR="00332D1A" w:rsidRPr="00332D1A" w:rsidRDefault="00332D1A">
      <w:pPr>
        <w:pStyle w:val="FootnoteText"/>
        <w:rPr>
          <w:lang w:val="mi-N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mi-NZ"/>
        </w:rPr>
        <w:t xml:space="preserve">For more information, please see </w:t>
      </w:r>
      <w:hyperlink r:id="rId44" w:history="1">
        <w:r w:rsidR="007854C8">
          <w:rPr>
            <w:rStyle w:val="Hyperlink"/>
          </w:rPr>
          <w:t>Specialist Māori roles: Evidence synthesis | Oranga Tamariki — Ministry for Children</w:t>
        </w:r>
      </w:hyperlink>
      <w:r w:rsidR="007854C8">
        <w:t>.</w:t>
      </w:r>
    </w:p>
  </w:footnote>
  <w:footnote w:id="49">
    <w:p w14:paraId="077E2ACC" w14:textId="7647C0E9" w:rsidR="00741D0E" w:rsidRPr="00741D0E" w:rsidRDefault="00741D0E">
      <w:pPr>
        <w:pStyle w:val="FootnoteText"/>
        <w:rPr>
          <w:lang w:val="mi-N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mi-NZ"/>
        </w:rPr>
        <w:t xml:space="preserve">See </w:t>
      </w:r>
      <w:hyperlink r:id="rId45" w:history="1">
        <w:r>
          <w:rPr>
            <w:rStyle w:val="Hyperlink"/>
          </w:rPr>
          <w:t>Report on stage one of health services and outcomes released | Waitangi Tribunal</w:t>
        </w:r>
      </w:hyperlink>
      <w:r>
        <w:t>.</w:t>
      </w:r>
    </w:p>
  </w:footnote>
  <w:footnote w:id="50">
    <w:p w14:paraId="60AE4A2D" w14:textId="6190E2C3" w:rsidR="00303B3E" w:rsidRPr="00303B3E" w:rsidRDefault="00303B3E">
      <w:pPr>
        <w:pStyle w:val="FootnoteText"/>
        <w:rPr>
          <w:lang w:val="mi-NZ"/>
        </w:rPr>
      </w:pPr>
      <w:r>
        <w:rPr>
          <w:rStyle w:val="FootnoteReference"/>
        </w:rPr>
        <w:footnoteRef/>
      </w:r>
      <w:r>
        <w:t xml:space="preserve"> See </w:t>
      </w:r>
      <w:hyperlink r:id="rId46" w:history="1">
        <w:r>
          <w:rPr>
            <w:rStyle w:val="Hyperlink"/>
          </w:rPr>
          <w:t>Independence of Māori Health Authority paramount - Lady Tureiti Moxon | RNZ News</w:t>
        </w:r>
      </w:hyperlink>
    </w:p>
  </w:footnote>
  <w:footnote w:id="51">
    <w:p w14:paraId="62B76317" w14:textId="3506C0AF" w:rsidR="00E56DEA" w:rsidRPr="00E56DEA" w:rsidRDefault="00E56DEA">
      <w:pPr>
        <w:pStyle w:val="FootnoteText"/>
        <w:rPr>
          <w:lang w:val="mi-NZ"/>
        </w:rPr>
      </w:pPr>
      <w:r>
        <w:rPr>
          <w:rStyle w:val="FootnoteReference"/>
        </w:rPr>
        <w:footnoteRef/>
      </w:r>
      <w:r>
        <w:t xml:space="preserve"> </w:t>
      </w:r>
      <w:r w:rsidR="004C4A4B">
        <w:rPr>
          <w:lang w:val="mi-NZ"/>
        </w:rPr>
        <w:t>For more information on Whānau Ora, please see</w:t>
      </w:r>
      <w:r w:rsidR="00F51DFA">
        <w:rPr>
          <w:lang w:val="mi-NZ"/>
        </w:rPr>
        <w:t xml:space="preserve"> </w:t>
      </w:r>
      <w:hyperlink r:id="rId47" w:history="1">
        <w:r w:rsidR="00F51DFA" w:rsidRPr="00F51DFA">
          <w:rPr>
            <w:rStyle w:val="Hyperlink"/>
            <w:lang w:val="mi-NZ"/>
          </w:rPr>
          <w:t>About Whānau Ora</w:t>
        </w:r>
      </w:hyperlink>
      <w:r w:rsidR="00F51DFA">
        <w:rPr>
          <w:lang w:val="mi-NZ"/>
        </w:rPr>
        <w:t>.</w:t>
      </w:r>
    </w:p>
  </w:footnote>
  <w:footnote w:id="52">
    <w:p w14:paraId="15E5F434" w14:textId="6A5E833A" w:rsidR="002746BC" w:rsidRPr="002746BC" w:rsidRDefault="002746BC">
      <w:pPr>
        <w:pStyle w:val="FootnoteText"/>
        <w:rPr>
          <w:lang w:val="mi-NZ"/>
        </w:rPr>
      </w:pPr>
      <w:r>
        <w:rPr>
          <w:rStyle w:val="FootnoteReference"/>
        </w:rPr>
        <w:footnoteRef/>
      </w:r>
      <w:r>
        <w:t xml:space="preserve"> </w:t>
      </w:r>
      <w:r w:rsidR="00480C68">
        <w:rPr>
          <w:lang w:val="mi-NZ"/>
        </w:rPr>
        <w:t>Ministry of Justice</w:t>
      </w:r>
      <w:r w:rsidR="006527FE">
        <w:rPr>
          <w:lang w:val="mi-NZ"/>
        </w:rPr>
        <w:t>.</w:t>
      </w:r>
      <w:r w:rsidR="00480C68">
        <w:rPr>
          <w:lang w:val="mi-NZ"/>
        </w:rPr>
        <w:t xml:space="preserve"> (2021). </w:t>
      </w:r>
      <w:hyperlink r:id="rId48" w:history="1">
        <w:r w:rsidR="00480C68" w:rsidRPr="00803590">
          <w:rPr>
            <w:rStyle w:val="Hyperlink"/>
          </w:rPr>
          <w:t>Evaluation of the Early Outcomes of Ngā Kooti Rangatahi</w:t>
        </w:r>
      </w:hyperlink>
      <w:r w:rsidR="00480C68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DDB57" w14:textId="32EB8F00" w:rsidR="006F49DC" w:rsidRDefault="006F49DC">
    <w:pPr>
      <w:pStyle w:val="Header"/>
      <w:rPr>
        <w:rFonts w:ascii="Gill Sans MT" w:hAnsi="Gill Sans MT"/>
      </w:rPr>
    </w:pPr>
    <w:r>
      <w:rPr>
        <w:noProof/>
        <w:lang w:val="en-GB" w:eastAsia="en-GB"/>
      </w:rPr>
      <w:drawing>
        <wp:inline distT="0" distB="0" distL="0" distR="0" wp14:anchorId="22D35F65" wp14:editId="527378BB">
          <wp:extent cx="2971800" cy="546100"/>
          <wp:effectExtent l="0" t="0" r="0" b="0"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6348" cy="548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D9D083" w14:textId="62468DE2" w:rsidR="00670FCB" w:rsidRDefault="00670FCB">
    <w:pPr>
      <w:pStyle w:val="Header"/>
      <w:rPr>
        <w:rFonts w:ascii="Gill Sans MT" w:hAnsi="Gill Sans MT"/>
      </w:rPr>
    </w:pPr>
  </w:p>
  <w:p w14:paraId="47BE040C" w14:textId="0053E109" w:rsidR="00670FCB" w:rsidRDefault="00670FCB" w:rsidP="00670FCB">
    <w:pPr>
      <w:pStyle w:val="Header"/>
      <w:jc w:val="both"/>
      <w:rPr>
        <w:rFonts w:ascii="Gill Sans MT" w:hAnsi="Gill Sans MT"/>
        <w:b/>
        <w:bCs/>
      </w:rPr>
    </w:pPr>
    <w:r w:rsidRPr="00670FCB">
      <w:rPr>
        <w:rFonts w:ascii="Gill Sans MT" w:hAnsi="Gill Sans MT"/>
        <w:b/>
        <w:bCs/>
      </w:rPr>
      <w:t>AOTEAROA NEW ZEALAND CENTRE FOR INDIGENOUS PEOPLES AND THE LAW</w:t>
    </w:r>
  </w:p>
  <w:p w14:paraId="15160007" w14:textId="77777777" w:rsidR="00B55440" w:rsidRPr="00670FCB" w:rsidRDefault="00B55440" w:rsidP="00670FCB">
    <w:pPr>
      <w:pStyle w:val="Header"/>
      <w:jc w:val="both"/>
      <w:rPr>
        <w:rFonts w:ascii="Gill Sans MT" w:hAnsi="Gill Sans MT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9E4"/>
    <w:multiLevelType w:val="hybridMultilevel"/>
    <w:tmpl w:val="3CA4B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C1768"/>
    <w:multiLevelType w:val="hybridMultilevel"/>
    <w:tmpl w:val="58A648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043D2"/>
    <w:multiLevelType w:val="hybridMultilevel"/>
    <w:tmpl w:val="0C8A7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9210D"/>
    <w:multiLevelType w:val="hybridMultilevel"/>
    <w:tmpl w:val="5406F3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13A51"/>
    <w:multiLevelType w:val="hybridMultilevel"/>
    <w:tmpl w:val="F9B8C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B261D"/>
    <w:multiLevelType w:val="hybridMultilevel"/>
    <w:tmpl w:val="4934CF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46F4F"/>
    <w:multiLevelType w:val="hybridMultilevel"/>
    <w:tmpl w:val="D382D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F337C"/>
    <w:multiLevelType w:val="hybridMultilevel"/>
    <w:tmpl w:val="998AA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E3822"/>
    <w:multiLevelType w:val="hybridMultilevel"/>
    <w:tmpl w:val="71BCAA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F0020"/>
    <w:multiLevelType w:val="hybridMultilevel"/>
    <w:tmpl w:val="FCC6D0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553BA"/>
    <w:multiLevelType w:val="hybridMultilevel"/>
    <w:tmpl w:val="AFE8F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A5231"/>
    <w:multiLevelType w:val="hybridMultilevel"/>
    <w:tmpl w:val="851C13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80A69"/>
    <w:multiLevelType w:val="hybridMultilevel"/>
    <w:tmpl w:val="11E62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E0F18"/>
    <w:multiLevelType w:val="hybridMultilevel"/>
    <w:tmpl w:val="7856D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F498E"/>
    <w:multiLevelType w:val="hybridMultilevel"/>
    <w:tmpl w:val="C4322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87198"/>
    <w:multiLevelType w:val="hybridMultilevel"/>
    <w:tmpl w:val="A8C6214E"/>
    <w:lvl w:ilvl="0" w:tplc="77B491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D2F51"/>
    <w:multiLevelType w:val="hybridMultilevel"/>
    <w:tmpl w:val="E5884F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1630B"/>
    <w:multiLevelType w:val="hybridMultilevel"/>
    <w:tmpl w:val="E4E492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8526F"/>
    <w:multiLevelType w:val="hybridMultilevel"/>
    <w:tmpl w:val="4E9883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E878E2"/>
    <w:multiLevelType w:val="hybridMultilevel"/>
    <w:tmpl w:val="930E0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8"/>
  </w:num>
  <w:num w:numId="4">
    <w:abstractNumId w:val="15"/>
  </w:num>
  <w:num w:numId="5">
    <w:abstractNumId w:val="9"/>
  </w:num>
  <w:num w:numId="6">
    <w:abstractNumId w:val="1"/>
  </w:num>
  <w:num w:numId="7">
    <w:abstractNumId w:val="11"/>
  </w:num>
  <w:num w:numId="8">
    <w:abstractNumId w:val="5"/>
  </w:num>
  <w:num w:numId="9">
    <w:abstractNumId w:val="4"/>
  </w:num>
  <w:num w:numId="10">
    <w:abstractNumId w:val="13"/>
  </w:num>
  <w:num w:numId="11">
    <w:abstractNumId w:val="10"/>
  </w:num>
  <w:num w:numId="12">
    <w:abstractNumId w:val="17"/>
  </w:num>
  <w:num w:numId="13">
    <w:abstractNumId w:val="6"/>
  </w:num>
  <w:num w:numId="14">
    <w:abstractNumId w:val="16"/>
  </w:num>
  <w:num w:numId="15">
    <w:abstractNumId w:val="2"/>
  </w:num>
  <w:num w:numId="16">
    <w:abstractNumId w:val="8"/>
  </w:num>
  <w:num w:numId="17">
    <w:abstractNumId w:val="7"/>
  </w:num>
  <w:num w:numId="18">
    <w:abstractNumId w:val="12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9E9"/>
    <w:rsid w:val="00003996"/>
    <w:rsid w:val="00010A79"/>
    <w:rsid w:val="00016686"/>
    <w:rsid w:val="00027668"/>
    <w:rsid w:val="000319AF"/>
    <w:rsid w:val="000402F3"/>
    <w:rsid w:val="00045268"/>
    <w:rsid w:val="000507B3"/>
    <w:rsid w:val="000604DA"/>
    <w:rsid w:val="000622E1"/>
    <w:rsid w:val="0006643B"/>
    <w:rsid w:val="000805FD"/>
    <w:rsid w:val="00080B5F"/>
    <w:rsid w:val="00096DBB"/>
    <w:rsid w:val="000D54FE"/>
    <w:rsid w:val="000E32D5"/>
    <w:rsid w:val="000E4E03"/>
    <w:rsid w:val="000F2A3B"/>
    <w:rsid w:val="001072F4"/>
    <w:rsid w:val="0011506D"/>
    <w:rsid w:val="00135981"/>
    <w:rsid w:val="00135C8B"/>
    <w:rsid w:val="00137F74"/>
    <w:rsid w:val="0014682B"/>
    <w:rsid w:val="00151FE1"/>
    <w:rsid w:val="001619E9"/>
    <w:rsid w:val="00164339"/>
    <w:rsid w:val="00172C03"/>
    <w:rsid w:val="00172CFF"/>
    <w:rsid w:val="00174162"/>
    <w:rsid w:val="001815C0"/>
    <w:rsid w:val="001831D6"/>
    <w:rsid w:val="00192996"/>
    <w:rsid w:val="00192CBA"/>
    <w:rsid w:val="00195C83"/>
    <w:rsid w:val="00196756"/>
    <w:rsid w:val="001A0681"/>
    <w:rsid w:val="001A09A2"/>
    <w:rsid w:val="001A3C07"/>
    <w:rsid w:val="001B5983"/>
    <w:rsid w:val="001C3BF0"/>
    <w:rsid w:val="001C6722"/>
    <w:rsid w:val="001E1910"/>
    <w:rsid w:val="001E4CC8"/>
    <w:rsid w:val="001E6B4C"/>
    <w:rsid w:val="001E6B8C"/>
    <w:rsid w:val="00210679"/>
    <w:rsid w:val="00211A49"/>
    <w:rsid w:val="0022143A"/>
    <w:rsid w:val="00234A90"/>
    <w:rsid w:val="00245462"/>
    <w:rsid w:val="00250C7B"/>
    <w:rsid w:val="00252113"/>
    <w:rsid w:val="00273B94"/>
    <w:rsid w:val="002746BC"/>
    <w:rsid w:val="00280749"/>
    <w:rsid w:val="00286329"/>
    <w:rsid w:val="002938E5"/>
    <w:rsid w:val="0029476E"/>
    <w:rsid w:val="002B3FE1"/>
    <w:rsid w:val="002D48A9"/>
    <w:rsid w:val="002E5213"/>
    <w:rsid w:val="002E6816"/>
    <w:rsid w:val="002F2D76"/>
    <w:rsid w:val="002F2FA3"/>
    <w:rsid w:val="00300B30"/>
    <w:rsid w:val="00303B3E"/>
    <w:rsid w:val="00304966"/>
    <w:rsid w:val="003138B4"/>
    <w:rsid w:val="003145B6"/>
    <w:rsid w:val="00314938"/>
    <w:rsid w:val="0032351E"/>
    <w:rsid w:val="003270BE"/>
    <w:rsid w:val="00332D1A"/>
    <w:rsid w:val="00333622"/>
    <w:rsid w:val="00341712"/>
    <w:rsid w:val="00342A4C"/>
    <w:rsid w:val="00345D78"/>
    <w:rsid w:val="00347409"/>
    <w:rsid w:val="00353037"/>
    <w:rsid w:val="0035767E"/>
    <w:rsid w:val="00366FA2"/>
    <w:rsid w:val="00372EB6"/>
    <w:rsid w:val="003748FF"/>
    <w:rsid w:val="00377F79"/>
    <w:rsid w:val="00381B88"/>
    <w:rsid w:val="003825DA"/>
    <w:rsid w:val="00383596"/>
    <w:rsid w:val="00392833"/>
    <w:rsid w:val="003A0A96"/>
    <w:rsid w:val="003B1E0C"/>
    <w:rsid w:val="003B1E71"/>
    <w:rsid w:val="003B2AA8"/>
    <w:rsid w:val="003C2DC1"/>
    <w:rsid w:val="003C637C"/>
    <w:rsid w:val="003C7C27"/>
    <w:rsid w:val="003D224A"/>
    <w:rsid w:val="003D2C8B"/>
    <w:rsid w:val="003D31AC"/>
    <w:rsid w:val="003D3D85"/>
    <w:rsid w:val="003D6D02"/>
    <w:rsid w:val="003E1A84"/>
    <w:rsid w:val="003E74E4"/>
    <w:rsid w:val="003F0188"/>
    <w:rsid w:val="003F575A"/>
    <w:rsid w:val="00401410"/>
    <w:rsid w:val="00405D2D"/>
    <w:rsid w:val="0040707E"/>
    <w:rsid w:val="00407B4F"/>
    <w:rsid w:val="00411391"/>
    <w:rsid w:val="00417C8B"/>
    <w:rsid w:val="00426DA2"/>
    <w:rsid w:val="00442F6B"/>
    <w:rsid w:val="004462CE"/>
    <w:rsid w:val="00446DEC"/>
    <w:rsid w:val="004545AE"/>
    <w:rsid w:val="004554C3"/>
    <w:rsid w:val="0047191B"/>
    <w:rsid w:val="004767AA"/>
    <w:rsid w:val="00480122"/>
    <w:rsid w:val="00480C68"/>
    <w:rsid w:val="00480D6D"/>
    <w:rsid w:val="00494909"/>
    <w:rsid w:val="004A3984"/>
    <w:rsid w:val="004B25FF"/>
    <w:rsid w:val="004B6BA8"/>
    <w:rsid w:val="004C0692"/>
    <w:rsid w:val="004C2E9D"/>
    <w:rsid w:val="004C458A"/>
    <w:rsid w:val="004C4A4B"/>
    <w:rsid w:val="004C4FFE"/>
    <w:rsid w:val="004D1CC7"/>
    <w:rsid w:val="004D24B3"/>
    <w:rsid w:val="004D460E"/>
    <w:rsid w:val="004D4C32"/>
    <w:rsid w:val="004D5C9A"/>
    <w:rsid w:val="004D706A"/>
    <w:rsid w:val="004E25B6"/>
    <w:rsid w:val="004F3582"/>
    <w:rsid w:val="004F5095"/>
    <w:rsid w:val="004F7D70"/>
    <w:rsid w:val="00501932"/>
    <w:rsid w:val="00502651"/>
    <w:rsid w:val="00510FDF"/>
    <w:rsid w:val="0051591A"/>
    <w:rsid w:val="0052132B"/>
    <w:rsid w:val="00521965"/>
    <w:rsid w:val="00525E1E"/>
    <w:rsid w:val="0053212E"/>
    <w:rsid w:val="005337BF"/>
    <w:rsid w:val="0054790A"/>
    <w:rsid w:val="005513A0"/>
    <w:rsid w:val="00563B10"/>
    <w:rsid w:val="00565719"/>
    <w:rsid w:val="00565C58"/>
    <w:rsid w:val="005671CA"/>
    <w:rsid w:val="00571793"/>
    <w:rsid w:val="00573022"/>
    <w:rsid w:val="00580000"/>
    <w:rsid w:val="005849D7"/>
    <w:rsid w:val="00587314"/>
    <w:rsid w:val="005973F8"/>
    <w:rsid w:val="005B54A9"/>
    <w:rsid w:val="005B65C1"/>
    <w:rsid w:val="005C387A"/>
    <w:rsid w:val="005D0B3C"/>
    <w:rsid w:val="005E6CE5"/>
    <w:rsid w:val="005F14A8"/>
    <w:rsid w:val="005F3067"/>
    <w:rsid w:val="00602374"/>
    <w:rsid w:val="00613273"/>
    <w:rsid w:val="006249A5"/>
    <w:rsid w:val="00632532"/>
    <w:rsid w:val="0063572A"/>
    <w:rsid w:val="00636D31"/>
    <w:rsid w:val="006405F5"/>
    <w:rsid w:val="00647E47"/>
    <w:rsid w:val="00651351"/>
    <w:rsid w:val="00651687"/>
    <w:rsid w:val="006527FE"/>
    <w:rsid w:val="00663A69"/>
    <w:rsid w:val="006645C9"/>
    <w:rsid w:val="00670FCB"/>
    <w:rsid w:val="00674F69"/>
    <w:rsid w:val="00675CAF"/>
    <w:rsid w:val="0067609C"/>
    <w:rsid w:val="00682F3F"/>
    <w:rsid w:val="00692F70"/>
    <w:rsid w:val="006A1297"/>
    <w:rsid w:val="006A36F8"/>
    <w:rsid w:val="006B0173"/>
    <w:rsid w:val="006B2AC6"/>
    <w:rsid w:val="006C3A0E"/>
    <w:rsid w:val="006C7521"/>
    <w:rsid w:val="006D2DFD"/>
    <w:rsid w:val="006D3D4E"/>
    <w:rsid w:val="006D789D"/>
    <w:rsid w:val="006E3316"/>
    <w:rsid w:val="006E3682"/>
    <w:rsid w:val="006E3A83"/>
    <w:rsid w:val="006E6CC1"/>
    <w:rsid w:val="006F3F0B"/>
    <w:rsid w:val="006F49DC"/>
    <w:rsid w:val="006F7E13"/>
    <w:rsid w:val="00701B68"/>
    <w:rsid w:val="00705695"/>
    <w:rsid w:val="007213D0"/>
    <w:rsid w:val="00732CD3"/>
    <w:rsid w:val="00733A8E"/>
    <w:rsid w:val="00741D0E"/>
    <w:rsid w:val="00746476"/>
    <w:rsid w:val="007574A2"/>
    <w:rsid w:val="00775B18"/>
    <w:rsid w:val="007760FC"/>
    <w:rsid w:val="00784AB6"/>
    <w:rsid w:val="007854C8"/>
    <w:rsid w:val="0078758C"/>
    <w:rsid w:val="007875FC"/>
    <w:rsid w:val="007B09F4"/>
    <w:rsid w:val="007C4BC0"/>
    <w:rsid w:val="007D147E"/>
    <w:rsid w:val="007D2343"/>
    <w:rsid w:val="007D5067"/>
    <w:rsid w:val="007E6381"/>
    <w:rsid w:val="007F3203"/>
    <w:rsid w:val="00803590"/>
    <w:rsid w:val="00813539"/>
    <w:rsid w:val="0082015F"/>
    <w:rsid w:val="00824006"/>
    <w:rsid w:val="0082615F"/>
    <w:rsid w:val="00826F5F"/>
    <w:rsid w:val="008337A7"/>
    <w:rsid w:val="00833B76"/>
    <w:rsid w:val="00846048"/>
    <w:rsid w:val="00854B23"/>
    <w:rsid w:val="00864D1C"/>
    <w:rsid w:val="0086744F"/>
    <w:rsid w:val="00867AFC"/>
    <w:rsid w:val="00872E89"/>
    <w:rsid w:val="0087641A"/>
    <w:rsid w:val="00876A5F"/>
    <w:rsid w:val="00876BF9"/>
    <w:rsid w:val="00884A0B"/>
    <w:rsid w:val="00896091"/>
    <w:rsid w:val="008A5D2D"/>
    <w:rsid w:val="008A5E4A"/>
    <w:rsid w:val="008A727D"/>
    <w:rsid w:val="008B03AC"/>
    <w:rsid w:val="008B73C5"/>
    <w:rsid w:val="008C46CA"/>
    <w:rsid w:val="008C5763"/>
    <w:rsid w:val="008C6C2B"/>
    <w:rsid w:val="008D0857"/>
    <w:rsid w:val="008E1112"/>
    <w:rsid w:val="008E6A62"/>
    <w:rsid w:val="008F5785"/>
    <w:rsid w:val="008F5853"/>
    <w:rsid w:val="0090093F"/>
    <w:rsid w:val="00900A23"/>
    <w:rsid w:val="00913213"/>
    <w:rsid w:val="009136A1"/>
    <w:rsid w:val="00935499"/>
    <w:rsid w:val="00943C50"/>
    <w:rsid w:val="0094558A"/>
    <w:rsid w:val="009479C8"/>
    <w:rsid w:val="009630C2"/>
    <w:rsid w:val="009700C8"/>
    <w:rsid w:val="009836AD"/>
    <w:rsid w:val="009854DA"/>
    <w:rsid w:val="00985BEC"/>
    <w:rsid w:val="009907F7"/>
    <w:rsid w:val="00992664"/>
    <w:rsid w:val="00992A1D"/>
    <w:rsid w:val="00995FB6"/>
    <w:rsid w:val="009A0A30"/>
    <w:rsid w:val="009A5DE4"/>
    <w:rsid w:val="009B7CEA"/>
    <w:rsid w:val="009C459A"/>
    <w:rsid w:val="009C6F69"/>
    <w:rsid w:val="009C7F94"/>
    <w:rsid w:val="009D59C4"/>
    <w:rsid w:val="009D5B7D"/>
    <w:rsid w:val="009E2904"/>
    <w:rsid w:val="009E4BF3"/>
    <w:rsid w:val="00A01D57"/>
    <w:rsid w:val="00A04BBA"/>
    <w:rsid w:val="00A07173"/>
    <w:rsid w:val="00A207A2"/>
    <w:rsid w:val="00A22803"/>
    <w:rsid w:val="00A24D08"/>
    <w:rsid w:val="00A516C3"/>
    <w:rsid w:val="00A52B22"/>
    <w:rsid w:val="00A575E5"/>
    <w:rsid w:val="00A62261"/>
    <w:rsid w:val="00A66F4A"/>
    <w:rsid w:val="00A9439A"/>
    <w:rsid w:val="00A95E29"/>
    <w:rsid w:val="00AA20B9"/>
    <w:rsid w:val="00AA314C"/>
    <w:rsid w:val="00AA40D1"/>
    <w:rsid w:val="00AA5856"/>
    <w:rsid w:val="00AA6866"/>
    <w:rsid w:val="00AB2941"/>
    <w:rsid w:val="00AB3278"/>
    <w:rsid w:val="00AC4E3B"/>
    <w:rsid w:val="00AE05CF"/>
    <w:rsid w:val="00AE105F"/>
    <w:rsid w:val="00AF1848"/>
    <w:rsid w:val="00AF780B"/>
    <w:rsid w:val="00B00351"/>
    <w:rsid w:val="00B3418F"/>
    <w:rsid w:val="00B46FB0"/>
    <w:rsid w:val="00B55440"/>
    <w:rsid w:val="00B720CF"/>
    <w:rsid w:val="00B766CA"/>
    <w:rsid w:val="00B83701"/>
    <w:rsid w:val="00B83EAE"/>
    <w:rsid w:val="00B903D1"/>
    <w:rsid w:val="00B95697"/>
    <w:rsid w:val="00BB47D4"/>
    <w:rsid w:val="00BC2268"/>
    <w:rsid w:val="00BC3831"/>
    <w:rsid w:val="00BC6FFC"/>
    <w:rsid w:val="00BD2C09"/>
    <w:rsid w:val="00BE24C6"/>
    <w:rsid w:val="00BE25AD"/>
    <w:rsid w:val="00BF61E1"/>
    <w:rsid w:val="00C01655"/>
    <w:rsid w:val="00C1176F"/>
    <w:rsid w:val="00C11DB0"/>
    <w:rsid w:val="00C15ABF"/>
    <w:rsid w:val="00C16AC7"/>
    <w:rsid w:val="00C234ED"/>
    <w:rsid w:val="00C26936"/>
    <w:rsid w:val="00C36339"/>
    <w:rsid w:val="00C41583"/>
    <w:rsid w:val="00C60590"/>
    <w:rsid w:val="00C64C3E"/>
    <w:rsid w:val="00C66E1B"/>
    <w:rsid w:val="00C71E21"/>
    <w:rsid w:val="00C836C8"/>
    <w:rsid w:val="00C84E4C"/>
    <w:rsid w:val="00C9309A"/>
    <w:rsid w:val="00C950F9"/>
    <w:rsid w:val="00CA55DA"/>
    <w:rsid w:val="00CA6DE2"/>
    <w:rsid w:val="00CB4583"/>
    <w:rsid w:val="00CB4F6D"/>
    <w:rsid w:val="00CB52BF"/>
    <w:rsid w:val="00CC3BEC"/>
    <w:rsid w:val="00CC65B1"/>
    <w:rsid w:val="00CD5468"/>
    <w:rsid w:val="00CD562E"/>
    <w:rsid w:val="00CD701F"/>
    <w:rsid w:val="00CF48A0"/>
    <w:rsid w:val="00CF4D3B"/>
    <w:rsid w:val="00CF5EB4"/>
    <w:rsid w:val="00CF653B"/>
    <w:rsid w:val="00CF6E8B"/>
    <w:rsid w:val="00D00577"/>
    <w:rsid w:val="00D0142A"/>
    <w:rsid w:val="00D029FD"/>
    <w:rsid w:val="00D02D2A"/>
    <w:rsid w:val="00D10B21"/>
    <w:rsid w:val="00D149A0"/>
    <w:rsid w:val="00D17581"/>
    <w:rsid w:val="00D26F86"/>
    <w:rsid w:val="00D2775B"/>
    <w:rsid w:val="00D30DD0"/>
    <w:rsid w:val="00D348E8"/>
    <w:rsid w:val="00D43793"/>
    <w:rsid w:val="00D51A20"/>
    <w:rsid w:val="00D53D06"/>
    <w:rsid w:val="00D60F0E"/>
    <w:rsid w:val="00D70091"/>
    <w:rsid w:val="00D74464"/>
    <w:rsid w:val="00D7518E"/>
    <w:rsid w:val="00D92F6B"/>
    <w:rsid w:val="00D936F3"/>
    <w:rsid w:val="00D95253"/>
    <w:rsid w:val="00DA55B9"/>
    <w:rsid w:val="00DA716D"/>
    <w:rsid w:val="00DB22C7"/>
    <w:rsid w:val="00DB3CB3"/>
    <w:rsid w:val="00DB695D"/>
    <w:rsid w:val="00DD0535"/>
    <w:rsid w:val="00DD0689"/>
    <w:rsid w:val="00DD220B"/>
    <w:rsid w:val="00DD3020"/>
    <w:rsid w:val="00DD7FF9"/>
    <w:rsid w:val="00DE777E"/>
    <w:rsid w:val="00E11E12"/>
    <w:rsid w:val="00E144F5"/>
    <w:rsid w:val="00E14EAD"/>
    <w:rsid w:val="00E307CD"/>
    <w:rsid w:val="00E343DD"/>
    <w:rsid w:val="00E41950"/>
    <w:rsid w:val="00E4245A"/>
    <w:rsid w:val="00E46A2E"/>
    <w:rsid w:val="00E53BD2"/>
    <w:rsid w:val="00E56A02"/>
    <w:rsid w:val="00E56DEA"/>
    <w:rsid w:val="00E56E89"/>
    <w:rsid w:val="00E63B95"/>
    <w:rsid w:val="00E701D0"/>
    <w:rsid w:val="00E70FA3"/>
    <w:rsid w:val="00E74C50"/>
    <w:rsid w:val="00E821F7"/>
    <w:rsid w:val="00E95B19"/>
    <w:rsid w:val="00EA0820"/>
    <w:rsid w:val="00EA77EA"/>
    <w:rsid w:val="00EB3C3F"/>
    <w:rsid w:val="00EC2630"/>
    <w:rsid w:val="00EC47FC"/>
    <w:rsid w:val="00ED20E6"/>
    <w:rsid w:val="00ED7005"/>
    <w:rsid w:val="00ED7657"/>
    <w:rsid w:val="00EE104C"/>
    <w:rsid w:val="00EF0906"/>
    <w:rsid w:val="00EF22EE"/>
    <w:rsid w:val="00EF346F"/>
    <w:rsid w:val="00EF66BC"/>
    <w:rsid w:val="00F05035"/>
    <w:rsid w:val="00F10A7D"/>
    <w:rsid w:val="00F10B8A"/>
    <w:rsid w:val="00F20464"/>
    <w:rsid w:val="00F20E71"/>
    <w:rsid w:val="00F36948"/>
    <w:rsid w:val="00F379F8"/>
    <w:rsid w:val="00F434C1"/>
    <w:rsid w:val="00F44DB4"/>
    <w:rsid w:val="00F5000A"/>
    <w:rsid w:val="00F51DFA"/>
    <w:rsid w:val="00F564B4"/>
    <w:rsid w:val="00F63352"/>
    <w:rsid w:val="00F71FA4"/>
    <w:rsid w:val="00F749AB"/>
    <w:rsid w:val="00F74D7A"/>
    <w:rsid w:val="00F757A8"/>
    <w:rsid w:val="00F75AEE"/>
    <w:rsid w:val="00F818AE"/>
    <w:rsid w:val="00F82A2F"/>
    <w:rsid w:val="00F855AC"/>
    <w:rsid w:val="00F9079D"/>
    <w:rsid w:val="00FA2114"/>
    <w:rsid w:val="00FA33A5"/>
    <w:rsid w:val="00FA4783"/>
    <w:rsid w:val="00FA63B2"/>
    <w:rsid w:val="00FB2979"/>
    <w:rsid w:val="00FB58FE"/>
    <w:rsid w:val="00FC093B"/>
    <w:rsid w:val="00FE1E1F"/>
    <w:rsid w:val="00FE5B15"/>
    <w:rsid w:val="00FE7CE3"/>
    <w:rsid w:val="00FF1412"/>
    <w:rsid w:val="00FF3EFA"/>
    <w:rsid w:val="00FF54F5"/>
    <w:rsid w:val="00FF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EDE8E5"/>
  <w15:chartTrackingRefBased/>
  <w15:docId w15:val="{005F091B-6E3F-4865-B982-19BF457F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9E9"/>
  </w:style>
  <w:style w:type="paragraph" w:styleId="Heading2">
    <w:name w:val="heading 2"/>
    <w:basedOn w:val="Normal"/>
    <w:link w:val="Heading2Char"/>
    <w:uiPriority w:val="9"/>
    <w:qFormat/>
    <w:rsid w:val="001619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19E9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ListParagraph">
    <w:name w:val="List Paragraph"/>
    <w:basedOn w:val="Normal"/>
    <w:uiPriority w:val="34"/>
    <w:qFormat/>
    <w:rsid w:val="001619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19E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19E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1619E9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19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19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19E9"/>
    <w:rPr>
      <w:vertAlign w:val="superscript"/>
    </w:rPr>
  </w:style>
  <w:style w:type="paragraph" w:customStyle="1" w:styleId="Corpo">
    <w:name w:val="Corpo"/>
    <w:rsid w:val="001619E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b-NO" w:eastAsia="nb-NO"/>
    </w:rPr>
  </w:style>
  <w:style w:type="paragraph" w:customStyle="1" w:styleId="Default">
    <w:name w:val="Default"/>
    <w:rsid w:val="001619E9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619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19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19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9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9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9E9"/>
    <w:rPr>
      <w:rFonts w:ascii="Segoe UI" w:hAnsi="Segoe UI" w:cs="Segoe UI"/>
      <w:sz w:val="18"/>
      <w:szCs w:val="18"/>
    </w:rPr>
  </w:style>
  <w:style w:type="paragraph" w:customStyle="1" w:styleId="Normal1">
    <w:name w:val="Normal1"/>
    <w:qFormat/>
    <w:rsid w:val="001619E9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NormalWeb">
    <w:name w:val="Normal (Web)"/>
    <w:basedOn w:val="Normal"/>
    <w:uiPriority w:val="99"/>
    <w:semiHidden/>
    <w:unhideWhenUsed/>
    <w:rsid w:val="0016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647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E47"/>
  </w:style>
  <w:style w:type="paragraph" w:styleId="Footer">
    <w:name w:val="footer"/>
    <w:basedOn w:val="Normal"/>
    <w:link w:val="FooterChar"/>
    <w:uiPriority w:val="99"/>
    <w:unhideWhenUsed/>
    <w:rsid w:val="00647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buseincare.org.nz/reports/" TargetMode="External"/><Relationship Id="rId18" Type="http://schemas.openxmlformats.org/officeDocument/2006/relationships/hyperlink" Target="file:///C:/Users/ccha206/Google%20Drive/Indigenous%20and%20the%20law%20centre/EM%20Children%20study%20submission%20Mar2021/S7AA-Improving-outcomes-for-tamariki-Maori.pdf%20(orangatamariki.govt.nz)" TargetMode="External"/><Relationship Id="rId26" Type="http://schemas.openxmlformats.org/officeDocument/2006/relationships/hyperlink" Target="https://csda.aut.ac.nz/news-and-events/2019/new-research-ethnic-disparities-in-child-protection-nz" TargetMode="External"/><Relationship Id="rId39" Type="http://schemas.openxmlformats.org/officeDocument/2006/relationships/hyperlink" Target="file:///C:/Users/ccha206/Google%20Drive/Indigenous%20and%20the%20law%20centre/EM%20Children%20study%20submission%20Mar2021/TeMauriTheLifeForce_final.pdf%20(hqsc.govt.nz)" TargetMode="External"/><Relationship Id="rId21" Type="http://schemas.openxmlformats.org/officeDocument/2006/relationships/hyperlink" Target="https://www.whakauae.co.nz/blog-item/104/" TargetMode="External"/><Relationship Id="rId34" Type="http://schemas.openxmlformats.org/officeDocument/2006/relationships/hyperlink" Target="https://thorax.bmj.com/content/74/9/849" TargetMode="External"/><Relationship Id="rId42" Type="http://schemas.openxmlformats.org/officeDocument/2006/relationships/hyperlink" Target="https://fyi.org.nz/request/9568/response/32305/attach/html/2/R%20Crossover%20between%20child%20protection%20and%20youth%20justice%20and%20transition%20t....pdf.html" TargetMode="External"/><Relationship Id="rId47" Type="http://schemas.openxmlformats.org/officeDocument/2006/relationships/hyperlink" Target="file:///C:/Users/ccha206/Google%20Drive/Indigenous%20and%20the%20law%20centre/EM%20Children%20study%20submission%20Mar2021/About%20Wha&#772;nau%20Ora%20(tpk.govt.nz)" TargetMode="External"/><Relationship Id="rId7" Type="http://schemas.openxmlformats.org/officeDocument/2006/relationships/hyperlink" Target="https://whanauora.nz/assets/6f126cc001/ORANGA-TAMARIKI-REVIEW-REPORT.pdf" TargetMode="External"/><Relationship Id="rId2" Type="http://schemas.openxmlformats.org/officeDocument/2006/relationships/hyperlink" Target="https://core.ac.uk/reader/85165388" TargetMode="External"/><Relationship Id="rId16" Type="http://schemas.openxmlformats.org/officeDocument/2006/relationships/hyperlink" Target="http://www.maramatanga.ac.nz/te-arotahi-06" TargetMode="External"/><Relationship Id="rId29" Type="http://schemas.openxmlformats.org/officeDocument/2006/relationships/hyperlink" Target="https://www.racp.edu.au/docs/default-source/advocacy-library/indigenous-ch-statement-on-ich.pdf?sfvrsn=450ef91a_7" TargetMode="External"/><Relationship Id="rId1" Type="http://schemas.openxmlformats.org/officeDocument/2006/relationships/hyperlink" Target="http://www.journal.mai.ac.nz/sites/default/files/MAIJrnl_7_2_King_FINAL.pdf" TargetMode="External"/><Relationship Id="rId6" Type="http://schemas.openxmlformats.org/officeDocument/2006/relationships/hyperlink" Target="https://www.orangatamariki.govt.nz/assets/Uploads/About-us/News/2019/Practice-Review/Hawkes-Bay-Practice-Review.pdf" TargetMode="External"/><Relationship Id="rId11" Type="http://schemas.openxmlformats.org/officeDocument/2006/relationships/hyperlink" Target="https://www.stuff.co.nz/national/300231507/oranga-tamariki-beyond-repair-and-needs-careful-replacement-waitangi-tribunal-told" TargetMode="External"/><Relationship Id="rId24" Type="http://schemas.openxmlformats.org/officeDocument/2006/relationships/hyperlink" Target="https://minhealthnz.shinyapps.io/nz-health-survey-2018-19-annual-data-explorer/_w_f1f0c9a6/" TargetMode="External"/><Relationship Id="rId32" Type="http://schemas.openxmlformats.org/officeDocument/2006/relationships/hyperlink" Target="https://www.ohchr.org/EN/NewsEvents/Pages/DisplayNews.aspx?NewsID=25574&amp;LangID=E" TargetMode="External"/><Relationship Id="rId37" Type="http://schemas.openxmlformats.org/officeDocument/2006/relationships/hyperlink" Target="https://www.researchgate.net/publication/328915710_The_Associations_Between_Cultural_Identity_and_Mental_Health_Outcomes_for_Indigenous_Maori_Youth_in_New_Zealand" TargetMode="External"/><Relationship Id="rId40" Type="http://schemas.openxmlformats.org/officeDocument/2006/relationships/hyperlink" Target="https://www.justice.govt.nz/assets/Documents/Publications/yhcm65-Children-and-young-people-infographic-jun2020-v1.0.pdf" TargetMode="External"/><Relationship Id="rId45" Type="http://schemas.openxmlformats.org/officeDocument/2006/relationships/hyperlink" Target="https://waitangitribunal.govt.nz/news/report-on-stage-one-of-health-services-and-outcomes-released/" TargetMode="External"/><Relationship Id="rId5" Type="http://schemas.openxmlformats.org/officeDocument/2006/relationships/hyperlink" Target="https://www.occ.org.nz/assets/Uploads/20200116-OCC-Infographic2.pdf" TargetMode="External"/><Relationship Id="rId15" Type="http://schemas.openxmlformats.org/officeDocument/2006/relationships/hyperlink" Target="https://www.msd.govt.nz/documents/about-msd-and-our-work/publications-resources/archive/1988-puaoteatatu.pdf" TargetMode="External"/><Relationship Id="rId23" Type="http://schemas.openxmlformats.org/officeDocument/2006/relationships/hyperlink" Target="https://www.health.govt.nz/publication/household-food-insecurity-among-children-new-zealand-health-survey" TargetMode="External"/><Relationship Id="rId28" Type="http://schemas.openxmlformats.org/officeDocument/2006/relationships/hyperlink" Target="https://www.racp.edu.au/docs/default-source/advocacy-library/indigenous-ch-statement-on-ich.pdf?sfvrsn=450ef91a_7" TargetMode="External"/><Relationship Id="rId36" Type="http://schemas.openxmlformats.org/officeDocument/2006/relationships/hyperlink" Target="https://www.researchgate.net/publication/225574559_Risk_and_Protective_Factors_for_Suicide_Attempt_Among_Indigenous_Maori_Youth_in_New_Zealand_The_Role_of_Family_Connection" TargetMode="External"/><Relationship Id="rId10" Type="http://schemas.openxmlformats.org/officeDocument/2006/relationships/hyperlink" Target="https://whanauora.nz/assets/3896cf4580/WHANAU-VOICES-REPORT.pdf" TargetMode="External"/><Relationship Id="rId19" Type="http://schemas.openxmlformats.org/officeDocument/2006/relationships/hyperlink" Target="https://www.whakauae.co.nz/blog-item/104/" TargetMode="External"/><Relationship Id="rId31" Type="http://schemas.openxmlformats.org/officeDocument/2006/relationships/hyperlink" Target="https://www.hqsc.govt.nz/assets/CYMRC/Publications/CYMRC-14th-data-report-2013-17-final-June2019.pdf" TargetMode="External"/><Relationship Id="rId44" Type="http://schemas.openxmlformats.org/officeDocument/2006/relationships/hyperlink" Target="https://www.orangatamariki.govt.nz/about-us/research/our-research/specialist-maori-roles-evidence-synthesis/" TargetMode="External"/><Relationship Id="rId4" Type="http://schemas.openxmlformats.org/officeDocument/2006/relationships/hyperlink" Target="https://www.stats.govt.nz/information-releases/maori-population-estimates-at-30-june-2020" TargetMode="External"/><Relationship Id="rId9" Type="http://schemas.openxmlformats.org/officeDocument/2006/relationships/hyperlink" Target="https://www.ombudsman.parliament.nz/news/newborn-removal-without-notice-more-routine-exception-chief-ombudsman" TargetMode="External"/><Relationship Id="rId14" Type="http://schemas.openxmlformats.org/officeDocument/2006/relationships/hyperlink" Target="https://www.icm.org.nz/" TargetMode="External"/><Relationship Id="rId22" Type="http://schemas.openxmlformats.org/officeDocument/2006/relationships/hyperlink" Target="https://www.stats.govt.nz/news/latest-release-of-child-poverty-statistics" TargetMode="External"/><Relationship Id="rId27" Type="http://schemas.openxmlformats.org/officeDocument/2006/relationships/hyperlink" Target="https://curekids.org.nz/state-of-child-health/" TargetMode="External"/><Relationship Id="rId30" Type="http://schemas.openxmlformats.org/officeDocument/2006/relationships/hyperlink" Target="https://www.researchgate.net/publication/225068132_The_cost_of_child_health_inequalities_in_Aotearoa_New_Zealand_A_preliminary_scoping_study" TargetMode="External"/><Relationship Id="rId35" Type="http://schemas.openxmlformats.org/officeDocument/2006/relationships/hyperlink" Target="https://www.hqsc.govt.nz/assets/CYMRC/Publications/CYMRC-14th-data-report-2013-17-final-June2019.pdf" TargetMode="External"/><Relationship Id="rId43" Type="http://schemas.openxmlformats.org/officeDocument/2006/relationships/hyperlink" Target="https://orangatamariki.govt.nz/about-us/how-we-work/strategic-partnerships-with-maori/" TargetMode="External"/><Relationship Id="rId48" Type="http://schemas.openxmlformats.org/officeDocument/2006/relationships/hyperlink" Target="https://www.justice.govt.nz/assets/Documents/Publications/Evaluation-of-Nga-Kooti-Rangatahi-FINAL-report-17-December-1.pdf" TargetMode="External"/><Relationship Id="rId8" Type="http://schemas.openxmlformats.org/officeDocument/2006/relationships/hyperlink" Target="https://www.occ.org.nz/publications/reports/tktm-report-2/" TargetMode="External"/><Relationship Id="rId3" Type="http://schemas.openxmlformats.org/officeDocument/2006/relationships/hyperlink" Target="https://www.orangatamariki.govt.nz/about-us/reports-and-releases/quarterly-report/care-and-protection-statistics/" TargetMode="External"/><Relationship Id="rId12" Type="http://schemas.openxmlformats.org/officeDocument/2006/relationships/hyperlink" Target="https://www.abuseincare.org.nz/" TargetMode="External"/><Relationship Id="rId17" Type="http://schemas.openxmlformats.org/officeDocument/2006/relationships/hyperlink" Target="https://whanauora.nz/assets/6f126cc001/ORANGA-TAMARIKI-REVIEW-REPORT.pdf" TargetMode="External"/><Relationship Id="rId25" Type="http://schemas.openxmlformats.org/officeDocument/2006/relationships/hyperlink" Target="https://orangatamariki.govt.nz/assets/Uploads/About-us/Research/Latest-research/Factors-associated-with-disparities/Updated-Factors-associated-with-disparities-experienced-by-tamariki-Maori/Updated-Factors-Associated-with-Maori-Ethnic-Disparities-in-the-Care-and-Protection-System.pdf" TargetMode="External"/><Relationship Id="rId33" Type="http://schemas.openxmlformats.org/officeDocument/2006/relationships/hyperlink" Target="https://www.racp.edu.au/docs/default-source/advocacy-library/indigenous-ch-statement-on-ich.pdf?sfvrsn=450ef91a_7" TargetMode="External"/><Relationship Id="rId38" Type="http://schemas.openxmlformats.org/officeDocument/2006/relationships/hyperlink" Target="https://www.researchgate.net/publication/225574559_Risk_and_Protective_Factors_for_Suicide_Attempt_Among_Indigenous_Maori_Youth_in_New_Zealand_The_Role_of_Family_Connection" TargetMode="External"/><Relationship Id="rId46" Type="http://schemas.openxmlformats.org/officeDocument/2006/relationships/hyperlink" Target="https://www.rnz.co.nz/news/te-manu-korihi/437201/independence-of-maori-health-authority-paramount-lady-tureiti-moxon" TargetMode="External"/><Relationship Id="rId20" Type="http://schemas.openxmlformats.org/officeDocument/2006/relationships/hyperlink" Target="https://www.nzherald.co.nz/nz/childrens-care-or-protection-calls-for-radical-changes-to-be-made-to-family-court/WNMPVAING77IDWJDEKPAOOKSCY/" TargetMode="External"/><Relationship Id="rId41" Type="http://schemas.openxmlformats.org/officeDocument/2006/relationships/hyperlink" Target="https://www.pmcsa.org.nz/wp-content/uploads/Discussion-paper-on-preventing-youth-offending-in-NZ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42e65b2-cf21-49c1-b27d-d23f90380c0e">Academics and others</Category>
    <Doctype xmlns="d42e65b2-cf21-49c1-b27d-d23f90380c0e">input</Doctype>
    <Contributor xmlns="d42e65b2-cf21-49c1-b27d-d23f90380c0e">Aotearoa Centre for Indigenous Peoples and the Law</Contributor>
    <Postingdate xmlns="d42e65b2-cf21-49c1-b27d-d23f90380c0e" xsi:nil="true"/>
    <Postedonline xmlns="d42e65b2-cf21-49c1-b27d-d23f90380c0e">false</Postedonlin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53D6983EF5F4EB0B6A5354F975E96" ma:contentTypeVersion="14" ma:contentTypeDescription="Create a new document." ma:contentTypeScope="" ma:versionID="5a8f1c7c54ced117300a31ab80fdb6cf">
  <xsd:schema xmlns:xsd="http://www.w3.org/2001/XMLSchema" xmlns:xs="http://www.w3.org/2001/XMLSchema" xmlns:p="http://schemas.microsoft.com/office/2006/metadata/properties" xmlns:ns2="d42e65b2-cf21-49c1-b27d-d23f90380c0e" xmlns:ns3="9c2e4527-2efa-4ade-b3d6-b2418af14986" targetNamespace="http://schemas.microsoft.com/office/2006/metadata/properties" ma:root="true" ma:fieldsID="fe5bf3928b24d50e9851c65f16440570" ns2:_="" ns3:_="">
    <xsd:import namespace="d42e65b2-cf21-49c1-b27d-d23f90380c0e"/>
    <xsd:import namespace="9c2e4527-2efa-4ade-b3d6-b2418af14986"/>
    <xsd:element name="properties">
      <xsd:complexType>
        <xsd:sequence>
          <xsd:element name="documentManagement">
            <xsd:complexType>
              <xsd:all>
                <xsd:element ref="ns2:Contributor" minOccurs="0"/>
                <xsd:element ref="ns2:Category" minOccurs="0"/>
                <xsd:element ref="ns2:Doctyp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Postingdate" minOccurs="0"/>
                <xsd:element ref="ns2:Postedon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e65b2-cf21-49c1-b27d-d23f90380c0e" elementFormDefault="qualified">
    <xsd:import namespace="http://schemas.microsoft.com/office/2006/documentManagement/types"/>
    <xsd:import namespace="http://schemas.microsoft.com/office/infopath/2007/PartnerControls"/>
    <xsd:element name="Contributor" ma:index="8" nillable="true" ma:displayName="Contributor" ma:description="Who submitted this document?&#10;Click and enter the contributor's name" ma:format="Dropdown" ma:internalName="Contributor">
      <xsd:simpleType>
        <xsd:restriction base="dms:Text">
          <xsd:maxLength value="255"/>
        </xsd:restriction>
      </xsd:simpleType>
    </xsd:element>
    <xsd:element name="Category" ma:index="9" nillable="true" ma:displayName="Category" ma:format="Dropdown" ma:internalName="Category">
      <xsd:simpleType>
        <xsd:union memberTypes="dms:Text">
          <xsd:simpleType>
            <xsd:restriction base="dms:Choice">
              <xsd:enumeration value="States"/>
              <xsd:enumeration value="NHRIs"/>
              <xsd:enumeration value="UN entities"/>
              <xsd:enumeration value="Regional mechanism"/>
              <xsd:enumeration value="National mechanism"/>
              <xsd:enumeration value="CSOs"/>
              <xsd:enumeration value="Academia"/>
              <xsd:enumeration value="Individuals"/>
            </xsd:restriction>
          </xsd:simpleType>
        </xsd:union>
      </xsd:simpleType>
    </xsd:element>
    <xsd:element name="Doctype" ma:index="10" nillable="true" ma:displayName="Doc type" ma:default="input" ma:format="Dropdown" ma:internalName="Doctype">
      <xsd:simpleType>
        <xsd:union memberTypes="dms:Text">
          <xsd:simpleType>
            <xsd:restriction base="dms:Choice">
              <xsd:enumeration value="note verbale"/>
              <xsd:enumeration value="cover letter"/>
              <xsd:enumeration value="input"/>
              <xsd:enumeration value="annex"/>
              <xsd:enumeration value="French translation"/>
              <xsd:enumeration value="Spanish translation"/>
              <xsd:enumeration value="Arabic translation"/>
              <xsd:enumeration value="Russian translation"/>
              <xsd:enumeration value="Chinese translation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ostingdate" ma:index="16" nillable="true" ma:displayName="Posting date" ma:format="DateOnly" ma:internalName="Postingdate">
      <xsd:simpleType>
        <xsd:restriction base="dms:DateTime"/>
      </xsd:simpleType>
    </xsd:element>
    <xsd:element name="Postedonline" ma:index="17" nillable="true" ma:displayName="Posted online" ma:default="0" ma:format="Dropdown" ma:internalName="Postedonlin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EB3336-50C9-4D65-82DC-0E3CFC2918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C91CF05-CBB9-4E16-AC21-A7BB5B6032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4CD718-7D8A-417A-B154-2882FEC6B9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5FBA11-71D6-4A88-BDB1-FA079E6F9F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4091</Words>
  <Characters>23322</Characters>
  <Application>Microsoft Office Word</Application>
  <DocSecurity>4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Mason</dc:creator>
  <cp:keywords/>
  <dc:description/>
  <cp:lastModifiedBy>Leonardo Rivera Mendoza</cp:lastModifiedBy>
  <cp:revision>2</cp:revision>
  <cp:lastPrinted>2021-02-28T20:49:00Z</cp:lastPrinted>
  <dcterms:created xsi:type="dcterms:W3CDTF">2021-10-27T22:35:00Z</dcterms:created>
  <dcterms:modified xsi:type="dcterms:W3CDTF">2021-10-27T22:35:00Z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0x0101009D953D6983EF5F4EB0B6A5354F975E96</vt:lpwstr>
  </property>
</Properties>
</file>