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FA050" w14:textId="77777777" w:rsidR="00A62C8D" w:rsidRPr="00A62C8D" w:rsidRDefault="00A62C8D" w:rsidP="00A62C8D">
      <w:pPr>
        <w:spacing w:after="0" w:line="240" w:lineRule="auto"/>
        <w:jc w:val="both"/>
        <w:rPr>
          <w:rFonts w:ascii="Montserrat" w:eastAsia="Times New Roman" w:hAnsi="Montserrat" w:cs="Arial"/>
          <w:color w:val="000000"/>
          <w:sz w:val="24"/>
          <w:szCs w:val="24"/>
          <w:lang w:eastAsia="es-MX"/>
        </w:rPr>
      </w:pPr>
      <w:bookmarkStart w:id="0" w:name="_Hlk54300695"/>
      <w:r w:rsidRPr="00A62C8D">
        <w:rPr>
          <w:rFonts w:ascii="Montserrat" w:eastAsia="Times New Roman" w:hAnsi="Montserrat" w:cs="Arial"/>
          <w:color w:val="000000"/>
          <w:sz w:val="24"/>
          <w:szCs w:val="24"/>
          <w:lang w:eastAsia="es-MX"/>
        </w:rPr>
        <w:t>El Consejo de la Judicatura Federal (CJF) ha emprendido diversas acciones encaminadas a empoderar legalmente a grupos que han sido históricamente excluidos y discriminados, con el objetivo de garantizar su derecho de acceso a la justicia.</w:t>
      </w:r>
    </w:p>
    <w:p w14:paraId="3DB61912" w14:textId="77777777" w:rsidR="00A62C8D" w:rsidRPr="00A62C8D" w:rsidRDefault="00A62C8D" w:rsidP="00A62C8D">
      <w:pPr>
        <w:spacing w:after="0" w:line="240" w:lineRule="auto"/>
        <w:jc w:val="both"/>
        <w:rPr>
          <w:rFonts w:ascii="Montserrat" w:eastAsia="Times New Roman" w:hAnsi="Montserrat" w:cs="Arial"/>
          <w:color w:val="000000"/>
          <w:sz w:val="24"/>
          <w:szCs w:val="24"/>
          <w:lang w:eastAsia="es-MX"/>
        </w:rPr>
      </w:pPr>
    </w:p>
    <w:bookmarkEnd w:id="0"/>
    <w:p w14:paraId="0DEC929F" w14:textId="77777777" w:rsidR="00A62C8D" w:rsidRPr="00A62C8D" w:rsidRDefault="00A62C8D" w:rsidP="00A62C8D">
      <w:pPr>
        <w:numPr>
          <w:ilvl w:val="0"/>
          <w:numId w:val="1"/>
        </w:numPr>
        <w:spacing w:after="0" w:line="240" w:lineRule="auto"/>
        <w:jc w:val="both"/>
        <w:rPr>
          <w:rFonts w:ascii="Montserrat" w:eastAsia="Times New Roman" w:hAnsi="Montserrat" w:cs="Arial"/>
          <w:b/>
          <w:bCs/>
          <w:color w:val="000000"/>
          <w:sz w:val="24"/>
          <w:szCs w:val="24"/>
          <w:lang w:eastAsia="es-MX"/>
        </w:rPr>
      </w:pPr>
      <w:r w:rsidRPr="00A62C8D">
        <w:rPr>
          <w:rFonts w:ascii="Montserrat" w:eastAsia="Times New Roman" w:hAnsi="Montserrat" w:cs="Arial"/>
          <w:b/>
          <w:bCs/>
          <w:color w:val="000000"/>
          <w:sz w:val="24"/>
          <w:szCs w:val="24"/>
          <w:lang w:eastAsia="es-MX"/>
        </w:rPr>
        <w:t>Pueblos y comunidades indígenas y afromexicanas</w:t>
      </w:r>
    </w:p>
    <w:p w14:paraId="47C19163" w14:textId="77777777" w:rsidR="00A62C8D" w:rsidRPr="00A62C8D" w:rsidRDefault="00A62C8D" w:rsidP="00A62C8D">
      <w:pPr>
        <w:spacing w:after="0" w:line="240" w:lineRule="auto"/>
        <w:jc w:val="both"/>
        <w:rPr>
          <w:rFonts w:ascii="Montserrat" w:eastAsia="Times New Roman" w:hAnsi="Montserrat" w:cs="Arial"/>
          <w:color w:val="000000"/>
          <w:sz w:val="24"/>
          <w:szCs w:val="24"/>
          <w:lang w:eastAsia="es-MX"/>
        </w:rPr>
      </w:pPr>
    </w:p>
    <w:p w14:paraId="67F36292" w14:textId="77777777" w:rsidR="00A62C8D" w:rsidRPr="00A62C8D" w:rsidRDefault="00A62C8D" w:rsidP="00A62C8D">
      <w:pPr>
        <w:spacing w:after="0" w:line="240" w:lineRule="auto"/>
        <w:jc w:val="both"/>
        <w:rPr>
          <w:rFonts w:ascii="Montserrat" w:eastAsia="Times New Roman" w:hAnsi="Montserrat" w:cs="Arial"/>
          <w:sz w:val="24"/>
          <w:szCs w:val="24"/>
          <w:lang w:val="es-ES" w:eastAsia="es-ES"/>
        </w:rPr>
      </w:pPr>
      <w:r w:rsidRPr="00A62C8D">
        <w:rPr>
          <w:rFonts w:ascii="Montserrat" w:eastAsia="Times New Roman" w:hAnsi="Montserrat" w:cs="Arial"/>
          <w:sz w:val="24"/>
          <w:szCs w:val="24"/>
          <w:lang w:val="es-ES" w:eastAsia="es-ES"/>
        </w:rPr>
        <w:t>El CJF ha realizado importantes avances para fortalecer la justicia en el ámbito digital, lo que implica nuevos retos para el acceso a la justicia de las poblaciones en situación de vulnerabilidad, especialmente los pueblos y comunidades indígenas y afromexicanas, que histórica y estructuralmente han experimentado barreras para acceder a la justicia y una brecha digital con respecto a otros grupos sociales.</w:t>
      </w:r>
    </w:p>
    <w:p w14:paraId="7F19728C" w14:textId="77777777" w:rsidR="00A62C8D" w:rsidRPr="00A62C8D" w:rsidRDefault="00A62C8D" w:rsidP="00A62C8D">
      <w:pPr>
        <w:spacing w:after="0" w:line="240" w:lineRule="auto"/>
        <w:jc w:val="both"/>
        <w:rPr>
          <w:rFonts w:ascii="Montserrat" w:eastAsia="Times New Roman" w:hAnsi="Montserrat" w:cs="Arial"/>
          <w:sz w:val="24"/>
          <w:szCs w:val="24"/>
          <w:lang w:val="es-ES" w:eastAsia="es-ES"/>
        </w:rPr>
      </w:pPr>
    </w:p>
    <w:p w14:paraId="0E4C5A33" w14:textId="77777777" w:rsidR="00A62C8D" w:rsidRPr="00A62C8D" w:rsidRDefault="00A62C8D" w:rsidP="00A62C8D">
      <w:pPr>
        <w:spacing w:after="0" w:line="240" w:lineRule="auto"/>
        <w:jc w:val="both"/>
        <w:rPr>
          <w:rFonts w:ascii="Montserrat" w:eastAsia="Times New Roman" w:hAnsi="Montserrat" w:cs="Arial"/>
          <w:sz w:val="24"/>
          <w:szCs w:val="24"/>
          <w:lang w:val="es-ES" w:eastAsia="es-ES"/>
        </w:rPr>
      </w:pPr>
      <w:r w:rsidRPr="00A62C8D">
        <w:rPr>
          <w:rFonts w:ascii="Montserrat" w:eastAsia="Times New Roman" w:hAnsi="Montserrat" w:cs="Arial"/>
          <w:sz w:val="24"/>
          <w:szCs w:val="24"/>
          <w:lang w:val="es-ES" w:eastAsia="es-ES"/>
        </w:rPr>
        <w:t>Ante esa realidad, para ampliar el acceso a la justicia y reconociendo la multiculturalidad de nuestro país, el CJF y la Red de Abogadas Indígenas (RAI A.C.) impulsaron la creación de herramientas para fortalecer los conocimientos de dichas poblaciones sobre la labor del Poder Judicial de la Federación y el acceso a la justicia digital (e-Justicia).</w:t>
      </w:r>
    </w:p>
    <w:p w14:paraId="222D1B63" w14:textId="77777777" w:rsidR="00A62C8D" w:rsidRPr="00A62C8D" w:rsidRDefault="00A62C8D" w:rsidP="00A62C8D">
      <w:pPr>
        <w:spacing w:after="0" w:line="240" w:lineRule="auto"/>
        <w:jc w:val="both"/>
        <w:rPr>
          <w:rFonts w:ascii="Montserrat" w:eastAsia="Times New Roman" w:hAnsi="Montserrat" w:cs="Arial"/>
          <w:sz w:val="24"/>
          <w:szCs w:val="24"/>
          <w:lang w:val="es-ES" w:eastAsia="es-ES"/>
        </w:rPr>
      </w:pPr>
    </w:p>
    <w:p w14:paraId="37807C08" w14:textId="77777777" w:rsidR="00A62C8D" w:rsidRPr="00A62C8D" w:rsidRDefault="00A62C8D" w:rsidP="00A62C8D">
      <w:pPr>
        <w:spacing w:after="0" w:line="240" w:lineRule="auto"/>
        <w:jc w:val="both"/>
        <w:rPr>
          <w:rFonts w:ascii="Montserrat" w:eastAsia="Times New Roman" w:hAnsi="Montserrat" w:cs="Arial"/>
          <w:sz w:val="24"/>
          <w:szCs w:val="24"/>
          <w:lang w:val="es-ES" w:eastAsia="es-ES"/>
        </w:rPr>
      </w:pPr>
      <w:r w:rsidRPr="00A62C8D">
        <w:rPr>
          <w:rFonts w:ascii="Montserrat" w:eastAsia="Times New Roman" w:hAnsi="Montserrat" w:cs="Arial"/>
          <w:sz w:val="24"/>
          <w:szCs w:val="24"/>
          <w:lang w:val="es-ES" w:eastAsia="es-ES"/>
        </w:rPr>
        <w:t>Para ello, se elaboró un diagnóstico con la participación de personas expertas, organizaciones de la sociedad civil, y colectivos que acompañan a personas pertenecientes a pueblos y comunidades indígenas y afromexicanas en procedimientos ante la justicia federal, para conocer sus necesidades y conformar una red de personas que promuevan el acercamiento de la justicia federal y la e-Justicia entre dichas poblaciones.</w:t>
      </w:r>
    </w:p>
    <w:p w14:paraId="57231B4B" w14:textId="77777777" w:rsidR="00A62C8D" w:rsidRPr="00A62C8D" w:rsidRDefault="00A62C8D" w:rsidP="00A62C8D">
      <w:pPr>
        <w:spacing w:after="0" w:line="240" w:lineRule="auto"/>
        <w:jc w:val="both"/>
        <w:rPr>
          <w:rFonts w:ascii="Montserrat" w:eastAsia="Times New Roman" w:hAnsi="Montserrat" w:cs="Arial"/>
          <w:sz w:val="24"/>
          <w:szCs w:val="24"/>
          <w:lang w:val="es-ES" w:eastAsia="es-ES"/>
        </w:rPr>
      </w:pPr>
    </w:p>
    <w:p w14:paraId="78DAE4A9" w14:textId="77777777" w:rsidR="00B96650" w:rsidRDefault="00A62C8D" w:rsidP="00A62C8D">
      <w:pPr>
        <w:spacing w:after="0" w:line="240" w:lineRule="auto"/>
        <w:jc w:val="both"/>
        <w:rPr>
          <w:rFonts w:ascii="Montserrat" w:eastAsia="Times New Roman" w:hAnsi="Montserrat" w:cs="Arial"/>
          <w:sz w:val="24"/>
          <w:szCs w:val="24"/>
          <w:lang w:val="es-ES" w:eastAsia="es-ES"/>
        </w:rPr>
      </w:pPr>
      <w:r w:rsidRPr="00A62C8D">
        <w:rPr>
          <w:rFonts w:ascii="Montserrat" w:eastAsia="Times New Roman" w:hAnsi="Montserrat" w:cs="Arial"/>
          <w:sz w:val="24"/>
          <w:szCs w:val="24"/>
          <w:lang w:val="es-ES" w:eastAsia="es-ES"/>
        </w:rPr>
        <w:t xml:space="preserve">Como resultado, se crearon dos guías digitales en lenguaje accesible y ciudadano: </w:t>
      </w:r>
      <w:r w:rsidRPr="00A62C8D">
        <w:rPr>
          <w:rFonts w:ascii="Montserrat" w:eastAsia="Times New Roman" w:hAnsi="Montserrat" w:cs="Arial"/>
          <w:b/>
          <w:bCs/>
          <w:i/>
          <w:iCs/>
          <w:sz w:val="24"/>
          <w:szCs w:val="24"/>
          <w:lang w:val="es-ES" w:eastAsia="es-ES"/>
        </w:rPr>
        <w:t>(i)</w:t>
      </w:r>
      <w:r w:rsidRPr="00A62C8D">
        <w:rPr>
          <w:rFonts w:ascii="Montserrat" w:eastAsia="Times New Roman" w:hAnsi="Montserrat" w:cs="Arial"/>
          <w:b/>
          <w:bCs/>
          <w:sz w:val="24"/>
          <w:szCs w:val="24"/>
          <w:lang w:val="es-ES" w:eastAsia="es-ES"/>
        </w:rPr>
        <w:t xml:space="preserve"> ¿Qué es y cómo funciona el Poder Judicial de la Federación?</w:t>
      </w:r>
      <w:r w:rsidRPr="00A62C8D">
        <w:rPr>
          <w:rFonts w:ascii="Montserrat" w:eastAsia="Times New Roman" w:hAnsi="Montserrat" w:cs="Arial"/>
          <w:sz w:val="24"/>
          <w:szCs w:val="24"/>
          <w:lang w:val="es-ES" w:eastAsia="es-ES"/>
        </w:rPr>
        <w:t xml:space="preserve">, con el fin de dar a conocer su competencia y funcionamiento; y </w:t>
      </w:r>
      <w:r w:rsidRPr="00A62C8D">
        <w:rPr>
          <w:rFonts w:ascii="Montserrat" w:eastAsia="Times New Roman" w:hAnsi="Montserrat" w:cs="Arial"/>
          <w:b/>
          <w:bCs/>
          <w:i/>
          <w:iCs/>
          <w:sz w:val="24"/>
          <w:szCs w:val="24"/>
          <w:lang w:val="es-ES" w:eastAsia="es-ES"/>
        </w:rPr>
        <w:t>(ii)</w:t>
      </w:r>
      <w:r w:rsidRPr="00A62C8D">
        <w:rPr>
          <w:rFonts w:ascii="Montserrat" w:eastAsia="Times New Roman" w:hAnsi="Montserrat" w:cs="Arial"/>
          <w:b/>
          <w:bCs/>
          <w:sz w:val="24"/>
          <w:szCs w:val="24"/>
          <w:lang w:val="es-ES" w:eastAsia="es-ES"/>
        </w:rPr>
        <w:t xml:space="preserve"> Justicia federal accesible</w:t>
      </w:r>
      <w:r w:rsidRPr="00A62C8D">
        <w:rPr>
          <w:rFonts w:ascii="Montserrat" w:eastAsia="Times New Roman" w:hAnsi="Montserrat" w:cs="Arial"/>
          <w:sz w:val="24"/>
          <w:szCs w:val="24"/>
          <w:lang w:val="es-ES" w:eastAsia="es-ES"/>
        </w:rPr>
        <w:t xml:space="preserve">, para mejorar la accesibilidad al sistema de justicia mediante las diversas herramientas digitales que ofrece el Consejo </w:t>
      </w:r>
      <w:r w:rsidRPr="00A62C8D">
        <w:rPr>
          <w:rFonts w:ascii="Montserrat" w:eastAsia="Times New Roman" w:hAnsi="Montserrat" w:cs="Arial"/>
          <w:b/>
          <w:bCs/>
          <w:sz w:val="24"/>
          <w:szCs w:val="24"/>
          <w:lang w:val="es-ES" w:eastAsia="es-ES"/>
        </w:rPr>
        <w:t>(Anexos 1</w:t>
      </w:r>
      <w:r w:rsidR="00B96650">
        <w:rPr>
          <w:rStyle w:val="FootnoteReference"/>
          <w:rFonts w:ascii="Montserrat" w:eastAsia="Times New Roman" w:hAnsi="Montserrat" w:cs="Arial"/>
          <w:b/>
          <w:bCs/>
          <w:sz w:val="24"/>
          <w:szCs w:val="24"/>
          <w:lang w:val="es-ES" w:eastAsia="es-ES"/>
        </w:rPr>
        <w:footnoteReference w:id="1"/>
      </w:r>
      <w:r w:rsidRPr="00A62C8D">
        <w:rPr>
          <w:rFonts w:ascii="Montserrat" w:eastAsia="Times New Roman" w:hAnsi="Montserrat" w:cs="Arial"/>
          <w:b/>
          <w:bCs/>
          <w:sz w:val="24"/>
          <w:szCs w:val="24"/>
          <w:lang w:val="es-ES" w:eastAsia="es-ES"/>
        </w:rPr>
        <w:t xml:space="preserve"> y 2)</w:t>
      </w:r>
      <w:r w:rsidRPr="00A62C8D">
        <w:rPr>
          <w:rFonts w:ascii="Montserrat" w:eastAsia="Times New Roman" w:hAnsi="Montserrat" w:cs="Arial"/>
          <w:b/>
          <w:bCs/>
          <w:sz w:val="24"/>
          <w:szCs w:val="24"/>
          <w:vertAlign w:val="superscript"/>
          <w:lang w:val="es-ES" w:eastAsia="es-ES"/>
        </w:rPr>
        <w:footnoteReference w:id="2"/>
      </w:r>
      <w:r w:rsidRPr="00A62C8D">
        <w:rPr>
          <w:rFonts w:ascii="Montserrat" w:eastAsia="Times New Roman" w:hAnsi="Montserrat" w:cs="Arial"/>
          <w:sz w:val="24"/>
          <w:szCs w:val="24"/>
          <w:lang w:val="es-ES" w:eastAsia="es-ES"/>
        </w:rPr>
        <w:t>.</w:t>
      </w:r>
    </w:p>
    <w:p w14:paraId="00830E20" w14:textId="77777777" w:rsidR="00B96650" w:rsidRPr="00A62C8D" w:rsidRDefault="00B96650" w:rsidP="00A62C8D">
      <w:pPr>
        <w:spacing w:after="0" w:line="240" w:lineRule="auto"/>
        <w:jc w:val="both"/>
        <w:rPr>
          <w:rFonts w:ascii="Montserrat" w:eastAsia="Times New Roman" w:hAnsi="Montserrat" w:cs="Arial"/>
          <w:sz w:val="24"/>
          <w:szCs w:val="24"/>
          <w:lang w:val="es-ES" w:eastAsia="es-ES"/>
        </w:rPr>
      </w:pPr>
    </w:p>
    <w:p w14:paraId="3EC1964D" w14:textId="77777777" w:rsidR="00A62C8D" w:rsidRPr="00A62C8D" w:rsidRDefault="00A62C8D" w:rsidP="00A62C8D">
      <w:pPr>
        <w:spacing w:after="0" w:line="240" w:lineRule="auto"/>
        <w:jc w:val="both"/>
        <w:rPr>
          <w:rFonts w:ascii="Montserrat" w:eastAsia="Times New Roman" w:hAnsi="Montserrat" w:cs="Arial"/>
          <w:sz w:val="24"/>
          <w:szCs w:val="24"/>
          <w:lang w:val="es-ES" w:eastAsia="es-ES"/>
        </w:rPr>
      </w:pPr>
      <w:r w:rsidRPr="00A62C8D">
        <w:rPr>
          <w:rFonts w:ascii="Montserrat" w:eastAsia="Times New Roman" w:hAnsi="Montserrat" w:cs="Arial"/>
          <w:sz w:val="24"/>
          <w:szCs w:val="24"/>
          <w:lang w:val="es-ES" w:eastAsia="es-ES"/>
        </w:rPr>
        <w:t xml:space="preserve">Además, reconociendo que la forma de comunicación entre las personas que pertenecen a pueblos y comunidades indígenas es preponderantemente oral, se crearon 120 audios traducidos a 10 lenguas indígenas (maya, náhuatl*, mixteco, zapoteco, purépecha, mixe, </w:t>
      </w:r>
      <w:proofErr w:type="spellStart"/>
      <w:r w:rsidRPr="00A62C8D">
        <w:rPr>
          <w:rFonts w:ascii="Montserrat" w:eastAsia="Times New Roman" w:hAnsi="Montserrat" w:cs="Arial"/>
          <w:sz w:val="24"/>
          <w:szCs w:val="24"/>
          <w:lang w:val="es-ES" w:eastAsia="es-ES"/>
        </w:rPr>
        <w:t>ódami</w:t>
      </w:r>
      <w:proofErr w:type="spellEnd"/>
      <w:r w:rsidRPr="00A62C8D">
        <w:rPr>
          <w:rFonts w:ascii="Montserrat" w:eastAsia="Times New Roman" w:hAnsi="Montserrat" w:cs="Arial"/>
          <w:sz w:val="24"/>
          <w:szCs w:val="24"/>
          <w:lang w:val="es-ES" w:eastAsia="es-ES"/>
        </w:rPr>
        <w:t xml:space="preserve">, </w:t>
      </w:r>
      <w:proofErr w:type="spellStart"/>
      <w:r w:rsidRPr="00A62C8D">
        <w:rPr>
          <w:rFonts w:ascii="Montserrat" w:eastAsia="Times New Roman" w:hAnsi="Montserrat" w:cs="Arial"/>
          <w:sz w:val="24"/>
          <w:szCs w:val="24"/>
          <w:lang w:val="es-ES" w:eastAsia="es-ES"/>
        </w:rPr>
        <w:lastRenderedPageBreak/>
        <w:t>wixárika</w:t>
      </w:r>
      <w:proofErr w:type="spellEnd"/>
      <w:r w:rsidRPr="00A62C8D">
        <w:rPr>
          <w:rFonts w:ascii="Montserrat" w:eastAsia="Times New Roman" w:hAnsi="Montserrat" w:cs="Arial"/>
          <w:sz w:val="24"/>
          <w:szCs w:val="24"/>
          <w:lang w:val="es-ES" w:eastAsia="es-ES"/>
        </w:rPr>
        <w:t>, triqui y zoque), en los que se expone el contenido de ambas guías</w:t>
      </w:r>
      <w:r w:rsidRPr="00A62C8D">
        <w:rPr>
          <w:rFonts w:ascii="Montserrat" w:eastAsia="Times New Roman" w:hAnsi="Montserrat" w:cs="Arial"/>
          <w:sz w:val="24"/>
          <w:szCs w:val="24"/>
          <w:vertAlign w:val="superscript"/>
          <w:lang w:val="es-ES" w:eastAsia="es-ES"/>
        </w:rPr>
        <w:footnoteReference w:id="3"/>
      </w:r>
      <w:r w:rsidRPr="00A62C8D">
        <w:rPr>
          <w:rFonts w:ascii="Montserrat" w:eastAsia="Times New Roman" w:hAnsi="Montserrat" w:cs="Arial"/>
          <w:sz w:val="24"/>
          <w:szCs w:val="24"/>
          <w:lang w:val="es-ES" w:eastAsia="es-ES"/>
        </w:rPr>
        <w:t>.</w:t>
      </w:r>
    </w:p>
    <w:p w14:paraId="23AFD60D" w14:textId="77777777" w:rsidR="00A62C8D" w:rsidRPr="00A62C8D" w:rsidRDefault="00A62C8D" w:rsidP="00A62C8D">
      <w:pPr>
        <w:spacing w:after="0" w:line="240" w:lineRule="auto"/>
        <w:jc w:val="both"/>
        <w:rPr>
          <w:rFonts w:ascii="Montserrat" w:eastAsia="Times New Roman" w:hAnsi="Montserrat" w:cs="Arial"/>
          <w:sz w:val="24"/>
          <w:szCs w:val="24"/>
          <w:lang w:val="es-ES" w:eastAsia="es-ES"/>
        </w:rPr>
      </w:pPr>
    </w:p>
    <w:p w14:paraId="2BB37A01" w14:textId="77777777" w:rsidR="00A62C8D" w:rsidRPr="00A62C8D" w:rsidRDefault="00A62C8D" w:rsidP="00A62C8D">
      <w:pPr>
        <w:spacing w:after="0" w:line="240" w:lineRule="auto"/>
        <w:jc w:val="both"/>
        <w:rPr>
          <w:rFonts w:ascii="Montserrat" w:eastAsia="Times New Roman" w:hAnsi="Montserrat" w:cs="Arial"/>
          <w:sz w:val="24"/>
          <w:szCs w:val="24"/>
          <w:lang w:val="es-ES" w:eastAsia="es-ES"/>
        </w:rPr>
      </w:pPr>
      <w:r w:rsidRPr="00A62C8D">
        <w:rPr>
          <w:rFonts w:ascii="Montserrat" w:eastAsia="Times New Roman" w:hAnsi="Montserrat" w:cs="Arial"/>
          <w:sz w:val="24"/>
          <w:szCs w:val="24"/>
          <w:lang w:val="es-ES_tradnl" w:eastAsia="es-ES"/>
        </w:rPr>
        <w:t xml:space="preserve">Asimismo, con la finalidad de dar continuación a este proyecto, en 2023 se elaborarán: </w:t>
      </w:r>
      <w:r w:rsidRPr="00A62C8D">
        <w:rPr>
          <w:rFonts w:ascii="Montserrat" w:eastAsia="Times New Roman" w:hAnsi="Montserrat" w:cs="Arial"/>
          <w:b/>
          <w:bCs/>
          <w:i/>
          <w:iCs/>
          <w:sz w:val="24"/>
          <w:szCs w:val="24"/>
          <w:lang w:val="es-ES_tradnl" w:eastAsia="es-ES"/>
        </w:rPr>
        <w:t>(i)</w:t>
      </w:r>
      <w:r w:rsidRPr="00A62C8D">
        <w:rPr>
          <w:rFonts w:ascii="Montserrat" w:eastAsia="Times New Roman" w:hAnsi="Montserrat" w:cs="Arial"/>
          <w:sz w:val="24"/>
          <w:szCs w:val="24"/>
          <w:lang w:val="es-ES_tradnl" w:eastAsia="es-ES"/>
        </w:rPr>
        <w:t xml:space="preserve"> audios adicionales de las guías “</w:t>
      </w:r>
      <w:r w:rsidRPr="00A62C8D">
        <w:rPr>
          <w:rFonts w:ascii="Montserrat" w:eastAsia="Times New Roman" w:hAnsi="Montserrat" w:cs="Arial"/>
          <w:i/>
          <w:iCs/>
          <w:sz w:val="24"/>
          <w:szCs w:val="24"/>
          <w:lang w:val="es-ES_tradnl" w:eastAsia="es-ES"/>
        </w:rPr>
        <w:t>¿Qué es y cómo funciona el Poder Judicial de la Federación?</w:t>
      </w:r>
      <w:r w:rsidRPr="00A62C8D">
        <w:rPr>
          <w:rFonts w:ascii="Montserrat" w:eastAsia="Times New Roman" w:hAnsi="Montserrat" w:cs="Arial"/>
          <w:sz w:val="24"/>
          <w:szCs w:val="24"/>
          <w:lang w:val="es-ES_tradnl" w:eastAsia="es-ES"/>
        </w:rPr>
        <w:t>” y “</w:t>
      </w:r>
      <w:r w:rsidRPr="00A62C8D">
        <w:rPr>
          <w:rFonts w:ascii="Montserrat" w:eastAsia="Times New Roman" w:hAnsi="Montserrat" w:cs="Arial"/>
          <w:i/>
          <w:iCs/>
          <w:sz w:val="24"/>
          <w:szCs w:val="24"/>
          <w:lang w:val="es-ES_tradnl" w:eastAsia="es-ES"/>
        </w:rPr>
        <w:t>Justicia federal accesible</w:t>
      </w:r>
      <w:r w:rsidRPr="00A62C8D">
        <w:rPr>
          <w:rFonts w:ascii="Montserrat" w:eastAsia="Times New Roman" w:hAnsi="Montserrat" w:cs="Arial"/>
          <w:sz w:val="24"/>
          <w:szCs w:val="24"/>
          <w:lang w:val="es-ES_tradnl" w:eastAsia="es-ES"/>
        </w:rPr>
        <w:t xml:space="preserve">”, en al menos 10 lenguas indígenas diferentes a las de los materiales ya existentes; </w:t>
      </w:r>
      <w:r w:rsidRPr="00A62C8D">
        <w:rPr>
          <w:rFonts w:ascii="Montserrat" w:eastAsia="Times New Roman" w:hAnsi="Montserrat" w:cs="Arial"/>
          <w:b/>
          <w:bCs/>
          <w:i/>
          <w:iCs/>
          <w:sz w:val="24"/>
          <w:szCs w:val="24"/>
          <w:lang w:val="es-ES_tradnl" w:eastAsia="es-ES"/>
        </w:rPr>
        <w:t>(ii)</w:t>
      </w:r>
      <w:r w:rsidRPr="00A62C8D">
        <w:rPr>
          <w:rFonts w:ascii="Montserrat" w:eastAsia="Times New Roman" w:hAnsi="Montserrat" w:cs="Arial"/>
          <w:sz w:val="24"/>
          <w:szCs w:val="24"/>
          <w:lang w:val="es-ES_tradnl" w:eastAsia="es-ES"/>
        </w:rPr>
        <w:t xml:space="preserve"> una guía que permita a las personas pertenecientes a pueblos y comunidades indígenas y afromexicanas conocer los derechos humanos, de fuente nacional e internacional, cuyo cumplimiento pueden hacer valer ante los órganos del Poder Judicial de la Federación; y </w:t>
      </w:r>
      <w:r w:rsidRPr="00A62C8D">
        <w:rPr>
          <w:rFonts w:ascii="Montserrat" w:eastAsia="Times New Roman" w:hAnsi="Montserrat" w:cs="Arial"/>
          <w:b/>
          <w:bCs/>
          <w:i/>
          <w:iCs/>
          <w:sz w:val="24"/>
          <w:szCs w:val="24"/>
          <w:lang w:val="es-ES_tradnl" w:eastAsia="es-ES"/>
        </w:rPr>
        <w:t>(iii)</w:t>
      </w:r>
      <w:r w:rsidRPr="00A62C8D">
        <w:rPr>
          <w:rFonts w:ascii="Montserrat" w:eastAsia="Times New Roman" w:hAnsi="Montserrat" w:cs="Arial"/>
          <w:sz w:val="24"/>
          <w:szCs w:val="24"/>
          <w:lang w:val="es-ES_tradnl" w:eastAsia="es-ES"/>
        </w:rPr>
        <w:t xml:space="preserve"> materiales de difusión, preferentemente audiovisuales, que expongan el contenido de la guía en al menos 20 lenguas indígenas, con la finalidad de socializar por esta vía sus derechos y las obligaciones nacionales e internacionales en la materia.</w:t>
      </w:r>
    </w:p>
    <w:p w14:paraId="1F5C4491" w14:textId="77777777" w:rsidR="00A62C8D" w:rsidRPr="00A62C8D" w:rsidRDefault="00A62C8D" w:rsidP="00A62C8D">
      <w:pPr>
        <w:spacing w:after="0" w:line="240" w:lineRule="auto"/>
        <w:jc w:val="both"/>
        <w:rPr>
          <w:rFonts w:ascii="Montserrat" w:eastAsia="Times New Roman" w:hAnsi="Montserrat" w:cs="Arial"/>
          <w:sz w:val="24"/>
          <w:szCs w:val="24"/>
          <w:lang w:val="es-ES" w:eastAsia="es-ES"/>
        </w:rPr>
      </w:pPr>
    </w:p>
    <w:p w14:paraId="31BF3E1A" w14:textId="77777777" w:rsidR="00A62C8D" w:rsidRPr="00A62C8D" w:rsidRDefault="00A62C8D" w:rsidP="00A62C8D">
      <w:pPr>
        <w:numPr>
          <w:ilvl w:val="0"/>
          <w:numId w:val="1"/>
        </w:numPr>
        <w:spacing w:after="0" w:line="240" w:lineRule="auto"/>
        <w:jc w:val="both"/>
        <w:rPr>
          <w:rFonts w:ascii="Montserrat" w:eastAsia="Times New Roman" w:hAnsi="Montserrat" w:cs="Arial"/>
          <w:b/>
          <w:bCs/>
          <w:color w:val="000000"/>
          <w:sz w:val="24"/>
          <w:szCs w:val="24"/>
          <w:lang w:eastAsia="es-MX"/>
        </w:rPr>
      </w:pPr>
      <w:r w:rsidRPr="00A62C8D">
        <w:rPr>
          <w:rFonts w:ascii="Montserrat" w:eastAsia="Times New Roman" w:hAnsi="Montserrat" w:cs="Arial"/>
          <w:b/>
          <w:bCs/>
          <w:color w:val="000000"/>
          <w:sz w:val="24"/>
          <w:szCs w:val="24"/>
          <w:lang w:eastAsia="es-MX"/>
        </w:rPr>
        <w:t>Comunidades LGBTQ+</w:t>
      </w:r>
    </w:p>
    <w:p w14:paraId="10BE339B" w14:textId="77777777" w:rsidR="00A62C8D" w:rsidRPr="00A62C8D" w:rsidRDefault="00A62C8D" w:rsidP="00A62C8D">
      <w:pPr>
        <w:spacing w:after="0" w:line="240" w:lineRule="auto"/>
        <w:jc w:val="both"/>
        <w:rPr>
          <w:rFonts w:ascii="Montserrat" w:eastAsia="Times New Roman" w:hAnsi="Montserrat" w:cs="Arial"/>
          <w:color w:val="000000"/>
          <w:sz w:val="24"/>
          <w:szCs w:val="24"/>
          <w:lang w:eastAsia="es-MX"/>
        </w:rPr>
      </w:pPr>
    </w:p>
    <w:p w14:paraId="6BCE71B6" w14:textId="77777777" w:rsidR="00A62C8D" w:rsidRPr="00A62C8D" w:rsidRDefault="00A62C8D" w:rsidP="00A62C8D">
      <w:pPr>
        <w:spacing w:after="0" w:line="240" w:lineRule="auto"/>
        <w:jc w:val="both"/>
        <w:rPr>
          <w:rFonts w:ascii="Montserrat" w:eastAsia="Times New Roman" w:hAnsi="Montserrat" w:cs="Arial"/>
          <w:sz w:val="24"/>
          <w:szCs w:val="24"/>
          <w:lang w:val="es-ES" w:eastAsia="es-ES"/>
        </w:rPr>
      </w:pPr>
      <w:r w:rsidRPr="00A62C8D">
        <w:rPr>
          <w:rFonts w:ascii="Montserrat" w:eastAsia="Times New Roman" w:hAnsi="Montserrat" w:cs="Arial"/>
          <w:sz w:val="24"/>
          <w:szCs w:val="24"/>
          <w:lang w:val="es-ES" w:eastAsia="es-ES"/>
        </w:rPr>
        <w:t>El CJF, el Fondo de Población de las Naciones Unidas y el Instituto Williams de la Universidad de California desarrollaron un proyecto de investigación–acción para visibilizar las barreras y desafíos que enfrentan las personas en el acceso a la justicia por su orientación sexual, identidad de género y variaciones en caracteres sexuales (OSIGCS), ante actos de violencia y discriminación.</w:t>
      </w:r>
    </w:p>
    <w:p w14:paraId="69ED39FE" w14:textId="77777777" w:rsidR="00A62C8D" w:rsidRPr="00A62C8D" w:rsidRDefault="00A62C8D" w:rsidP="00A62C8D">
      <w:pPr>
        <w:spacing w:after="0" w:line="240" w:lineRule="auto"/>
        <w:jc w:val="both"/>
        <w:rPr>
          <w:rFonts w:ascii="Montserrat" w:eastAsia="Times New Roman" w:hAnsi="Montserrat" w:cs="Arial"/>
          <w:sz w:val="24"/>
          <w:szCs w:val="24"/>
          <w:lang w:val="es-ES" w:eastAsia="es-ES"/>
        </w:rPr>
      </w:pPr>
    </w:p>
    <w:p w14:paraId="4CD6AE3F" w14:textId="77777777" w:rsidR="00A62C8D" w:rsidRPr="00A62C8D" w:rsidRDefault="00A62C8D" w:rsidP="00A62C8D">
      <w:pPr>
        <w:spacing w:after="0" w:line="240" w:lineRule="auto"/>
        <w:jc w:val="both"/>
        <w:rPr>
          <w:rFonts w:ascii="Montserrat" w:eastAsia="Times New Roman" w:hAnsi="Montserrat" w:cs="Arial"/>
          <w:sz w:val="24"/>
          <w:szCs w:val="24"/>
          <w:lang w:val="es-ES" w:eastAsia="es-ES"/>
        </w:rPr>
      </w:pPr>
      <w:r w:rsidRPr="00A62C8D">
        <w:rPr>
          <w:rFonts w:ascii="Montserrat" w:eastAsia="Times New Roman" w:hAnsi="Montserrat" w:cs="Arial"/>
          <w:sz w:val="24"/>
          <w:szCs w:val="24"/>
          <w:lang w:val="es-ES" w:eastAsia="es-ES"/>
        </w:rPr>
        <w:t>Como parte de ese proyecto, se realizó el informe “el Poder Judicial y el acceso a la justicia de las comunidades LGBTQ+ en México”</w:t>
      </w:r>
      <w:r w:rsidRPr="00A62C8D">
        <w:rPr>
          <w:rFonts w:ascii="Montserrat" w:eastAsia="Times New Roman" w:hAnsi="Montserrat" w:cs="Arial"/>
          <w:sz w:val="24"/>
          <w:szCs w:val="24"/>
          <w:vertAlign w:val="superscript"/>
          <w:lang w:val="es-ES" w:eastAsia="es-ES"/>
        </w:rPr>
        <w:footnoteReference w:id="4"/>
      </w:r>
      <w:r w:rsidRPr="00A62C8D">
        <w:rPr>
          <w:rFonts w:ascii="Montserrat" w:eastAsia="Times New Roman" w:hAnsi="Montserrat" w:cs="Arial"/>
          <w:sz w:val="24"/>
          <w:szCs w:val="24"/>
          <w:lang w:val="es-ES" w:eastAsia="es-ES"/>
        </w:rPr>
        <w:t xml:space="preserve">, que recoge ocho principales obstáculos a los que se enfrentan las personas de la diversidad y las disidencias sexuales para acceder a la justicia, que fueron identificaos a través de una revisión de la literatura relacionada con el tema y de entrevistas con personas del PJF y de la sociedad civil. Asimismo, otorga pautas en pedagogía para la educación judicial, con la finalidad de que desde la judicatura se garanticen los derechos humanos de esas poblaciones sin discriminación </w:t>
      </w:r>
      <w:r w:rsidRPr="00A62C8D">
        <w:rPr>
          <w:rFonts w:ascii="Montserrat" w:eastAsia="Times New Roman" w:hAnsi="Montserrat" w:cs="Arial"/>
          <w:b/>
          <w:bCs/>
          <w:sz w:val="24"/>
          <w:szCs w:val="24"/>
          <w:lang w:val="es-ES" w:eastAsia="es-ES"/>
        </w:rPr>
        <w:t>(Anexo 3)</w:t>
      </w:r>
      <w:r w:rsidRPr="00A62C8D">
        <w:rPr>
          <w:rFonts w:ascii="Montserrat" w:eastAsia="Times New Roman" w:hAnsi="Montserrat" w:cs="Arial"/>
          <w:sz w:val="24"/>
          <w:szCs w:val="24"/>
          <w:lang w:val="es-ES" w:eastAsia="es-ES"/>
        </w:rPr>
        <w:t>.</w:t>
      </w:r>
    </w:p>
    <w:p w14:paraId="62E79315" w14:textId="77777777" w:rsidR="00A62C8D" w:rsidRPr="00A62C8D" w:rsidRDefault="00A62C8D" w:rsidP="00A62C8D">
      <w:pPr>
        <w:spacing w:after="0" w:line="240" w:lineRule="auto"/>
        <w:jc w:val="both"/>
        <w:rPr>
          <w:rFonts w:ascii="Montserrat" w:eastAsia="Times New Roman" w:hAnsi="Montserrat" w:cs="Arial"/>
          <w:sz w:val="24"/>
          <w:szCs w:val="24"/>
          <w:lang w:val="es-ES" w:eastAsia="es-ES"/>
        </w:rPr>
      </w:pPr>
    </w:p>
    <w:p w14:paraId="6902718E" w14:textId="77777777" w:rsidR="00A62C8D" w:rsidRPr="00A62C8D" w:rsidRDefault="00A62C8D" w:rsidP="00A62C8D">
      <w:pPr>
        <w:numPr>
          <w:ilvl w:val="0"/>
          <w:numId w:val="1"/>
        </w:numPr>
        <w:spacing w:after="0" w:line="240" w:lineRule="auto"/>
        <w:jc w:val="both"/>
        <w:rPr>
          <w:rFonts w:ascii="Montserrat" w:eastAsia="Times New Roman" w:hAnsi="Montserrat" w:cs="Arial"/>
          <w:b/>
          <w:bCs/>
          <w:color w:val="000000"/>
          <w:sz w:val="24"/>
          <w:szCs w:val="24"/>
          <w:lang w:eastAsia="es-MX"/>
        </w:rPr>
      </w:pPr>
      <w:r w:rsidRPr="00A62C8D">
        <w:rPr>
          <w:rFonts w:ascii="Montserrat" w:eastAsia="Times New Roman" w:hAnsi="Montserrat" w:cs="Arial"/>
          <w:b/>
          <w:bCs/>
          <w:color w:val="000000"/>
          <w:sz w:val="24"/>
          <w:szCs w:val="24"/>
          <w:lang w:eastAsia="es-MX"/>
        </w:rPr>
        <w:t>Mujeres</w:t>
      </w:r>
    </w:p>
    <w:p w14:paraId="1DCB4821" w14:textId="77777777" w:rsidR="00A62C8D" w:rsidRPr="00A62C8D" w:rsidRDefault="00A62C8D" w:rsidP="00A62C8D">
      <w:pPr>
        <w:spacing w:after="0" w:line="240" w:lineRule="auto"/>
        <w:jc w:val="both"/>
        <w:rPr>
          <w:rFonts w:ascii="Montserrat" w:eastAsia="Times New Roman" w:hAnsi="Montserrat" w:cs="Arial"/>
          <w:sz w:val="24"/>
          <w:szCs w:val="24"/>
          <w:lang w:val="es-ES" w:eastAsia="es-ES"/>
        </w:rPr>
      </w:pPr>
    </w:p>
    <w:p w14:paraId="1A9AD0EA" w14:textId="77777777" w:rsidR="00A62C8D" w:rsidRPr="00A62C8D" w:rsidRDefault="00A62C8D" w:rsidP="00A62C8D">
      <w:pPr>
        <w:spacing w:after="0" w:line="240" w:lineRule="auto"/>
        <w:jc w:val="both"/>
        <w:rPr>
          <w:rFonts w:ascii="Montserrat" w:eastAsia="Times New Roman" w:hAnsi="Montserrat" w:cs="Arial"/>
          <w:sz w:val="24"/>
          <w:szCs w:val="24"/>
          <w:lang w:val="es-ES" w:eastAsia="es-ES"/>
        </w:rPr>
      </w:pPr>
      <w:r w:rsidRPr="00A62C8D">
        <w:rPr>
          <w:rFonts w:ascii="Montserrat" w:eastAsia="Times New Roman" w:hAnsi="Montserrat" w:cs="Arial"/>
          <w:sz w:val="24"/>
          <w:szCs w:val="24"/>
          <w:lang w:val="es-ES" w:eastAsia="es-ES"/>
        </w:rPr>
        <w:t xml:space="preserve">En relación con el empoderamiento legal a las mujeres, se elaboró la herramienta “Justicia para las mujeres” que es el primer sitio web especializado en profundizar en la jurisprudencia internacional en materia </w:t>
      </w:r>
      <w:r w:rsidRPr="00A62C8D">
        <w:rPr>
          <w:rFonts w:ascii="Montserrat" w:eastAsia="Times New Roman" w:hAnsi="Montserrat" w:cs="Arial"/>
          <w:sz w:val="24"/>
          <w:szCs w:val="24"/>
          <w:lang w:val="es-ES" w:eastAsia="es-ES"/>
        </w:rPr>
        <w:lastRenderedPageBreak/>
        <w:t>de género de los dos documentos principales en la materia: la Convención Interamericana para Prevenir, Sancionar y Erradicar la Violencia contra la Mujeres (Belém do Pará) y la Convención sobre la Eliminación de todas las formas de Discriminación contra la Mujer (CEDAW).</w:t>
      </w:r>
    </w:p>
    <w:p w14:paraId="404D59F4" w14:textId="77777777" w:rsidR="00A62C8D" w:rsidRPr="00A62C8D" w:rsidRDefault="00A62C8D" w:rsidP="00A62C8D">
      <w:pPr>
        <w:spacing w:after="0" w:line="240" w:lineRule="auto"/>
        <w:jc w:val="both"/>
        <w:rPr>
          <w:rFonts w:ascii="Montserrat" w:eastAsia="Times New Roman" w:hAnsi="Montserrat" w:cs="Arial"/>
          <w:sz w:val="24"/>
          <w:szCs w:val="24"/>
          <w:lang w:val="es-ES" w:eastAsia="es-ES"/>
        </w:rPr>
      </w:pPr>
    </w:p>
    <w:p w14:paraId="7280C146" w14:textId="77777777" w:rsidR="00A62C8D" w:rsidRPr="00A62C8D" w:rsidRDefault="00A62C8D" w:rsidP="00A62C8D">
      <w:pPr>
        <w:spacing w:after="0" w:line="240" w:lineRule="auto"/>
        <w:jc w:val="both"/>
        <w:rPr>
          <w:rFonts w:ascii="Montserrat" w:eastAsia="Times New Roman" w:hAnsi="Montserrat" w:cs="Arial"/>
          <w:sz w:val="24"/>
          <w:szCs w:val="24"/>
          <w:lang w:val="es-ES" w:eastAsia="es-ES"/>
        </w:rPr>
      </w:pPr>
      <w:r w:rsidRPr="00A62C8D">
        <w:rPr>
          <w:rFonts w:ascii="Montserrat" w:eastAsia="Times New Roman" w:hAnsi="Montserrat" w:cs="Arial"/>
          <w:sz w:val="24"/>
          <w:szCs w:val="24"/>
          <w:lang w:val="es-ES" w:eastAsia="es-ES"/>
        </w:rPr>
        <w:t>Dicho micrositio se encuentra en la página web del Consejo</w:t>
      </w:r>
      <w:r w:rsidRPr="00A62C8D">
        <w:rPr>
          <w:rFonts w:ascii="Montserrat" w:eastAsia="Times New Roman" w:hAnsi="Montserrat" w:cs="Arial"/>
          <w:sz w:val="24"/>
          <w:szCs w:val="24"/>
          <w:vertAlign w:val="superscript"/>
          <w:lang w:val="es-ES" w:eastAsia="es-ES"/>
        </w:rPr>
        <w:footnoteReference w:id="5"/>
      </w:r>
      <w:r w:rsidRPr="00A62C8D">
        <w:rPr>
          <w:rFonts w:ascii="Montserrat" w:eastAsia="Times New Roman" w:hAnsi="Montserrat" w:cs="Arial"/>
          <w:sz w:val="24"/>
          <w:szCs w:val="24"/>
          <w:lang w:val="es-ES" w:eastAsia="es-ES"/>
        </w:rPr>
        <w:t xml:space="preserve"> y alberga fichas e infografías didácticas de los conceptos más comunes o especializados sobre el tema, así como un podcast sobre los casos más relevantes en la materia. Los análisis y sistematización de los contenidos de tomaron de los elementos propuestos por Relatorías Especiales y Comités de Naciones Unidas en materia de derechos humanos que se denominan: “método de desempaque de derechos”.</w:t>
      </w:r>
    </w:p>
    <w:p w14:paraId="5083A040" w14:textId="77777777" w:rsidR="00A62C8D" w:rsidRPr="00A62C8D" w:rsidRDefault="00A62C8D" w:rsidP="00A62C8D">
      <w:pPr>
        <w:spacing w:after="0" w:line="240" w:lineRule="auto"/>
        <w:jc w:val="both"/>
        <w:rPr>
          <w:rFonts w:ascii="Montserrat" w:eastAsia="Times New Roman" w:hAnsi="Montserrat" w:cs="Arial"/>
          <w:sz w:val="24"/>
          <w:szCs w:val="24"/>
          <w:lang w:val="es-ES" w:eastAsia="es-ES"/>
        </w:rPr>
      </w:pPr>
    </w:p>
    <w:p w14:paraId="64A7A0F9" w14:textId="77777777" w:rsidR="00A62C8D" w:rsidRPr="00A62C8D" w:rsidRDefault="00A62C8D" w:rsidP="00A62C8D">
      <w:pPr>
        <w:spacing w:after="0" w:line="240" w:lineRule="auto"/>
        <w:jc w:val="both"/>
        <w:rPr>
          <w:rFonts w:ascii="Montserrat" w:eastAsia="Times New Roman" w:hAnsi="Montserrat" w:cs="Arial"/>
          <w:sz w:val="24"/>
          <w:szCs w:val="24"/>
          <w:lang w:val="es-ES" w:eastAsia="es-ES"/>
        </w:rPr>
      </w:pPr>
      <w:r w:rsidRPr="00A62C8D">
        <w:rPr>
          <w:rFonts w:ascii="Montserrat" w:eastAsia="Times New Roman" w:hAnsi="Montserrat" w:cs="Arial"/>
          <w:sz w:val="24"/>
          <w:szCs w:val="24"/>
          <w:lang w:val="es-ES" w:eastAsia="es-ES"/>
        </w:rPr>
        <w:t>Esta herramienta se ofrece para que el personal del Poder Judicial de la Federación, organizaciones de la sociedad civil, personas activistas, litigantes y académica, se apropien de los contenidos, la interpretación y los alcances de la CEDAW y la Convención Belem do Pará.</w:t>
      </w:r>
    </w:p>
    <w:p w14:paraId="0DD7559D" w14:textId="77777777" w:rsidR="00A62C8D" w:rsidRPr="00A62C8D" w:rsidRDefault="00A62C8D" w:rsidP="00A62C8D">
      <w:pPr>
        <w:spacing w:after="0" w:line="240" w:lineRule="auto"/>
        <w:jc w:val="both"/>
        <w:rPr>
          <w:rFonts w:ascii="Montserrat" w:eastAsia="Times New Roman" w:hAnsi="Montserrat" w:cs="Arial"/>
          <w:sz w:val="24"/>
          <w:szCs w:val="24"/>
          <w:lang w:val="es-ES" w:eastAsia="es-ES"/>
        </w:rPr>
      </w:pPr>
    </w:p>
    <w:p w14:paraId="18FC23C1" w14:textId="77777777" w:rsidR="00A62C8D" w:rsidRPr="00A62C8D" w:rsidRDefault="00A62C8D" w:rsidP="00A62C8D">
      <w:pPr>
        <w:spacing w:after="0" w:line="240" w:lineRule="auto"/>
        <w:jc w:val="both"/>
        <w:rPr>
          <w:rFonts w:ascii="Montserrat" w:eastAsia="Times New Roman" w:hAnsi="Montserrat" w:cs="Arial"/>
          <w:sz w:val="24"/>
          <w:szCs w:val="24"/>
          <w:lang w:val="es-ES" w:eastAsia="es-ES"/>
        </w:rPr>
      </w:pPr>
      <w:r w:rsidRPr="00A62C8D">
        <w:rPr>
          <w:rFonts w:ascii="Montserrat" w:eastAsia="Times New Roman" w:hAnsi="Montserrat" w:cs="Arial"/>
          <w:sz w:val="24"/>
          <w:szCs w:val="24"/>
          <w:lang w:val="es-ES" w:eastAsia="es-ES"/>
        </w:rPr>
        <w:t xml:space="preserve">En octubre de 2020, a través de la Dirección General de Derechos Humanos, Igualdad de Género y Asuntos Internacionales (DGDHIGAI) y la Escuela Federal de Formación Judicial, en colaboración con la agencia de ONU Mujeres, suscribieron un convenio de colaboración para ejecutar el proyecto “Estrategia para la transversalización e institucionalización de la perspectiva de género en el Consejo de la Judicatura Federal”, cuyo objetivo principal fue la realización del </w:t>
      </w:r>
      <w:r w:rsidRPr="00A62C8D">
        <w:rPr>
          <w:rFonts w:ascii="Montserrat" w:eastAsia="Times New Roman" w:hAnsi="Montserrat" w:cs="Arial"/>
          <w:b/>
          <w:bCs/>
          <w:sz w:val="24"/>
          <w:szCs w:val="24"/>
          <w:lang w:val="es-ES" w:eastAsia="es-ES"/>
        </w:rPr>
        <w:t>curso “Género como herramienta para la igualdad”</w:t>
      </w:r>
      <w:r w:rsidRPr="00A62C8D">
        <w:rPr>
          <w:rFonts w:ascii="Montserrat" w:eastAsia="Times New Roman" w:hAnsi="Montserrat" w:cs="Arial"/>
          <w:sz w:val="24"/>
          <w:szCs w:val="24"/>
          <w:lang w:val="es-ES" w:eastAsia="es-ES"/>
        </w:rPr>
        <w:t>, que busca construir un piso mínimo común centrado en el conocimiento y uso de herramientas de la perspectiva de género para el cumplimiento de las obligaciones del personal administrativo, jurisdiccional y de la defensoría pública, para promover y garantizar los derechos humanos de las mujeres en su diversidad, y de las poblaciones de la diversidad sexual.</w:t>
      </w:r>
    </w:p>
    <w:p w14:paraId="1BF4740A" w14:textId="77777777" w:rsidR="00A62C8D" w:rsidRPr="00A62C8D" w:rsidRDefault="00A62C8D" w:rsidP="00A62C8D">
      <w:pPr>
        <w:spacing w:after="0" w:line="240" w:lineRule="auto"/>
        <w:jc w:val="both"/>
        <w:rPr>
          <w:rFonts w:ascii="Montserrat" w:eastAsia="Times New Roman" w:hAnsi="Montserrat" w:cs="Arial"/>
          <w:sz w:val="24"/>
          <w:szCs w:val="24"/>
          <w:lang w:val="es-ES" w:eastAsia="es-ES"/>
        </w:rPr>
      </w:pPr>
    </w:p>
    <w:p w14:paraId="0C145DB5" w14:textId="77777777" w:rsidR="00A62C8D" w:rsidRPr="00A62C8D" w:rsidRDefault="00A62C8D" w:rsidP="00A62C8D">
      <w:pPr>
        <w:spacing w:after="0" w:line="240" w:lineRule="auto"/>
        <w:jc w:val="both"/>
        <w:rPr>
          <w:rFonts w:ascii="Montserrat" w:eastAsia="Times New Roman" w:hAnsi="Montserrat" w:cs="Arial"/>
          <w:sz w:val="24"/>
          <w:szCs w:val="24"/>
          <w:lang w:val="es-ES" w:eastAsia="es-ES"/>
        </w:rPr>
      </w:pPr>
      <w:r w:rsidRPr="00A62C8D">
        <w:rPr>
          <w:rFonts w:ascii="Montserrat" w:eastAsia="Times New Roman" w:hAnsi="Montserrat" w:cs="Arial"/>
          <w:sz w:val="24"/>
          <w:szCs w:val="24"/>
          <w:lang w:val="es-ES" w:eastAsia="es-ES"/>
        </w:rPr>
        <w:t>Dicho ejercicio constituye un requisito para la carrera judicial, por lo que resulta obligatorio para todo el personal jurisdiccional, de conformidad con lo dispuesto en el artículo 88 del Acuerdo General del Pleno del Consejo de la Judicatura Federal que reglamenta la Carrera Judicial. Para reforzar la obligatoriedad del curso para el resto de los perfiles, el 5 de octubre de 2022, el Pleno del CJF aprobó diversas modificaciones a la normativa interna institucional, con la finalidad de que su acreditación sea obligatoria también para el personal administrativo y de la defensoría pública.</w:t>
      </w:r>
    </w:p>
    <w:p w14:paraId="045B9378" w14:textId="77777777" w:rsidR="00A62C8D" w:rsidRPr="00A62C8D" w:rsidRDefault="00A62C8D" w:rsidP="00A62C8D">
      <w:pPr>
        <w:spacing w:after="0" w:line="240" w:lineRule="auto"/>
        <w:jc w:val="both"/>
        <w:rPr>
          <w:rFonts w:ascii="Montserrat" w:eastAsia="Times New Roman" w:hAnsi="Montserrat" w:cs="Arial"/>
          <w:sz w:val="24"/>
          <w:szCs w:val="24"/>
          <w:lang w:val="es-ES" w:eastAsia="es-ES"/>
        </w:rPr>
      </w:pPr>
    </w:p>
    <w:p w14:paraId="4835043D" w14:textId="77777777" w:rsidR="00A62C8D" w:rsidRPr="00A62C8D" w:rsidRDefault="00A62C8D" w:rsidP="00A62C8D">
      <w:pPr>
        <w:autoSpaceDE w:val="0"/>
        <w:autoSpaceDN w:val="0"/>
        <w:adjustRightInd w:val="0"/>
        <w:spacing w:after="0" w:line="240" w:lineRule="auto"/>
        <w:jc w:val="both"/>
        <w:rPr>
          <w:rFonts w:ascii="Montserrat" w:eastAsia="Calibri" w:hAnsi="Montserrat" w:cs="Arial"/>
          <w:color w:val="000000"/>
          <w:sz w:val="24"/>
          <w:szCs w:val="24"/>
        </w:rPr>
      </w:pPr>
      <w:r w:rsidRPr="00A62C8D">
        <w:rPr>
          <w:rFonts w:ascii="Montserrat" w:eastAsia="Calibri" w:hAnsi="Montserrat" w:cs="Arial"/>
          <w:color w:val="000000"/>
          <w:sz w:val="24"/>
          <w:szCs w:val="24"/>
        </w:rPr>
        <w:lastRenderedPageBreak/>
        <w:t xml:space="preserve">El Curso fue desarrollado en modalidad </w:t>
      </w:r>
      <w:proofErr w:type="spellStart"/>
      <w:r w:rsidRPr="00A62C8D">
        <w:rPr>
          <w:rFonts w:ascii="Montserrat" w:eastAsia="Calibri" w:hAnsi="Montserrat" w:cs="Arial"/>
          <w:color w:val="000000"/>
          <w:sz w:val="24"/>
          <w:szCs w:val="24"/>
        </w:rPr>
        <w:t>autogestiva</w:t>
      </w:r>
      <w:proofErr w:type="spellEnd"/>
      <w:r w:rsidRPr="00A62C8D">
        <w:rPr>
          <w:rFonts w:ascii="Montserrat" w:eastAsia="Calibri" w:hAnsi="Montserrat" w:cs="Arial"/>
          <w:color w:val="000000"/>
          <w:sz w:val="24"/>
          <w:szCs w:val="24"/>
        </w:rPr>
        <w:t>, asincrónica y virtual, y tiene una duración aproximada de 65 horas distribuidas en 8 semanas, que se divide en dos módulos: el primero, un tronco común, cursado por todas las personas participantes; y el segundo, especializado por perfil (jurisdiccional, defensoría pública o administrativo), está sujeto a las funciones que realice la persona estudiante.</w:t>
      </w:r>
    </w:p>
    <w:p w14:paraId="34F060FE" w14:textId="77777777" w:rsidR="00A62C8D" w:rsidRPr="00A62C8D" w:rsidRDefault="00A62C8D" w:rsidP="00A62C8D">
      <w:pPr>
        <w:spacing w:after="0" w:line="240" w:lineRule="auto"/>
        <w:jc w:val="both"/>
        <w:rPr>
          <w:rFonts w:ascii="Montserrat" w:eastAsia="Times New Roman" w:hAnsi="Montserrat" w:cs="Arial"/>
          <w:sz w:val="24"/>
          <w:szCs w:val="24"/>
          <w:lang w:val="es-ES" w:eastAsia="es-ES"/>
        </w:rPr>
      </w:pPr>
    </w:p>
    <w:p w14:paraId="04C5B908" w14:textId="77777777" w:rsidR="00A62C8D" w:rsidRPr="00A62C8D" w:rsidRDefault="00A62C8D" w:rsidP="00A62C8D">
      <w:pPr>
        <w:numPr>
          <w:ilvl w:val="0"/>
          <w:numId w:val="1"/>
        </w:numPr>
        <w:spacing w:after="0" w:line="240" w:lineRule="auto"/>
        <w:jc w:val="both"/>
        <w:rPr>
          <w:rFonts w:ascii="Montserrat" w:eastAsia="Times New Roman" w:hAnsi="Montserrat" w:cs="Arial"/>
          <w:b/>
          <w:bCs/>
          <w:color w:val="000000"/>
          <w:sz w:val="24"/>
          <w:szCs w:val="24"/>
          <w:lang w:eastAsia="es-MX"/>
        </w:rPr>
      </w:pPr>
      <w:r w:rsidRPr="00A62C8D">
        <w:rPr>
          <w:rFonts w:ascii="Montserrat" w:eastAsia="Times New Roman" w:hAnsi="Montserrat" w:cs="Arial"/>
          <w:b/>
          <w:bCs/>
          <w:color w:val="000000"/>
          <w:sz w:val="24"/>
          <w:szCs w:val="24"/>
          <w:lang w:eastAsia="es-MX"/>
        </w:rPr>
        <w:t>Personas con discapacidad y Niños, Niñas y Adolescentes</w:t>
      </w:r>
    </w:p>
    <w:p w14:paraId="305829B2" w14:textId="77777777" w:rsidR="00A62C8D" w:rsidRPr="00A62C8D" w:rsidRDefault="00A62C8D" w:rsidP="00A62C8D">
      <w:pPr>
        <w:spacing w:after="0" w:line="240" w:lineRule="auto"/>
        <w:jc w:val="both"/>
        <w:rPr>
          <w:rFonts w:ascii="Montserrat" w:eastAsia="Times New Roman" w:hAnsi="Montserrat" w:cs="Arial"/>
          <w:sz w:val="24"/>
          <w:szCs w:val="24"/>
          <w:lang w:val="es-ES" w:eastAsia="es-ES"/>
        </w:rPr>
      </w:pPr>
    </w:p>
    <w:p w14:paraId="41445793" w14:textId="77777777" w:rsidR="00A62C8D" w:rsidRPr="00A62C8D" w:rsidRDefault="00A62C8D" w:rsidP="00A62C8D">
      <w:pPr>
        <w:spacing w:after="0" w:line="240" w:lineRule="auto"/>
        <w:jc w:val="both"/>
        <w:rPr>
          <w:rFonts w:ascii="Montserrat" w:eastAsia="Times New Roman" w:hAnsi="Montserrat" w:cs="Arial"/>
          <w:sz w:val="24"/>
          <w:szCs w:val="24"/>
          <w:lang w:val="es-ES" w:eastAsia="es-ES"/>
        </w:rPr>
      </w:pPr>
      <w:r w:rsidRPr="00A62C8D">
        <w:rPr>
          <w:rFonts w:ascii="Montserrat" w:eastAsia="Times New Roman" w:hAnsi="Montserrat" w:cs="Arial"/>
          <w:sz w:val="24"/>
          <w:szCs w:val="24"/>
          <w:lang w:val="es-ES" w:eastAsia="es-ES"/>
        </w:rPr>
        <w:t>Finalmente, en relación con las personas con discapacidad el CJF ha implementado a nivel nacional medidas relacionadas con la con la adecuación de diferentes inmuebles para que permitan una completa accesibilidad.</w:t>
      </w:r>
    </w:p>
    <w:p w14:paraId="75E067EF" w14:textId="77777777" w:rsidR="00A62C8D" w:rsidRPr="00A62C8D" w:rsidRDefault="00A62C8D" w:rsidP="00A62C8D">
      <w:pPr>
        <w:spacing w:after="0" w:line="240" w:lineRule="auto"/>
        <w:jc w:val="both"/>
        <w:rPr>
          <w:rFonts w:ascii="Montserrat" w:eastAsia="Times New Roman" w:hAnsi="Montserrat" w:cs="Arial"/>
          <w:sz w:val="24"/>
          <w:szCs w:val="24"/>
          <w:lang w:val="es-ES" w:eastAsia="es-ES"/>
        </w:rPr>
      </w:pPr>
    </w:p>
    <w:p w14:paraId="3D002B3E" w14:textId="77777777" w:rsidR="00A62C8D" w:rsidRPr="00A62C8D" w:rsidRDefault="00A62C8D" w:rsidP="00A62C8D">
      <w:pPr>
        <w:spacing w:after="0" w:line="240" w:lineRule="auto"/>
        <w:jc w:val="both"/>
        <w:rPr>
          <w:rFonts w:ascii="Montserrat" w:eastAsia="Times New Roman" w:hAnsi="Montserrat" w:cs="Arial"/>
          <w:sz w:val="24"/>
          <w:szCs w:val="24"/>
          <w:lang w:val="es-ES" w:eastAsia="es-ES"/>
        </w:rPr>
      </w:pPr>
      <w:r w:rsidRPr="00A62C8D">
        <w:rPr>
          <w:rFonts w:ascii="Montserrat" w:eastAsia="Times New Roman" w:hAnsi="Montserrat" w:cs="Arial"/>
          <w:sz w:val="24"/>
          <w:szCs w:val="24"/>
          <w:lang w:val="es-ES" w:eastAsia="es-ES"/>
        </w:rPr>
        <w:t xml:space="preserve">Dichas adecuaciones se refieren, entre otras, a la instalación de rampas, lugares de estacionamiento, sanitarios y módulos de atención diseñados para permitir el acceso o uso a personas con discapacidad, así como la colocación de señalizaciones en sistema braille o la instalación de pavimento táctil </w:t>
      </w:r>
      <w:r w:rsidRPr="00A62C8D">
        <w:rPr>
          <w:rFonts w:ascii="Montserrat" w:eastAsia="Times New Roman" w:hAnsi="Montserrat" w:cs="Arial"/>
          <w:b/>
          <w:bCs/>
          <w:sz w:val="24"/>
          <w:szCs w:val="24"/>
          <w:lang w:val="es-ES" w:eastAsia="es-ES"/>
        </w:rPr>
        <w:t>(Anexo 4)</w:t>
      </w:r>
      <w:r w:rsidRPr="00A62C8D">
        <w:rPr>
          <w:rFonts w:ascii="Montserrat" w:eastAsia="Times New Roman" w:hAnsi="Montserrat" w:cs="Arial"/>
          <w:sz w:val="24"/>
          <w:szCs w:val="24"/>
          <w:lang w:val="es-ES" w:eastAsia="es-ES"/>
        </w:rPr>
        <w:t>.</w:t>
      </w:r>
    </w:p>
    <w:p w14:paraId="4A87C742" w14:textId="77777777" w:rsidR="00A62C8D" w:rsidRPr="00A62C8D" w:rsidRDefault="00A62C8D" w:rsidP="00A62C8D">
      <w:pPr>
        <w:spacing w:after="0" w:line="240" w:lineRule="auto"/>
        <w:jc w:val="both"/>
        <w:rPr>
          <w:rFonts w:ascii="Montserrat" w:eastAsia="Times New Roman" w:hAnsi="Montserrat" w:cs="Arial"/>
          <w:sz w:val="24"/>
          <w:szCs w:val="24"/>
          <w:lang w:val="es-ES" w:eastAsia="es-ES"/>
        </w:rPr>
      </w:pPr>
    </w:p>
    <w:p w14:paraId="55F411BB" w14:textId="77777777" w:rsidR="00A62C8D" w:rsidRPr="00A62C8D" w:rsidRDefault="00A62C8D" w:rsidP="00A62C8D">
      <w:pPr>
        <w:spacing w:after="0" w:line="240" w:lineRule="auto"/>
        <w:jc w:val="both"/>
        <w:rPr>
          <w:rFonts w:ascii="Montserrat" w:eastAsia="Times New Roman" w:hAnsi="Montserrat" w:cs="Arial"/>
          <w:sz w:val="24"/>
          <w:szCs w:val="24"/>
          <w:lang w:val="es-ES" w:eastAsia="es-ES"/>
        </w:rPr>
      </w:pPr>
      <w:r w:rsidRPr="00A62C8D">
        <w:rPr>
          <w:rFonts w:ascii="Montserrat" w:eastAsia="Times New Roman" w:hAnsi="Montserrat" w:cs="Arial"/>
          <w:sz w:val="24"/>
          <w:szCs w:val="24"/>
          <w:lang w:val="es-ES" w:eastAsia="es-ES"/>
        </w:rPr>
        <w:t>La Dirección General de Tecnologías de la información ha trabajado para realizar las adecuaciones pertinentes en las páginas de internet del CJF con la finalidad de que cuenten con características de accesibilidad para personas con discapacidad, poniendo especial énfasis en la discapacidad visual.</w:t>
      </w:r>
    </w:p>
    <w:p w14:paraId="0F591C36" w14:textId="77777777" w:rsidR="00A62C8D" w:rsidRPr="00A62C8D" w:rsidRDefault="00A62C8D" w:rsidP="00A62C8D">
      <w:pPr>
        <w:spacing w:after="0" w:line="240" w:lineRule="auto"/>
        <w:jc w:val="both"/>
        <w:rPr>
          <w:rFonts w:ascii="Montserrat" w:eastAsia="Times New Roman" w:hAnsi="Montserrat" w:cs="Arial"/>
          <w:sz w:val="24"/>
          <w:szCs w:val="24"/>
          <w:lang w:val="es-ES" w:eastAsia="es-ES"/>
        </w:rPr>
      </w:pPr>
    </w:p>
    <w:p w14:paraId="689BFEF5" w14:textId="77777777" w:rsidR="00A62C8D" w:rsidRPr="00A62C8D" w:rsidRDefault="00A62C8D" w:rsidP="00A62C8D">
      <w:pPr>
        <w:spacing w:after="0" w:line="240" w:lineRule="auto"/>
        <w:jc w:val="both"/>
        <w:rPr>
          <w:rFonts w:ascii="Montserrat" w:eastAsia="Times New Roman" w:hAnsi="Montserrat" w:cs="Arial"/>
          <w:sz w:val="24"/>
          <w:szCs w:val="24"/>
          <w:lang w:val="es-ES" w:eastAsia="es-ES"/>
        </w:rPr>
      </w:pPr>
      <w:r w:rsidRPr="00A62C8D">
        <w:rPr>
          <w:rFonts w:ascii="Montserrat" w:eastAsia="Times New Roman" w:hAnsi="Montserrat" w:cs="Arial"/>
          <w:sz w:val="24"/>
          <w:szCs w:val="24"/>
          <w:lang w:val="es-ES" w:eastAsia="es-ES"/>
        </w:rPr>
        <w:t>En ese sentido se cuenta con avances significativos respecto a la aplicación de las Pautas de Accesibilidad de Contenido Web (WCAG 2.0) en la página principal del sitio de internet (primer nivel), así como en los micrositios y páginas que dependen directamente de la página principal (segundo nivel).</w:t>
      </w:r>
    </w:p>
    <w:p w14:paraId="4390F7D0" w14:textId="77777777" w:rsidR="00A62C8D" w:rsidRPr="00A62C8D" w:rsidRDefault="00A62C8D" w:rsidP="00A62C8D">
      <w:pPr>
        <w:spacing w:after="0" w:line="240" w:lineRule="auto"/>
        <w:jc w:val="both"/>
        <w:rPr>
          <w:rFonts w:ascii="Montserrat" w:eastAsia="Times New Roman" w:hAnsi="Montserrat" w:cs="Arial"/>
          <w:sz w:val="24"/>
          <w:szCs w:val="24"/>
          <w:lang w:val="es-ES" w:eastAsia="es-ES"/>
        </w:rPr>
      </w:pPr>
    </w:p>
    <w:p w14:paraId="2B7FB53D" w14:textId="77777777" w:rsidR="00A62C8D" w:rsidRPr="00A62C8D" w:rsidRDefault="00A62C8D" w:rsidP="00A62C8D">
      <w:pPr>
        <w:spacing w:after="0" w:line="240" w:lineRule="auto"/>
        <w:jc w:val="both"/>
        <w:rPr>
          <w:rFonts w:ascii="Montserrat" w:eastAsia="Times New Roman" w:hAnsi="Montserrat" w:cs="Arial"/>
          <w:sz w:val="24"/>
          <w:szCs w:val="24"/>
          <w:lang w:val="es-ES" w:eastAsia="es-ES"/>
        </w:rPr>
      </w:pPr>
      <w:r w:rsidRPr="00A62C8D">
        <w:rPr>
          <w:rFonts w:ascii="Montserrat" w:eastAsia="Times New Roman" w:hAnsi="Montserrat" w:cs="Arial"/>
          <w:sz w:val="24"/>
          <w:szCs w:val="24"/>
          <w:lang w:val="es-ES" w:eastAsia="es-ES"/>
        </w:rPr>
        <w:t xml:space="preserve">Además, el sitio web del CJF es compatible con diversas soluciones de software lectores de pantalla tales como JAWS, NVDA y </w:t>
      </w:r>
      <w:proofErr w:type="spellStart"/>
      <w:r w:rsidRPr="00A62C8D">
        <w:rPr>
          <w:rFonts w:ascii="Montserrat" w:eastAsia="Times New Roman" w:hAnsi="Montserrat" w:cs="Arial"/>
          <w:sz w:val="24"/>
          <w:szCs w:val="24"/>
          <w:lang w:val="es-ES" w:eastAsia="es-ES"/>
        </w:rPr>
        <w:t>MexVox</w:t>
      </w:r>
      <w:proofErr w:type="spellEnd"/>
      <w:r w:rsidRPr="00A62C8D">
        <w:rPr>
          <w:rFonts w:ascii="Montserrat" w:eastAsia="Times New Roman" w:hAnsi="Montserrat" w:cs="Arial"/>
          <w:sz w:val="24"/>
          <w:szCs w:val="24"/>
          <w:lang w:val="es-ES" w:eastAsia="es-ES"/>
        </w:rPr>
        <w:t>, entre otros, mismo que permiten la utilización del sistema operativo y las distintas aplicaciones mediante el empleo de un sintetizados de voz que “lee y explica” lo que se visualiza en la pantalla, hecho que significa una ayuda para las personas con discapacidades visuales.</w:t>
      </w:r>
    </w:p>
    <w:p w14:paraId="5D58B45C" w14:textId="77777777" w:rsidR="00A62C8D" w:rsidRPr="00A62C8D" w:rsidRDefault="00A62C8D" w:rsidP="00A62C8D">
      <w:pPr>
        <w:spacing w:after="0" w:line="240" w:lineRule="auto"/>
        <w:jc w:val="both"/>
        <w:rPr>
          <w:rFonts w:ascii="Montserrat" w:eastAsia="Times New Roman" w:hAnsi="Montserrat" w:cs="Arial"/>
          <w:sz w:val="24"/>
          <w:szCs w:val="24"/>
          <w:lang w:val="es-ES" w:eastAsia="es-ES"/>
        </w:rPr>
      </w:pPr>
    </w:p>
    <w:p w14:paraId="2F0C070A" w14:textId="77777777" w:rsidR="00A62C8D" w:rsidRPr="00A62C8D" w:rsidRDefault="00A62C8D" w:rsidP="00A62C8D">
      <w:pPr>
        <w:spacing w:after="0" w:line="240" w:lineRule="auto"/>
        <w:jc w:val="both"/>
        <w:rPr>
          <w:rFonts w:ascii="Montserrat" w:eastAsia="Times New Roman" w:hAnsi="Montserrat" w:cs="Arial"/>
          <w:sz w:val="24"/>
          <w:szCs w:val="24"/>
          <w:lang w:val="es-ES_tradnl" w:eastAsia="es-ES"/>
        </w:rPr>
      </w:pPr>
      <w:r w:rsidRPr="00A62C8D">
        <w:rPr>
          <w:rFonts w:ascii="Montserrat" w:eastAsia="Times New Roman" w:hAnsi="Montserrat" w:cs="Arial"/>
          <w:sz w:val="24"/>
          <w:szCs w:val="24"/>
          <w:lang w:val="es-ES" w:eastAsia="es-ES"/>
        </w:rPr>
        <w:t xml:space="preserve">Durante 2019 la DGDHIGAI </w:t>
      </w:r>
      <w:r w:rsidRPr="00A62C8D">
        <w:rPr>
          <w:rFonts w:ascii="Montserrat" w:eastAsia="Times New Roman" w:hAnsi="Montserrat" w:cs="Arial"/>
          <w:sz w:val="24"/>
          <w:szCs w:val="24"/>
          <w:lang w:val="es-ES_tradnl" w:eastAsia="es-ES"/>
        </w:rPr>
        <w:t xml:space="preserve">gestionó la traducción al Braille de diversas constancias de dos expedientes del índice de órganos jurisdiccionales adscritos al CJF, relativos a personas con discapacidad visual, por lo que se coordinó con la Suprema Corte de Justicia de la Nación (SCJN) la reproducción al sistema de escritura Braille y de audio, a fin de entregarla </w:t>
      </w:r>
      <w:r w:rsidRPr="00A62C8D">
        <w:rPr>
          <w:rFonts w:ascii="Montserrat" w:eastAsia="Times New Roman" w:hAnsi="Montserrat" w:cs="Arial"/>
          <w:sz w:val="24"/>
          <w:szCs w:val="24"/>
          <w:lang w:val="es-ES_tradnl" w:eastAsia="es-ES"/>
        </w:rPr>
        <w:lastRenderedPageBreak/>
        <w:t>a la parte quejosa al momento de notificarle la sentencia y/o resolución correspondiente.</w:t>
      </w:r>
    </w:p>
    <w:p w14:paraId="7B76C765" w14:textId="77777777" w:rsidR="00A62C8D" w:rsidRPr="00A62C8D" w:rsidRDefault="00A62C8D" w:rsidP="00A62C8D">
      <w:pPr>
        <w:spacing w:after="0" w:line="240" w:lineRule="auto"/>
        <w:jc w:val="both"/>
        <w:rPr>
          <w:rFonts w:ascii="Montserrat" w:eastAsia="Times New Roman" w:hAnsi="Montserrat" w:cs="Arial"/>
          <w:sz w:val="24"/>
          <w:szCs w:val="24"/>
          <w:lang w:val="es-ES_tradnl" w:eastAsia="es-ES"/>
        </w:rPr>
      </w:pPr>
    </w:p>
    <w:p w14:paraId="16CC79CF" w14:textId="77777777" w:rsidR="00A62C8D" w:rsidRPr="00A62C8D" w:rsidRDefault="00A62C8D" w:rsidP="00A62C8D">
      <w:pPr>
        <w:spacing w:after="0" w:line="240" w:lineRule="auto"/>
        <w:jc w:val="both"/>
        <w:rPr>
          <w:rFonts w:ascii="Montserrat" w:eastAsia="Times New Roman" w:hAnsi="Montserrat" w:cs="Arial"/>
          <w:sz w:val="24"/>
          <w:szCs w:val="24"/>
          <w:lang w:val="es-ES" w:eastAsia="es-ES"/>
        </w:rPr>
      </w:pPr>
      <w:r w:rsidRPr="00A62C8D">
        <w:rPr>
          <w:rFonts w:ascii="Montserrat" w:eastAsia="Times New Roman" w:hAnsi="Montserrat" w:cs="Arial"/>
          <w:sz w:val="24"/>
          <w:szCs w:val="24"/>
          <w:lang w:val="es-ES_tradnl" w:eastAsia="es-ES"/>
        </w:rPr>
        <w:t xml:space="preserve">Posteriormente, </w:t>
      </w:r>
      <w:r w:rsidRPr="00A62C8D">
        <w:rPr>
          <w:rFonts w:ascii="Montserrat" w:eastAsia="Times New Roman" w:hAnsi="Montserrat" w:cs="Arial"/>
          <w:sz w:val="24"/>
          <w:szCs w:val="24"/>
          <w:lang w:val="es-ES" w:eastAsia="es-ES"/>
        </w:rPr>
        <w:t xml:space="preserve">la Unidad de Transparencia (UT) gestionó: </w:t>
      </w:r>
      <w:r w:rsidRPr="00A62C8D">
        <w:rPr>
          <w:rFonts w:ascii="Montserrat" w:eastAsia="Times New Roman" w:hAnsi="Montserrat" w:cs="Arial"/>
          <w:b/>
          <w:bCs/>
          <w:i/>
          <w:iCs/>
          <w:sz w:val="24"/>
          <w:szCs w:val="24"/>
          <w:lang w:val="es-ES" w:eastAsia="es-ES"/>
        </w:rPr>
        <w:t>(i)</w:t>
      </w:r>
      <w:r w:rsidRPr="00A62C8D">
        <w:rPr>
          <w:rFonts w:ascii="Montserrat" w:eastAsia="Times New Roman" w:hAnsi="Montserrat" w:cs="Arial"/>
          <w:sz w:val="24"/>
          <w:szCs w:val="24"/>
          <w:lang w:val="es-ES" w:eastAsia="es-ES"/>
        </w:rPr>
        <w:t xml:space="preserve"> primero, con la Universidad Autónoma de la Ciudad de México, la impresión de resoluciones judiciales en lenguaje braille; y </w:t>
      </w:r>
      <w:r w:rsidRPr="00A62C8D">
        <w:rPr>
          <w:rFonts w:ascii="Montserrat" w:eastAsia="Times New Roman" w:hAnsi="Montserrat" w:cs="Arial"/>
          <w:b/>
          <w:bCs/>
          <w:i/>
          <w:iCs/>
          <w:sz w:val="24"/>
          <w:szCs w:val="24"/>
          <w:lang w:val="es-ES" w:eastAsia="es-ES"/>
        </w:rPr>
        <w:t>(ii)</w:t>
      </w:r>
      <w:r w:rsidRPr="00A62C8D">
        <w:rPr>
          <w:rFonts w:ascii="Montserrat" w:eastAsia="Times New Roman" w:hAnsi="Montserrat" w:cs="Arial"/>
          <w:sz w:val="24"/>
          <w:szCs w:val="24"/>
          <w:lang w:val="es-ES" w:eastAsia="es-ES"/>
        </w:rPr>
        <w:t xml:space="preserve"> después, con la Dirección General de Recursos Materiales del mismo CJF, la adquisición de una impresora braille para garantizar el derecho a la información de las personas con discapacidad.</w:t>
      </w:r>
    </w:p>
    <w:p w14:paraId="3D69C773" w14:textId="77777777" w:rsidR="00A62C8D" w:rsidRPr="00A62C8D" w:rsidRDefault="00A62C8D" w:rsidP="00A62C8D">
      <w:pPr>
        <w:spacing w:after="0" w:line="240" w:lineRule="auto"/>
        <w:jc w:val="both"/>
        <w:rPr>
          <w:rFonts w:ascii="Montserrat" w:eastAsia="Times New Roman" w:hAnsi="Montserrat" w:cs="Arial"/>
          <w:sz w:val="24"/>
          <w:szCs w:val="24"/>
          <w:lang w:val="es-ES_tradnl" w:eastAsia="es-ES"/>
        </w:rPr>
      </w:pPr>
    </w:p>
    <w:p w14:paraId="1E156B09" w14:textId="77777777" w:rsidR="00A62C8D" w:rsidRPr="00A62C8D" w:rsidRDefault="00A62C8D" w:rsidP="00A62C8D">
      <w:pPr>
        <w:spacing w:after="0" w:line="240" w:lineRule="auto"/>
        <w:jc w:val="both"/>
        <w:rPr>
          <w:rFonts w:ascii="Montserrat" w:eastAsia="Times New Roman" w:hAnsi="Montserrat" w:cs="Arial"/>
          <w:sz w:val="24"/>
          <w:szCs w:val="24"/>
          <w:lang w:val="es-ES_tradnl" w:eastAsia="es-ES"/>
        </w:rPr>
      </w:pPr>
      <w:r w:rsidRPr="00A62C8D">
        <w:rPr>
          <w:rFonts w:ascii="Montserrat" w:eastAsia="Times New Roman" w:hAnsi="Montserrat" w:cs="Arial"/>
          <w:sz w:val="24"/>
          <w:szCs w:val="24"/>
          <w:lang w:val="es-ES_tradnl" w:eastAsia="es-ES"/>
        </w:rPr>
        <w:t xml:space="preserve">Por ello, la UT del CJF informó que adquirió una impresora Braille y solicitó a esta DGDHIGAI promover su disponibilidad. En respuesta, en 2021 se elaboró una campaña de difusión en la que, a través de 6 infografías, se dieron a conocer </w:t>
      </w:r>
      <w:r w:rsidRPr="00A62C8D">
        <w:rPr>
          <w:rFonts w:ascii="Montserrat" w:eastAsia="Times New Roman" w:hAnsi="Montserrat" w:cs="Arial"/>
          <w:b/>
          <w:bCs/>
          <w:i/>
          <w:iCs/>
          <w:sz w:val="24"/>
          <w:szCs w:val="24"/>
          <w:lang w:val="es-ES_tradnl" w:eastAsia="es-ES"/>
        </w:rPr>
        <w:t>(i)</w:t>
      </w:r>
      <w:r w:rsidRPr="00A62C8D">
        <w:rPr>
          <w:rFonts w:ascii="Montserrat" w:eastAsia="Times New Roman" w:hAnsi="Montserrat" w:cs="Arial"/>
          <w:sz w:val="24"/>
          <w:szCs w:val="24"/>
          <w:lang w:val="es-ES_tradnl" w:eastAsia="es-ES"/>
        </w:rPr>
        <w:t xml:space="preserve"> los derechos de las personas con discapacidad y en concreto de aquellas que presentan una discapacidad visual; </w:t>
      </w:r>
      <w:r w:rsidRPr="00A62C8D">
        <w:rPr>
          <w:rFonts w:ascii="Montserrat" w:eastAsia="Times New Roman" w:hAnsi="Montserrat" w:cs="Arial"/>
          <w:b/>
          <w:bCs/>
          <w:i/>
          <w:iCs/>
          <w:sz w:val="24"/>
          <w:szCs w:val="24"/>
          <w:lang w:val="es-ES_tradnl" w:eastAsia="es-ES"/>
        </w:rPr>
        <w:t>(ii)</w:t>
      </w:r>
      <w:r w:rsidRPr="00A62C8D">
        <w:rPr>
          <w:rFonts w:ascii="Montserrat" w:eastAsia="Times New Roman" w:hAnsi="Montserrat" w:cs="Arial"/>
          <w:sz w:val="24"/>
          <w:szCs w:val="24"/>
          <w:lang w:val="es-ES_tradnl" w:eastAsia="es-ES"/>
        </w:rPr>
        <w:t xml:space="preserve"> la adquisición de la impresora Braille y su disponibilidad para las áreas administrativas y órganos jurisdiccionales del CJF; y </w:t>
      </w:r>
      <w:r w:rsidRPr="00A62C8D">
        <w:rPr>
          <w:rFonts w:ascii="Montserrat" w:eastAsia="Times New Roman" w:hAnsi="Montserrat" w:cs="Arial"/>
          <w:b/>
          <w:bCs/>
          <w:i/>
          <w:iCs/>
          <w:sz w:val="24"/>
          <w:szCs w:val="24"/>
          <w:lang w:val="es-ES_tradnl" w:eastAsia="es-ES"/>
        </w:rPr>
        <w:t>(iii)</w:t>
      </w:r>
      <w:r w:rsidRPr="00A62C8D">
        <w:rPr>
          <w:rFonts w:ascii="Montserrat" w:eastAsia="Times New Roman" w:hAnsi="Montserrat" w:cs="Arial"/>
          <w:sz w:val="24"/>
          <w:szCs w:val="24"/>
          <w:lang w:val="es-ES_tradnl" w:eastAsia="es-ES"/>
        </w:rPr>
        <w:t xml:space="preserve"> el procedimiento para tramitar sus solicitudes.</w:t>
      </w:r>
    </w:p>
    <w:p w14:paraId="36B7ED18" w14:textId="77777777" w:rsidR="00A62C8D" w:rsidRPr="00A62C8D" w:rsidRDefault="00A62C8D" w:rsidP="00A62C8D">
      <w:pPr>
        <w:spacing w:after="0" w:line="240" w:lineRule="auto"/>
        <w:jc w:val="both"/>
        <w:rPr>
          <w:rFonts w:ascii="Montserrat" w:eastAsia="Times New Roman" w:hAnsi="Montserrat" w:cs="Arial"/>
          <w:sz w:val="24"/>
          <w:szCs w:val="24"/>
          <w:lang w:val="es-ES_tradnl" w:eastAsia="es-ES"/>
        </w:rPr>
      </w:pPr>
    </w:p>
    <w:p w14:paraId="490F8DBB" w14:textId="77777777" w:rsidR="00A62C8D" w:rsidRPr="00A62C8D" w:rsidRDefault="00A62C8D" w:rsidP="00A62C8D">
      <w:pPr>
        <w:spacing w:after="0" w:line="240" w:lineRule="auto"/>
        <w:jc w:val="both"/>
        <w:rPr>
          <w:rFonts w:ascii="Montserrat" w:eastAsia="Calibri" w:hAnsi="Montserrat" w:cs="Arial"/>
          <w:kern w:val="2"/>
          <w:sz w:val="24"/>
          <w:szCs w:val="24"/>
          <w14:ligatures w14:val="standardContextual"/>
        </w:rPr>
      </w:pPr>
      <w:r w:rsidRPr="00A62C8D">
        <w:rPr>
          <w:rFonts w:ascii="Montserrat" w:eastAsia="Calibri" w:hAnsi="Montserrat" w:cs="Arial"/>
          <w:kern w:val="2"/>
          <w:sz w:val="24"/>
          <w:szCs w:val="24"/>
          <w14:ligatures w14:val="standardContextual"/>
        </w:rPr>
        <w:t>Gracias a esto, la DGDHIGAI se encarga de gestionar con la UT las solicitudes de reproducción de documentos en el sistema de escritura Braille que formulan las áreas administrativas y órganos jurisdiccionales del CJF y la reproducción de tales documentos en formato de audio, con el auxilio del Centro de Documentación y Análisis, Archivos y Compilación de Leyes de la SCJN.</w:t>
      </w:r>
    </w:p>
    <w:p w14:paraId="74BD1ADE" w14:textId="77777777" w:rsidR="00A62C8D" w:rsidRPr="00A62C8D" w:rsidRDefault="00A62C8D" w:rsidP="00A62C8D">
      <w:pPr>
        <w:spacing w:after="0" w:line="240" w:lineRule="auto"/>
        <w:jc w:val="both"/>
        <w:rPr>
          <w:rFonts w:ascii="Montserrat" w:eastAsia="Calibri" w:hAnsi="Montserrat" w:cs="Arial"/>
          <w:kern w:val="2"/>
          <w:sz w:val="24"/>
          <w:szCs w:val="24"/>
          <w14:ligatures w14:val="standardContextual"/>
        </w:rPr>
      </w:pPr>
    </w:p>
    <w:p w14:paraId="15BCB1FC" w14:textId="77777777" w:rsidR="00A62C8D" w:rsidRPr="00A62C8D" w:rsidRDefault="00A62C8D" w:rsidP="00A62C8D">
      <w:pPr>
        <w:spacing w:after="0" w:line="240" w:lineRule="auto"/>
        <w:jc w:val="both"/>
        <w:rPr>
          <w:rFonts w:ascii="Montserrat" w:eastAsia="Times New Roman" w:hAnsi="Montserrat" w:cs="Arial"/>
          <w:sz w:val="24"/>
          <w:szCs w:val="24"/>
          <w:lang w:val="es-ES" w:eastAsia="es-ES"/>
        </w:rPr>
      </w:pPr>
      <w:r w:rsidRPr="00A62C8D">
        <w:rPr>
          <w:rFonts w:ascii="Montserrat" w:eastAsia="Times New Roman" w:hAnsi="Montserrat" w:cs="Arial"/>
          <w:sz w:val="24"/>
          <w:szCs w:val="24"/>
          <w:lang w:val="es-ES" w:eastAsia="es-ES"/>
        </w:rPr>
        <w:t xml:space="preserve">Con el objetivo de garantizar a las personas con discapacidad el derecho de acceso a la justicia, el CJF cuenta con equipamiento denominado </w:t>
      </w:r>
      <w:r w:rsidRPr="00A62C8D">
        <w:rPr>
          <w:rFonts w:ascii="Montserrat" w:eastAsia="Times New Roman" w:hAnsi="Montserrat" w:cs="Arial"/>
          <w:i/>
          <w:iCs/>
          <w:sz w:val="24"/>
          <w:szCs w:val="24"/>
          <w:lang w:val="es-ES" w:eastAsia="es-ES"/>
        </w:rPr>
        <w:t>Hardware para la inclusión de la justicia</w:t>
      </w:r>
      <w:r w:rsidRPr="00A62C8D">
        <w:rPr>
          <w:rFonts w:ascii="Montserrat" w:eastAsia="Times New Roman" w:hAnsi="Montserrat" w:cs="Arial"/>
          <w:sz w:val="24"/>
          <w:szCs w:val="24"/>
          <w:lang w:val="es-ES" w:eastAsia="es-ES"/>
        </w:rPr>
        <w:t>, mismo que se encuentra en las diferentes salas de audiencia de juicio oral de cada Centro de Justicia Penal Federal y que consiste en:</w:t>
      </w:r>
    </w:p>
    <w:p w14:paraId="0304C36D" w14:textId="77777777" w:rsidR="00A62C8D" w:rsidRPr="00A62C8D" w:rsidRDefault="00A62C8D" w:rsidP="00A62C8D">
      <w:pPr>
        <w:spacing w:after="0" w:line="240" w:lineRule="auto"/>
        <w:jc w:val="both"/>
        <w:rPr>
          <w:rFonts w:ascii="Montserrat" w:eastAsia="Times New Roman" w:hAnsi="Montserrat" w:cs="Arial"/>
          <w:sz w:val="24"/>
          <w:szCs w:val="24"/>
          <w:lang w:val="es-ES" w:eastAsia="es-ES"/>
        </w:rPr>
      </w:pPr>
    </w:p>
    <w:p w14:paraId="68C9ECE2" w14:textId="77777777" w:rsidR="00A62C8D" w:rsidRPr="00A62C8D" w:rsidRDefault="00A62C8D" w:rsidP="00A62C8D">
      <w:pPr>
        <w:numPr>
          <w:ilvl w:val="0"/>
          <w:numId w:val="2"/>
        </w:numPr>
        <w:spacing w:after="0" w:line="276" w:lineRule="auto"/>
        <w:jc w:val="both"/>
        <w:rPr>
          <w:rFonts w:ascii="Montserrat" w:eastAsia="Calibri" w:hAnsi="Montserrat" w:cs="Arial"/>
          <w:b/>
          <w:bCs/>
          <w:sz w:val="24"/>
          <w:szCs w:val="24"/>
        </w:rPr>
      </w:pPr>
      <w:r w:rsidRPr="00A62C8D">
        <w:rPr>
          <w:rFonts w:ascii="Montserrat" w:eastAsia="Calibri" w:hAnsi="Montserrat" w:cs="Arial"/>
          <w:sz w:val="24"/>
          <w:szCs w:val="24"/>
        </w:rPr>
        <w:t>Consola para intérprete de lenguas diferentes al español que permite integrar el audio del traductor hacia la audiencia, mediante audífonos para las partes actoras.</w:t>
      </w:r>
    </w:p>
    <w:p w14:paraId="25919477" w14:textId="77777777" w:rsidR="00A62C8D" w:rsidRPr="00A62C8D" w:rsidRDefault="00A62C8D" w:rsidP="00A62C8D">
      <w:pPr>
        <w:numPr>
          <w:ilvl w:val="0"/>
          <w:numId w:val="2"/>
        </w:numPr>
        <w:spacing w:after="0" w:line="276" w:lineRule="auto"/>
        <w:jc w:val="both"/>
        <w:rPr>
          <w:rFonts w:ascii="Montserrat" w:eastAsia="Calibri" w:hAnsi="Montserrat" w:cs="Arial"/>
          <w:b/>
          <w:bCs/>
          <w:sz w:val="24"/>
          <w:szCs w:val="24"/>
        </w:rPr>
      </w:pPr>
      <w:r w:rsidRPr="00A62C8D">
        <w:rPr>
          <w:rFonts w:ascii="Montserrat" w:eastAsia="Calibri" w:hAnsi="Montserrat" w:cs="Arial"/>
          <w:sz w:val="24"/>
          <w:szCs w:val="24"/>
        </w:rPr>
        <w:t>Marcadores en color verde en los recuadros de video, que pueden observarse en las pantallas dentro de la sala, las cuales muestran un título que identifica a la parte actora que tiene el uso de la palabra.</w:t>
      </w:r>
    </w:p>
    <w:p w14:paraId="5CF95519" w14:textId="77777777" w:rsidR="00A62C8D" w:rsidRPr="00A62C8D" w:rsidRDefault="00A62C8D" w:rsidP="00A62C8D">
      <w:pPr>
        <w:numPr>
          <w:ilvl w:val="0"/>
          <w:numId w:val="2"/>
        </w:numPr>
        <w:spacing w:after="0" w:line="276" w:lineRule="auto"/>
        <w:jc w:val="both"/>
        <w:rPr>
          <w:rFonts w:ascii="Montserrat" w:eastAsia="Calibri" w:hAnsi="Montserrat" w:cs="Arial"/>
          <w:b/>
          <w:bCs/>
          <w:sz w:val="24"/>
          <w:szCs w:val="24"/>
        </w:rPr>
      </w:pPr>
      <w:r w:rsidRPr="00A62C8D">
        <w:rPr>
          <w:rFonts w:ascii="Montserrat" w:eastAsia="Calibri" w:hAnsi="Montserrat" w:cs="Arial"/>
          <w:sz w:val="24"/>
          <w:szCs w:val="24"/>
        </w:rPr>
        <w:t>Voz en off que anuncia, a través de los audífonos, la parte actora en uso de la palabra, con la finalidad de que las personas con debilidad visual puedan saber quién está hablando.</w:t>
      </w:r>
    </w:p>
    <w:p w14:paraId="64427EF0" w14:textId="77777777" w:rsidR="00A62C8D" w:rsidRPr="00A62C8D" w:rsidRDefault="00A62C8D" w:rsidP="00A62C8D">
      <w:pPr>
        <w:numPr>
          <w:ilvl w:val="0"/>
          <w:numId w:val="2"/>
        </w:numPr>
        <w:spacing w:after="0" w:line="276" w:lineRule="auto"/>
        <w:jc w:val="both"/>
        <w:rPr>
          <w:rFonts w:ascii="Montserrat" w:eastAsia="Calibri" w:hAnsi="Montserrat" w:cs="Arial"/>
          <w:b/>
          <w:bCs/>
          <w:sz w:val="24"/>
          <w:szCs w:val="24"/>
        </w:rPr>
      </w:pPr>
      <w:r w:rsidRPr="00A62C8D">
        <w:rPr>
          <w:rFonts w:ascii="Montserrat" w:eastAsia="Calibri" w:hAnsi="Montserrat" w:cs="Arial"/>
          <w:sz w:val="24"/>
          <w:szCs w:val="24"/>
        </w:rPr>
        <w:lastRenderedPageBreak/>
        <w:t>Diadema de inducción que permite a las personas con implante coclear captar el audio de la audiencia.</w:t>
      </w:r>
    </w:p>
    <w:p w14:paraId="660CBBBD" w14:textId="77777777" w:rsidR="00A62C8D" w:rsidRPr="00A62C8D" w:rsidRDefault="00A62C8D" w:rsidP="00A62C8D">
      <w:pPr>
        <w:spacing w:after="0" w:line="240" w:lineRule="auto"/>
        <w:jc w:val="both"/>
        <w:rPr>
          <w:rFonts w:ascii="Montserrat" w:eastAsia="Times New Roman" w:hAnsi="Montserrat" w:cs="Arial"/>
          <w:sz w:val="24"/>
          <w:szCs w:val="24"/>
          <w:lang w:val="es-ES" w:eastAsia="es-ES"/>
        </w:rPr>
      </w:pPr>
    </w:p>
    <w:p w14:paraId="118B39D9" w14:textId="77777777" w:rsidR="00A62C8D" w:rsidRPr="00A62C8D" w:rsidRDefault="00A62C8D" w:rsidP="00A62C8D">
      <w:pPr>
        <w:spacing w:after="0" w:line="240" w:lineRule="auto"/>
        <w:jc w:val="both"/>
        <w:rPr>
          <w:rFonts w:ascii="Montserrat" w:eastAsia="Times New Roman" w:hAnsi="Montserrat" w:cs="Arial"/>
          <w:sz w:val="24"/>
          <w:szCs w:val="24"/>
          <w:lang w:val="es-ES" w:eastAsia="es-ES"/>
        </w:rPr>
      </w:pPr>
      <w:r w:rsidRPr="00A62C8D">
        <w:rPr>
          <w:rFonts w:ascii="Montserrat" w:eastAsia="Times New Roman" w:hAnsi="Montserrat" w:cs="Arial"/>
          <w:sz w:val="24"/>
          <w:szCs w:val="24"/>
          <w:lang w:val="es-ES" w:eastAsia="es-ES"/>
        </w:rPr>
        <w:t>Además, debido a que un órgano jurisdiccional solicitó asesoría especializada para la emisión de una sentencia en formato de lectura fácil, y atendiendo a que el “Protocolo para Juzgar con Perspectiva de Infancia y Adolescencia” establece la necesidad de favorecer una comunicación accesible que explique a las niñas, niños y adolescentes (NNA) la decisión que se tomó sobre sus derechos y los alcances de la misma, esta oficina estimó conveniente que una persona especialista en temas de infancia fuera la encargada de revisar la sentencia de lectura fácil, en analogía a los lineamientos aplicables para el desahogo de pruebas en procesos en los que participan NNA.</w:t>
      </w:r>
    </w:p>
    <w:p w14:paraId="2536FACC" w14:textId="77777777" w:rsidR="00A62C8D" w:rsidRPr="00A62C8D" w:rsidRDefault="00A62C8D" w:rsidP="00A62C8D">
      <w:pPr>
        <w:spacing w:after="0" w:line="240" w:lineRule="auto"/>
        <w:jc w:val="both"/>
        <w:rPr>
          <w:rFonts w:ascii="Montserrat" w:eastAsia="Times New Roman" w:hAnsi="Montserrat" w:cs="Arial"/>
          <w:sz w:val="24"/>
          <w:szCs w:val="24"/>
          <w:lang w:val="es-ES" w:eastAsia="es-ES"/>
        </w:rPr>
      </w:pPr>
    </w:p>
    <w:p w14:paraId="49402A18" w14:textId="77777777" w:rsidR="00A62C8D" w:rsidRPr="00A62C8D" w:rsidRDefault="00A62C8D" w:rsidP="00A62C8D">
      <w:pPr>
        <w:spacing w:after="0" w:line="240" w:lineRule="auto"/>
        <w:jc w:val="both"/>
        <w:rPr>
          <w:rFonts w:ascii="Montserrat" w:eastAsia="Times New Roman" w:hAnsi="Montserrat" w:cs="Arial"/>
          <w:sz w:val="24"/>
          <w:szCs w:val="24"/>
          <w:lang w:val="es-ES" w:eastAsia="es-ES"/>
        </w:rPr>
      </w:pPr>
      <w:r w:rsidRPr="00A62C8D">
        <w:rPr>
          <w:rFonts w:ascii="Montserrat" w:eastAsia="Times New Roman" w:hAnsi="Montserrat" w:cs="Arial"/>
          <w:sz w:val="24"/>
          <w:szCs w:val="24"/>
          <w:lang w:val="es-ES" w:eastAsia="es-ES"/>
        </w:rPr>
        <w:t>La DGDHIGAI buscó una alternativa para acercar dicho servicio a los órganos jurisdiccionales, por lo que solicitó a la Unidad de Peritos Judiciales (UPJ) que gestionara la comunicación entre el órgano jurisdiccional y una persona especialista en la materia, a fin de que brindara asesoría en la elaboración de una versión de la sentencia en formato de lectura fácil.</w:t>
      </w:r>
    </w:p>
    <w:p w14:paraId="3D9BA739" w14:textId="77777777" w:rsidR="00A62C8D" w:rsidRPr="00A62C8D" w:rsidRDefault="00A62C8D" w:rsidP="00A62C8D">
      <w:pPr>
        <w:spacing w:after="0" w:line="240" w:lineRule="auto"/>
        <w:jc w:val="both"/>
        <w:rPr>
          <w:rFonts w:ascii="Montserrat" w:eastAsia="Times New Roman" w:hAnsi="Montserrat" w:cs="Arial"/>
          <w:sz w:val="24"/>
          <w:szCs w:val="24"/>
          <w:lang w:val="es-ES" w:eastAsia="es-ES"/>
        </w:rPr>
      </w:pPr>
    </w:p>
    <w:p w14:paraId="176AFAA5" w14:textId="77777777" w:rsidR="00A62C8D" w:rsidRPr="00A62C8D" w:rsidRDefault="00A62C8D" w:rsidP="00A62C8D">
      <w:pPr>
        <w:spacing w:after="0" w:line="240" w:lineRule="auto"/>
        <w:jc w:val="both"/>
        <w:rPr>
          <w:rFonts w:ascii="Montserrat" w:eastAsia="Times New Roman" w:hAnsi="Montserrat" w:cs="Arial"/>
          <w:sz w:val="24"/>
          <w:szCs w:val="24"/>
          <w:lang w:val="es-ES" w:eastAsia="es-ES"/>
        </w:rPr>
      </w:pPr>
      <w:r w:rsidRPr="00A62C8D">
        <w:rPr>
          <w:rFonts w:ascii="Montserrat" w:eastAsia="Times New Roman" w:hAnsi="Montserrat" w:cs="Arial"/>
          <w:sz w:val="24"/>
          <w:szCs w:val="24"/>
          <w:lang w:val="es-ES" w:eastAsia="es-ES"/>
        </w:rPr>
        <w:t>En respuesta, la UPJ comunicó que para brindar acompañamiento y asesoría en aspectos técnicos a las personas juzgadoras del CJF, da trámite a las peticiones que le dirigen los órganos jurisdiccionales y coadyuva con ellos en la búsqueda y designación de las personas expertas, tras lo cual brinda el seguimiento respectivo hasta la conclusión del asunto. En este sentido, la UPJ informó que había establecido contacto con el órgano solicitante para recabar información adicional y posteriormente emprender la búsqueda de la persona experta que colaboraría en la elaboración de la sentencia en formato de lectura fácil.</w:t>
      </w:r>
    </w:p>
    <w:p w14:paraId="7E1E439C" w14:textId="77777777" w:rsidR="00A62C8D" w:rsidRPr="00A62C8D" w:rsidRDefault="00A62C8D" w:rsidP="00A62C8D">
      <w:pPr>
        <w:spacing w:after="0" w:line="240" w:lineRule="auto"/>
        <w:jc w:val="both"/>
        <w:rPr>
          <w:rFonts w:ascii="Montserrat" w:eastAsia="Times New Roman" w:hAnsi="Montserrat" w:cs="Arial"/>
          <w:sz w:val="24"/>
          <w:szCs w:val="24"/>
          <w:lang w:val="es-ES" w:eastAsia="es-ES"/>
        </w:rPr>
      </w:pPr>
    </w:p>
    <w:p w14:paraId="6A14B64C" w14:textId="77777777" w:rsidR="00A62C8D" w:rsidRPr="00A62C8D" w:rsidRDefault="00A62C8D" w:rsidP="00A62C8D">
      <w:pPr>
        <w:spacing w:after="0" w:line="240" w:lineRule="auto"/>
        <w:jc w:val="both"/>
        <w:rPr>
          <w:rFonts w:ascii="Montserrat" w:eastAsia="Times New Roman" w:hAnsi="Montserrat" w:cs="Arial"/>
          <w:sz w:val="24"/>
          <w:szCs w:val="24"/>
          <w:lang w:eastAsia="es-ES"/>
        </w:rPr>
      </w:pPr>
      <w:r w:rsidRPr="00A62C8D">
        <w:rPr>
          <w:rFonts w:ascii="Montserrat" w:eastAsia="Times New Roman" w:hAnsi="Montserrat" w:cs="Arial"/>
          <w:sz w:val="24"/>
          <w:szCs w:val="24"/>
          <w:lang w:eastAsia="es-ES"/>
        </w:rPr>
        <w:t>Finalmente, la DGDHIGAI ha trabajado en la creación del micrositio “Convenciones Comentadas. Justicia Inclusiva”, cuyo propósito es que el Poder Judicial de la Federación, organizaciones de la sociedad civil, personas activistas, litigantes y academia, en su conjunto, se apropien de los contenidos, la interpretación y los alcances de dos convenciones: La Convención sobre los Derechos del Niño (1990), y la Convención sobre los Derechos de las Personas con Discapacidad (2008). Estos materiales de consulta y sensibilización tienen por objeto poner al centro de la impartición de justicia a los derechos de la niñez y de las personas con discapacidad, y apunta a una transformación cultural desde el interior de las instancias encargadas de garantizarlos.</w:t>
      </w:r>
    </w:p>
    <w:p w14:paraId="37A280EA" w14:textId="77777777" w:rsidR="00A62C8D" w:rsidRPr="00A62C8D" w:rsidRDefault="00A62C8D" w:rsidP="00A62C8D">
      <w:pPr>
        <w:spacing w:after="0" w:line="240" w:lineRule="auto"/>
        <w:jc w:val="both"/>
        <w:rPr>
          <w:rFonts w:ascii="Montserrat" w:eastAsia="Times New Roman" w:hAnsi="Montserrat" w:cs="Arial"/>
          <w:sz w:val="24"/>
          <w:szCs w:val="24"/>
          <w:lang w:eastAsia="es-ES"/>
        </w:rPr>
      </w:pPr>
    </w:p>
    <w:p w14:paraId="70385BC9" w14:textId="77777777" w:rsidR="00A62C8D" w:rsidRPr="00A62C8D" w:rsidRDefault="00A62C8D" w:rsidP="00A62C8D">
      <w:pPr>
        <w:spacing w:after="0" w:line="240" w:lineRule="auto"/>
        <w:jc w:val="both"/>
        <w:rPr>
          <w:rFonts w:ascii="Montserrat" w:eastAsia="Times New Roman" w:hAnsi="Montserrat" w:cs="Arial"/>
          <w:sz w:val="24"/>
          <w:szCs w:val="24"/>
          <w:lang w:val="es-ES" w:eastAsia="es-ES"/>
        </w:rPr>
      </w:pPr>
      <w:r w:rsidRPr="00A62C8D">
        <w:rPr>
          <w:rFonts w:ascii="Montserrat" w:eastAsia="Times New Roman" w:hAnsi="Montserrat" w:cs="Arial"/>
          <w:sz w:val="24"/>
          <w:szCs w:val="24"/>
          <w:lang w:eastAsia="es-ES"/>
        </w:rPr>
        <w:lastRenderedPageBreak/>
        <w:t>El micrositio fue diseñado con el apoyo de la DGETD y actualmente se encuentra en la etapa final de validación. En él estarán alojadas las versiones ilustradas y comentadas de ambas convenciones, 16 infografías que abordan sus distintas obligaciones, así como dos videos en los que las infancias, adolescencias y personas con discapacidad hablan directamente sobre sus derechos y la necesidad de protegerlos.</w:t>
      </w:r>
    </w:p>
    <w:p w14:paraId="3D261280" w14:textId="77777777" w:rsidR="00917387" w:rsidRPr="00A62C8D" w:rsidRDefault="00412197">
      <w:pPr>
        <w:rPr>
          <w:lang w:val="es-ES"/>
        </w:rPr>
      </w:pPr>
    </w:p>
    <w:sectPr w:rsidR="00917387" w:rsidRPr="00A62C8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8BFC3" w14:textId="77777777" w:rsidR="004E1F52" w:rsidRDefault="004E1F52" w:rsidP="00A62C8D">
      <w:pPr>
        <w:spacing w:after="0" w:line="240" w:lineRule="auto"/>
      </w:pPr>
      <w:r>
        <w:separator/>
      </w:r>
    </w:p>
  </w:endnote>
  <w:endnote w:type="continuationSeparator" w:id="0">
    <w:p w14:paraId="624261B0" w14:textId="77777777" w:rsidR="004E1F52" w:rsidRDefault="004E1F52" w:rsidP="00A62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0824D" w14:textId="77777777" w:rsidR="004E1F52" w:rsidRDefault="004E1F52" w:rsidP="00A62C8D">
      <w:pPr>
        <w:spacing w:after="0" w:line="240" w:lineRule="auto"/>
      </w:pPr>
      <w:r>
        <w:separator/>
      </w:r>
    </w:p>
  </w:footnote>
  <w:footnote w:type="continuationSeparator" w:id="0">
    <w:p w14:paraId="4AFE2995" w14:textId="77777777" w:rsidR="004E1F52" w:rsidRDefault="004E1F52" w:rsidP="00A62C8D">
      <w:pPr>
        <w:spacing w:after="0" w:line="240" w:lineRule="auto"/>
      </w:pPr>
      <w:r>
        <w:continuationSeparator/>
      </w:r>
    </w:p>
  </w:footnote>
  <w:footnote w:id="1">
    <w:p w14:paraId="49EFED4F" w14:textId="77777777" w:rsidR="00B96650" w:rsidRDefault="00B96650" w:rsidP="00B96650">
      <w:pPr>
        <w:pStyle w:val="FootnoteText"/>
      </w:pPr>
      <w:r>
        <w:rPr>
          <w:rStyle w:val="FootnoteReference"/>
        </w:rPr>
        <w:footnoteRef/>
      </w:r>
      <w:r>
        <w:t xml:space="preserve"> Los anexos pueden ser consultados en: </w:t>
      </w:r>
    </w:p>
    <w:p w14:paraId="146FCE69" w14:textId="77777777" w:rsidR="00B96650" w:rsidRPr="00B96650" w:rsidRDefault="00412197" w:rsidP="00B96650">
      <w:pPr>
        <w:pStyle w:val="FootnoteText"/>
      </w:pPr>
      <w:hyperlink r:id="rId1" w:history="1">
        <w:r w:rsidR="00B96650" w:rsidRPr="009B44D3">
          <w:rPr>
            <w:rStyle w:val="Hyperlink"/>
          </w:rPr>
          <w:t>https://drive.google.com/drive/folders/1SaYvxeGNI43xFLLSzQJKeSe2CoGp1jUd?usp=share_link</w:t>
        </w:r>
      </w:hyperlink>
      <w:r w:rsidR="00B96650">
        <w:t xml:space="preserve"> </w:t>
      </w:r>
    </w:p>
  </w:footnote>
  <w:footnote w:id="2">
    <w:p w14:paraId="204E5C67" w14:textId="77777777" w:rsidR="00A62C8D" w:rsidRPr="00A83FB1" w:rsidRDefault="00A62C8D" w:rsidP="00A62C8D">
      <w:pPr>
        <w:pStyle w:val="FootnoteText"/>
        <w:spacing w:line="276" w:lineRule="auto"/>
        <w:jc w:val="both"/>
        <w:rPr>
          <w:rFonts w:ascii="Montserrat" w:hAnsi="Montserrat" w:cs="Arial"/>
          <w:sz w:val="16"/>
          <w:szCs w:val="16"/>
          <w:lang w:val="es-MX"/>
        </w:rPr>
      </w:pPr>
      <w:r w:rsidRPr="00A83FB1">
        <w:rPr>
          <w:rStyle w:val="FootnoteReference"/>
          <w:rFonts w:ascii="Montserrat" w:hAnsi="Montserrat" w:cs="Arial"/>
          <w:sz w:val="16"/>
          <w:szCs w:val="16"/>
        </w:rPr>
        <w:footnoteRef/>
      </w:r>
      <w:hyperlink r:id="rId2" w:history="1">
        <w:r w:rsidRPr="00A83FB1">
          <w:rPr>
            <w:rStyle w:val="Hyperlink"/>
            <w:rFonts w:ascii="Montserrat" w:hAnsi="Montserrat" w:cs="Arial"/>
            <w:sz w:val="16"/>
            <w:szCs w:val="16"/>
            <w:lang w:val="es-MX"/>
          </w:rPr>
          <w:t>https://www.cjf.gob.mx/micrositios/DGDHIGyAI/resources/documentos/2022/guias/queEsElPJF.pdf</w:t>
        </w:r>
      </w:hyperlink>
      <w:r w:rsidRPr="00A83FB1">
        <w:rPr>
          <w:rFonts w:ascii="Montserrat" w:hAnsi="Montserrat" w:cs="Arial"/>
          <w:sz w:val="16"/>
          <w:szCs w:val="16"/>
          <w:lang w:val="es-MX"/>
        </w:rPr>
        <w:t xml:space="preserve"> y </w:t>
      </w:r>
      <w:hyperlink r:id="rId3" w:history="1">
        <w:r w:rsidRPr="00A83FB1">
          <w:rPr>
            <w:rStyle w:val="Hyperlink"/>
            <w:rFonts w:ascii="Montserrat" w:hAnsi="Montserrat" w:cs="Arial"/>
            <w:sz w:val="16"/>
            <w:szCs w:val="16"/>
            <w:lang w:val="es-MX"/>
          </w:rPr>
          <w:t>https://www.cjf.gob.mx/micrositios/DGDHIGyAI/resources/documentos/2022/guias/justiciaFederalAccesible.pdf</w:t>
        </w:r>
      </w:hyperlink>
      <w:r w:rsidRPr="00A83FB1">
        <w:rPr>
          <w:rFonts w:ascii="Montserrat" w:hAnsi="Montserrat" w:cs="Arial"/>
          <w:sz w:val="16"/>
          <w:szCs w:val="16"/>
          <w:lang w:val="es-MX"/>
        </w:rPr>
        <w:t xml:space="preserve">  </w:t>
      </w:r>
    </w:p>
  </w:footnote>
  <w:footnote w:id="3">
    <w:p w14:paraId="793B8F1E" w14:textId="77777777" w:rsidR="00A62C8D" w:rsidRPr="00A83FB1" w:rsidRDefault="00A62C8D" w:rsidP="00A62C8D">
      <w:pPr>
        <w:pStyle w:val="FootnoteText"/>
        <w:spacing w:line="276" w:lineRule="auto"/>
        <w:jc w:val="both"/>
        <w:rPr>
          <w:rFonts w:ascii="Montserrat" w:hAnsi="Montserrat" w:cs="Arial"/>
          <w:sz w:val="16"/>
          <w:szCs w:val="16"/>
          <w:lang w:val="es-MX"/>
        </w:rPr>
      </w:pPr>
      <w:r w:rsidRPr="00A83FB1">
        <w:rPr>
          <w:rStyle w:val="FootnoteReference"/>
          <w:rFonts w:ascii="Montserrat" w:hAnsi="Montserrat" w:cs="Arial"/>
          <w:sz w:val="16"/>
          <w:szCs w:val="16"/>
        </w:rPr>
        <w:footnoteRef/>
      </w:r>
      <w:hyperlink r:id="rId4" w:history="1">
        <w:r w:rsidRPr="00A83FB1">
          <w:rPr>
            <w:rStyle w:val="Hyperlink"/>
            <w:rFonts w:ascii="Montserrat" w:hAnsi="Montserrat" w:cs="Arial"/>
            <w:sz w:val="16"/>
            <w:szCs w:val="16"/>
          </w:rPr>
          <w:t>https://www.cjf.gob.mx/micrositios/DGDHIGyAI/paginas/informacionRelevante.htm?pageName=informacion%2FguiasDigitales.htm</w:t>
        </w:r>
      </w:hyperlink>
    </w:p>
  </w:footnote>
  <w:footnote w:id="4">
    <w:p w14:paraId="7CEE5879" w14:textId="77777777" w:rsidR="00A62C8D" w:rsidRPr="00F17510" w:rsidRDefault="00A62C8D" w:rsidP="00A62C8D">
      <w:pPr>
        <w:pStyle w:val="FootnoteText"/>
        <w:spacing w:line="276" w:lineRule="auto"/>
        <w:jc w:val="both"/>
        <w:rPr>
          <w:rFonts w:ascii="Arial" w:hAnsi="Arial" w:cs="Arial"/>
          <w:lang w:val="es-MX"/>
        </w:rPr>
      </w:pPr>
      <w:r w:rsidRPr="00A83FB1">
        <w:rPr>
          <w:rStyle w:val="FootnoteReference"/>
          <w:rFonts w:ascii="Montserrat" w:hAnsi="Montserrat" w:cs="Arial"/>
          <w:sz w:val="16"/>
          <w:szCs w:val="16"/>
        </w:rPr>
        <w:footnoteRef/>
      </w:r>
      <w:hyperlink r:id="rId5" w:history="1">
        <w:r w:rsidRPr="00A83FB1">
          <w:rPr>
            <w:rStyle w:val="Hyperlink"/>
            <w:rFonts w:ascii="Montserrat" w:hAnsi="Montserrat" w:cs="Arial"/>
            <w:sz w:val="16"/>
            <w:szCs w:val="16"/>
          </w:rPr>
          <w:t>https://www.cjf.gob.mx/micrositios/DGDHIGyAI/resources/publicaciones/El_PJ_y_el%20acceso_a_la_justiciaLGBTQMX.pdf</w:t>
        </w:r>
      </w:hyperlink>
      <w:r w:rsidRPr="00F17510">
        <w:rPr>
          <w:rFonts w:ascii="Arial" w:hAnsi="Arial" w:cs="Arial"/>
        </w:rPr>
        <w:t xml:space="preserve"> </w:t>
      </w:r>
    </w:p>
  </w:footnote>
  <w:footnote w:id="5">
    <w:p w14:paraId="5EC50D6C" w14:textId="77777777" w:rsidR="00A62C8D" w:rsidRPr="00F17510" w:rsidRDefault="00A62C8D" w:rsidP="00A62C8D">
      <w:pPr>
        <w:pStyle w:val="FootnoteText"/>
        <w:spacing w:line="276" w:lineRule="auto"/>
        <w:jc w:val="both"/>
        <w:rPr>
          <w:rFonts w:ascii="Arial" w:hAnsi="Arial" w:cs="Arial"/>
          <w:lang w:val="es-MX"/>
        </w:rPr>
      </w:pPr>
      <w:r w:rsidRPr="00F17510">
        <w:rPr>
          <w:rStyle w:val="FootnoteReference"/>
          <w:rFonts w:ascii="Arial" w:hAnsi="Arial" w:cs="Arial"/>
        </w:rPr>
        <w:footnoteRef/>
      </w:r>
      <w:r w:rsidRPr="00F17510">
        <w:rPr>
          <w:rFonts w:ascii="Arial" w:hAnsi="Arial" w:cs="Arial"/>
        </w:rPr>
        <w:t xml:space="preserve"> </w:t>
      </w:r>
      <w:hyperlink r:id="rId6" w:anchor="/sistemas/sitio-de-convenciones" w:history="1">
        <w:r w:rsidRPr="00A83FB1">
          <w:rPr>
            <w:rStyle w:val="Hyperlink"/>
            <w:rFonts w:ascii="Montserrat" w:hAnsi="Montserrat" w:cs="Arial"/>
            <w:sz w:val="16"/>
            <w:szCs w:val="16"/>
          </w:rPr>
          <w:t>https://apps.cjf.gob.mx/dgetd/#/sistemas/sitio-de-convenciones</w:t>
        </w:r>
      </w:hyperlink>
      <w:r w:rsidRPr="00F17510">
        <w:rPr>
          <w:rFonts w:ascii="Arial" w:hAnsi="Arial" w:cs="Aria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17B0F"/>
    <w:multiLevelType w:val="hybridMultilevel"/>
    <w:tmpl w:val="609C9D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41B797C"/>
    <w:multiLevelType w:val="hybridMultilevel"/>
    <w:tmpl w:val="54B042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40851894">
    <w:abstractNumId w:val="0"/>
  </w:num>
  <w:num w:numId="2" w16cid:durableId="7419514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C8D"/>
    <w:rsid w:val="00412197"/>
    <w:rsid w:val="004E1F52"/>
    <w:rsid w:val="00A62C8D"/>
    <w:rsid w:val="00A83FB1"/>
    <w:rsid w:val="00B96650"/>
    <w:rsid w:val="00D74570"/>
    <w:rsid w:val="00FA4B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AEDD2"/>
  <w15:chartTrackingRefBased/>
  <w15:docId w15:val="{4981E9A7-07E6-4693-8F0C-05E6B889A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62C8D"/>
    <w:rPr>
      <w:color w:val="0000FF"/>
      <w:u w:val="single"/>
    </w:rPr>
  </w:style>
  <w:style w:type="character" w:styleId="FootnoteReference">
    <w:name w:val="footnote reference"/>
    <w:aliases w:val="Texto de nota al pie"/>
    <w:uiPriority w:val="99"/>
    <w:semiHidden/>
    <w:unhideWhenUsed/>
    <w:rsid w:val="00A62C8D"/>
    <w:rPr>
      <w:vertAlign w:val="superscript"/>
    </w:rPr>
  </w:style>
  <w:style w:type="paragraph" w:styleId="FootnoteText">
    <w:name w:val="footnote text"/>
    <w:basedOn w:val="Normal"/>
    <w:link w:val="FootnoteTextChar"/>
    <w:uiPriority w:val="99"/>
    <w:semiHidden/>
    <w:unhideWhenUsed/>
    <w:rsid w:val="00A62C8D"/>
    <w:pPr>
      <w:spacing w:after="0" w:line="240" w:lineRule="auto"/>
    </w:pPr>
    <w:rPr>
      <w:rFonts w:ascii="Times New Roman" w:eastAsia="Times New Roman" w:hAnsi="Times New Roman" w:cs="Times New Roman"/>
      <w:sz w:val="20"/>
      <w:szCs w:val="20"/>
      <w:lang w:val="es-ES" w:eastAsia="es-ES"/>
    </w:rPr>
  </w:style>
  <w:style w:type="character" w:customStyle="1" w:styleId="FootnoteTextChar">
    <w:name w:val="Footnote Text Char"/>
    <w:basedOn w:val="DefaultParagraphFont"/>
    <w:link w:val="FootnoteText"/>
    <w:uiPriority w:val="99"/>
    <w:semiHidden/>
    <w:rsid w:val="00A62C8D"/>
    <w:rPr>
      <w:rFonts w:ascii="Times New Roman" w:eastAsia="Times New Roman" w:hAnsi="Times New Roman" w:cs="Times New Roman"/>
      <w:sz w:val="20"/>
      <w:szCs w:val="20"/>
      <w:lang w:val="es-ES" w:eastAsia="es-ES"/>
    </w:rPr>
  </w:style>
  <w:style w:type="character" w:styleId="FollowedHyperlink">
    <w:name w:val="FollowedHyperlink"/>
    <w:basedOn w:val="DefaultParagraphFont"/>
    <w:uiPriority w:val="99"/>
    <w:semiHidden/>
    <w:unhideWhenUsed/>
    <w:rsid w:val="00B966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jf.gob.mx/micrositios/DGDHIGyAI/resources/documentos/2022/guias/justiciaFederalAccesible.pdf" TargetMode="External"/><Relationship Id="rId2" Type="http://schemas.openxmlformats.org/officeDocument/2006/relationships/hyperlink" Target="https://www.cjf.gob.mx/micrositios/DGDHIGyAI/resources/documentos/2022/guias/queEsElPJF.pdf" TargetMode="External"/><Relationship Id="rId1" Type="http://schemas.openxmlformats.org/officeDocument/2006/relationships/hyperlink" Target="https://drive.google.com/drive/folders/1SaYvxeGNI43xFLLSzQJKeSe2CoGp1jUd?usp=share_link" TargetMode="External"/><Relationship Id="rId6" Type="http://schemas.openxmlformats.org/officeDocument/2006/relationships/hyperlink" Target="https://apps.cjf.gob.mx/dgetd/" TargetMode="External"/><Relationship Id="rId5" Type="http://schemas.openxmlformats.org/officeDocument/2006/relationships/hyperlink" Target="https://www.cjf.gob.mx/micrositios/DGDHIGyAI/resources/publicaciones/El_PJ_y_el%20acceso_a_la_justiciaLGBTQMX.pdf" TargetMode="External"/><Relationship Id="rId4" Type="http://schemas.openxmlformats.org/officeDocument/2006/relationships/hyperlink" Target="https://www.cjf.gob.mx/micrositios/DGDHIGyAI/paginas/informacionRelevante.htm?pageName=informacion%2FguiasDigital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annex-4</Doctype>
    <Contributor xmlns="d42e65b2-cf21-49c1-b27d-d23f90380c0e">Mexico</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1D0288BA-5AE4-4339-940B-9C0025ACBF72}">
  <ds:schemaRefs>
    <ds:schemaRef ds:uri="http://schemas.openxmlformats.org/officeDocument/2006/bibliography"/>
  </ds:schemaRefs>
</ds:datastoreItem>
</file>

<file path=customXml/itemProps2.xml><?xml version="1.0" encoding="utf-8"?>
<ds:datastoreItem xmlns:ds="http://schemas.openxmlformats.org/officeDocument/2006/customXml" ds:itemID="{B36C2CC9-5533-405D-8E3F-C6052E839673}"/>
</file>

<file path=customXml/itemProps3.xml><?xml version="1.0" encoding="utf-8"?>
<ds:datastoreItem xmlns:ds="http://schemas.openxmlformats.org/officeDocument/2006/customXml" ds:itemID="{76AA4F88-4655-478D-BBE2-E47506D75B85}"/>
</file>

<file path=customXml/itemProps4.xml><?xml version="1.0" encoding="utf-8"?>
<ds:datastoreItem xmlns:ds="http://schemas.openxmlformats.org/officeDocument/2006/customXml" ds:itemID="{0D865394-A239-4C4B-920E-AEAD8DD41C0C}"/>
</file>

<file path=docProps/app.xml><?xml version="1.0" encoding="utf-8"?>
<Properties xmlns="http://schemas.openxmlformats.org/officeDocument/2006/extended-properties" xmlns:vt="http://schemas.openxmlformats.org/officeDocument/2006/docPropsVTypes">
  <Template>Normal.dotm</Template>
  <TotalTime>0</TotalTime>
  <Pages>7</Pages>
  <Words>2135</Words>
  <Characters>12174</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Escalante Sandoval, Miguel Fernando</dc:creator>
  <cp:keywords/>
  <dc:description/>
  <cp:lastModifiedBy>Melanie Santizo Sandoval</cp:lastModifiedBy>
  <cp:revision>2</cp:revision>
  <dcterms:created xsi:type="dcterms:W3CDTF">2023-05-08T08:02:00Z</dcterms:created>
  <dcterms:modified xsi:type="dcterms:W3CDTF">2023-05-08T08:02:00Z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