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F6BD" w14:textId="77777777" w:rsidR="00AC6918" w:rsidRPr="00AC6918" w:rsidRDefault="00AC6918" w:rsidP="00AC6918">
      <w:pPr>
        <w:spacing w:before="120" w:after="0" w:line="360" w:lineRule="auto"/>
        <w:ind w:hanging="357"/>
        <w:jc w:val="center"/>
        <w:rPr>
          <w:rFonts w:ascii="Times New Roman" w:eastAsia="Calibri" w:hAnsi="Times New Roman" w:cs="Times New Roman"/>
          <w:smallCaps/>
          <w:sz w:val="24"/>
          <w:szCs w:val="24"/>
          <w:lang w:eastAsia="en-US"/>
        </w:rPr>
      </w:pPr>
      <w:r w:rsidRPr="00AC6918">
        <w:rPr>
          <w:rFonts w:ascii="Times New Roman" w:eastAsia="Calibri" w:hAnsi="Times New Roman" w:cs="Times New Roman"/>
          <w:noProof/>
          <w:sz w:val="24"/>
          <w:lang w:eastAsia="es-MX"/>
        </w:rPr>
        <w:drawing>
          <wp:inline distT="0" distB="0" distL="0" distR="0" wp14:anchorId="4EF399C4" wp14:editId="725ED60F">
            <wp:extent cx="2626290" cy="877618"/>
            <wp:effectExtent l="0" t="0" r="3175" b="0"/>
            <wp:docPr id="2" name="Imagen 2" descr="cid:image001.png@01D91A00.029F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91A00.029F3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64418" cy="890359"/>
                    </a:xfrm>
                    <a:prstGeom prst="rect">
                      <a:avLst/>
                    </a:prstGeom>
                    <a:noFill/>
                    <a:ln>
                      <a:noFill/>
                    </a:ln>
                  </pic:spPr>
                </pic:pic>
              </a:graphicData>
            </a:graphic>
          </wp:inline>
        </w:drawing>
      </w:r>
    </w:p>
    <w:p w14:paraId="63587837" w14:textId="77777777" w:rsidR="00AC6918" w:rsidRPr="007C24A5" w:rsidRDefault="00AC6918" w:rsidP="00AC6918">
      <w:pPr>
        <w:pBdr>
          <w:bottom w:val="single" w:sz="12" w:space="1" w:color="auto"/>
        </w:pBdr>
        <w:spacing w:before="120" w:after="0" w:line="360" w:lineRule="auto"/>
        <w:ind w:hanging="357"/>
        <w:jc w:val="center"/>
        <w:rPr>
          <w:rFonts w:ascii="Montserrat" w:eastAsia="Calibri" w:hAnsi="Montserrat" w:cs="Times New Roman"/>
          <w:b/>
          <w:smallCaps/>
          <w:sz w:val="32"/>
          <w:szCs w:val="32"/>
          <w:lang w:eastAsia="en-US"/>
        </w:rPr>
      </w:pPr>
      <w:r w:rsidRPr="007C24A5">
        <w:rPr>
          <w:rFonts w:ascii="Montserrat" w:eastAsia="Calibri" w:hAnsi="Montserrat" w:cs="Times New Roman"/>
          <w:b/>
          <w:smallCaps/>
          <w:sz w:val="32"/>
          <w:szCs w:val="32"/>
          <w:lang w:eastAsia="en-US"/>
        </w:rPr>
        <w:t>Estados Unidos Mexicanos</w:t>
      </w:r>
    </w:p>
    <w:p w14:paraId="5408C1BA" w14:textId="77777777" w:rsidR="00AC6918" w:rsidRPr="007C24A5" w:rsidRDefault="00AC6918" w:rsidP="00AC6918">
      <w:pPr>
        <w:pBdr>
          <w:bottom w:val="single" w:sz="12" w:space="1" w:color="auto"/>
        </w:pBdr>
        <w:spacing w:before="120" w:after="0" w:line="360" w:lineRule="auto"/>
        <w:ind w:hanging="357"/>
        <w:jc w:val="both"/>
        <w:rPr>
          <w:rFonts w:ascii="Montserrat" w:eastAsia="Calibri" w:hAnsi="Montserrat" w:cs="Times New Roman"/>
          <w:b/>
          <w:sz w:val="24"/>
          <w:szCs w:val="24"/>
          <w:lang w:eastAsia="en-US"/>
        </w:rPr>
      </w:pPr>
    </w:p>
    <w:p w14:paraId="6EFCDE0D" w14:textId="77777777" w:rsidR="00AC6918" w:rsidRPr="007C24A5" w:rsidRDefault="00AC6918" w:rsidP="00C43BF8">
      <w:pPr>
        <w:pBdr>
          <w:bottom w:val="single" w:sz="12" w:space="1" w:color="auto"/>
        </w:pBdr>
        <w:spacing w:before="120" w:after="0" w:line="360" w:lineRule="auto"/>
        <w:ind w:hanging="357"/>
        <w:rPr>
          <w:rFonts w:ascii="Montserrat" w:eastAsia="Calibri" w:hAnsi="Montserrat" w:cs="Times New Roman"/>
          <w:b/>
          <w:sz w:val="24"/>
          <w:szCs w:val="24"/>
          <w:lang w:eastAsia="en-US"/>
        </w:rPr>
      </w:pPr>
    </w:p>
    <w:p w14:paraId="75DF7E9F" w14:textId="77777777" w:rsidR="00AC6918" w:rsidRPr="007C24A5" w:rsidRDefault="00AC6918" w:rsidP="00AC6918">
      <w:pPr>
        <w:pBdr>
          <w:bottom w:val="single" w:sz="12" w:space="1" w:color="auto"/>
        </w:pBdr>
        <w:spacing w:before="120" w:after="0" w:line="360" w:lineRule="auto"/>
        <w:ind w:hanging="357"/>
        <w:jc w:val="both"/>
        <w:rPr>
          <w:rFonts w:ascii="Montserrat" w:eastAsia="Calibri" w:hAnsi="Montserrat" w:cs="Times New Roman"/>
          <w:b/>
          <w:sz w:val="24"/>
          <w:szCs w:val="24"/>
          <w:lang w:eastAsia="en-US"/>
        </w:rPr>
      </w:pPr>
    </w:p>
    <w:p w14:paraId="1A099B2A" w14:textId="77777777" w:rsidR="00AC6918" w:rsidRPr="007C24A5" w:rsidRDefault="00AC6918" w:rsidP="00AC6918">
      <w:pPr>
        <w:pBdr>
          <w:bottom w:val="single" w:sz="12" w:space="1" w:color="auto"/>
        </w:pBdr>
        <w:spacing w:before="120" w:after="0" w:line="360" w:lineRule="auto"/>
        <w:ind w:hanging="357"/>
        <w:jc w:val="both"/>
        <w:rPr>
          <w:rFonts w:ascii="Montserrat" w:eastAsia="Calibri" w:hAnsi="Montserrat" w:cs="Times New Roman"/>
          <w:b/>
          <w:sz w:val="24"/>
          <w:szCs w:val="24"/>
          <w:lang w:eastAsia="en-US"/>
        </w:rPr>
      </w:pPr>
    </w:p>
    <w:p w14:paraId="327D7799" w14:textId="7F4EABE0" w:rsidR="00F710FF" w:rsidRPr="00F710FF" w:rsidRDefault="00E17FF0" w:rsidP="00F710FF">
      <w:pPr>
        <w:spacing w:before="120" w:after="0" w:line="240" w:lineRule="auto"/>
        <w:ind w:hanging="357"/>
        <w:jc w:val="center"/>
        <w:rPr>
          <w:rFonts w:ascii="Montserrat" w:eastAsia="Calibri" w:hAnsi="Montserrat" w:cs="Times New Roman"/>
          <w:b/>
          <w:smallCaps/>
          <w:sz w:val="24"/>
          <w:szCs w:val="24"/>
          <w:lang w:val="es-ES" w:eastAsia="es-MX"/>
        </w:rPr>
      </w:pPr>
      <w:r w:rsidRPr="00620886">
        <w:rPr>
          <w:rFonts w:ascii="Montserrat" w:hAnsi="Montserrat"/>
          <w:sz w:val="32"/>
          <w:szCs w:val="24"/>
          <w:vertAlign w:val="subscript"/>
          <w:lang w:eastAsia="en-US"/>
          <w14:cntxtAlts/>
        </w:rPr>
        <w:t>INFORME DEL ESTADO MEXICANO EN</w:t>
      </w:r>
      <w:r w:rsidR="009241FD">
        <w:rPr>
          <w:rFonts w:ascii="Montserrat" w:hAnsi="Montserrat"/>
          <w:sz w:val="32"/>
          <w:szCs w:val="24"/>
          <w:vertAlign w:val="subscript"/>
          <w:lang w:eastAsia="en-US"/>
          <w14:cntxtAlts/>
        </w:rPr>
        <w:t xml:space="preserve"> </w:t>
      </w:r>
      <w:r w:rsidR="0091539B">
        <w:rPr>
          <w:rFonts w:ascii="Montserrat" w:hAnsi="Montserrat"/>
          <w:sz w:val="32"/>
          <w:szCs w:val="24"/>
          <w:vertAlign w:val="subscript"/>
          <w:lang w:eastAsia="en-US"/>
          <w14:cntxtAlts/>
        </w:rPr>
        <w:t xml:space="preserve">RESPUESTA AL CUESTIONARIO DE LA RELATORA ESPECIAL SOBRE LA INDEPENDENCIA DE MAGISTRADOS Y ABOGADOS </w:t>
      </w:r>
    </w:p>
    <w:p w14:paraId="31880EB4" w14:textId="77777777" w:rsidR="00683B2F" w:rsidRPr="0091539B" w:rsidRDefault="00683B2F" w:rsidP="00F710FF">
      <w:pPr>
        <w:spacing w:before="120" w:after="0" w:line="240" w:lineRule="auto"/>
        <w:rPr>
          <w:rFonts w:ascii="Montserrat" w:eastAsia="Calibri" w:hAnsi="Montserrat" w:cs="Times New Roman"/>
          <w:sz w:val="24"/>
          <w:szCs w:val="24"/>
          <w:lang w:val="es-ES" w:eastAsia="en-US"/>
        </w:rPr>
      </w:pPr>
    </w:p>
    <w:p w14:paraId="0C8F2D93" w14:textId="34B17693" w:rsidR="002D28D1" w:rsidRDefault="0091539B" w:rsidP="00F710FF">
      <w:pPr>
        <w:spacing w:before="120" w:after="0" w:line="240" w:lineRule="auto"/>
        <w:ind w:hanging="357"/>
        <w:jc w:val="center"/>
        <w:rPr>
          <w:rFonts w:ascii="Montserrat" w:hAnsi="Montserrat"/>
          <w:sz w:val="32"/>
          <w:szCs w:val="24"/>
          <w:vertAlign w:val="subscript"/>
          <w:lang w:eastAsia="en-US"/>
          <w14:cntxtAlts/>
        </w:rPr>
      </w:pPr>
      <w:r>
        <w:rPr>
          <w:rFonts w:ascii="Montserrat" w:hAnsi="Montserrat"/>
          <w:sz w:val="32"/>
          <w:szCs w:val="24"/>
          <w:vertAlign w:val="subscript"/>
          <w:lang w:eastAsia="en-US"/>
          <w14:cntxtAlts/>
        </w:rPr>
        <w:t>ALTO COMISIONADO DE LAS NACIONES UNIDAS PARA LOS DERECHOS HUMANOS</w:t>
      </w:r>
    </w:p>
    <w:p w14:paraId="42226F60" w14:textId="77777777" w:rsidR="002D28D1" w:rsidRDefault="002D28D1" w:rsidP="00F710FF">
      <w:pPr>
        <w:spacing w:before="120" w:after="0" w:line="240" w:lineRule="auto"/>
        <w:ind w:hanging="357"/>
        <w:jc w:val="center"/>
        <w:rPr>
          <w:rFonts w:ascii="Montserrat" w:hAnsi="Montserrat"/>
          <w:sz w:val="32"/>
          <w:szCs w:val="24"/>
          <w:vertAlign w:val="subscript"/>
          <w:lang w:eastAsia="en-US"/>
          <w14:cntxtAlts/>
        </w:rPr>
      </w:pPr>
    </w:p>
    <w:p w14:paraId="0E1E8427" w14:textId="7487553D" w:rsidR="00F710FF" w:rsidRPr="002D28D1" w:rsidRDefault="00000C5B" w:rsidP="00F710FF">
      <w:pPr>
        <w:spacing w:before="120" w:after="0" w:line="240" w:lineRule="auto"/>
        <w:ind w:hanging="357"/>
        <w:jc w:val="center"/>
        <w:rPr>
          <w:rFonts w:ascii="Montserrat" w:eastAsia="Calibri" w:hAnsi="Montserrat" w:cs="Times New Roman"/>
          <w:b/>
          <w:smallCaps/>
          <w:sz w:val="24"/>
          <w:szCs w:val="24"/>
          <w:lang w:val="es-ES" w:eastAsia="es-MX"/>
        </w:rPr>
      </w:pPr>
      <w:r>
        <w:rPr>
          <w:rFonts w:ascii="Montserrat" w:hAnsi="Montserrat"/>
          <w:b/>
          <w:sz w:val="32"/>
          <w:szCs w:val="24"/>
          <w:vertAlign w:val="subscript"/>
          <w:lang w:eastAsia="en-US"/>
          <w14:cntxtAlts/>
        </w:rPr>
        <w:t>“</w:t>
      </w:r>
      <w:r w:rsidR="0091539B">
        <w:rPr>
          <w:rFonts w:ascii="Montserrat" w:hAnsi="Montserrat"/>
          <w:b/>
          <w:sz w:val="32"/>
          <w:szCs w:val="24"/>
          <w:vertAlign w:val="subscript"/>
          <w:lang w:eastAsia="en-US"/>
          <w14:cntxtAlts/>
        </w:rPr>
        <w:t>EMPODERAMIENTO LEGAL</w:t>
      </w:r>
      <w:r w:rsidR="002D28D1" w:rsidRPr="002D28D1">
        <w:rPr>
          <w:rFonts w:ascii="Montserrat" w:hAnsi="Montserrat"/>
          <w:b/>
          <w:sz w:val="32"/>
          <w:szCs w:val="24"/>
          <w:vertAlign w:val="subscript"/>
          <w:lang w:eastAsia="en-US"/>
          <w14:cntxtAlts/>
        </w:rPr>
        <w:t xml:space="preserve">” </w:t>
      </w:r>
      <w:r w:rsidR="002B379A" w:rsidRPr="002D28D1">
        <w:rPr>
          <w:rFonts w:ascii="Montserrat" w:eastAsia="Calibri" w:hAnsi="Montserrat" w:cs="Times New Roman"/>
          <w:b/>
          <w:smallCaps/>
          <w:sz w:val="24"/>
          <w:szCs w:val="24"/>
          <w:lang w:val="es-ES" w:eastAsia="es-MX"/>
        </w:rPr>
        <w:t xml:space="preserve"> </w:t>
      </w:r>
    </w:p>
    <w:p w14:paraId="46F01373" w14:textId="77777777" w:rsidR="00683B2F" w:rsidRPr="003B1C1F" w:rsidRDefault="00683B2F" w:rsidP="003B1C1F">
      <w:pPr>
        <w:spacing w:before="120" w:after="0" w:line="360" w:lineRule="auto"/>
        <w:ind w:hanging="357"/>
        <w:jc w:val="center"/>
        <w:rPr>
          <w:rFonts w:ascii="Montserrat" w:eastAsia="Calibri" w:hAnsi="Montserrat" w:cs="Times New Roman"/>
          <w:b/>
          <w:smallCaps/>
          <w:szCs w:val="24"/>
          <w:lang w:val="es-ES" w:eastAsia="es-MX"/>
        </w:rPr>
      </w:pPr>
    </w:p>
    <w:p w14:paraId="28A0FF6D" w14:textId="77777777" w:rsidR="00AC6918" w:rsidRPr="007C24A5" w:rsidRDefault="00AC6918" w:rsidP="002D28D1">
      <w:pPr>
        <w:spacing w:before="120" w:after="0" w:line="360" w:lineRule="auto"/>
        <w:jc w:val="both"/>
        <w:rPr>
          <w:rFonts w:ascii="Montserrat" w:eastAsia="Calibri" w:hAnsi="Montserrat" w:cs="Times New Roman"/>
          <w:smallCaps/>
          <w:sz w:val="24"/>
          <w:szCs w:val="24"/>
          <w:lang w:eastAsia="en-US"/>
        </w:rPr>
      </w:pPr>
    </w:p>
    <w:p w14:paraId="31A4350B" w14:textId="77777777" w:rsidR="00AC6918" w:rsidRPr="007C24A5" w:rsidRDefault="00AC6918" w:rsidP="00413DFC">
      <w:pPr>
        <w:spacing w:before="120" w:after="0" w:line="240" w:lineRule="auto"/>
        <w:rPr>
          <w:rFonts w:ascii="Montserrat" w:eastAsia="Calibri" w:hAnsi="Montserrat" w:cs="Times New Roman"/>
          <w:smallCaps/>
          <w:sz w:val="24"/>
          <w:szCs w:val="24"/>
          <w:lang w:eastAsia="en-US"/>
        </w:rPr>
      </w:pPr>
    </w:p>
    <w:p w14:paraId="0393B261" w14:textId="2E275862" w:rsidR="00AC6918" w:rsidRPr="007C24A5" w:rsidRDefault="00AC6918" w:rsidP="00AC6918">
      <w:pPr>
        <w:spacing w:before="120" w:after="0" w:line="240" w:lineRule="auto"/>
        <w:ind w:hanging="357"/>
        <w:jc w:val="center"/>
        <w:rPr>
          <w:rFonts w:ascii="Montserrat" w:eastAsia="Calibri" w:hAnsi="Montserrat" w:cs="Times New Roman"/>
          <w:smallCaps/>
          <w:sz w:val="24"/>
          <w:szCs w:val="24"/>
          <w:lang w:eastAsia="en-US"/>
        </w:rPr>
      </w:pPr>
      <w:r w:rsidRPr="007C24A5">
        <w:rPr>
          <w:rFonts w:ascii="Montserrat" w:eastAsia="Calibri" w:hAnsi="Montserrat" w:cs="Times New Roman"/>
          <w:sz w:val="24"/>
          <w:szCs w:val="24"/>
          <w:lang w:eastAsia="en-US"/>
        </w:rPr>
        <w:t xml:space="preserve">Ciudad de México, a </w:t>
      </w:r>
      <w:r w:rsidR="0091539B">
        <w:rPr>
          <w:rFonts w:ascii="Montserrat" w:eastAsia="Calibri" w:hAnsi="Montserrat" w:cs="Times New Roman"/>
          <w:sz w:val="24"/>
          <w:szCs w:val="24"/>
          <w:lang w:eastAsia="en-US"/>
        </w:rPr>
        <w:t>4 de mayo</w:t>
      </w:r>
      <w:r w:rsidR="007C24A5">
        <w:rPr>
          <w:rFonts w:ascii="Montserrat" w:eastAsia="Calibri" w:hAnsi="Montserrat" w:cs="Times New Roman"/>
          <w:sz w:val="24"/>
          <w:szCs w:val="24"/>
          <w:lang w:eastAsia="en-US"/>
        </w:rPr>
        <w:t xml:space="preserve"> de 202</w:t>
      </w:r>
      <w:r w:rsidRPr="007C24A5">
        <w:rPr>
          <w:rFonts w:ascii="Montserrat" w:eastAsia="Calibri" w:hAnsi="Montserrat" w:cs="Times New Roman"/>
          <w:sz w:val="24"/>
          <w:szCs w:val="24"/>
          <w:lang w:eastAsia="en-US"/>
        </w:rPr>
        <w:t>3</w:t>
      </w:r>
    </w:p>
    <w:p w14:paraId="542EDC5F" w14:textId="77777777" w:rsidR="000544EA" w:rsidRDefault="000544EA" w:rsidP="00B74AEB">
      <w:pPr>
        <w:spacing w:before="120" w:after="0" w:line="360" w:lineRule="auto"/>
        <w:rPr>
          <w:rFonts w:ascii="Montserrat" w:eastAsia="Calibri" w:hAnsi="Montserrat" w:cs="Times New Roman"/>
          <w:sz w:val="24"/>
          <w:szCs w:val="24"/>
          <w:lang w:eastAsia="en-US"/>
        </w:rPr>
      </w:pPr>
    </w:p>
    <w:p w14:paraId="42D639DC" w14:textId="77777777" w:rsidR="00413DFC" w:rsidRDefault="00413DFC" w:rsidP="00B74AEB">
      <w:pPr>
        <w:spacing w:before="120" w:after="0" w:line="360" w:lineRule="auto"/>
        <w:rPr>
          <w:rFonts w:ascii="Montserrat" w:eastAsia="Calibri" w:hAnsi="Montserrat" w:cs="Times New Roman"/>
          <w:sz w:val="24"/>
          <w:szCs w:val="24"/>
          <w:lang w:eastAsia="en-US"/>
        </w:rPr>
      </w:pPr>
    </w:p>
    <w:p w14:paraId="492EED3E" w14:textId="77777777" w:rsidR="005A3652" w:rsidRDefault="005A3652" w:rsidP="00B74AEB">
      <w:pPr>
        <w:spacing w:before="120" w:after="0" w:line="360" w:lineRule="auto"/>
        <w:rPr>
          <w:rFonts w:ascii="Montserrat" w:eastAsia="Calibri" w:hAnsi="Montserrat" w:cs="Times New Roman"/>
          <w:sz w:val="24"/>
          <w:szCs w:val="24"/>
          <w:lang w:eastAsia="en-US"/>
        </w:rPr>
      </w:pPr>
    </w:p>
    <w:p w14:paraId="3222683B" w14:textId="77777777" w:rsidR="003B1C1F" w:rsidRDefault="003B1C1F" w:rsidP="00B74AEB">
      <w:pPr>
        <w:spacing w:before="120" w:after="0" w:line="360" w:lineRule="auto"/>
        <w:rPr>
          <w:rFonts w:ascii="Montserrat" w:eastAsia="Calibri" w:hAnsi="Montserrat" w:cs="Times New Roman"/>
          <w:sz w:val="24"/>
          <w:szCs w:val="24"/>
          <w:lang w:eastAsia="en-US"/>
        </w:rPr>
      </w:pPr>
    </w:p>
    <w:p w14:paraId="1A99BEEF" w14:textId="77777777" w:rsidR="004A40B3" w:rsidRDefault="004A40B3" w:rsidP="00B74AEB">
      <w:pPr>
        <w:spacing w:before="120" w:after="0" w:line="360" w:lineRule="auto"/>
        <w:rPr>
          <w:rFonts w:ascii="Montserrat" w:eastAsia="Calibri" w:hAnsi="Montserrat" w:cs="Times New Roman"/>
          <w:sz w:val="24"/>
          <w:szCs w:val="24"/>
          <w:lang w:eastAsia="en-US"/>
        </w:rPr>
      </w:pPr>
    </w:p>
    <w:p w14:paraId="173E86A2" w14:textId="77777777" w:rsidR="004A40B3" w:rsidRDefault="004A40B3" w:rsidP="00B74AEB">
      <w:pPr>
        <w:spacing w:before="120" w:after="0" w:line="360" w:lineRule="auto"/>
        <w:rPr>
          <w:rFonts w:ascii="Montserrat" w:eastAsia="Calibri" w:hAnsi="Montserrat" w:cs="Times New Roman"/>
          <w:sz w:val="24"/>
          <w:szCs w:val="24"/>
          <w:lang w:eastAsia="en-US"/>
        </w:rPr>
      </w:pPr>
    </w:p>
    <w:p w14:paraId="1808F990" w14:textId="77777777" w:rsidR="00000C5B" w:rsidRPr="007C24A5" w:rsidRDefault="00000C5B" w:rsidP="00B74AEB">
      <w:pPr>
        <w:spacing w:before="120" w:after="0" w:line="360" w:lineRule="auto"/>
        <w:rPr>
          <w:rFonts w:ascii="Montserrat" w:eastAsia="Calibri" w:hAnsi="Montserrat" w:cs="Times New Roman"/>
          <w:sz w:val="24"/>
          <w:szCs w:val="24"/>
          <w:lang w:eastAsia="en-US"/>
        </w:rPr>
      </w:pPr>
    </w:p>
    <w:p w14:paraId="24C91E00" w14:textId="77777777" w:rsidR="000544EA" w:rsidRPr="007C24A5" w:rsidRDefault="000544EA" w:rsidP="000544EA">
      <w:pPr>
        <w:spacing w:before="120" w:after="0" w:line="360" w:lineRule="auto"/>
        <w:ind w:hanging="357"/>
        <w:jc w:val="center"/>
        <w:rPr>
          <w:rFonts w:ascii="Montserrat" w:eastAsia="Calibri" w:hAnsi="Montserrat" w:cs="Times New Roman"/>
          <w:b/>
          <w:sz w:val="24"/>
          <w:szCs w:val="24"/>
          <w:lang w:eastAsia="en-US"/>
        </w:rPr>
      </w:pPr>
      <w:r w:rsidRPr="007C24A5">
        <w:rPr>
          <w:rFonts w:ascii="Montserrat" w:eastAsia="Calibri" w:hAnsi="Montserrat" w:cs="Times New Roman"/>
          <w:b/>
          <w:sz w:val="24"/>
          <w:szCs w:val="24"/>
          <w:lang w:eastAsia="en-US"/>
        </w:rPr>
        <w:lastRenderedPageBreak/>
        <w:t>ÍNDICE</w:t>
      </w:r>
    </w:p>
    <w:sdt>
      <w:sdtPr>
        <w:rPr>
          <w:rFonts w:ascii="Montserrat" w:eastAsia="Calibri" w:hAnsi="Montserrat" w:cs="Times New Roman"/>
          <w:sz w:val="24"/>
          <w:szCs w:val="24"/>
          <w:lang w:val="es-ES" w:eastAsia="en-US"/>
        </w:rPr>
        <w:id w:val="955447137"/>
        <w:docPartObj>
          <w:docPartGallery w:val="Table of Contents"/>
          <w:docPartUnique/>
        </w:docPartObj>
      </w:sdtPr>
      <w:sdtEndPr/>
      <w:sdtContent>
        <w:p w14:paraId="5290B8A5" w14:textId="7461CC8F" w:rsidR="000544EA" w:rsidRPr="007C24A5" w:rsidRDefault="00E54A52" w:rsidP="00E54A52">
          <w:pPr>
            <w:keepNext/>
            <w:keepLines/>
            <w:tabs>
              <w:tab w:val="left" w:pos="1815"/>
            </w:tabs>
            <w:spacing w:before="480" w:after="0" w:line="276" w:lineRule="auto"/>
            <w:rPr>
              <w:rFonts w:ascii="Montserrat" w:eastAsia="Malgun Gothic" w:hAnsi="Montserrat" w:cs="Times New Roman"/>
              <w:b/>
              <w:bCs/>
              <w:sz w:val="24"/>
              <w:szCs w:val="24"/>
              <w:lang w:eastAsia="es-MX"/>
            </w:rPr>
          </w:pPr>
          <w:r>
            <w:rPr>
              <w:rFonts w:ascii="Montserrat" w:eastAsia="Calibri" w:hAnsi="Montserrat" w:cs="Times New Roman"/>
              <w:sz w:val="24"/>
              <w:szCs w:val="24"/>
              <w:lang w:val="es-ES" w:eastAsia="en-US"/>
            </w:rPr>
            <w:tab/>
          </w:r>
        </w:p>
        <w:p w14:paraId="613CDD13" w14:textId="77777777" w:rsidR="004A40B3" w:rsidRDefault="000544EA">
          <w:pPr>
            <w:pStyle w:val="TOC1"/>
            <w:tabs>
              <w:tab w:val="right" w:leader="dot" w:pos="8828"/>
            </w:tabs>
            <w:rPr>
              <w:noProof/>
              <w:lang w:eastAsia="es-MX"/>
            </w:rPr>
          </w:pPr>
          <w:r w:rsidRPr="007C24A5">
            <w:rPr>
              <w:rFonts w:ascii="Montserrat" w:eastAsia="Calibri" w:hAnsi="Montserrat" w:cs="Times New Roman"/>
              <w:b/>
              <w:smallCaps/>
              <w:noProof/>
              <w:sz w:val="24"/>
              <w:szCs w:val="24"/>
              <w:lang w:eastAsia="en-US"/>
            </w:rPr>
            <w:fldChar w:fldCharType="begin"/>
          </w:r>
          <w:r w:rsidRPr="007C24A5">
            <w:rPr>
              <w:rFonts w:ascii="Montserrat" w:eastAsia="Calibri" w:hAnsi="Montserrat" w:cs="Times New Roman"/>
              <w:b/>
              <w:smallCaps/>
              <w:noProof/>
              <w:sz w:val="24"/>
              <w:szCs w:val="24"/>
              <w:lang w:eastAsia="en-US"/>
            </w:rPr>
            <w:instrText xml:space="preserve"> TOC \o "1-3" \h \z \u </w:instrText>
          </w:r>
          <w:r w:rsidRPr="007C24A5">
            <w:rPr>
              <w:rFonts w:ascii="Montserrat" w:eastAsia="Calibri" w:hAnsi="Montserrat" w:cs="Times New Roman"/>
              <w:b/>
              <w:smallCaps/>
              <w:noProof/>
              <w:sz w:val="24"/>
              <w:szCs w:val="24"/>
              <w:lang w:eastAsia="en-US"/>
            </w:rPr>
            <w:fldChar w:fldCharType="separate"/>
          </w:r>
          <w:hyperlink w:anchor="_Toc134105176" w:history="1">
            <w:r w:rsidR="004A40B3" w:rsidRPr="004D275E">
              <w:rPr>
                <w:rStyle w:val="Hyperlink"/>
                <w:rFonts w:ascii="Montserrat" w:hAnsi="Montserrat"/>
                <w:b/>
                <w:noProof/>
              </w:rPr>
              <w:t>I. INTRODUCCIÓN</w:t>
            </w:r>
            <w:r w:rsidR="004A40B3">
              <w:rPr>
                <w:noProof/>
                <w:webHidden/>
              </w:rPr>
              <w:tab/>
            </w:r>
            <w:r w:rsidR="004A40B3">
              <w:rPr>
                <w:noProof/>
                <w:webHidden/>
              </w:rPr>
              <w:fldChar w:fldCharType="begin"/>
            </w:r>
            <w:r w:rsidR="004A40B3">
              <w:rPr>
                <w:noProof/>
                <w:webHidden/>
              </w:rPr>
              <w:instrText xml:space="preserve"> PAGEREF _Toc134105176 \h </w:instrText>
            </w:r>
            <w:r w:rsidR="004A40B3">
              <w:rPr>
                <w:noProof/>
                <w:webHidden/>
              </w:rPr>
            </w:r>
            <w:r w:rsidR="004A40B3">
              <w:rPr>
                <w:noProof/>
                <w:webHidden/>
              </w:rPr>
              <w:fldChar w:fldCharType="separate"/>
            </w:r>
            <w:r w:rsidR="004A40B3">
              <w:rPr>
                <w:noProof/>
                <w:webHidden/>
              </w:rPr>
              <w:t>3</w:t>
            </w:r>
            <w:r w:rsidR="004A40B3">
              <w:rPr>
                <w:noProof/>
                <w:webHidden/>
              </w:rPr>
              <w:fldChar w:fldCharType="end"/>
            </w:r>
          </w:hyperlink>
        </w:p>
        <w:p w14:paraId="76FA1DD5" w14:textId="77777777" w:rsidR="004A40B3" w:rsidRDefault="00977DD0">
          <w:pPr>
            <w:pStyle w:val="TOC1"/>
            <w:tabs>
              <w:tab w:val="right" w:leader="dot" w:pos="8828"/>
            </w:tabs>
            <w:rPr>
              <w:noProof/>
              <w:lang w:eastAsia="es-MX"/>
            </w:rPr>
          </w:pPr>
          <w:hyperlink w:anchor="_Toc134105177" w:history="1">
            <w:r w:rsidR="004A40B3" w:rsidRPr="004D275E">
              <w:rPr>
                <w:rStyle w:val="Hyperlink"/>
                <w:rFonts w:ascii="Montserrat" w:hAnsi="Montserrat"/>
                <w:b/>
                <w:noProof/>
              </w:rPr>
              <w:t>II. DEFINICIONES, ENTENDIMIENTOS, VARIEDADES DE ENFOQUES Y PRÁCTICAS DE EMPODERAMIENTO LEGAL</w:t>
            </w:r>
            <w:r w:rsidR="004A40B3">
              <w:rPr>
                <w:noProof/>
                <w:webHidden/>
              </w:rPr>
              <w:tab/>
            </w:r>
            <w:r w:rsidR="004A40B3">
              <w:rPr>
                <w:noProof/>
                <w:webHidden/>
              </w:rPr>
              <w:fldChar w:fldCharType="begin"/>
            </w:r>
            <w:r w:rsidR="004A40B3">
              <w:rPr>
                <w:noProof/>
                <w:webHidden/>
              </w:rPr>
              <w:instrText xml:space="preserve"> PAGEREF _Toc134105177 \h </w:instrText>
            </w:r>
            <w:r w:rsidR="004A40B3">
              <w:rPr>
                <w:noProof/>
                <w:webHidden/>
              </w:rPr>
            </w:r>
            <w:r w:rsidR="004A40B3">
              <w:rPr>
                <w:noProof/>
                <w:webHidden/>
              </w:rPr>
              <w:fldChar w:fldCharType="separate"/>
            </w:r>
            <w:r w:rsidR="004A40B3">
              <w:rPr>
                <w:noProof/>
                <w:webHidden/>
              </w:rPr>
              <w:t>3</w:t>
            </w:r>
            <w:r w:rsidR="004A40B3">
              <w:rPr>
                <w:noProof/>
                <w:webHidden/>
              </w:rPr>
              <w:fldChar w:fldCharType="end"/>
            </w:r>
          </w:hyperlink>
        </w:p>
        <w:p w14:paraId="74575ED9" w14:textId="77777777" w:rsidR="004A40B3" w:rsidRDefault="00977DD0">
          <w:pPr>
            <w:pStyle w:val="TOC1"/>
            <w:tabs>
              <w:tab w:val="right" w:leader="dot" w:pos="8828"/>
            </w:tabs>
            <w:rPr>
              <w:noProof/>
              <w:lang w:eastAsia="es-MX"/>
            </w:rPr>
          </w:pPr>
          <w:hyperlink w:anchor="_Toc134105178" w:history="1">
            <w:r w:rsidR="004A40B3" w:rsidRPr="004D275E">
              <w:rPr>
                <w:rStyle w:val="Hyperlink"/>
                <w:rFonts w:ascii="Montserrat" w:hAnsi="Montserrat" w:cs="Arial"/>
                <w:b/>
                <w:noProof/>
              </w:rPr>
              <w:t>III. EJEMPLOS SOBRE LAS MODALIDADES E INNOVACIONES DE EMPODERAMIENTO LEGAL A NIVEL COMUNITARIO, LOCAL, NACIONAL E INTERNACIONAL</w:t>
            </w:r>
            <w:r w:rsidR="004A40B3">
              <w:rPr>
                <w:noProof/>
                <w:webHidden/>
              </w:rPr>
              <w:tab/>
            </w:r>
            <w:r w:rsidR="004A40B3">
              <w:rPr>
                <w:noProof/>
                <w:webHidden/>
              </w:rPr>
              <w:fldChar w:fldCharType="begin"/>
            </w:r>
            <w:r w:rsidR="004A40B3">
              <w:rPr>
                <w:noProof/>
                <w:webHidden/>
              </w:rPr>
              <w:instrText xml:space="preserve"> PAGEREF _Toc134105178 \h </w:instrText>
            </w:r>
            <w:r w:rsidR="004A40B3">
              <w:rPr>
                <w:noProof/>
                <w:webHidden/>
              </w:rPr>
            </w:r>
            <w:r w:rsidR="004A40B3">
              <w:rPr>
                <w:noProof/>
                <w:webHidden/>
              </w:rPr>
              <w:fldChar w:fldCharType="separate"/>
            </w:r>
            <w:r w:rsidR="004A40B3">
              <w:rPr>
                <w:noProof/>
                <w:webHidden/>
              </w:rPr>
              <w:t>4</w:t>
            </w:r>
            <w:r w:rsidR="004A40B3">
              <w:rPr>
                <w:noProof/>
                <w:webHidden/>
              </w:rPr>
              <w:fldChar w:fldCharType="end"/>
            </w:r>
          </w:hyperlink>
        </w:p>
        <w:p w14:paraId="56DEAF61" w14:textId="77777777" w:rsidR="004A40B3" w:rsidRDefault="00977DD0">
          <w:pPr>
            <w:pStyle w:val="TOC1"/>
            <w:tabs>
              <w:tab w:val="right" w:leader="dot" w:pos="8828"/>
            </w:tabs>
            <w:rPr>
              <w:noProof/>
              <w:lang w:eastAsia="es-MX"/>
            </w:rPr>
          </w:pPr>
          <w:hyperlink w:anchor="_Toc134105179" w:history="1">
            <w:r w:rsidR="004A40B3" w:rsidRPr="004D275E">
              <w:rPr>
                <w:rStyle w:val="Hyperlink"/>
                <w:rFonts w:ascii="Montserrat" w:hAnsi="Montserrat"/>
                <w:b/>
                <w:noProof/>
              </w:rPr>
              <w:t>IV. ENFOQUES PROMETEDORES PARA LA ASOCIACIÓN ENTRE ABOGADOS Y ASISTENTES JURÍDICOS Y OTROS DEFENSORES DE LA JUSTICIA DE BASE.</w:t>
            </w:r>
            <w:r w:rsidR="004A40B3">
              <w:rPr>
                <w:noProof/>
                <w:webHidden/>
              </w:rPr>
              <w:tab/>
            </w:r>
            <w:r w:rsidR="004A40B3">
              <w:rPr>
                <w:noProof/>
                <w:webHidden/>
              </w:rPr>
              <w:fldChar w:fldCharType="begin"/>
            </w:r>
            <w:r w:rsidR="004A40B3">
              <w:rPr>
                <w:noProof/>
                <w:webHidden/>
              </w:rPr>
              <w:instrText xml:space="preserve"> PAGEREF _Toc134105179 \h </w:instrText>
            </w:r>
            <w:r w:rsidR="004A40B3">
              <w:rPr>
                <w:noProof/>
                <w:webHidden/>
              </w:rPr>
            </w:r>
            <w:r w:rsidR="004A40B3">
              <w:rPr>
                <w:noProof/>
                <w:webHidden/>
              </w:rPr>
              <w:fldChar w:fldCharType="separate"/>
            </w:r>
            <w:r w:rsidR="004A40B3">
              <w:rPr>
                <w:noProof/>
                <w:webHidden/>
              </w:rPr>
              <w:t>6</w:t>
            </w:r>
            <w:r w:rsidR="004A40B3">
              <w:rPr>
                <w:noProof/>
                <w:webHidden/>
              </w:rPr>
              <w:fldChar w:fldCharType="end"/>
            </w:r>
          </w:hyperlink>
        </w:p>
        <w:p w14:paraId="37FB0284" w14:textId="77777777" w:rsidR="004A40B3" w:rsidRDefault="00977DD0">
          <w:pPr>
            <w:pStyle w:val="TOC1"/>
            <w:tabs>
              <w:tab w:val="right" w:leader="dot" w:pos="8828"/>
            </w:tabs>
            <w:rPr>
              <w:noProof/>
              <w:lang w:eastAsia="es-MX"/>
            </w:rPr>
          </w:pPr>
          <w:hyperlink w:anchor="_Toc134105180" w:history="1">
            <w:r w:rsidR="004A40B3" w:rsidRPr="004D275E">
              <w:rPr>
                <w:rStyle w:val="Hyperlink"/>
                <w:rFonts w:ascii="Montserrat" w:hAnsi="Montserrat"/>
                <w:b/>
                <w:noProof/>
              </w:rPr>
              <w:t>V. CONTRIBUCIÓN DEL EMPODERAMIENTO LEGAL Y DE OTROS ENFOQUES CENTRADOS EN LAS PERSONAS PARA CONSEGUIR UNA JUSTICIA IGUAL Y EFECTIVA, DE ACUERDO CON EL OBJETIVO DE DESARROLLO SOSTENIBLE 16</w:t>
            </w:r>
            <w:r w:rsidR="004A40B3">
              <w:rPr>
                <w:noProof/>
                <w:webHidden/>
              </w:rPr>
              <w:tab/>
            </w:r>
            <w:r w:rsidR="004A40B3">
              <w:rPr>
                <w:noProof/>
                <w:webHidden/>
              </w:rPr>
              <w:fldChar w:fldCharType="begin"/>
            </w:r>
            <w:r w:rsidR="004A40B3">
              <w:rPr>
                <w:noProof/>
                <w:webHidden/>
              </w:rPr>
              <w:instrText xml:space="preserve"> PAGEREF _Toc134105180 \h </w:instrText>
            </w:r>
            <w:r w:rsidR="004A40B3">
              <w:rPr>
                <w:noProof/>
                <w:webHidden/>
              </w:rPr>
            </w:r>
            <w:r w:rsidR="004A40B3">
              <w:rPr>
                <w:noProof/>
                <w:webHidden/>
              </w:rPr>
              <w:fldChar w:fldCharType="separate"/>
            </w:r>
            <w:r w:rsidR="004A40B3">
              <w:rPr>
                <w:noProof/>
                <w:webHidden/>
              </w:rPr>
              <w:t>7</w:t>
            </w:r>
            <w:r w:rsidR="004A40B3">
              <w:rPr>
                <w:noProof/>
                <w:webHidden/>
              </w:rPr>
              <w:fldChar w:fldCharType="end"/>
            </w:r>
          </w:hyperlink>
        </w:p>
        <w:p w14:paraId="4E5622ED" w14:textId="1CC6D921" w:rsidR="003143B1" w:rsidRPr="007C24A5" w:rsidRDefault="000544EA" w:rsidP="008E7E86">
          <w:pPr>
            <w:spacing w:before="120" w:after="0" w:line="360" w:lineRule="auto"/>
            <w:jc w:val="both"/>
            <w:rPr>
              <w:rFonts w:ascii="Montserrat" w:eastAsia="Calibri" w:hAnsi="Montserrat" w:cs="Times New Roman"/>
              <w:sz w:val="24"/>
              <w:szCs w:val="24"/>
              <w:lang w:eastAsia="en-US"/>
            </w:rPr>
          </w:pPr>
          <w:r w:rsidRPr="007C24A5">
            <w:rPr>
              <w:rFonts w:ascii="Montserrat" w:eastAsia="Calibri" w:hAnsi="Montserrat" w:cs="Times New Roman"/>
              <w:b/>
              <w:bCs/>
              <w:sz w:val="24"/>
              <w:szCs w:val="24"/>
              <w:lang w:val="es-ES" w:eastAsia="en-US"/>
            </w:rPr>
            <w:fldChar w:fldCharType="end"/>
          </w:r>
        </w:p>
      </w:sdtContent>
    </w:sdt>
    <w:p w14:paraId="2A027913" w14:textId="77777777" w:rsidR="008E7E86" w:rsidRPr="007C24A5" w:rsidRDefault="008E7E86" w:rsidP="000544EA">
      <w:pPr>
        <w:spacing w:before="120" w:after="0" w:line="360" w:lineRule="auto"/>
        <w:ind w:hanging="357"/>
        <w:jc w:val="center"/>
        <w:rPr>
          <w:rFonts w:ascii="Montserrat" w:eastAsia="Calibri" w:hAnsi="Montserrat" w:cs="Times New Roman"/>
          <w:b/>
          <w:smallCaps/>
          <w:sz w:val="24"/>
          <w:szCs w:val="24"/>
          <w:lang w:val="es-ES" w:eastAsia="es-MX"/>
        </w:rPr>
      </w:pPr>
    </w:p>
    <w:p w14:paraId="002B2BA1" w14:textId="77777777" w:rsidR="00E17FF0" w:rsidRDefault="00E17FF0" w:rsidP="00C67FB8">
      <w:pPr>
        <w:spacing w:before="120" w:after="0" w:line="360" w:lineRule="auto"/>
        <w:rPr>
          <w:rFonts w:ascii="Montserrat" w:eastAsia="Calibri" w:hAnsi="Montserrat" w:cs="Times New Roman"/>
          <w:b/>
          <w:smallCaps/>
          <w:sz w:val="24"/>
          <w:szCs w:val="24"/>
          <w:lang w:val="es-ES" w:eastAsia="es-MX"/>
        </w:rPr>
      </w:pPr>
    </w:p>
    <w:p w14:paraId="7738178E" w14:textId="77777777" w:rsidR="00C43BF8" w:rsidRDefault="00C43BF8" w:rsidP="00C67FB8">
      <w:pPr>
        <w:spacing w:before="120" w:after="0" w:line="360" w:lineRule="auto"/>
        <w:rPr>
          <w:rFonts w:ascii="Montserrat" w:eastAsia="Calibri" w:hAnsi="Montserrat" w:cs="Times New Roman"/>
          <w:b/>
          <w:smallCaps/>
          <w:sz w:val="24"/>
          <w:szCs w:val="24"/>
          <w:lang w:val="es-ES" w:eastAsia="es-MX"/>
        </w:rPr>
      </w:pPr>
    </w:p>
    <w:p w14:paraId="63778106"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7A9D9EF7"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0BE85721"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6B6347F4"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5ACC59F8"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6CA46285"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796489F0"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210CC5AF"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02088A0B"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2425EDCE" w14:textId="77777777" w:rsidR="006908C9" w:rsidRPr="007C24A5" w:rsidRDefault="006908C9" w:rsidP="00C67FB8">
      <w:pPr>
        <w:spacing w:before="120" w:after="0" w:line="360" w:lineRule="auto"/>
        <w:rPr>
          <w:rFonts w:ascii="Montserrat" w:eastAsia="Calibri" w:hAnsi="Montserrat" w:cs="Times New Roman"/>
          <w:b/>
          <w:smallCaps/>
          <w:sz w:val="24"/>
          <w:szCs w:val="24"/>
          <w:lang w:val="es-ES" w:eastAsia="es-MX"/>
        </w:rPr>
      </w:pPr>
    </w:p>
    <w:p w14:paraId="15EC14B5" w14:textId="3C96C691" w:rsidR="00413DFC" w:rsidRPr="003B1C1F" w:rsidRDefault="00EA6231" w:rsidP="003B1C1F">
      <w:pPr>
        <w:pStyle w:val="Heading1"/>
        <w:rPr>
          <w:rFonts w:ascii="Montserrat" w:hAnsi="Montserrat"/>
          <w:b/>
          <w:color w:val="auto"/>
          <w:sz w:val="24"/>
          <w:szCs w:val="24"/>
        </w:rPr>
      </w:pPr>
      <w:bookmarkStart w:id="0" w:name="_Toc134105176"/>
      <w:r w:rsidRPr="003B1C1F">
        <w:rPr>
          <w:rFonts w:ascii="Montserrat" w:hAnsi="Montserrat"/>
          <w:b/>
          <w:color w:val="auto"/>
          <w:sz w:val="24"/>
          <w:szCs w:val="24"/>
        </w:rPr>
        <w:lastRenderedPageBreak/>
        <w:t>I. INTRODUCCIÓN</w:t>
      </w:r>
      <w:bookmarkEnd w:id="0"/>
      <w:r w:rsidRPr="003B1C1F">
        <w:rPr>
          <w:rFonts w:ascii="Montserrat" w:hAnsi="Montserrat"/>
          <w:b/>
          <w:color w:val="auto"/>
          <w:sz w:val="24"/>
          <w:szCs w:val="24"/>
        </w:rPr>
        <w:t xml:space="preserve"> </w:t>
      </w:r>
    </w:p>
    <w:p w14:paraId="59462B05" w14:textId="5E7D320D" w:rsidR="0091539B" w:rsidRPr="004A40B3" w:rsidRDefault="00432211" w:rsidP="004A40B3">
      <w:pPr>
        <w:spacing w:line="240" w:lineRule="auto"/>
        <w:jc w:val="both"/>
        <w:rPr>
          <w:rFonts w:ascii="Montserrat" w:eastAsia="Calibri" w:hAnsi="Montserrat" w:cs="Times New Roman"/>
          <w:sz w:val="24"/>
          <w:szCs w:val="24"/>
          <w:lang w:eastAsia="es-MX"/>
        </w:rPr>
      </w:pPr>
      <w:r w:rsidRPr="00432211">
        <w:rPr>
          <w:rFonts w:ascii="Montserrat" w:hAnsi="Montserrat"/>
          <w:sz w:val="24"/>
          <w:szCs w:val="24"/>
        </w:rPr>
        <w:t>En respuesta</w:t>
      </w:r>
      <w:r w:rsidR="0091539B" w:rsidRPr="00432211">
        <w:rPr>
          <w:rFonts w:ascii="Montserrat" w:hAnsi="Montserrat"/>
          <w:sz w:val="24"/>
          <w:szCs w:val="24"/>
        </w:rPr>
        <w:t xml:space="preserve"> a la solicitud de información</w:t>
      </w:r>
      <w:r w:rsidRPr="00432211">
        <w:t xml:space="preserve"> </w:t>
      </w:r>
      <w:r w:rsidRPr="00432211">
        <w:rPr>
          <w:rFonts w:ascii="Montserrat" w:hAnsi="Montserrat"/>
          <w:sz w:val="24"/>
          <w:szCs w:val="24"/>
        </w:rPr>
        <w:t>acerca del empoderamiento legal</w:t>
      </w:r>
      <w:r w:rsidR="0091539B" w:rsidRPr="00432211">
        <w:rPr>
          <w:rFonts w:ascii="Montserrat" w:hAnsi="Montserrat"/>
          <w:sz w:val="24"/>
          <w:szCs w:val="24"/>
        </w:rPr>
        <w:t xml:space="preserve"> realizada por la Relatora Especial sobre la independencia de </w:t>
      </w:r>
      <w:r w:rsidRPr="00432211">
        <w:rPr>
          <w:rFonts w:ascii="Montserrat" w:hAnsi="Montserrat"/>
          <w:sz w:val="24"/>
          <w:szCs w:val="24"/>
        </w:rPr>
        <w:t>los magistrados y abogados</w:t>
      </w:r>
      <w:r w:rsidR="0091539B" w:rsidRPr="00432211">
        <w:rPr>
          <w:rFonts w:ascii="Montserrat" w:hAnsi="Montserrat"/>
          <w:sz w:val="24"/>
          <w:szCs w:val="24"/>
        </w:rPr>
        <w:t>, Sra. Margaret Satterthwaite, para la preparación de su informe temático “la promesa del empoderamiento legal para expandir y transformar el acceso a la justicia”, el cual será presentado ante la Asamblea General durante su 78° periodo</w:t>
      </w:r>
      <w:r w:rsidRPr="00432211">
        <w:rPr>
          <w:rFonts w:ascii="Montserrat" w:hAnsi="Montserrat"/>
          <w:sz w:val="24"/>
          <w:szCs w:val="24"/>
        </w:rPr>
        <w:t xml:space="preserve"> de sesiones, el Estado mexicano informa lo siguiente.</w:t>
      </w:r>
    </w:p>
    <w:p w14:paraId="71B6F344" w14:textId="09973149" w:rsidR="0091539B" w:rsidRPr="0091539B" w:rsidRDefault="0091539B" w:rsidP="0091539B">
      <w:pPr>
        <w:pStyle w:val="Heading1"/>
        <w:rPr>
          <w:rFonts w:ascii="Montserrat" w:hAnsi="Montserrat"/>
          <w:b/>
          <w:color w:val="auto"/>
          <w:sz w:val="24"/>
          <w:szCs w:val="24"/>
        </w:rPr>
      </w:pPr>
      <w:bookmarkStart w:id="1" w:name="_Toc134105177"/>
      <w:r w:rsidRPr="0091539B">
        <w:rPr>
          <w:rFonts w:ascii="Montserrat" w:hAnsi="Montserrat"/>
          <w:b/>
          <w:color w:val="auto"/>
          <w:sz w:val="24"/>
          <w:szCs w:val="24"/>
        </w:rPr>
        <w:t>II. DEFINICIONES, ENTENDIMIENTOS, VARIEDADES DE ENFOQUES Y PRÁCTICAS DE EMPODERAMIENTO LEGAL</w:t>
      </w:r>
      <w:bookmarkEnd w:id="1"/>
    </w:p>
    <w:p w14:paraId="129F66D3" w14:textId="77777777" w:rsidR="0091539B" w:rsidRDefault="0091539B" w:rsidP="0091539B">
      <w:pPr>
        <w:spacing w:line="240" w:lineRule="atLeast"/>
        <w:ind w:left="-426"/>
        <w:contextualSpacing/>
        <w:jc w:val="both"/>
        <w:rPr>
          <w:rFonts w:ascii="Montserrat" w:hAnsi="Montserrat"/>
          <w:b/>
          <w:sz w:val="24"/>
          <w:szCs w:val="24"/>
        </w:rPr>
      </w:pPr>
    </w:p>
    <w:p w14:paraId="08386E85" w14:textId="77777777" w:rsidR="0091539B" w:rsidRPr="00C75FF6" w:rsidRDefault="0091539B" w:rsidP="0091539B">
      <w:pPr>
        <w:spacing w:line="240" w:lineRule="atLeast"/>
        <w:jc w:val="both"/>
        <w:rPr>
          <w:rFonts w:ascii="Montserrat" w:hAnsi="Montserrat"/>
          <w:sz w:val="24"/>
          <w:szCs w:val="24"/>
        </w:rPr>
      </w:pPr>
      <w:r w:rsidRPr="00C75FF6">
        <w:rPr>
          <w:rFonts w:ascii="Montserrat" w:hAnsi="Montserrat"/>
          <w:sz w:val="24"/>
          <w:szCs w:val="24"/>
        </w:rPr>
        <w:t>Visto desde la perspectiva de</w:t>
      </w:r>
      <w:r>
        <w:rPr>
          <w:rFonts w:ascii="Montserrat" w:hAnsi="Montserrat"/>
          <w:sz w:val="24"/>
          <w:szCs w:val="24"/>
        </w:rPr>
        <w:t xml:space="preserve"> los</w:t>
      </w:r>
      <w:r w:rsidRPr="00C75FF6">
        <w:rPr>
          <w:rFonts w:ascii="Montserrat" w:hAnsi="Montserrat"/>
          <w:sz w:val="24"/>
          <w:szCs w:val="24"/>
        </w:rPr>
        <w:t xml:space="preserve"> derechos humanos, </w:t>
      </w:r>
      <w:r>
        <w:rPr>
          <w:rFonts w:ascii="Montserrat" w:hAnsi="Montserrat"/>
          <w:sz w:val="24"/>
          <w:szCs w:val="24"/>
        </w:rPr>
        <w:t>el empoderamiento legal implica</w:t>
      </w:r>
      <w:r w:rsidRPr="00C75FF6">
        <w:rPr>
          <w:rFonts w:ascii="Montserrat" w:hAnsi="Montserrat"/>
          <w:sz w:val="24"/>
          <w:szCs w:val="24"/>
        </w:rPr>
        <w:t xml:space="preserve"> tanto el reclamo de derechos por parte de las personas titulares de ellos, como las obligacio</w:t>
      </w:r>
      <w:r>
        <w:rPr>
          <w:rFonts w:ascii="Montserrat" w:hAnsi="Montserrat"/>
          <w:sz w:val="24"/>
          <w:szCs w:val="24"/>
        </w:rPr>
        <w:t xml:space="preserve">nes estatales de garantizarlos. El </w:t>
      </w:r>
      <w:r w:rsidRPr="00C75FF6">
        <w:rPr>
          <w:rFonts w:ascii="Montserrat" w:hAnsi="Montserrat"/>
          <w:sz w:val="24"/>
          <w:szCs w:val="24"/>
        </w:rPr>
        <w:t>acceso a la justicia es el derecho de toda persona de acceder, cumpliendo los req</w:t>
      </w:r>
      <w:r>
        <w:rPr>
          <w:rFonts w:ascii="Montserrat" w:hAnsi="Montserrat"/>
          <w:sz w:val="24"/>
          <w:szCs w:val="24"/>
        </w:rPr>
        <w:t>uisitos y formas que señale la l</w:t>
      </w:r>
      <w:r w:rsidRPr="00C75FF6">
        <w:rPr>
          <w:rFonts w:ascii="Montserrat" w:hAnsi="Montserrat"/>
          <w:sz w:val="24"/>
          <w:szCs w:val="24"/>
        </w:rPr>
        <w:t>ey</w:t>
      </w:r>
      <w:r>
        <w:rPr>
          <w:rFonts w:ascii="Montserrat" w:hAnsi="Montserrat"/>
          <w:sz w:val="24"/>
          <w:szCs w:val="24"/>
        </w:rPr>
        <w:t>,</w:t>
      </w:r>
      <w:r w:rsidRPr="00C75FF6">
        <w:rPr>
          <w:rFonts w:ascii="Montserrat" w:hAnsi="Montserrat"/>
          <w:sz w:val="24"/>
          <w:szCs w:val="24"/>
        </w:rPr>
        <w:t xml:space="preserve"> a un procedimiento jurisdiccional.</w:t>
      </w:r>
    </w:p>
    <w:p w14:paraId="77F48AD4" w14:textId="77777777" w:rsidR="0091539B" w:rsidRPr="00C75FF6" w:rsidRDefault="0091539B" w:rsidP="0091539B">
      <w:pPr>
        <w:spacing w:line="240" w:lineRule="atLeast"/>
        <w:jc w:val="both"/>
        <w:rPr>
          <w:rFonts w:ascii="Montserrat" w:hAnsi="Montserrat"/>
          <w:sz w:val="24"/>
          <w:szCs w:val="24"/>
        </w:rPr>
      </w:pPr>
      <w:r w:rsidRPr="00C75FF6">
        <w:rPr>
          <w:rFonts w:ascii="Montserrat" w:hAnsi="Montserrat"/>
          <w:sz w:val="24"/>
          <w:szCs w:val="24"/>
        </w:rPr>
        <w:t>La asistencia letrada como g</w:t>
      </w:r>
      <w:r>
        <w:rPr>
          <w:rFonts w:ascii="Montserrat" w:hAnsi="Montserrat"/>
          <w:sz w:val="24"/>
          <w:szCs w:val="24"/>
        </w:rPr>
        <w:t xml:space="preserve">arantía del derecho de defensa </w:t>
      </w:r>
      <w:r w:rsidRPr="00C75FF6">
        <w:rPr>
          <w:rFonts w:ascii="Montserrat" w:hAnsi="Montserrat"/>
          <w:sz w:val="24"/>
          <w:szCs w:val="24"/>
        </w:rPr>
        <w:t>reviste una capital importancia como garantía instrumental para el ejercicio del derecho a la protección</w:t>
      </w:r>
      <w:r>
        <w:rPr>
          <w:rFonts w:ascii="Montserrat" w:hAnsi="Montserrat"/>
          <w:sz w:val="24"/>
          <w:szCs w:val="24"/>
        </w:rPr>
        <w:t xml:space="preserve"> judicial. Es por ello </w:t>
      </w:r>
      <w:proofErr w:type="gramStart"/>
      <w:r>
        <w:rPr>
          <w:rFonts w:ascii="Montserrat" w:hAnsi="Montserrat"/>
          <w:sz w:val="24"/>
          <w:szCs w:val="24"/>
        </w:rPr>
        <w:t>que</w:t>
      </w:r>
      <w:proofErr w:type="gramEnd"/>
      <w:r>
        <w:rPr>
          <w:rFonts w:ascii="Montserrat" w:hAnsi="Montserrat"/>
          <w:sz w:val="24"/>
          <w:szCs w:val="24"/>
        </w:rPr>
        <w:t xml:space="preserve"> el Estado mexicano ha</w:t>
      </w:r>
      <w:r w:rsidRPr="00C75FF6">
        <w:rPr>
          <w:rFonts w:ascii="Montserrat" w:hAnsi="Montserrat"/>
          <w:sz w:val="24"/>
          <w:szCs w:val="24"/>
        </w:rPr>
        <w:t xml:space="preserve"> implementado distintos modelos para incorporar dentro de su estructura institucional a los órganos de defensoría pública encargados de brind</w:t>
      </w:r>
      <w:r>
        <w:rPr>
          <w:rFonts w:ascii="Montserrat" w:hAnsi="Montserrat"/>
          <w:sz w:val="24"/>
          <w:szCs w:val="24"/>
        </w:rPr>
        <w:t>ar asistencia letrada oficial. E</w:t>
      </w:r>
      <w:r w:rsidRPr="00C75FF6">
        <w:rPr>
          <w:rFonts w:ascii="Montserrat" w:hAnsi="Montserrat"/>
          <w:sz w:val="24"/>
          <w:szCs w:val="24"/>
        </w:rPr>
        <w:t>stos órganos pueden incorporarse de forma subordinada o sectorizada a la estructura interna de éstos y, con distintos grados de competencia, para una intervención amplia en todas las materias, o bien, acotadas a determinados ámbitos.</w:t>
      </w:r>
    </w:p>
    <w:p w14:paraId="7B7ECECA" w14:textId="77777777" w:rsidR="0091539B" w:rsidRPr="00C75FF6" w:rsidRDefault="0091539B" w:rsidP="0091539B">
      <w:pPr>
        <w:spacing w:line="240" w:lineRule="atLeast"/>
        <w:jc w:val="both"/>
        <w:rPr>
          <w:rFonts w:ascii="Montserrat" w:hAnsi="Montserrat"/>
          <w:sz w:val="24"/>
          <w:szCs w:val="24"/>
        </w:rPr>
      </w:pPr>
      <w:r>
        <w:rPr>
          <w:rFonts w:ascii="Montserrat" w:hAnsi="Montserrat"/>
          <w:sz w:val="24"/>
          <w:szCs w:val="24"/>
        </w:rPr>
        <w:t>E</w:t>
      </w:r>
      <w:r w:rsidRPr="00C75FF6">
        <w:rPr>
          <w:rFonts w:ascii="Montserrat" w:hAnsi="Montserrat"/>
          <w:sz w:val="24"/>
          <w:szCs w:val="24"/>
        </w:rPr>
        <w:t>s indispensable ve</w:t>
      </w:r>
      <w:r>
        <w:rPr>
          <w:rFonts w:ascii="Montserrat" w:hAnsi="Montserrat"/>
          <w:sz w:val="24"/>
          <w:szCs w:val="24"/>
        </w:rPr>
        <w:t>r a la autonomía constitucional</w:t>
      </w:r>
      <w:r w:rsidRPr="00C75FF6">
        <w:rPr>
          <w:rFonts w:ascii="Montserrat" w:hAnsi="Montserrat"/>
          <w:sz w:val="24"/>
          <w:szCs w:val="24"/>
        </w:rPr>
        <w:t xml:space="preserve"> como atributo necesario para garantizar de manera efectiva el derecho de defensa</w:t>
      </w:r>
      <w:r>
        <w:rPr>
          <w:rFonts w:ascii="Montserrat" w:hAnsi="Montserrat"/>
          <w:sz w:val="24"/>
          <w:szCs w:val="24"/>
        </w:rPr>
        <w:t xml:space="preserve">, consagrado en México </w:t>
      </w:r>
      <w:r w:rsidRPr="00C75FF6">
        <w:rPr>
          <w:rFonts w:ascii="Montserrat" w:hAnsi="Montserrat"/>
          <w:sz w:val="24"/>
          <w:szCs w:val="24"/>
        </w:rPr>
        <w:t>dentro del artículo 20, apartado B, fracción VIII, de la Constitución Política de los Estado Unidos Mexicanos, el cual estipula</w:t>
      </w:r>
      <w:r>
        <w:rPr>
          <w:rFonts w:ascii="Montserrat" w:hAnsi="Montserrat"/>
          <w:sz w:val="24"/>
          <w:szCs w:val="24"/>
        </w:rPr>
        <w:t xml:space="preserve"> como derecho</w:t>
      </w:r>
      <w:r w:rsidRPr="004169AA">
        <w:rPr>
          <w:rFonts w:ascii="Montserrat" w:hAnsi="Montserrat"/>
          <w:sz w:val="24"/>
          <w:szCs w:val="24"/>
        </w:rPr>
        <w:t xml:space="preserve"> de toda persona imputada:</w:t>
      </w:r>
    </w:p>
    <w:p w14:paraId="4AD00B40" w14:textId="77777777" w:rsidR="0091539B" w:rsidRPr="004F00E1" w:rsidRDefault="0091539B" w:rsidP="0091539B">
      <w:pPr>
        <w:spacing w:line="240" w:lineRule="atLeast"/>
        <w:ind w:left="708"/>
        <w:jc w:val="both"/>
        <w:rPr>
          <w:rFonts w:ascii="Montserrat" w:hAnsi="Montserrat"/>
          <w:i/>
          <w:szCs w:val="24"/>
        </w:rPr>
      </w:pPr>
      <w:r w:rsidRPr="004F00E1">
        <w:rPr>
          <w:rFonts w:ascii="Montserrat" w:hAnsi="Montserrat"/>
          <w:i/>
          <w:szCs w:val="24"/>
        </w:rPr>
        <w:t>“derecho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w:t>
      </w:r>
      <w:r>
        <w:rPr>
          <w:rFonts w:ascii="Montserrat" w:hAnsi="Montserrat"/>
          <w:i/>
          <w:szCs w:val="24"/>
        </w:rPr>
        <w:t xml:space="preserve"> cuantas veces se le requiera, (…)</w:t>
      </w:r>
      <w:r w:rsidRPr="004F00E1">
        <w:rPr>
          <w:rFonts w:ascii="Montserrat" w:hAnsi="Montserrat"/>
          <w:i/>
          <w:szCs w:val="24"/>
        </w:rPr>
        <w:t>”</w:t>
      </w:r>
      <w:r>
        <w:rPr>
          <w:rFonts w:ascii="Montserrat" w:hAnsi="Montserrat"/>
          <w:i/>
          <w:szCs w:val="24"/>
        </w:rPr>
        <w:t>.</w:t>
      </w:r>
    </w:p>
    <w:p w14:paraId="2A4C776F" w14:textId="77777777" w:rsidR="0091539B" w:rsidRDefault="0091539B" w:rsidP="0091539B">
      <w:pPr>
        <w:spacing w:line="240" w:lineRule="atLeast"/>
        <w:jc w:val="both"/>
        <w:rPr>
          <w:rFonts w:ascii="Montserrat" w:hAnsi="Montserrat"/>
          <w:sz w:val="24"/>
          <w:szCs w:val="24"/>
        </w:rPr>
      </w:pPr>
      <w:r w:rsidRPr="00D13D1B">
        <w:rPr>
          <w:rFonts w:ascii="Montserrat" w:hAnsi="Montserrat"/>
          <w:sz w:val="24"/>
          <w:szCs w:val="24"/>
        </w:rPr>
        <w:t>Ello, en congruencia con distintos instrumentos internacionales, frente a toda índole de injerencias externas a su objeto y función, y como condición indispensable para garantizar el acceso a la justicia de las personas, en particular, de aquellos grupos que teng</w:t>
      </w:r>
      <w:r>
        <w:rPr>
          <w:rFonts w:ascii="Montserrat" w:hAnsi="Montserrat"/>
          <w:sz w:val="24"/>
          <w:szCs w:val="24"/>
        </w:rPr>
        <w:t>an condición de vulnerabilidad.</w:t>
      </w:r>
    </w:p>
    <w:p w14:paraId="528EA75A" w14:textId="77777777" w:rsidR="0091539B" w:rsidRPr="00D13D1B" w:rsidRDefault="0091539B" w:rsidP="0091539B">
      <w:pPr>
        <w:spacing w:line="240" w:lineRule="atLeast"/>
        <w:jc w:val="both"/>
        <w:rPr>
          <w:rFonts w:ascii="Montserrat" w:hAnsi="Montserrat"/>
          <w:sz w:val="24"/>
          <w:szCs w:val="24"/>
        </w:rPr>
      </w:pPr>
      <w:r w:rsidRPr="00D13D1B">
        <w:rPr>
          <w:rFonts w:ascii="Montserrat" w:hAnsi="Montserrat"/>
          <w:sz w:val="24"/>
          <w:szCs w:val="24"/>
        </w:rPr>
        <w:lastRenderedPageBreak/>
        <w:t>En ese mismo sentido, dicho defensor, debe actuar de manera diligente con el fin de proteger las garantías individuales y procesales de cualquier persona que lo haya solicitado y, evite así, que sus derechos se vean lesionados y queb</w:t>
      </w:r>
      <w:r>
        <w:rPr>
          <w:rFonts w:ascii="Montserrat" w:hAnsi="Montserrat"/>
          <w:sz w:val="24"/>
          <w:szCs w:val="24"/>
        </w:rPr>
        <w:t>rante la relación de confianza.</w:t>
      </w:r>
    </w:p>
    <w:p w14:paraId="45B71338" w14:textId="77777777" w:rsidR="0091539B" w:rsidRDefault="0091539B" w:rsidP="0091539B">
      <w:pPr>
        <w:spacing w:line="240" w:lineRule="atLeast"/>
        <w:jc w:val="both"/>
        <w:rPr>
          <w:rFonts w:ascii="Montserrat" w:hAnsi="Montserrat"/>
          <w:sz w:val="24"/>
          <w:szCs w:val="24"/>
        </w:rPr>
      </w:pPr>
      <w:r w:rsidRPr="00D13D1B">
        <w:rPr>
          <w:rFonts w:ascii="Montserrat" w:hAnsi="Montserrat"/>
          <w:sz w:val="24"/>
          <w:szCs w:val="24"/>
        </w:rPr>
        <w:t>Existe una diversidad de enfoques en cuanto a la naturaleza, independencia y jerarquía de estos servicios dentro de nuestro sistema legal. Dichos enfoques determinan el alcance de la intervención en la defensa de los intereses de sus representados. El Estado mexicano ubica los siguientes esquemas que se tienen identificados en la región:</w:t>
      </w:r>
    </w:p>
    <w:p w14:paraId="1B6917EC" w14:textId="0FC307DD" w:rsidR="0091539B" w:rsidRDefault="0091539B" w:rsidP="004A40B3">
      <w:pPr>
        <w:pStyle w:val="ListParagraph"/>
        <w:numPr>
          <w:ilvl w:val="0"/>
          <w:numId w:val="30"/>
        </w:numPr>
        <w:spacing w:line="240" w:lineRule="atLeast"/>
        <w:jc w:val="both"/>
        <w:rPr>
          <w:rFonts w:ascii="Montserrat" w:hAnsi="Montserrat"/>
          <w:sz w:val="24"/>
          <w:szCs w:val="24"/>
        </w:rPr>
      </w:pPr>
      <w:r w:rsidRPr="004A40B3">
        <w:rPr>
          <w:rFonts w:ascii="Montserrat" w:hAnsi="Montserrat"/>
          <w:sz w:val="24"/>
          <w:szCs w:val="24"/>
        </w:rPr>
        <w:t>Instituciones independientes y autónomas po</w:t>
      </w:r>
      <w:r w:rsidR="004A40B3">
        <w:rPr>
          <w:rFonts w:ascii="Montserrat" w:hAnsi="Montserrat"/>
          <w:sz w:val="24"/>
          <w:szCs w:val="24"/>
        </w:rPr>
        <w:t>r disposición constitucional.</w:t>
      </w:r>
    </w:p>
    <w:p w14:paraId="29C784A3" w14:textId="77777777" w:rsidR="0091539B" w:rsidRPr="004A40B3" w:rsidRDefault="0091539B" w:rsidP="004A40B3">
      <w:pPr>
        <w:pStyle w:val="ListParagraph"/>
        <w:numPr>
          <w:ilvl w:val="0"/>
          <w:numId w:val="30"/>
        </w:numPr>
        <w:spacing w:line="240" w:lineRule="atLeast"/>
        <w:jc w:val="both"/>
        <w:rPr>
          <w:rFonts w:ascii="Montserrat" w:hAnsi="Montserrat"/>
          <w:sz w:val="24"/>
          <w:szCs w:val="24"/>
        </w:rPr>
      </w:pPr>
      <w:r w:rsidRPr="004A40B3">
        <w:rPr>
          <w:rFonts w:ascii="Montserrat" w:hAnsi="Montserrat"/>
          <w:sz w:val="24"/>
          <w:szCs w:val="24"/>
        </w:rPr>
        <w:t>Unidades administrativas con cierta autonomía funcional pero dentro de la estructura normativa y/o presupuestal del Poder Judicial o el Ministerio de Justicia.</w:t>
      </w:r>
    </w:p>
    <w:p w14:paraId="3B6784A4" w14:textId="5BFE2392" w:rsidR="004A40B3" w:rsidRPr="004A40B3" w:rsidRDefault="0091539B" w:rsidP="004A40B3">
      <w:pPr>
        <w:spacing w:line="240" w:lineRule="atLeast"/>
        <w:jc w:val="both"/>
        <w:rPr>
          <w:rFonts w:ascii="Montserrat" w:hAnsi="Montserrat"/>
          <w:sz w:val="24"/>
          <w:szCs w:val="24"/>
        </w:rPr>
      </w:pPr>
      <w:r>
        <w:rPr>
          <w:rFonts w:ascii="Montserrat" w:hAnsi="Montserrat"/>
          <w:sz w:val="24"/>
          <w:szCs w:val="24"/>
        </w:rPr>
        <w:t>En México</w:t>
      </w:r>
      <w:r w:rsidRPr="00D13D1B">
        <w:rPr>
          <w:rFonts w:ascii="Montserrat" w:hAnsi="Montserrat"/>
          <w:sz w:val="24"/>
          <w:szCs w:val="24"/>
        </w:rPr>
        <w:t>, el Instituto Federal de Defensoría Pública</w:t>
      </w:r>
      <w:r>
        <w:rPr>
          <w:rFonts w:ascii="Montserrat" w:hAnsi="Montserrat"/>
          <w:sz w:val="24"/>
          <w:szCs w:val="24"/>
        </w:rPr>
        <w:t xml:space="preserve"> (IFDP)</w:t>
      </w:r>
      <w:r w:rsidRPr="00D13D1B">
        <w:rPr>
          <w:rFonts w:ascii="Montserrat" w:hAnsi="Montserrat"/>
          <w:sz w:val="24"/>
          <w:szCs w:val="24"/>
        </w:rPr>
        <w:t xml:space="preserve"> es el órgano auxiliar del C</w:t>
      </w:r>
      <w:r>
        <w:rPr>
          <w:rFonts w:ascii="Montserrat" w:hAnsi="Montserrat"/>
          <w:sz w:val="24"/>
          <w:szCs w:val="24"/>
        </w:rPr>
        <w:t xml:space="preserve">onsejo de la Judicatura Federal (CJF) </w:t>
      </w:r>
      <w:r w:rsidRPr="00D13D1B">
        <w:rPr>
          <w:rFonts w:ascii="Montserrat" w:hAnsi="Montserrat"/>
          <w:sz w:val="24"/>
          <w:szCs w:val="24"/>
        </w:rPr>
        <w:t>encargado de garantizar el derecho a la defensa pública en materia penal y el acceso a la justicia mediante la orientación, asesoría y representación jurídica en materia administrativa, fiscal, civil, laboral y de causas penales, que permite atender a la población menos favorecida del país, bajo los principios de gratuidad, probidad, honradez y profesionalismo, con la finalidad de superar las desigualdades sociales y la conso</w:t>
      </w:r>
      <w:r>
        <w:rPr>
          <w:rFonts w:ascii="Montserrat" w:hAnsi="Montserrat"/>
          <w:sz w:val="24"/>
          <w:szCs w:val="24"/>
        </w:rPr>
        <w:t>lidación del estado de derecho.</w:t>
      </w:r>
    </w:p>
    <w:p w14:paraId="1B3FA314" w14:textId="03640EBF" w:rsidR="0091539B" w:rsidRPr="0091539B" w:rsidRDefault="0091539B" w:rsidP="0091539B">
      <w:pPr>
        <w:pStyle w:val="Heading1"/>
        <w:jc w:val="both"/>
        <w:rPr>
          <w:rFonts w:ascii="Montserrat" w:hAnsi="Montserrat" w:cs="Arial"/>
          <w:b/>
          <w:color w:val="auto"/>
          <w:sz w:val="24"/>
          <w:szCs w:val="24"/>
        </w:rPr>
      </w:pPr>
      <w:bookmarkStart w:id="2" w:name="_Toc134105178"/>
      <w:r w:rsidRPr="0091539B">
        <w:rPr>
          <w:rFonts w:ascii="Montserrat" w:hAnsi="Montserrat" w:cs="Arial"/>
          <w:b/>
          <w:color w:val="auto"/>
          <w:sz w:val="24"/>
          <w:szCs w:val="24"/>
        </w:rPr>
        <w:t>III.</w:t>
      </w:r>
      <w:r>
        <w:rPr>
          <w:rFonts w:ascii="Montserrat" w:hAnsi="Montserrat" w:cs="Arial"/>
          <w:b/>
          <w:color w:val="auto"/>
          <w:sz w:val="24"/>
          <w:szCs w:val="24"/>
        </w:rPr>
        <w:t xml:space="preserve"> </w:t>
      </w:r>
      <w:r w:rsidRPr="0091539B">
        <w:rPr>
          <w:rFonts w:ascii="Montserrat" w:hAnsi="Montserrat" w:cs="Arial"/>
          <w:b/>
          <w:color w:val="auto"/>
          <w:sz w:val="24"/>
          <w:szCs w:val="24"/>
        </w:rPr>
        <w:t>EJEMPLOS SOBRE LAS MODALIDADES E INNOVACIONES DE EMPODERAMIENTO LEGAL</w:t>
      </w:r>
      <w:r>
        <w:rPr>
          <w:rFonts w:ascii="Montserrat" w:hAnsi="Montserrat" w:cs="Arial"/>
          <w:b/>
          <w:color w:val="auto"/>
          <w:sz w:val="24"/>
          <w:szCs w:val="24"/>
        </w:rPr>
        <w:t xml:space="preserve"> A NIVEL COMUNITARIO, LOCAL, NACIONAL E INTERNACIONAL</w:t>
      </w:r>
      <w:bookmarkEnd w:id="2"/>
    </w:p>
    <w:p w14:paraId="735FFE7E" w14:textId="77777777" w:rsidR="0091539B" w:rsidRDefault="0091539B" w:rsidP="0091539B">
      <w:pPr>
        <w:spacing w:line="240" w:lineRule="atLeast"/>
        <w:ind w:left="-426"/>
        <w:contextualSpacing/>
        <w:jc w:val="both"/>
        <w:rPr>
          <w:rFonts w:ascii="Montserrat" w:hAnsi="Montserrat"/>
          <w:b/>
          <w:sz w:val="24"/>
          <w:szCs w:val="24"/>
        </w:rPr>
      </w:pPr>
    </w:p>
    <w:p w14:paraId="44CD177E" w14:textId="77777777" w:rsidR="004A40B3" w:rsidRDefault="0091539B" w:rsidP="004A40B3">
      <w:pPr>
        <w:spacing w:line="240" w:lineRule="atLeast"/>
        <w:contextualSpacing/>
        <w:jc w:val="both"/>
        <w:rPr>
          <w:rFonts w:ascii="Montserrat" w:hAnsi="Montserrat"/>
          <w:sz w:val="24"/>
          <w:szCs w:val="24"/>
          <w:lang w:val="es-ES_tradnl"/>
        </w:rPr>
      </w:pPr>
      <w:r w:rsidRPr="00D13D1B">
        <w:rPr>
          <w:rFonts w:ascii="Montserrat" w:hAnsi="Montserrat"/>
          <w:sz w:val="24"/>
          <w:szCs w:val="24"/>
          <w:lang w:val="es-ES_tradnl"/>
        </w:rPr>
        <w:t>La Suprema Corte de la Justicia de la Nación (SCJN) del Estado mexicano cuenta con los siguientes amparos encaminados a la innovación de empoderamiento legal:</w:t>
      </w:r>
    </w:p>
    <w:p w14:paraId="57B1CE47" w14:textId="77777777" w:rsidR="004A40B3" w:rsidRDefault="004A40B3" w:rsidP="004A40B3">
      <w:pPr>
        <w:spacing w:line="240" w:lineRule="atLeast"/>
        <w:contextualSpacing/>
        <w:jc w:val="both"/>
        <w:rPr>
          <w:rFonts w:ascii="Montserrat" w:hAnsi="Montserrat"/>
          <w:sz w:val="24"/>
          <w:szCs w:val="24"/>
          <w:lang w:val="es-ES_tradnl"/>
        </w:rPr>
      </w:pPr>
    </w:p>
    <w:p w14:paraId="4BD89C9A" w14:textId="77777777" w:rsidR="004A40B3" w:rsidRDefault="0091539B" w:rsidP="004A40B3">
      <w:pPr>
        <w:pStyle w:val="ListParagraph"/>
        <w:numPr>
          <w:ilvl w:val="0"/>
          <w:numId w:val="29"/>
        </w:numPr>
        <w:spacing w:line="240" w:lineRule="atLeast"/>
        <w:jc w:val="both"/>
        <w:rPr>
          <w:rFonts w:ascii="Montserrat" w:hAnsi="Montserrat"/>
          <w:sz w:val="24"/>
          <w:szCs w:val="24"/>
          <w:lang w:val="es-ES_tradnl"/>
        </w:rPr>
      </w:pPr>
      <w:r w:rsidRPr="004A40B3">
        <w:rPr>
          <w:rFonts w:ascii="Montserrat" w:hAnsi="Montserrat"/>
          <w:sz w:val="24"/>
          <w:szCs w:val="24"/>
          <w:lang w:val="es-ES_tradnl"/>
        </w:rPr>
        <w:t>En el Amparo directo 9/2018, respecto a los derechos laborales de los trabajadores del hogar;</w:t>
      </w:r>
    </w:p>
    <w:p w14:paraId="329388AB" w14:textId="77777777" w:rsidR="004A40B3" w:rsidRDefault="0091539B" w:rsidP="004A40B3">
      <w:pPr>
        <w:pStyle w:val="ListParagraph"/>
        <w:numPr>
          <w:ilvl w:val="0"/>
          <w:numId w:val="29"/>
        </w:numPr>
        <w:spacing w:line="240" w:lineRule="atLeast"/>
        <w:jc w:val="both"/>
        <w:rPr>
          <w:rFonts w:ascii="Montserrat" w:hAnsi="Montserrat"/>
          <w:sz w:val="24"/>
          <w:szCs w:val="24"/>
          <w:lang w:val="es-ES_tradnl"/>
        </w:rPr>
      </w:pPr>
      <w:r w:rsidRPr="004A40B3">
        <w:rPr>
          <w:rFonts w:ascii="Montserrat" w:hAnsi="Montserrat"/>
          <w:sz w:val="24"/>
          <w:szCs w:val="24"/>
          <w:lang w:val="es-ES_tradnl"/>
        </w:rPr>
        <w:t>En el Amparo en revisión 1368/2015 y el Amparo directo en revisión 44/2018, respecto de los derechos de las personas con discapacidad;</w:t>
      </w:r>
    </w:p>
    <w:p w14:paraId="053DBEBC" w14:textId="77777777" w:rsidR="004A40B3" w:rsidRDefault="0091539B" w:rsidP="004A40B3">
      <w:pPr>
        <w:pStyle w:val="ListParagraph"/>
        <w:numPr>
          <w:ilvl w:val="0"/>
          <w:numId w:val="29"/>
        </w:numPr>
        <w:spacing w:line="240" w:lineRule="atLeast"/>
        <w:jc w:val="both"/>
        <w:rPr>
          <w:rFonts w:ascii="Montserrat" w:hAnsi="Montserrat"/>
          <w:sz w:val="24"/>
          <w:szCs w:val="24"/>
          <w:lang w:val="es-ES_tradnl"/>
        </w:rPr>
      </w:pPr>
      <w:r w:rsidRPr="004A40B3">
        <w:rPr>
          <w:rFonts w:ascii="Montserrat" w:hAnsi="Montserrat"/>
          <w:sz w:val="24"/>
          <w:szCs w:val="24"/>
          <w:lang w:val="es-ES_tradnl"/>
        </w:rPr>
        <w:t>Amparo en revisión 114/2020, respecto a los derechos de las personas en situación de movilidad;</w:t>
      </w:r>
    </w:p>
    <w:p w14:paraId="3B32EF67" w14:textId="77777777" w:rsidR="004A40B3" w:rsidRDefault="0091539B" w:rsidP="004A40B3">
      <w:pPr>
        <w:pStyle w:val="ListParagraph"/>
        <w:numPr>
          <w:ilvl w:val="0"/>
          <w:numId w:val="29"/>
        </w:numPr>
        <w:spacing w:line="240" w:lineRule="atLeast"/>
        <w:jc w:val="both"/>
        <w:rPr>
          <w:rFonts w:ascii="Montserrat" w:hAnsi="Montserrat"/>
          <w:sz w:val="24"/>
          <w:szCs w:val="24"/>
          <w:lang w:val="es-ES_tradnl"/>
        </w:rPr>
      </w:pPr>
      <w:r w:rsidRPr="004A40B3">
        <w:rPr>
          <w:rFonts w:ascii="Montserrat" w:hAnsi="Montserrat"/>
          <w:sz w:val="24"/>
          <w:szCs w:val="24"/>
          <w:lang w:val="es-ES_tradnl"/>
        </w:rPr>
        <w:t>Amparo en revisión 750/2018; respecto de los derechos de las personas de la comunidad LGBTIQ+; y la</w:t>
      </w:r>
    </w:p>
    <w:p w14:paraId="69E5FDF4" w14:textId="2C171DFB" w:rsidR="0091539B" w:rsidRPr="004A40B3" w:rsidRDefault="0091539B" w:rsidP="004A40B3">
      <w:pPr>
        <w:pStyle w:val="ListParagraph"/>
        <w:numPr>
          <w:ilvl w:val="0"/>
          <w:numId w:val="29"/>
        </w:numPr>
        <w:spacing w:line="240" w:lineRule="atLeast"/>
        <w:jc w:val="both"/>
        <w:rPr>
          <w:rFonts w:ascii="Montserrat" w:hAnsi="Montserrat"/>
          <w:sz w:val="24"/>
          <w:szCs w:val="24"/>
          <w:lang w:val="es-ES_tradnl"/>
        </w:rPr>
      </w:pPr>
      <w:r w:rsidRPr="004A40B3">
        <w:rPr>
          <w:rFonts w:ascii="Montserrat" w:hAnsi="Montserrat"/>
          <w:sz w:val="24"/>
          <w:szCs w:val="24"/>
          <w:lang w:val="es-ES_tradnl"/>
        </w:rPr>
        <w:t xml:space="preserve">Controversia constitucional 32/2012, sobre la garantía de los derechos de las personas, </w:t>
      </w:r>
      <w:r w:rsidR="004A40B3" w:rsidRPr="004A40B3">
        <w:rPr>
          <w:rFonts w:ascii="Montserrat" w:hAnsi="Montserrat"/>
          <w:sz w:val="24"/>
          <w:szCs w:val="24"/>
          <w:lang w:val="es-ES_tradnl"/>
        </w:rPr>
        <w:t>pueblos y comunidades indígenas.</w:t>
      </w:r>
    </w:p>
    <w:p w14:paraId="374C5A99" w14:textId="77777777" w:rsidR="0091539B" w:rsidRPr="00D13D1B" w:rsidRDefault="0091539B" w:rsidP="0091539B">
      <w:pPr>
        <w:pStyle w:val="ListParagraph"/>
        <w:spacing w:line="240" w:lineRule="atLeast"/>
        <w:ind w:left="0"/>
        <w:jc w:val="both"/>
        <w:rPr>
          <w:rFonts w:ascii="Montserrat" w:hAnsi="Montserrat"/>
          <w:sz w:val="24"/>
          <w:szCs w:val="24"/>
          <w:lang w:val="es-ES_tradnl"/>
        </w:rPr>
      </w:pPr>
    </w:p>
    <w:p w14:paraId="073C7B13" w14:textId="77777777" w:rsidR="0091539B" w:rsidRPr="0091539B" w:rsidRDefault="0091539B" w:rsidP="0091539B">
      <w:pPr>
        <w:spacing w:line="240" w:lineRule="atLeast"/>
        <w:jc w:val="both"/>
        <w:rPr>
          <w:rFonts w:ascii="Montserrat" w:hAnsi="Montserrat"/>
          <w:sz w:val="24"/>
          <w:szCs w:val="24"/>
          <w:lang w:val="es-ES_tradnl"/>
        </w:rPr>
      </w:pPr>
      <w:r w:rsidRPr="00720B25">
        <w:rPr>
          <w:rFonts w:ascii="Montserrat" w:hAnsi="Montserrat"/>
          <w:sz w:val="24"/>
          <w:szCs w:val="24"/>
          <w:lang w:val="es-ES_tradnl"/>
        </w:rPr>
        <w:t xml:space="preserve">Para </w:t>
      </w:r>
      <w:proofErr w:type="gramStart"/>
      <w:r w:rsidRPr="00720B25">
        <w:rPr>
          <w:rFonts w:ascii="Montserrat" w:hAnsi="Montserrat"/>
          <w:sz w:val="24"/>
          <w:szCs w:val="24"/>
          <w:lang w:val="es-ES_tradnl"/>
        </w:rPr>
        <w:t>mayor información</w:t>
      </w:r>
      <w:proofErr w:type="gramEnd"/>
      <w:r w:rsidRPr="00720B25">
        <w:rPr>
          <w:rFonts w:ascii="Montserrat" w:hAnsi="Montserrat"/>
          <w:sz w:val="24"/>
          <w:szCs w:val="24"/>
          <w:lang w:val="es-ES_tradnl"/>
        </w:rPr>
        <w:t xml:space="preserve"> sobre los amparos mencionados, véase el anexo 2.</w:t>
      </w:r>
    </w:p>
    <w:p w14:paraId="364A3310" w14:textId="77777777" w:rsidR="0091539B" w:rsidRDefault="0091539B" w:rsidP="0091539B">
      <w:pPr>
        <w:spacing w:line="240" w:lineRule="atLeast"/>
        <w:contextualSpacing/>
        <w:jc w:val="both"/>
        <w:rPr>
          <w:rFonts w:ascii="Montserrat" w:hAnsi="Montserrat"/>
          <w:sz w:val="24"/>
          <w:szCs w:val="24"/>
        </w:rPr>
      </w:pPr>
      <w:r>
        <w:rPr>
          <w:rFonts w:ascii="Montserrat" w:hAnsi="Montserrat"/>
          <w:sz w:val="24"/>
          <w:szCs w:val="24"/>
        </w:rPr>
        <w:t>E</w:t>
      </w:r>
      <w:r w:rsidRPr="00D13D1B">
        <w:rPr>
          <w:rFonts w:ascii="Montserrat" w:hAnsi="Montserrat"/>
          <w:sz w:val="24"/>
          <w:szCs w:val="24"/>
        </w:rPr>
        <w:t xml:space="preserve">l 25 de junio de 2019, </w:t>
      </w:r>
      <w:r>
        <w:rPr>
          <w:rFonts w:ascii="Montserrat" w:hAnsi="Montserrat"/>
          <w:sz w:val="24"/>
          <w:szCs w:val="24"/>
        </w:rPr>
        <w:t>el IFDP</w:t>
      </w:r>
      <w:r w:rsidRPr="00D13D1B">
        <w:rPr>
          <w:rFonts w:ascii="Montserrat" w:hAnsi="Montserrat"/>
          <w:sz w:val="24"/>
          <w:szCs w:val="24"/>
        </w:rPr>
        <w:t xml:space="preserve"> estableció una Secretaría Técnica de Combate a la Tortura, Tratos Crueles e Inhumanos (STCT), cuyo objetivo es coordinar, supervisar y realizar acciones de monitoreo, incidencia, investigación, análisis y seguimiento a la respuesta institucional frente a los actos de tortura y otros tratos o penas crueles, inhumanos o degradantes.</w:t>
      </w:r>
    </w:p>
    <w:p w14:paraId="5795B844" w14:textId="77777777" w:rsidR="0091539B" w:rsidRPr="00D13D1B" w:rsidRDefault="0091539B" w:rsidP="0091539B">
      <w:pPr>
        <w:spacing w:line="240" w:lineRule="atLeast"/>
        <w:ind w:left="-426"/>
        <w:contextualSpacing/>
        <w:jc w:val="both"/>
        <w:rPr>
          <w:rFonts w:ascii="Montserrat" w:hAnsi="Montserrat"/>
          <w:sz w:val="24"/>
          <w:szCs w:val="24"/>
        </w:rPr>
      </w:pPr>
    </w:p>
    <w:p w14:paraId="25CADF2C" w14:textId="77777777" w:rsidR="0091539B" w:rsidRPr="00D13D1B" w:rsidRDefault="0091539B" w:rsidP="0091539B">
      <w:pPr>
        <w:spacing w:line="240" w:lineRule="atLeast"/>
        <w:contextualSpacing/>
        <w:jc w:val="both"/>
        <w:rPr>
          <w:rFonts w:ascii="Montserrat" w:hAnsi="Montserrat"/>
          <w:sz w:val="24"/>
          <w:szCs w:val="24"/>
        </w:rPr>
      </w:pPr>
      <w:r w:rsidRPr="00D13D1B">
        <w:rPr>
          <w:rFonts w:ascii="Montserrat" w:hAnsi="Montserrat"/>
          <w:sz w:val="24"/>
          <w:szCs w:val="24"/>
        </w:rPr>
        <w:t xml:space="preserve">Con la finalidad de garantizar que las personas detenidas gocen de todas las salvaguardias fundamentales, la STCT emitió diversas herramientas prácticas para </w:t>
      </w:r>
      <w:proofErr w:type="gramStart"/>
      <w:r w:rsidRPr="00D13D1B">
        <w:rPr>
          <w:rFonts w:ascii="Montserrat" w:hAnsi="Montserrat"/>
          <w:sz w:val="24"/>
          <w:szCs w:val="24"/>
        </w:rPr>
        <w:t>defensoras y defensores</w:t>
      </w:r>
      <w:proofErr w:type="gramEnd"/>
      <w:r w:rsidRPr="00D13D1B">
        <w:rPr>
          <w:rFonts w:ascii="Montserrat" w:hAnsi="Montserrat"/>
          <w:sz w:val="24"/>
          <w:szCs w:val="24"/>
        </w:rPr>
        <w:t xml:space="preserve"> públicos federales que incorporan un enfoque diferenciado como:</w:t>
      </w:r>
    </w:p>
    <w:p w14:paraId="7C723D56" w14:textId="77777777" w:rsidR="004A40B3" w:rsidRPr="004A40B3" w:rsidRDefault="0091539B" w:rsidP="004A40B3">
      <w:pPr>
        <w:pStyle w:val="ListParagraph"/>
        <w:numPr>
          <w:ilvl w:val="0"/>
          <w:numId w:val="27"/>
        </w:numPr>
        <w:spacing w:line="240" w:lineRule="atLeast"/>
        <w:jc w:val="both"/>
        <w:rPr>
          <w:rFonts w:ascii="Montserrat" w:hAnsi="Montserrat"/>
          <w:sz w:val="24"/>
          <w:szCs w:val="24"/>
        </w:rPr>
      </w:pPr>
      <w:r w:rsidRPr="004A40B3">
        <w:rPr>
          <w:rFonts w:ascii="Montserrat" w:hAnsi="Montserrat"/>
          <w:sz w:val="24"/>
          <w:szCs w:val="24"/>
        </w:rPr>
        <w:t xml:space="preserve">Protocolo de Actuación para </w:t>
      </w:r>
      <w:proofErr w:type="gramStart"/>
      <w:r w:rsidRPr="004A40B3">
        <w:rPr>
          <w:rFonts w:ascii="Montserrat" w:hAnsi="Montserrat"/>
          <w:sz w:val="24"/>
          <w:szCs w:val="24"/>
        </w:rPr>
        <w:t>Defensoras y Defensores</w:t>
      </w:r>
      <w:proofErr w:type="gramEnd"/>
      <w:r w:rsidRPr="004A40B3">
        <w:rPr>
          <w:rFonts w:ascii="Montserrat" w:hAnsi="Montserrat"/>
          <w:sz w:val="24"/>
          <w:szCs w:val="24"/>
        </w:rPr>
        <w:t xml:space="preserve"> Públicos ante las Agencias del Ministerio Público de la Federación Previo a la Judicialización de los Casos.</w:t>
      </w:r>
    </w:p>
    <w:p w14:paraId="46591556" w14:textId="77777777" w:rsidR="004A40B3" w:rsidRDefault="0091539B" w:rsidP="004A40B3">
      <w:pPr>
        <w:pStyle w:val="ListParagraph"/>
        <w:numPr>
          <w:ilvl w:val="0"/>
          <w:numId w:val="26"/>
        </w:numPr>
        <w:spacing w:line="240" w:lineRule="atLeast"/>
        <w:jc w:val="both"/>
        <w:rPr>
          <w:rFonts w:ascii="Montserrat" w:hAnsi="Montserrat"/>
          <w:sz w:val="24"/>
          <w:szCs w:val="24"/>
        </w:rPr>
      </w:pPr>
      <w:r w:rsidRPr="004A40B3">
        <w:rPr>
          <w:rFonts w:ascii="Montserrat" w:hAnsi="Montserrat"/>
          <w:sz w:val="24"/>
          <w:szCs w:val="24"/>
        </w:rPr>
        <w:t xml:space="preserve">Lineamientos de Actuación para </w:t>
      </w:r>
      <w:proofErr w:type="gramStart"/>
      <w:r w:rsidRPr="004A40B3">
        <w:rPr>
          <w:rFonts w:ascii="Montserrat" w:hAnsi="Montserrat"/>
          <w:sz w:val="24"/>
          <w:szCs w:val="24"/>
        </w:rPr>
        <w:t>Defensoras y Defensores</w:t>
      </w:r>
      <w:proofErr w:type="gramEnd"/>
      <w:r w:rsidRPr="004A40B3">
        <w:rPr>
          <w:rFonts w:ascii="Montserrat" w:hAnsi="Montserrat"/>
          <w:sz w:val="24"/>
          <w:szCs w:val="24"/>
        </w:rPr>
        <w:t xml:space="preserve"> Públicos Federales sobre Hechos Vinculados a Tortura y Otros Tratos o Penas Crueles, Inhumanos o Degradantes.</w:t>
      </w:r>
    </w:p>
    <w:p w14:paraId="3C472731" w14:textId="62945430" w:rsidR="0091539B" w:rsidRPr="004A40B3" w:rsidRDefault="0091539B" w:rsidP="004A40B3">
      <w:pPr>
        <w:pStyle w:val="ListParagraph"/>
        <w:numPr>
          <w:ilvl w:val="0"/>
          <w:numId w:val="26"/>
        </w:numPr>
        <w:spacing w:line="240" w:lineRule="atLeast"/>
        <w:jc w:val="both"/>
        <w:rPr>
          <w:rFonts w:ascii="Montserrat" w:hAnsi="Montserrat"/>
          <w:sz w:val="24"/>
          <w:szCs w:val="24"/>
        </w:rPr>
      </w:pPr>
      <w:r w:rsidRPr="004A40B3">
        <w:rPr>
          <w:rFonts w:ascii="Montserrat" w:hAnsi="Montserrat"/>
          <w:sz w:val="24"/>
          <w:szCs w:val="24"/>
        </w:rPr>
        <w:t>Compilación Jurisprudencial en Materia de Tortura y Otros Tratos o Penas Crueles, Inhumanos o Degradantes.</w:t>
      </w:r>
    </w:p>
    <w:p w14:paraId="10B75394" w14:textId="4DA0AA48" w:rsidR="0091539B" w:rsidRPr="00455A51" w:rsidRDefault="0091539B" w:rsidP="0091539B">
      <w:pPr>
        <w:spacing w:line="240" w:lineRule="atLeast"/>
        <w:contextualSpacing/>
        <w:jc w:val="both"/>
        <w:rPr>
          <w:rFonts w:ascii="Montserrat" w:hAnsi="Montserrat"/>
          <w:sz w:val="24"/>
          <w:szCs w:val="24"/>
        </w:rPr>
      </w:pPr>
      <w:r w:rsidRPr="00720B25">
        <w:rPr>
          <w:rFonts w:ascii="Montserrat" w:hAnsi="Montserrat"/>
          <w:sz w:val="24"/>
          <w:szCs w:val="24"/>
        </w:rPr>
        <w:t>Para co</w:t>
      </w:r>
      <w:r w:rsidR="004A40B3" w:rsidRPr="00720B25">
        <w:rPr>
          <w:rFonts w:ascii="Montserrat" w:hAnsi="Montserrat"/>
          <w:sz w:val="24"/>
          <w:szCs w:val="24"/>
        </w:rPr>
        <w:t>nsultar ejemplos de las acciones</w:t>
      </w:r>
      <w:r w:rsidRPr="00720B25">
        <w:rPr>
          <w:rFonts w:ascii="Montserrat" w:hAnsi="Montserrat"/>
          <w:sz w:val="24"/>
          <w:szCs w:val="24"/>
        </w:rPr>
        <w:t xml:space="preserve"> de la STCT, véase el anexo 3.</w:t>
      </w:r>
    </w:p>
    <w:p w14:paraId="640E00E6" w14:textId="77777777" w:rsidR="0091539B" w:rsidRPr="000E164A" w:rsidRDefault="0091539B" w:rsidP="0091539B">
      <w:pPr>
        <w:spacing w:line="240" w:lineRule="atLeast"/>
        <w:ind w:left="-426"/>
        <w:contextualSpacing/>
        <w:jc w:val="both"/>
        <w:rPr>
          <w:rFonts w:ascii="Montserrat" w:hAnsi="Montserrat"/>
          <w:sz w:val="24"/>
          <w:szCs w:val="24"/>
          <w:highlight w:val="green"/>
        </w:rPr>
      </w:pPr>
    </w:p>
    <w:p w14:paraId="084550DF" w14:textId="77777777" w:rsidR="0091539B" w:rsidRPr="00D13D1B" w:rsidRDefault="0091539B" w:rsidP="0091539B">
      <w:pPr>
        <w:spacing w:line="240" w:lineRule="atLeast"/>
        <w:contextualSpacing/>
        <w:jc w:val="both"/>
        <w:rPr>
          <w:rFonts w:ascii="Montserrat" w:hAnsi="Montserrat"/>
          <w:sz w:val="24"/>
          <w:szCs w:val="24"/>
        </w:rPr>
      </w:pPr>
      <w:r w:rsidRPr="00D13D1B">
        <w:rPr>
          <w:rFonts w:ascii="Montserrat" w:hAnsi="Montserrat"/>
          <w:sz w:val="24"/>
          <w:szCs w:val="24"/>
        </w:rPr>
        <w:t xml:space="preserve">Por otra parte, el </w:t>
      </w:r>
      <w:r>
        <w:rPr>
          <w:rFonts w:ascii="Montserrat" w:hAnsi="Montserrat"/>
          <w:sz w:val="24"/>
          <w:szCs w:val="24"/>
        </w:rPr>
        <w:t>CJF</w:t>
      </w:r>
      <w:r w:rsidRPr="00D13D1B">
        <w:rPr>
          <w:rFonts w:ascii="Montserrat" w:hAnsi="Montserrat"/>
          <w:sz w:val="24"/>
          <w:szCs w:val="24"/>
        </w:rPr>
        <w:t xml:space="preserve"> ha emprendido diversas acciones encaminadas a empoderar legalmente a grupos que han sido históricamente excluidos y discriminados, con el objetivo de garantizar su derecho de acceso a la justicia:</w:t>
      </w:r>
    </w:p>
    <w:p w14:paraId="663C4244" w14:textId="77777777" w:rsidR="0091539B" w:rsidRPr="00D13D1B" w:rsidRDefault="0091539B" w:rsidP="0091539B">
      <w:pPr>
        <w:pStyle w:val="NormalWeb"/>
        <w:numPr>
          <w:ilvl w:val="0"/>
          <w:numId w:val="25"/>
        </w:numPr>
        <w:spacing w:before="0" w:beforeAutospacing="0" w:after="0" w:afterAutospacing="0"/>
        <w:jc w:val="both"/>
        <w:rPr>
          <w:rFonts w:ascii="Montserrat" w:hAnsi="Montserrat" w:cs="Arial"/>
          <w:bCs/>
        </w:rPr>
      </w:pPr>
      <w:r w:rsidRPr="00D13D1B">
        <w:rPr>
          <w:rFonts w:ascii="Montserrat" w:hAnsi="Montserrat" w:cs="Arial"/>
          <w:bCs/>
        </w:rPr>
        <w:t>Pueblos y comunidades indígenas y afromexicanas</w:t>
      </w:r>
      <w:r>
        <w:rPr>
          <w:rFonts w:ascii="Montserrat" w:hAnsi="Montserrat" w:cs="Arial"/>
          <w:bCs/>
        </w:rPr>
        <w:t>;</w:t>
      </w:r>
    </w:p>
    <w:p w14:paraId="30C720F1" w14:textId="77777777" w:rsidR="0091539B" w:rsidRPr="00D13D1B" w:rsidRDefault="0091539B" w:rsidP="0091539B">
      <w:pPr>
        <w:pStyle w:val="NormalWeb"/>
        <w:numPr>
          <w:ilvl w:val="0"/>
          <w:numId w:val="25"/>
        </w:numPr>
        <w:spacing w:before="0" w:beforeAutospacing="0" w:after="0" w:afterAutospacing="0"/>
        <w:jc w:val="both"/>
        <w:rPr>
          <w:rFonts w:ascii="Montserrat" w:hAnsi="Montserrat" w:cs="Arial"/>
          <w:bCs/>
        </w:rPr>
      </w:pPr>
      <w:r w:rsidRPr="00D13D1B">
        <w:rPr>
          <w:rFonts w:ascii="Montserrat" w:hAnsi="Montserrat" w:cs="Arial"/>
          <w:bCs/>
        </w:rPr>
        <w:t>Comunidades LGBTQ+</w:t>
      </w:r>
      <w:r>
        <w:rPr>
          <w:rFonts w:ascii="Montserrat" w:hAnsi="Montserrat" w:cs="Arial"/>
          <w:bCs/>
        </w:rPr>
        <w:t>;</w:t>
      </w:r>
    </w:p>
    <w:p w14:paraId="62478927" w14:textId="77777777" w:rsidR="0091539B" w:rsidRPr="00D13D1B" w:rsidRDefault="0091539B" w:rsidP="0091539B">
      <w:pPr>
        <w:pStyle w:val="NormalWeb"/>
        <w:numPr>
          <w:ilvl w:val="0"/>
          <w:numId w:val="25"/>
        </w:numPr>
        <w:spacing w:before="0" w:beforeAutospacing="0" w:after="0" w:afterAutospacing="0"/>
        <w:jc w:val="both"/>
        <w:rPr>
          <w:rFonts w:ascii="Montserrat" w:hAnsi="Montserrat" w:cs="Arial"/>
          <w:bCs/>
        </w:rPr>
      </w:pPr>
      <w:r w:rsidRPr="00D13D1B">
        <w:rPr>
          <w:rFonts w:ascii="Montserrat" w:hAnsi="Montserrat" w:cs="Arial"/>
          <w:bCs/>
        </w:rPr>
        <w:t>Mujeres</w:t>
      </w:r>
      <w:r>
        <w:rPr>
          <w:rFonts w:ascii="Montserrat" w:hAnsi="Montserrat" w:cs="Arial"/>
          <w:bCs/>
        </w:rPr>
        <w:t>;</w:t>
      </w:r>
    </w:p>
    <w:p w14:paraId="6D658192" w14:textId="77777777" w:rsidR="0091539B" w:rsidRPr="00D13D1B" w:rsidRDefault="0091539B" w:rsidP="0091539B">
      <w:pPr>
        <w:pStyle w:val="NormalWeb"/>
        <w:numPr>
          <w:ilvl w:val="0"/>
          <w:numId w:val="25"/>
        </w:numPr>
        <w:spacing w:before="0" w:beforeAutospacing="0" w:after="0" w:afterAutospacing="0"/>
        <w:jc w:val="both"/>
        <w:rPr>
          <w:rFonts w:ascii="Montserrat" w:hAnsi="Montserrat" w:cs="Arial"/>
          <w:bCs/>
        </w:rPr>
      </w:pPr>
      <w:r w:rsidRPr="00D13D1B">
        <w:rPr>
          <w:rFonts w:ascii="Montserrat" w:hAnsi="Montserrat" w:cs="Arial"/>
          <w:bCs/>
        </w:rPr>
        <w:t>Personas con discapacidad y Niños, Niñas y Adolescentes</w:t>
      </w:r>
      <w:r>
        <w:rPr>
          <w:rFonts w:ascii="Montserrat" w:hAnsi="Montserrat" w:cs="Arial"/>
          <w:bCs/>
        </w:rPr>
        <w:t>.</w:t>
      </w:r>
    </w:p>
    <w:p w14:paraId="6A28A729" w14:textId="77777777" w:rsidR="0091539B" w:rsidRPr="001126AA" w:rsidRDefault="0091539B" w:rsidP="0091539B">
      <w:pPr>
        <w:pStyle w:val="NormalWeb"/>
        <w:spacing w:before="0" w:beforeAutospacing="0" w:after="0" w:afterAutospacing="0"/>
        <w:ind w:left="-426"/>
        <w:jc w:val="both"/>
        <w:rPr>
          <w:rFonts w:ascii="Montserrat" w:hAnsi="Montserrat" w:cs="Arial"/>
          <w:bCs/>
          <w:highlight w:val="yellow"/>
        </w:rPr>
      </w:pPr>
    </w:p>
    <w:p w14:paraId="69294E3F" w14:textId="54A218C7" w:rsidR="0091539B" w:rsidRPr="004A40B3" w:rsidRDefault="0091539B" w:rsidP="004A40B3">
      <w:pPr>
        <w:pStyle w:val="NormalWeb"/>
        <w:spacing w:before="0" w:beforeAutospacing="0" w:after="0" w:afterAutospacing="0"/>
        <w:jc w:val="both"/>
        <w:rPr>
          <w:rFonts w:ascii="Montserrat" w:hAnsi="Montserrat"/>
        </w:rPr>
      </w:pPr>
      <w:r w:rsidRPr="00720B25">
        <w:rPr>
          <w:rFonts w:ascii="Montserrat" w:hAnsi="Montserrat"/>
        </w:rPr>
        <w:t>Para consulta</w:t>
      </w:r>
      <w:r w:rsidR="00720B25" w:rsidRPr="00720B25">
        <w:rPr>
          <w:rFonts w:ascii="Montserrat" w:hAnsi="Montserrat"/>
        </w:rPr>
        <w:t>r</w:t>
      </w:r>
      <w:r w:rsidRPr="00720B25">
        <w:rPr>
          <w:rFonts w:ascii="Montserrat" w:hAnsi="Montserrat"/>
        </w:rPr>
        <w:t xml:space="preserve"> información más detallada sobre estos trabajos del CJF, véase el anexo 4.</w:t>
      </w:r>
    </w:p>
    <w:p w14:paraId="70ABC3DD" w14:textId="7DE638DF" w:rsidR="0091539B" w:rsidRPr="004A40B3" w:rsidRDefault="004A40B3" w:rsidP="004A40B3">
      <w:pPr>
        <w:pStyle w:val="Heading1"/>
        <w:jc w:val="both"/>
        <w:rPr>
          <w:rFonts w:ascii="Montserrat" w:hAnsi="Montserrat"/>
          <w:b/>
          <w:color w:val="auto"/>
          <w:sz w:val="24"/>
          <w:szCs w:val="24"/>
        </w:rPr>
      </w:pPr>
      <w:bookmarkStart w:id="3" w:name="_Toc134105179"/>
      <w:r w:rsidRPr="004A40B3">
        <w:rPr>
          <w:rFonts w:ascii="Montserrat" w:hAnsi="Montserrat"/>
          <w:b/>
          <w:color w:val="auto"/>
          <w:sz w:val="24"/>
          <w:szCs w:val="24"/>
        </w:rPr>
        <w:t>IV. ENFOQUES PROMETEDORES PARA LA ASOCIACIÓN ENTRE ABOGADOS Y ASISTENTES JURÍDICOS Y OTROS DEFENSORES DE LA JUSTICIA DE BASE.</w:t>
      </w:r>
      <w:bookmarkEnd w:id="3"/>
    </w:p>
    <w:p w14:paraId="0885F498" w14:textId="77777777" w:rsidR="0091539B" w:rsidRPr="003F7BEF" w:rsidRDefault="0091539B" w:rsidP="0091539B">
      <w:pPr>
        <w:spacing w:line="240" w:lineRule="atLeast"/>
        <w:ind w:left="-426"/>
        <w:contextualSpacing/>
        <w:jc w:val="both"/>
        <w:rPr>
          <w:rFonts w:ascii="Montserrat" w:hAnsi="Montserrat"/>
          <w:b/>
          <w:sz w:val="24"/>
          <w:szCs w:val="24"/>
        </w:rPr>
      </w:pPr>
    </w:p>
    <w:p w14:paraId="16050FB6" w14:textId="77777777" w:rsidR="0091539B" w:rsidRDefault="0091539B" w:rsidP="0091539B">
      <w:pPr>
        <w:spacing w:line="240" w:lineRule="atLeast"/>
        <w:contextualSpacing/>
        <w:jc w:val="both"/>
        <w:rPr>
          <w:rFonts w:ascii="Montserrat" w:hAnsi="Montserrat"/>
          <w:sz w:val="24"/>
          <w:szCs w:val="24"/>
          <w:lang w:val="es-ES_tradnl"/>
        </w:rPr>
      </w:pPr>
      <w:r w:rsidRPr="00C75FF6">
        <w:rPr>
          <w:rFonts w:ascii="Montserrat" w:hAnsi="Montserrat"/>
          <w:sz w:val="24"/>
          <w:szCs w:val="24"/>
          <w:lang w:val="es-ES_tradnl"/>
        </w:rPr>
        <w:lastRenderedPageBreak/>
        <w:t xml:space="preserve">Dentro de las definiciones internacionales sobre empoderamiento legal, se ha considerado que las asociaciones civiles, de personas abogadas o defensoras de derechos humanos, tienen un rol </w:t>
      </w:r>
      <w:r>
        <w:rPr>
          <w:rFonts w:ascii="Montserrat" w:hAnsi="Montserrat"/>
          <w:sz w:val="24"/>
          <w:szCs w:val="24"/>
          <w:lang w:val="es-ES_tradnl"/>
        </w:rPr>
        <w:t xml:space="preserve">primordial. </w:t>
      </w:r>
      <w:r w:rsidRPr="00C75FF6">
        <w:rPr>
          <w:rFonts w:ascii="Montserrat" w:hAnsi="Montserrat"/>
          <w:sz w:val="24"/>
          <w:szCs w:val="24"/>
          <w:lang w:val="es-ES_tradnl"/>
        </w:rPr>
        <w:t>En ese sentido, el Estado mexicano reconoce que dichos actores cuentan con legitimación jurídica para promover la revisión constitucional o convencional de normas o de actos de autoridad que pongan en peligro el goce o ejercicio de los derechos de las personas históricamente desaventajadas o que se encuentren en u</w:t>
      </w:r>
      <w:r>
        <w:rPr>
          <w:rFonts w:ascii="Montserrat" w:hAnsi="Montserrat"/>
          <w:sz w:val="24"/>
          <w:szCs w:val="24"/>
          <w:lang w:val="es-ES_tradnl"/>
        </w:rPr>
        <w:t>na situación de vulnerabilidad.</w:t>
      </w:r>
    </w:p>
    <w:p w14:paraId="5B387E33" w14:textId="77777777" w:rsidR="0091539B" w:rsidRPr="00352518" w:rsidRDefault="0091539B" w:rsidP="0091539B">
      <w:pPr>
        <w:spacing w:line="240" w:lineRule="atLeast"/>
        <w:ind w:left="-426"/>
        <w:contextualSpacing/>
        <w:jc w:val="both"/>
        <w:rPr>
          <w:rFonts w:ascii="Montserrat" w:hAnsi="Montserrat"/>
          <w:sz w:val="24"/>
          <w:szCs w:val="24"/>
          <w:lang w:val="es-ES_tradnl"/>
        </w:rPr>
      </w:pPr>
    </w:p>
    <w:p w14:paraId="214E5680" w14:textId="77777777" w:rsidR="0091539B" w:rsidRDefault="0091539B" w:rsidP="0091539B">
      <w:pPr>
        <w:spacing w:line="240" w:lineRule="atLeast"/>
        <w:contextualSpacing/>
        <w:jc w:val="both"/>
        <w:rPr>
          <w:rFonts w:ascii="Montserrat" w:eastAsia="Times New Roman" w:hAnsi="Montserrat" w:cs="Arial"/>
          <w:sz w:val="24"/>
          <w:szCs w:val="24"/>
          <w:lang w:eastAsia="es-ES"/>
        </w:rPr>
      </w:pPr>
      <w:r w:rsidRPr="00D60392">
        <w:rPr>
          <w:rFonts w:ascii="Montserrat" w:hAnsi="Montserrat"/>
          <w:sz w:val="24"/>
          <w:szCs w:val="24"/>
        </w:rPr>
        <w:t>A raíz de lo anterior, el IFDP ha tenido participación en múltiples</w:t>
      </w:r>
      <w:r>
        <w:rPr>
          <w:rFonts w:ascii="Montserrat" w:hAnsi="Montserrat"/>
          <w:sz w:val="24"/>
          <w:szCs w:val="24"/>
        </w:rPr>
        <w:t xml:space="preserve"> actividades</w:t>
      </w:r>
      <w:r w:rsidRPr="00D60392">
        <w:rPr>
          <w:rFonts w:ascii="Montserrat" w:hAnsi="Montserrat"/>
          <w:sz w:val="24"/>
          <w:szCs w:val="24"/>
        </w:rPr>
        <w:t xml:space="preserve">, por </w:t>
      </w:r>
      <w:proofErr w:type="gramStart"/>
      <w:r w:rsidRPr="00D60392">
        <w:rPr>
          <w:rFonts w:ascii="Montserrat" w:hAnsi="Montserrat"/>
          <w:sz w:val="24"/>
          <w:szCs w:val="24"/>
        </w:rPr>
        <w:t>ejemplo</w:t>
      </w:r>
      <w:proofErr w:type="gramEnd"/>
      <w:r w:rsidRPr="00D60392">
        <w:rPr>
          <w:rFonts w:ascii="Montserrat" w:hAnsi="Montserrat"/>
          <w:sz w:val="24"/>
          <w:szCs w:val="24"/>
        </w:rPr>
        <w:t xml:space="preserve"> en el año de 2022</w:t>
      </w:r>
      <w:r>
        <w:rPr>
          <w:rFonts w:ascii="Montserrat" w:eastAsia="Times New Roman" w:hAnsi="Montserrat" w:cs="Arial"/>
          <w:sz w:val="24"/>
          <w:szCs w:val="24"/>
          <w:lang w:eastAsia="es-ES"/>
        </w:rPr>
        <w:t xml:space="preserve">, el Comité Ejecutivo </w:t>
      </w:r>
      <w:r w:rsidRPr="00D60392">
        <w:rPr>
          <w:rFonts w:ascii="Montserrat" w:eastAsia="Times New Roman" w:hAnsi="Montserrat" w:cs="Arial"/>
          <w:sz w:val="24"/>
          <w:szCs w:val="24"/>
          <w:lang w:eastAsia="es-ES"/>
        </w:rPr>
        <w:t>de la AIDEF, en la sesión ordinaria</w:t>
      </w:r>
      <w:r>
        <w:rPr>
          <w:rFonts w:ascii="Montserrat" w:eastAsia="Times New Roman" w:hAnsi="Montserrat" w:cs="Arial"/>
          <w:sz w:val="24"/>
          <w:szCs w:val="24"/>
          <w:lang w:eastAsia="es-ES"/>
        </w:rPr>
        <w:t>,</w:t>
      </w:r>
      <w:r w:rsidRPr="00D60392">
        <w:rPr>
          <w:rFonts w:ascii="Montserrat" w:eastAsia="Times New Roman" w:hAnsi="Montserrat" w:cs="Arial"/>
          <w:sz w:val="24"/>
          <w:szCs w:val="24"/>
          <w:lang w:eastAsia="es-ES"/>
        </w:rPr>
        <w:t xml:space="preserve"> eligió por unanimidad al nuevo Cuerpo de Defensores Públicos Interameric</w:t>
      </w:r>
      <w:r>
        <w:rPr>
          <w:rFonts w:ascii="Montserrat" w:eastAsia="Times New Roman" w:hAnsi="Montserrat" w:cs="Arial"/>
          <w:sz w:val="24"/>
          <w:szCs w:val="24"/>
          <w:lang w:eastAsia="es-ES"/>
        </w:rPr>
        <w:t>anos para el periodo 2022-2025.</w:t>
      </w:r>
      <w:r>
        <w:rPr>
          <w:rStyle w:val="FootnoteReference"/>
          <w:rFonts w:ascii="Montserrat" w:eastAsia="Times New Roman" w:hAnsi="Montserrat" w:cs="Arial"/>
          <w:sz w:val="24"/>
          <w:szCs w:val="24"/>
          <w:lang w:eastAsia="es-ES"/>
        </w:rPr>
        <w:footnoteReference w:id="1"/>
      </w:r>
    </w:p>
    <w:p w14:paraId="55593C86" w14:textId="77777777" w:rsidR="0091539B" w:rsidRDefault="0091539B" w:rsidP="0091539B">
      <w:pPr>
        <w:spacing w:line="240" w:lineRule="atLeast"/>
        <w:ind w:left="-426"/>
        <w:contextualSpacing/>
        <w:jc w:val="both"/>
        <w:rPr>
          <w:rFonts w:ascii="Montserrat" w:hAnsi="Montserrat"/>
          <w:sz w:val="24"/>
          <w:szCs w:val="24"/>
        </w:rPr>
      </w:pPr>
    </w:p>
    <w:p w14:paraId="5B73BA38" w14:textId="77777777" w:rsidR="0091539B" w:rsidRDefault="0091539B" w:rsidP="0091539B">
      <w:pPr>
        <w:spacing w:line="240" w:lineRule="atLeast"/>
        <w:contextualSpacing/>
        <w:jc w:val="both"/>
        <w:rPr>
          <w:rFonts w:ascii="Montserrat" w:hAnsi="Montserrat"/>
          <w:sz w:val="24"/>
          <w:szCs w:val="24"/>
        </w:rPr>
      </w:pPr>
      <w:r>
        <w:rPr>
          <w:rFonts w:ascii="Montserrat" w:hAnsi="Montserrat"/>
          <w:sz w:val="24"/>
          <w:szCs w:val="24"/>
        </w:rPr>
        <w:t>También, el IFDP</w:t>
      </w:r>
      <w:r w:rsidRPr="00D60392">
        <w:rPr>
          <w:rFonts w:ascii="Montserrat" w:hAnsi="Montserrat"/>
          <w:sz w:val="24"/>
          <w:szCs w:val="24"/>
        </w:rPr>
        <w:t xml:space="preserve"> fue el encargado de </w:t>
      </w:r>
      <w:r>
        <w:rPr>
          <w:rFonts w:ascii="Montserrat" w:hAnsi="Montserrat"/>
          <w:sz w:val="24"/>
          <w:szCs w:val="24"/>
        </w:rPr>
        <w:t>la e</w:t>
      </w:r>
      <w:r w:rsidRPr="00D60392">
        <w:rPr>
          <w:rFonts w:ascii="Montserrat" w:hAnsi="Montserrat"/>
          <w:sz w:val="24"/>
          <w:szCs w:val="24"/>
        </w:rPr>
        <w:t xml:space="preserve">laboración del </w:t>
      </w:r>
      <w:r>
        <w:rPr>
          <w:rFonts w:ascii="Montserrat" w:hAnsi="Montserrat"/>
          <w:sz w:val="24"/>
          <w:szCs w:val="24"/>
        </w:rPr>
        <w:t>“</w:t>
      </w:r>
      <w:r w:rsidRPr="00D60392">
        <w:rPr>
          <w:rFonts w:ascii="Montserrat" w:hAnsi="Montserrat"/>
          <w:sz w:val="24"/>
          <w:szCs w:val="24"/>
        </w:rPr>
        <w:t xml:space="preserve">Cuadernillo sobre Medidas de Reparación Integral Desarrolladas por la Jurisprudencia de la </w:t>
      </w:r>
      <w:r w:rsidRPr="00D60392">
        <w:rPr>
          <w:rFonts w:ascii="Montserrat" w:eastAsia="Times New Roman" w:hAnsi="Montserrat" w:cs="Arial"/>
          <w:sz w:val="24"/>
          <w:szCs w:val="24"/>
          <w:lang w:eastAsia="es-ES"/>
        </w:rPr>
        <w:t>Comisión Interamericana de Derechos Humanos y la Corte Interamericana de Derechos Humanos</w:t>
      </w:r>
      <w:r>
        <w:rPr>
          <w:rFonts w:ascii="Montserrat" w:eastAsia="Times New Roman" w:hAnsi="Montserrat" w:cs="Arial"/>
          <w:sz w:val="24"/>
          <w:szCs w:val="24"/>
          <w:lang w:eastAsia="es-ES"/>
        </w:rPr>
        <w:t>”</w:t>
      </w:r>
      <w:r w:rsidRPr="00D60392">
        <w:rPr>
          <w:rFonts w:ascii="Montserrat" w:hAnsi="Montserrat"/>
          <w:sz w:val="24"/>
          <w:szCs w:val="24"/>
        </w:rPr>
        <w:t>, con la participación de la Defensoría Penal de Chile y la Defensa Pública de Costa Rica, así como los integrantes de la Comisión Asesora; siendo publicado en abril del 2022. Este contribuye a que las y los defensores públicos interamericanos cuenten con herramientas para plantear medidas de reparación integral por violaciones a derechos humanos comprendidos en la Convención Americana sobre Derechos Humanos o en los instrumentos interamericanos, tanto en el escrito de solicitudes, argumentos y pruebas.</w:t>
      </w:r>
    </w:p>
    <w:p w14:paraId="01BBD282" w14:textId="77777777" w:rsidR="0091539B" w:rsidRDefault="0091539B" w:rsidP="0091539B">
      <w:pPr>
        <w:spacing w:line="240" w:lineRule="atLeast"/>
        <w:ind w:left="-426"/>
        <w:contextualSpacing/>
        <w:jc w:val="both"/>
        <w:rPr>
          <w:rFonts w:ascii="Montserrat" w:hAnsi="Montserrat"/>
          <w:sz w:val="24"/>
          <w:szCs w:val="24"/>
        </w:rPr>
      </w:pPr>
    </w:p>
    <w:p w14:paraId="1D8788BD" w14:textId="77777777" w:rsidR="0091539B" w:rsidRDefault="0091539B" w:rsidP="0091539B">
      <w:pPr>
        <w:spacing w:line="240" w:lineRule="atLeast"/>
        <w:contextualSpacing/>
        <w:jc w:val="both"/>
        <w:rPr>
          <w:rFonts w:ascii="Montserrat" w:eastAsia="Times New Roman" w:hAnsi="Montserrat" w:cs="Arial"/>
          <w:sz w:val="24"/>
          <w:szCs w:val="24"/>
          <w:lang w:eastAsia="es-ES"/>
        </w:rPr>
      </w:pPr>
      <w:r>
        <w:rPr>
          <w:rFonts w:ascii="Montserrat" w:hAnsi="Montserrat"/>
          <w:sz w:val="24"/>
          <w:szCs w:val="24"/>
        </w:rPr>
        <w:t>El IFDF,</w:t>
      </w:r>
      <w:r>
        <w:rPr>
          <w:rFonts w:ascii="Arial" w:eastAsia="Times New Roman" w:hAnsi="Arial" w:cs="Arial"/>
          <w:color w:val="000000" w:themeColor="text1"/>
          <w:sz w:val="24"/>
          <w:szCs w:val="24"/>
          <w:lang w:eastAsia="es-ES"/>
        </w:rPr>
        <w:t xml:space="preserve"> </w:t>
      </w:r>
      <w:r w:rsidRPr="00D60392">
        <w:rPr>
          <w:rFonts w:ascii="Montserrat" w:eastAsia="Times New Roman" w:hAnsi="Montserrat" w:cs="Arial"/>
          <w:sz w:val="24"/>
          <w:szCs w:val="24"/>
          <w:lang w:eastAsia="es-ES"/>
        </w:rPr>
        <w:t xml:space="preserve">estuvo </w:t>
      </w:r>
      <w:r>
        <w:rPr>
          <w:rFonts w:ascii="Montserrat" w:eastAsia="Times New Roman" w:hAnsi="Montserrat" w:cs="Arial"/>
          <w:sz w:val="24"/>
          <w:szCs w:val="24"/>
          <w:lang w:eastAsia="es-ES"/>
        </w:rPr>
        <w:t xml:space="preserve">también </w:t>
      </w:r>
      <w:r w:rsidRPr="00D60392">
        <w:rPr>
          <w:rFonts w:ascii="Montserrat" w:eastAsia="Times New Roman" w:hAnsi="Montserrat" w:cs="Arial"/>
          <w:sz w:val="24"/>
          <w:szCs w:val="24"/>
          <w:lang w:eastAsia="es-ES"/>
        </w:rPr>
        <w:t>en la comisión de trabajo destinada a la actualización del “Manual de aplicación de las 100 Reglas de Brasilia en el ámbito de la Defensa Pública”, mismo que tiene como fin recopilar las buenas prácticas de las Defensorías Públicas del continente latinoamericano respecto de las Reglas de Brasilia con el fin de estimular el intercambio y fortalecer así la utilización y aplicación de dicho documento.</w:t>
      </w:r>
    </w:p>
    <w:p w14:paraId="73958763" w14:textId="77777777" w:rsidR="0091539B" w:rsidRDefault="0091539B" w:rsidP="0091539B">
      <w:pPr>
        <w:spacing w:line="240" w:lineRule="atLeast"/>
        <w:ind w:left="-426"/>
        <w:contextualSpacing/>
        <w:jc w:val="both"/>
        <w:rPr>
          <w:rFonts w:ascii="Montserrat" w:eastAsia="Times New Roman" w:hAnsi="Montserrat" w:cs="Arial"/>
          <w:sz w:val="24"/>
          <w:szCs w:val="24"/>
          <w:lang w:eastAsia="es-ES"/>
        </w:rPr>
      </w:pPr>
    </w:p>
    <w:p w14:paraId="4A77D1CE" w14:textId="77777777" w:rsidR="0091539B" w:rsidRPr="00D60392" w:rsidRDefault="0091539B" w:rsidP="0091539B">
      <w:pPr>
        <w:spacing w:line="240" w:lineRule="atLeast"/>
        <w:contextualSpacing/>
        <w:jc w:val="both"/>
        <w:rPr>
          <w:rFonts w:ascii="Montserrat" w:eastAsia="Times New Roman" w:hAnsi="Montserrat" w:cs="Arial"/>
          <w:sz w:val="24"/>
          <w:szCs w:val="24"/>
          <w:lang w:eastAsia="es-ES"/>
        </w:rPr>
      </w:pPr>
      <w:proofErr w:type="gramStart"/>
      <w:r w:rsidRPr="00D60392">
        <w:rPr>
          <w:rFonts w:ascii="Montserrat" w:eastAsia="Times New Roman" w:hAnsi="Montserrat" w:cs="Arial"/>
          <w:sz w:val="24"/>
          <w:szCs w:val="24"/>
          <w:lang w:eastAsia="es-ES"/>
        </w:rPr>
        <w:t>Finalmente</w:t>
      </w:r>
      <w:proofErr w:type="gramEnd"/>
      <w:r w:rsidRPr="00D60392">
        <w:rPr>
          <w:rFonts w:ascii="Montserrat" w:eastAsia="Times New Roman" w:hAnsi="Montserrat" w:cs="Arial"/>
          <w:sz w:val="24"/>
          <w:szCs w:val="24"/>
          <w:lang w:eastAsia="es-ES"/>
        </w:rPr>
        <w:t xml:space="preserve"> el “Boletín de Jurisprudencia” </w:t>
      </w:r>
      <w:r w:rsidRPr="00D60392">
        <w:rPr>
          <w:rFonts w:ascii="Montserrat" w:eastAsia="Times New Roman" w:hAnsi="Montserrat" w:cs="Arial"/>
          <w:color w:val="000000" w:themeColor="text1"/>
          <w:sz w:val="24"/>
          <w:szCs w:val="24"/>
          <w:lang w:eastAsia="es-ES"/>
        </w:rPr>
        <w:t xml:space="preserve">permite ser un punto de referencia, así como como un diagnóstico de los principales problemas regionales que existen en los distintos sistemas de justicia y que, si bien no pueden considerarse absolutamente representativos de los problemas sociales e institucionales de los países asociados, es una muestra de la realidad en la que viven las personas que están en una situación de vulnerabilidad y deciden optar por la defensa pública. </w:t>
      </w:r>
    </w:p>
    <w:p w14:paraId="454FD3CE" w14:textId="77777777" w:rsidR="0091539B" w:rsidRPr="00352518" w:rsidRDefault="0091539B" w:rsidP="004A40B3">
      <w:pPr>
        <w:spacing w:line="240" w:lineRule="atLeast"/>
        <w:contextualSpacing/>
        <w:jc w:val="both"/>
        <w:rPr>
          <w:rFonts w:ascii="Montserrat" w:hAnsi="Montserrat"/>
          <w:sz w:val="24"/>
          <w:szCs w:val="24"/>
        </w:rPr>
      </w:pPr>
    </w:p>
    <w:p w14:paraId="227D594F" w14:textId="3A87BC22" w:rsidR="0091539B" w:rsidRPr="004A40B3" w:rsidRDefault="004A40B3" w:rsidP="004A40B3">
      <w:pPr>
        <w:pStyle w:val="Heading1"/>
        <w:jc w:val="both"/>
        <w:rPr>
          <w:rFonts w:ascii="Montserrat" w:hAnsi="Montserrat"/>
          <w:b/>
          <w:color w:val="auto"/>
          <w:sz w:val="24"/>
          <w:szCs w:val="24"/>
        </w:rPr>
      </w:pPr>
      <w:bookmarkStart w:id="4" w:name="_Toc134105180"/>
      <w:r>
        <w:rPr>
          <w:rFonts w:ascii="Montserrat" w:hAnsi="Montserrat"/>
          <w:b/>
          <w:color w:val="auto"/>
          <w:sz w:val="24"/>
          <w:szCs w:val="24"/>
        </w:rPr>
        <w:t xml:space="preserve">V. </w:t>
      </w:r>
      <w:r w:rsidRPr="004A40B3">
        <w:rPr>
          <w:rFonts w:ascii="Montserrat" w:hAnsi="Montserrat"/>
          <w:b/>
          <w:color w:val="auto"/>
          <w:sz w:val="24"/>
          <w:szCs w:val="24"/>
        </w:rPr>
        <w:t>CONTRIBUCIÓN DEL EMP</w:t>
      </w:r>
      <w:r>
        <w:rPr>
          <w:rFonts w:ascii="Montserrat" w:hAnsi="Montserrat"/>
          <w:b/>
          <w:color w:val="auto"/>
          <w:sz w:val="24"/>
          <w:szCs w:val="24"/>
        </w:rPr>
        <w:t>ODERAMIENTO LEGAL Y DE OTROS EN</w:t>
      </w:r>
      <w:r w:rsidRPr="004A40B3">
        <w:rPr>
          <w:rFonts w:ascii="Montserrat" w:hAnsi="Montserrat"/>
          <w:b/>
          <w:color w:val="auto"/>
          <w:sz w:val="24"/>
          <w:szCs w:val="24"/>
        </w:rPr>
        <w:t>FOQUES CENTRADOS EN LAS PERSONAS PARA CONSEGUIR UNA JUSTICIA IGUAL Y EFECTIVA, DE ACUERDO CON EL OBJETIVO DE DESARROLLO SOSTENIBLE 16</w:t>
      </w:r>
      <w:bookmarkEnd w:id="4"/>
    </w:p>
    <w:p w14:paraId="3DD7EC83" w14:textId="77777777" w:rsidR="0091539B" w:rsidRPr="003F7BEF" w:rsidRDefault="0091539B" w:rsidP="0091539B">
      <w:pPr>
        <w:spacing w:line="240" w:lineRule="atLeast"/>
        <w:ind w:left="-426"/>
        <w:contextualSpacing/>
        <w:jc w:val="both"/>
        <w:rPr>
          <w:rFonts w:ascii="Montserrat" w:hAnsi="Montserrat"/>
          <w:b/>
          <w:sz w:val="24"/>
          <w:szCs w:val="24"/>
        </w:rPr>
      </w:pPr>
    </w:p>
    <w:p w14:paraId="2B12A955" w14:textId="3BA4EBFD" w:rsidR="004A40B3" w:rsidRDefault="008F4FD8" w:rsidP="004A40B3">
      <w:pPr>
        <w:spacing w:line="240" w:lineRule="atLeast"/>
        <w:contextualSpacing/>
        <w:jc w:val="both"/>
        <w:rPr>
          <w:rFonts w:ascii="Montserrat" w:hAnsi="Montserrat"/>
          <w:sz w:val="24"/>
          <w:szCs w:val="24"/>
          <w:lang w:val="es-ES_tradnl"/>
        </w:rPr>
      </w:pPr>
      <w:r>
        <w:rPr>
          <w:rFonts w:ascii="Montserrat" w:hAnsi="Montserrat"/>
          <w:sz w:val="24"/>
          <w:szCs w:val="24"/>
        </w:rPr>
        <w:t>La</w:t>
      </w:r>
      <w:r w:rsidR="0091539B" w:rsidRPr="00E37DCD">
        <w:rPr>
          <w:rFonts w:ascii="Montserrat" w:hAnsi="Montserrat"/>
          <w:sz w:val="24"/>
          <w:szCs w:val="24"/>
          <w:lang w:val="es-ES_tradnl"/>
        </w:rPr>
        <w:t xml:space="preserve"> SCJN</w:t>
      </w:r>
      <w:r>
        <w:rPr>
          <w:rFonts w:ascii="Montserrat" w:hAnsi="Montserrat"/>
          <w:sz w:val="24"/>
          <w:szCs w:val="24"/>
          <w:lang w:val="es-ES_tradnl"/>
        </w:rPr>
        <w:t xml:space="preserve"> ha publicado</w:t>
      </w:r>
      <w:r w:rsidR="0091539B" w:rsidRPr="00E37DCD">
        <w:rPr>
          <w:rFonts w:ascii="Montserrat" w:hAnsi="Montserrat"/>
          <w:sz w:val="24"/>
          <w:szCs w:val="24"/>
          <w:lang w:val="es-ES_tradnl"/>
        </w:rPr>
        <w:t xml:space="preserve"> una serie de protocolos de actuación que se crearon con el objetivo de que las personas juzgadoras tengan herramientas para resolver controversias en las que participen mujeres, personas en situación de movilidad, con discapacidad, pertenecientes a la comunidad LGBTIQ+ y afrodescendientes o afromexicanas, infancias y adolescencias, así como personas, pueblos o comunidades indígenas:</w:t>
      </w:r>
    </w:p>
    <w:p w14:paraId="461F84A9" w14:textId="77777777" w:rsidR="004A40B3" w:rsidRDefault="0091539B" w:rsidP="004A40B3">
      <w:pPr>
        <w:pStyle w:val="ListParagraph"/>
        <w:numPr>
          <w:ilvl w:val="0"/>
          <w:numId w:val="28"/>
        </w:numPr>
        <w:spacing w:line="240" w:lineRule="atLeast"/>
        <w:jc w:val="both"/>
        <w:rPr>
          <w:rFonts w:ascii="Montserrat" w:hAnsi="Montserrat"/>
          <w:sz w:val="24"/>
          <w:szCs w:val="24"/>
          <w:lang w:val="es-ES_tradnl"/>
        </w:rPr>
      </w:pPr>
      <w:r w:rsidRPr="004A40B3">
        <w:rPr>
          <w:rFonts w:ascii="Montserrat" w:hAnsi="Montserrat"/>
          <w:sz w:val="24"/>
          <w:szCs w:val="24"/>
          <w:lang w:val="es-ES_tradnl"/>
        </w:rPr>
        <w:t>Protocolo para juzgar con perspectiva de género;</w:t>
      </w:r>
    </w:p>
    <w:p w14:paraId="76A0594A" w14:textId="77777777" w:rsidR="004A40B3" w:rsidRDefault="0091539B" w:rsidP="004A40B3">
      <w:pPr>
        <w:pStyle w:val="ListParagraph"/>
        <w:numPr>
          <w:ilvl w:val="0"/>
          <w:numId w:val="28"/>
        </w:numPr>
        <w:spacing w:line="240" w:lineRule="atLeast"/>
        <w:jc w:val="both"/>
        <w:rPr>
          <w:rFonts w:ascii="Montserrat" w:hAnsi="Montserrat"/>
          <w:sz w:val="24"/>
          <w:szCs w:val="24"/>
          <w:lang w:val="es-ES_tradnl"/>
        </w:rPr>
      </w:pPr>
      <w:r w:rsidRPr="004A40B3">
        <w:rPr>
          <w:rFonts w:ascii="Montserrat" w:hAnsi="Montserrat"/>
          <w:sz w:val="24"/>
          <w:szCs w:val="24"/>
          <w:lang w:val="es-ES_tradnl"/>
        </w:rPr>
        <w:t>Protocolo para juzgar casos que involucren personas migrantes y sujetas a protección internacional;</w:t>
      </w:r>
    </w:p>
    <w:p w14:paraId="3CF2B38C" w14:textId="77777777" w:rsidR="004A40B3" w:rsidRDefault="0091539B" w:rsidP="004A40B3">
      <w:pPr>
        <w:pStyle w:val="ListParagraph"/>
        <w:numPr>
          <w:ilvl w:val="0"/>
          <w:numId w:val="28"/>
        </w:numPr>
        <w:spacing w:line="240" w:lineRule="atLeast"/>
        <w:jc w:val="both"/>
        <w:rPr>
          <w:rFonts w:ascii="Montserrat" w:hAnsi="Montserrat"/>
          <w:sz w:val="24"/>
          <w:szCs w:val="24"/>
          <w:lang w:val="es-ES_tradnl"/>
        </w:rPr>
      </w:pPr>
      <w:r w:rsidRPr="004A40B3">
        <w:rPr>
          <w:rFonts w:ascii="Montserrat" w:hAnsi="Montserrat"/>
          <w:sz w:val="24"/>
          <w:szCs w:val="24"/>
          <w:lang w:val="es-ES_tradnl"/>
        </w:rPr>
        <w:t>Protocolo para Juzgar con perspectiva de orientación sexual, identidad y expresión de género, y características sexuales;</w:t>
      </w:r>
    </w:p>
    <w:p w14:paraId="51AB974F" w14:textId="77777777" w:rsidR="004A40B3" w:rsidRDefault="0091539B" w:rsidP="004A40B3">
      <w:pPr>
        <w:pStyle w:val="ListParagraph"/>
        <w:numPr>
          <w:ilvl w:val="0"/>
          <w:numId w:val="28"/>
        </w:numPr>
        <w:spacing w:line="240" w:lineRule="atLeast"/>
        <w:jc w:val="both"/>
        <w:rPr>
          <w:rFonts w:ascii="Montserrat" w:hAnsi="Montserrat"/>
          <w:sz w:val="24"/>
          <w:szCs w:val="24"/>
          <w:lang w:val="es-ES_tradnl"/>
        </w:rPr>
      </w:pPr>
      <w:r w:rsidRPr="004A40B3">
        <w:rPr>
          <w:rFonts w:ascii="Montserrat" w:hAnsi="Montserrat"/>
          <w:sz w:val="24"/>
          <w:szCs w:val="24"/>
          <w:lang w:val="es-ES_tradnl"/>
        </w:rPr>
        <w:t>Protocolo para juzgar con Perspectiva Intercultural: Personas, Pueblos y Comunidades indígenas;</w:t>
      </w:r>
    </w:p>
    <w:p w14:paraId="44FE07FB" w14:textId="77777777" w:rsidR="004A40B3" w:rsidRDefault="0091539B" w:rsidP="004A40B3">
      <w:pPr>
        <w:pStyle w:val="ListParagraph"/>
        <w:numPr>
          <w:ilvl w:val="0"/>
          <w:numId w:val="28"/>
        </w:numPr>
        <w:spacing w:line="240" w:lineRule="atLeast"/>
        <w:jc w:val="both"/>
        <w:rPr>
          <w:rFonts w:ascii="Montserrat" w:hAnsi="Montserrat"/>
          <w:sz w:val="24"/>
          <w:szCs w:val="24"/>
          <w:lang w:val="es-ES_tradnl"/>
        </w:rPr>
      </w:pPr>
      <w:r w:rsidRPr="004A40B3">
        <w:rPr>
          <w:rFonts w:ascii="Montserrat" w:hAnsi="Montserrat"/>
          <w:sz w:val="24"/>
          <w:szCs w:val="24"/>
          <w:lang w:val="es-ES_tradnl"/>
        </w:rPr>
        <w:t>Protocolo para juzgar con perspectiva de infancia y adolescencia;</w:t>
      </w:r>
    </w:p>
    <w:p w14:paraId="0E21D444" w14:textId="77777777" w:rsidR="004A40B3" w:rsidRDefault="0091539B" w:rsidP="004A40B3">
      <w:pPr>
        <w:pStyle w:val="ListParagraph"/>
        <w:numPr>
          <w:ilvl w:val="0"/>
          <w:numId w:val="28"/>
        </w:numPr>
        <w:spacing w:line="240" w:lineRule="atLeast"/>
        <w:jc w:val="both"/>
        <w:rPr>
          <w:rFonts w:ascii="Montserrat" w:hAnsi="Montserrat"/>
          <w:sz w:val="24"/>
          <w:szCs w:val="24"/>
          <w:lang w:val="es-ES_tradnl"/>
        </w:rPr>
      </w:pPr>
      <w:r w:rsidRPr="004A40B3">
        <w:rPr>
          <w:rFonts w:ascii="Montserrat" w:hAnsi="Montserrat"/>
          <w:sz w:val="24"/>
          <w:szCs w:val="24"/>
          <w:lang w:val="es-ES_tradnl"/>
        </w:rPr>
        <w:t>Protocolo para juzgar con perspectiva de discapacidad;</w:t>
      </w:r>
    </w:p>
    <w:p w14:paraId="7158DFE3" w14:textId="42D8F537" w:rsidR="0091539B" w:rsidRPr="004A40B3" w:rsidRDefault="0091539B" w:rsidP="004A40B3">
      <w:pPr>
        <w:pStyle w:val="ListParagraph"/>
        <w:numPr>
          <w:ilvl w:val="0"/>
          <w:numId w:val="28"/>
        </w:numPr>
        <w:spacing w:line="240" w:lineRule="atLeast"/>
        <w:jc w:val="both"/>
        <w:rPr>
          <w:rFonts w:ascii="Montserrat" w:hAnsi="Montserrat"/>
          <w:sz w:val="24"/>
          <w:szCs w:val="24"/>
          <w:lang w:val="es-ES_tradnl"/>
        </w:rPr>
      </w:pPr>
      <w:r w:rsidRPr="004A40B3">
        <w:rPr>
          <w:rFonts w:ascii="Montserrat" w:hAnsi="Montserrat"/>
          <w:sz w:val="24"/>
          <w:szCs w:val="24"/>
          <w:lang w:val="es-ES_tradnl"/>
        </w:rPr>
        <w:t>Protocolo para Juzgar con Perspectiva Intercultural: Personas, Pueblos y Comunidades Afrodescendientes y Afromexicanas.</w:t>
      </w:r>
    </w:p>
    <w:p w14:paraId="7991F202" w14:textId="570B9308" w:rsidR="0091539B" w:rsidRPr="004F00E1" w:rsidRDefault="0091539B" w:rsidP="0091539B">
      <w:pPr>
        <w:spacing w:line="240" w:lineRule="atLeast"/>
        <w:jc w:val="both"/>
        <w:rPr>
          <w:rFonts w:ascii="Montserrat" w:hAnsi="Montserrat"/>
          <w:sz w:val="24"/>
          <w:szCs w:val="24"/>
          <w:lang w:val="es-ES_tradnl"/>
        </w:rPr>
      </w:pPr>
      <w:r w:rsidRPr="00720B25">
        <w:rPr>
          <w:rFonts w:ascii="Montserrat" w:hAnsi="Montserrat"/>
          <w:sz w:val="24"/>
          <w:szCs w:val="24"/>
          <w:lang w:val="es-ES_tradnl"/>
        </w:rPr>
        <w:t>V</w:t>
      </w:r>
      <w:r w:rsidR="00720B25" w:rsidRPr="00720B25">
        <w:rPr>
          <w:rFonts w:ascii="Montserrat" w:hAnsi="Montserrat"/>
          <w:sz w:val="24"/>
          <w:szCs w:val="24"/>
          <w:lang w:val="es-ES_tradnl"/>
        </w:rPr>
        <w:t>éase el anexo 5</w:t>
      </w:r>
      <w:r w:rsidRPr="00720B25">
        <w:rPr>
          <w:rFonts w:ascii="Montserrat" w:hAnsi="Montserrat"/>
          <w:sz w:val="24"/>
          <w:szCs w:val="24"/>
          <w:lang w:val="es-ES_tradnl"/>
        </w:rPr>
        <w:t xml:space="preserve"> para su consulta.</w:t>
      </w:r>
      <w:r>
        <w:rPr>
          <w:rFonts w:ascii="Montserrat" w:hAnsi="Montserrat"/>
          <w:sz w:val="24"/>
          <w:szCs w:val="24"/>
          <w:lang w:val="es-ES_tradnl"/>
        </w:rPr>
        <w:t xml:space="preserve"> </w:t>
      </w:r>
    </w:p>
    <w:p w14:paraId="09D78A64" w14:textId="77777777" w:rsidR="0091539B" w:rsidRPr="0091539B" w:rsidRDefault="0091539B" w:rsidP="00000C5B">
      <w:pPr>
        <w:jc w:val="both"/>
        <w:rPr>
          <w:rFonts w:ascii="Montserrat" w:hAnsi="Montserrat"/>
          <w:sz w:val="24"/>
          <w:szCs w:val="24"/>
          <w:lang w:val="es-ES_tradnl"/>
        </w:rPr>
      </w:pPr>
    </w:p>
    <w:p w14:paraId="548D1016" w14:textId="2E160684" w:rsidR="00413DFC" w:rsidRPr="0091539B" w:rsidRDefault="00413DFC" w:rsidP="00BC323D">
      <w:pPr>
        <w:jc w:val="both"/>
        <w:rPr>
          <w:rFonts w:ascii="Montserrat" w:hAnsi="Montserrat"/>
          <w:sz w:val="24"/>
          <w:szCs w:val="24"/>
          <w:lang w:val="es-ES_tradnl"/>
        </w:rPr>
      </w:pPr>
    </w:p>
    <w:sectPr w:rsidR="00413DFC" w:rsidRPr="0091539B" w:rsidSect="00230D60">
      <w:footerReference w:type="default" r:id="rId10"/>
      <w:type w:val="continuous"/>
      <w:pgSz w:w="12240" w:h="15840"/>
      <w:pgMar w:top="1418" w:right="1701" w:bottom="1276"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2E73" w14:textId="77777777" w:rsidR="000B5FBC" w:rsidRDefault="000B5FBC">
      <w:pPr>
        <w:spacing w:after="0" w:line="240" w:lineRule="auto"/>
      </w:pPr>
      <w:r>
        <w:separator/>
      </w:r>
    </w:p>
  </w:endnote>
  <w:endnote w:type="continuationSeparator" w:id="0">
    <w:p w14:paraId="50336C92" w14:textId="77777777" w:rsidR="000B5FBC" w:rsidRDefault="000B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15849"/>
      <w:docPartObj>
        <w:docPartGallery w:val="Page Numbers (Bottom of Page)"/>
        <w:docPartUnique/>
      </w:docPartObj>
    </w:sdtPr>
    <w:sdtEndPr/>
    <w:sdtContent>
      <w:p w14:paraId="630ED76E" w14:textId="75238B03" w:rsidR="00230D60" w:rsidRDefault="00230D60">
        <w:pPr>
          <w:pStyle w:val="Footer"/>
          <w:jc w:val="center"/>
        </w:pPr>
        <w:r>
          <w:fldChar w:fldCharType="begin"/>
        </w:r>
        <w:r>
          <w:instrText>PAGE   \* MERGEFORMAT</w:instrText>
        </w:r>
        <w:r>
          <w:fldChar w:fldCharType="separate"/>
        </w:r>
        <w:r w:rsidR="00D41D55" w:rsidRPr="00D41D55">
          <w:rPr>
            <w:noProof/>
            <w:lang w:val="es-ES"/>
          </w:rPr>
          <w:t>7</w:t>
        </w:r>
        <w:r>
          <w:fldChar w:fldCharType="end"/>
        </w:r>
      </w:p>
    </w:sdtContent>
  </w:sdt>
  <w:p w14:paraId="673BCF94" w14:textId="77777777" w:rsidR="00230D60" w:rsidRDefault="0023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D7D4" w14:textId="77777777" w:rsidR="000B5FBC" w:rsidRDefault="000B5FBC">
      <w:pPr>
        <w:spacing w:after="0" w:line="240" w:lineRule="auto"/>
      </w:pPr>
      <w:r>
        <w:separator/>
      </w:r>
    </w:p>
  </w:footnote>
  <w:footnote w:type="continuationSeparator" w:id="0">
    <w:p w14:paraId="59551DB8" w14:textId="77777777" w:rsidR="000B5FBC" w:rsidRDefault="000B5FBC">
      <w:pPr>
        <w:spacing w:after="0" w:line="240" w:lineRule="auto"/>
      </w:pPr>
      <w:r>
        <w:continuationSeparator/>
      </w:r>
    </w:p>
  </w:footnote>
  <w:footnote w:id="1">
    <w:p w14:paraId="6EFE4251" w14:textId="77777777" w:rsidR="0091539B" w:rsidRPr="004A40B3" w:rsidRDefault="0091539B" w:rsidP="0091539B">
      <w:pPr>
        <w:pStyle w:val="FootnoteText"/>
        <w:jc w:val="both"/>
        <w:rPr>
          <w:rFonts w:ascii="Montserrat" w:hAnsi="Montserrat"/>
          <w:sz w:val="16"/>
          <w:szCs w:val="16"/>
        </w:rPr>
      </w:pPr>
      <w:r w:rsidRPr="004A40B3">
        <w:rPr>
          <w:rStyle w:val="FootnoteReference"/>
          <w:rFonts w:ascii="Montserrat" w:hAnsi="Montserrat"/>
          <w:sz w:val="16"/>
          <w:szCs w:val="16"/>
        </w:rPr>
        <w:footnoteRef/>
      </w:r>
      <w:r w:rsidRPr="004A40B3">
        <w:rPr>
          <w:rFonts w:ascii="Montserrat" w:hAnsi="Montserrat"/>
          <w:sz w:val="16"/>
          <w:szCs w:val="16"/>
        </w:rPr>
        <w:t xml:space="preserve"> Dentro de este cuerpo, se encuentra el maestro Luis José Gómez Núñez y el doctor Fernando Allende Sánchez, ambos Defensores Públicos Federales del IFDP, quienes se encuentran designados en diversos casos tramitados ante la Comisión Interamericana de Derechos Humanos y la Corte Interamericana de Derechos Humanos.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0E0"/>
    <w:multiLevelType w:val="hybridMultilevel"/>
    <w:tmpl w:val="6DCED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47415"/>
    <w:multiLevelType w:val="hybridMultilevel"/>
    <w:tmpl w:val="3E0CADC6"/>
    <w:lvl w:ilvl="0" w:tplc="080A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 w15:restartNumberingAfterBreak="0">
    <w:nsid w:val="16D75CD5"/>
    <w:multiLevelType w:val="hybridMultilevel"/>
    <w:tmpl w:val="36DA9D78"/>
    <w:lvl w:ilvl="0" w:tplc="5954865C">
      <w:start w:val="1"/>
      <w:numFmt w:val="upperRoman"/>
      <w:lvlText w:val="%1)"/>
      <w:lvlJc w:val="left"/>
      <w:pPr>
        <w:ind w:left="294" w:hanging="360"/>
      </w:pPr>
      <w:rPr>
        <w:rFonts w:hint="default"/>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 w15:restartNumberingAfterBreak="0">
    <w:nsid w:val="17303CBD"/>
    <w:multiLevelType w:val="hybridMultilevel"/>
    <w:tmpl w:val="7CCC28C2"/>
    <w:lvl w:ilvl="0" w:tplc="880476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8778E2"/>
    <w:multiLevelType w:val="hybridMultilevel"/>
    <w:tmpl w:val="76E6FA9C"/>
    <w:lvl w:ilvl="0" w:tplc="080A000B">
      <w:start w:val="1"/>
      <w:numFmt w:val="bullet"/>
      <w:lvlText w:val=""/>
      <w:lvlJc w:val="left"/>
      <w:pPr>
        <w:ind w:left="1364" w:hanging="360"/>
      </w:pPr>
      <w:rPr>
        <w:rFonts w:ascii="Wingdings" w:hAnsi="Wingdings"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15:restartNumberingAfterBreak="0">
    <w:nsid w:val="213100DD"/>
    <w:multiLevelType w:val="hybridMultilevel"/>
    <w:tmpl w:val="828246A0"/>
    <w:lvl w:ilvl="0" w:tplc="984C17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351FF5"/>
    <w:multiLevelType w:val="hybridMultilevel"/>
    <w:tmpl w:val="87788C66"/>
    <w:lvl w:ilvl="0" w:tplc="B1E6422E">
      <w:start w:val="1"/>
      <w:numFmt w:val="bullet"/>
      <w:lvlText w:val=""/>
      <w:lvlJc w:val="left"/>
      <w:pPr>
        <w:ind w:left="1440" w:hanging="360"/>
      </w:pPr>
      <w:rPr>
        <w:rFonts w:ascii="Wingdings" w:hAnsi="Wingdings" w:hint="default"/>
        <w:b/>
        <w:bCs/>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52419DC"/>
    <w:multiLevelType w:val="hybridMultilevel"/>
    <w:tmpl w:val="9C66866E"/>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8" w15:restartNumberingAfterBreak="0">
    <w:nsid w:val="261D5DD4"/>
    <w:multiLevelType w:val="hybridMultilevel"/>
    <w:tmpl w:val="6ECADD1E"/>
    <w:lvl w:ilvl="0" w:tplc="BB04208E">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35630"/>
    <w:multiLevelType w:val="hybridMultilevel"/>
    <w:tmpl w:val="8ED2A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EE2523"/>
    <w:multiLevelType w:val="hybridMultilevel"/>
    <w:tmpl w:val="1F069E68"/>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1" w15:restartNumberingAfterBreak="0">
    <w:nsid w:val="344445DD"/>
    <w:multiLevelType w:val="hybridMultilevel"/>
    <w:tmpl w:val="C9E04BA0"/>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37324565"/>
    <w:multiLevelType w:val="hybridMultilevel"/>
    <w:tmpl w:val="674079BC"/>
    <w:lvl w:ilvl="0" w:tplc="AFE6AB74">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240A0C"/>
    <w:multiLevelType w:val="hybridMultilevel"/>
    <w:tmpl w:val="867A9D60"/>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4" w15:restartNumberingAfterBreak="0">
    <w:nsid w:val="3B7371AB"/>
    <w:multiLevelType w:val="hybridMultilevel"/>
    <w:tmpl w:val="FFA640B2"/>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5" w15:restartNumberingAfterBreak="0">
    <w:nsid w:val="417C6CCE"/>
    <w:multiLevelType w:val="hybridMultilevel"/>
    <w:tmpl w:val="4AD8AD4A"/>
    <w:lvl w:ilvl="0" w:tplc="595486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952C87"/>
    <w:multiLevelType w:val="hybridMultilevel"/>
    <w:tmpl w:val="01E06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F61248"/>
    <w:multiLevelType w:val="hybridMultilevel"/>
    <w:tmpl w:val="BE5A3972"/>
    <w:lvl w:ilvl="0" w:tplc="3628101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492567AB"/>
    <w:multiLevelType w:val="hybridMultilevel"/>
    <w:tmpl w:val="8FFC30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596ACF"/>
    <w:multiLevelType w:val="hybridMultilevel"/>
    <w:tmpl w:val="1BBC632E"/>
    <w:lvl w:ilvl="0" w:tplc="376EF31C">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5537BB"/>
    <w:multiLevelType w:val="hybridMultilevel"/>
    <w:tmpl w:val="96106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133983"/>
    <w:multiLevelType w:val="hybridMultilevel"/>
    <w:tmpl w:val="3C4A7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3349BA"/>
    <w:multiLevelType w:val="hybridMultilevel"/>
    <w:tmpl w:val="7DE09422"/>
    <w:lvl w:ilvl="0" w:tplc="0F54773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594C7B4B"/>
    <w:multiLevelType w:val="hybridMultilevel"/>
    <w:tmpl w:val="C93C811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4" w15:restartNumberingAfterBreak="0">
    <w:nsid w:val="65C32475"/>
    <w:multiLevelType w:val="hybridMultilevel"/>
    <w:tmpl w:val="29E8FBEC"/>
    <w:lvl w:ilvl="0" w:tplc="E37CAE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6E21A2"/>
    <w:multiLevelType w:val="hybridMultilevel"/>
    <w:tmpl w:val="00AC1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D330AC"/>
    <w:multiLevelType w:val="hybridMultilevel"/>
    <w:tmpl w:val="D5023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DC1F8B"/>
    <w:multiLevelType w:val="hybridMultilevel"/>
    <w:tmpl w:val="A8CE81F4"/>
    <w:lvl w:ilvl="0" w:tplc="611E23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E7237"/>
    <w:multiLevelType w:val="hybridMultilevel"/>
    <w:tmpl w:val="D3308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B21278"/>
    <w:multiLevelType w:val="hybridMultilevel"/>
    <w:tmpl w:val="874E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06809276">
    <w:abstractNumId w:val="24"/>
  </w:num>
  <w:num w:numId="2" w16cid:durableId="1933902175">
    <w:abstractNumId w:val="27"/>
  </w:num>
  <w:num w:numId="3" w16cid:durableId="434129709">
    <w:abstractNumId w:val="3"/>
  </w:num>
  <w:num w:numId="4" w16cid:durableId="1064835221">
    <w:abstractNumId w:val="20"/>
  </w:num>
  <w:num w:numId="5" w16cid:durableId="687144981">
    <w:abstractNumId w:val="12"/>
  </w:num>
  <w:num w:numId="6" w16cid:durableId="1549952142">
    <w:abstractNumId w:val="29"/>
  </w:num>
  <w:num w:numId="7" w16cid:durableId="1478111211">
    <w:abstractNumId w:val="23"/>
  </w:num>
  <w:num w:numId="8" w16cid:durableId="1997299136">
    <w:abstractNumId w:val="21"/>
  </w:num>
  <w:num w:numId="9" w16cid:durableId="688986369">
    <w:abstractNumId w:val="18"/>
  </w:num>
  <w:num w:numId="10" w16cid:durableId="2130541739">
    <w:abstractNumId w:val="22"/>
  </w:num>
  <w:num w:numId="11" w16cid:durableId="603460777">
    <w:abstractNumId w:val="8"/>
  </w:num>
  <w:num w:numId="12" w16cid:durableId="980769088">
    <w:abstractNumId w:val="19"/>
  </w:num>
  <w:num w:numId="13" w16cid:durableId="1293633966">
    <w:abstractNumId w:val="1"/>
  </w:num>
  <w:num w:numId="14" w16cid:durableId="945693569">
    <w:abstractNumId w:val="17"/>
  </w:num>
  <w:num w:numId="15" w16cid:durableId="1045561761">
    <w:abstractNumId w:val="4"/>
  </w:num>
  <w:num w:numId="16" w16cid:durableId="1955820767">
    <w:abstractNumId w:val="0"/>
  </w:num>
  <w:num w:numId="17" w16cid:durableId="145515912">
    <w:abstractNumId w:val="25"/>
  </w:num>
  <w:num w:numId="18" w16cid:durableId="1509058461">
    <w:abstractNumId w:val="6"/>
  </w:num>
  <w:num w:numId="19" w16cid:durableId="1700816241">
    <w:abstractNumId w:val="11"/>
  </w:num>
  <w:num w:numId="20" w16cid:durableId="272252317">
    <w:abstractNumId w:val="5"/>
  </w:num>
  <w:num w:numId="21" w16cid:durableId="276064018">
    <w:abstractNumId w:val="7"/>
  </w:num>
  <w:num w:numId="22" w16cid:durableId="2038696318">
    <w:abstractNumId w:val="10"/>
  </w:num>
  <w:num w:numId="23" w16cid:durableId="1938907050">
    <w:abstractNumId w:val="2"/>
  </w:num>
  <w:num w:numId="24" w16cid:durableId="2041928676">
    <w:abstractNumId w:val="13"/>
  </w:num>
  <w:num w:numId="25" w16cid:durableId="449978859">
    <w:abstractNumId w:val="14"/>
  </w:num>
  <w:num w:numId="26" w16cid:durableId="1667779779">
    <w:abstractNumId w:val="9"/>
  </w:num>
  <w:num w:numId="27" w16cid:durableId="35668117">
    <w:abstractNumId w:val="26"/>
  </w:num>
  <w:num w:numId="28" w16cid:durableId="761416840">
    <w:abstractNumId w:val="28"/>
  </w:num>
  <w:num w:numId="29" w16cid:durableId="741174714">
    <w:abstractNumId w:val="16"/>
  </w:num>
  <w:num w:numId="30" w16cid:durableId="213228705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EA"/>
    <w:rsid w:val="00000C5B"/>
    <w:rsid w:val="000343E0"/>
    <w:rsid w:val="000544EA"/>
    <w:rsid w:val="000664C7"/>
    <w:rsid w:val="00082D19"/>
    <w:rsid w:val="000A69BC"/>
    <w:rsid w:val="000B5FBC"/>
    <w:rsid w:val="000C187C"/>
    <w:rsid w:val="000E4B79"/>
    <w:rsid w:val="000F376A"/>
    <w:rsid w:val="00131436"/>
    <w:rsid w:val="00141598"/>
    <w:rsid w:val="00172E14"/>
    <w:rsid w:val="00173695"/>
    <w:rsid w:val="001744D1"/>
    <w:rsid w:val="001C2700"/>
    <w:rsid w:val="001C45D9"/>
    <w:rsid w:val="00221DC1"/>
    <w:rsid w:val="00224CF3"/>
    <w:rsid w:val="00225C32"/>
    <w:rsid w:val="00230D60"/>
    <w:rsid w:val="002B379A"/>
    <w:rsid w:val="002B793B"/>
    <w:rsid w:val="002D28D1"/>
    <w:rsid w:val="002E32C2"/>
    <w:rsid w:val="002F42A9"/>
    <w:rsid w:val="003004AC"/>
    <w:rsid w:val="003143B1"/>
    <w:rsid w:val="00322396"/>
    <w:rsid w:val="00323751"/>
    <w:rsid w:val="003248A8"/>
    <w:rsid w:val="00326DD9"/>
    <w:rsid w:val="0033083D"/>
    <w:rsid w:val="00347101"/>
    <w:rsid w:val="00373E38"/>
    <w:rsid w:val="003B198D"/>
    <w:rsid w:val="003B1C1F"/>
    <w:rsid w:val="003B5A7A"/>
    <w:rsid w:val="003D7466"/>
    <w:rsid w:val="004022CD"/>
    <w:rsid w:val="00402D18"/>
    <w:rsid w:val="00413DFC"/>
    <w:rsid w:val="0042560A"/>
    <w:rsid w:val="00432211"/>
    <w:rsid w:val="00433CB6"/>
    <w:rsid w:val="00446798"/>
    <w:rsid w:val="00495083"/>
    <w:rsid w:val="004A40B3"/>
    <w:rsid w:val="004E1892"/>
    <w:rsid w:val="004E62BF"/>
    <w:rsid w:val="004F6323"/>
    <w:rsid w:val="004F6DAC"/>
    <w:rsid w:val="00504DCD"/>
    <w:rsid w:val="00545209"/>
    <w:rsid w:val="005743B7"/>
    <w:rsid w:val="00582FD5"/>
    <w:rsid w:val="00583A3F"/>
    <w:rsid w:val="005876E9"/>
    <w:rsid w:val="0059164E"/>
    <w:rsid w:val="005A2AD1"/>
    <w:rsid w:val="005A3652"/>
    <w:rsid w:val="005B16A9"/>
    <w:rsid w:val="005C1FBC"/>
    <w:rsid w:val="005D668A"/>
    <w:rsid w:val="005F2F77"/>
    <w:rsid w:val="006013DB"/>
    <w:rsid w:val="00610715"/>
    <w:rsid w:val="00620886"/>
    <w:rsid w:val="00654A43"/>
    <w:rsid w:val="00682513"/>
    <w:rsid w:val="00683B2F"/>
    <w:rsid w:val="006908C9"/>
    <w:rsid w:val="0069181C"/>
    <w:rsid w:val="006B0DF1"/>
    <w:rsid w:val="006D17FF"/>
    <w:rsid w:val="00720B25"/>
    <w:rsid w:val="007308F0"/>
    <w:rsid w:val="00742530"/>
    <w:rsid w:val="007449FF"/>
    <w:rsid w:val="00760BD0"/>
    <w:rsid w:val="0077379A"/>
    <w:rsid w:val="007740ED"/>
    <w:rsid w:val="0078468B"/>
    <w:rsid w:val="007936BA"/>
    <w:rsid w:val="0079480A"/>
    <w:rsid w:val="007A1E99"/>
    <w:rsid w:val="007B3B78"/>
    <w:rsid w:val="007B7974"/>
    <w:rsid w:val="007C1020"/>
    <w:rsid w:val="007C24A5"/>
    <w:rsid w:val="007D217B"/>
    <w:rsid w:val="007E1B90"/>
    <w:rsid w:val="007E7031"/>
    <w:rsid w:val="007F266B"/>
    <w:rsid w:val="007F533F"/>
    <w:rsid w:val="008077D2"/>
    <w:rsid w:val="00812925"/>
    <w:rsid w:val="0081461B"/>
    <w:rsid w:val="00815F5B"/>
    <w:rsid w:val="00827640"/>
    <w:rsid w:val="00831DE7"/>
    <w:rsid w:val="008702CA"/>
    <w:rsid w:val="0087255F"/>
    <w:rsid w:val="008E7E86"/>
    <w:rsid w:val="008F4FD8"/>
    <w:rsid w:val="009069DA"/>
    <w:rsid w:val="009141A3"/>
    <w:rsid w:val="0091539B"/>
    <w:rsid w:val="009241FD"/>
    <w:rsid w:val="00926567"/>
    <w:rsid w:val="00932F08"/>
    <w:rsid w:val="009407FD"/>
    <w:rsid w:val="009504EC"/>
    <w:rsid w:val="00952DFF"/>
    <w:rsid w:val="009573BA"/>
    <w:rsid w:val="0096496C"/>
    <w:rsid w:val="00965129"/>
    <w:rsid w:val="00970F5E"/>
    <w:rsid w:val="0097170D"/>
    <w:rsid w:val="00977DD0"/>
    <w:rsid w:val="009A5139"/>
    <w:rsid w:val="009C61CC"/>
    <w:rsid w:val="00A254FC"/>
    <w:rsid w:val="00A57D76"/>
    <w:rsid w:val="00A66749"/>
    <w:rsid w:val="00A817CE"/>
    <w:rsid w:val="00AA6CBF"/>
    <w:rsid w:val="00AB455F"/>
    <w:rsid w:val="00AB5929"/>
    <w:rsid w:val="00AB6386"/>
    <w:rsid w:val="00AC6918"/>
    <w:rsid w:val="00AE51A6"/>
    <w:rsid w:val="00AE7618"/>
    <w:rsid w:val="00AF2C42"/>
    <w:rsid w:val="00AF4F03"/>
    <w:rsid w:val="00AF790F"/>
    <w:rsid w:val="00B15C96"/>
    <w:rsid w:val="00B61BEA"/>
    <w:rsid w:val="00B748B7"/>
    <w:rsid w:val="00B74AEB"/>
    <w:rsid w:val="00B849F3"/>
    <w:rsid w:val="00B874B2"/>
    <w:rsid w:val="00BB0197"/>
    <w:rsid w:val="00BC323D"/>
    <w:rsid w:val="00BD3A67"/>
    <w:rsid w:val="00BE0201"/>
    <w:rsid w:val="00BF4947"/>
    <w:rsid w:val="00C21D8E"/>
    <w:rsid w:val="00C43BF8"/>
    <w:rsid w:val="00C65D3E"/>
    <w:rsid w:val="00C67FB8"/>
    <w:rsid w:val="00C824FC"/>
    <w:rsid w:val="00C82E00"/>
    <w:rsid w:val="00CA1C9A"/>
    <w:rsid w:val="00CB381C"/>
    <w:rsid w:val="00CE3650"/>
    <w:rsid w:val="00CE68D8"/>
    <w:rsid w:val="00D41D55"/>
    <w:rsid w:val="00D44C84"/>
    <w:rsid w:val="00D75F07"/>
    <w:rsid w:val="00D950A9"/>
    <w:rsid w:val="00D96010"/>
    <w:rsid w:val="00DB51F2"/>
    <w:rsid w:val="00DC23EF"/>
    <w:rsid w:val="00DD2B43"/>
    <w:rsid w:val="00E143F5"/>
    <w:rsid w:val="00E144FF"/>
    <w:rsid w:val="00E17FF0"/>
    <w:rsid w:val="00E5093E"/>
    <w:rsid w:val="00E53856"/>
    <w:rsid w:val="00E54A52"/>
    <w:rsid w:val="00E56180"/>
    <w:rsid w:val="00EA6231"/>
    <w:rsid w:val="00EC7DDB"/>
    <w:rsid w:val="00EE2CEC"/>
    <w:rsid w:val="00EE4FCF"/>
    <w:rsid w:val="00EE7FC6"/>
    <w:rsid w:val="00EF3EFA"/>
    <w:rsid w:val="00F129A9"/>
    <w:rsid w:val="00F215A6"/>
    <w:rsid w:val="00F461B4"/>
    <w:rsid w:val="00F51381"/>
    <w:rsid w:val="00F710FF"/>
    <w:rsid w:val="00F95C83"/>
    <w:rsid w:val="00FA2578"/>
    <w:rsid w:val="00FB1188"/>
    <w:rsid w:val="00FD0E38"/>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9FC9A"/>
  <w15:chartTrackingRefBased/>
  <w15:docId w15:val="{8B883698-1B55-47A4-A553-E4B3F4FA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0FF"/>
  </w:style>
  <w:style w:type="paragraph" w:styleId="Heading1">
    <w:name w:val="heading 1"/>
    <w:basedOn w:val="Normal"/>
    <w:next w:val="Normal"/>
    <w:link w:val="Heading1Char"/>
    <w:uiPriority w:val="9"/>
    <w:qFormat/>
    <w:rsid w:val="003B1C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1C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44EA"/>
    <w:pPr>
      <w:tabs>
        <w:tab w:val="center" w:pos="4419"/>
        <w:tab w:val="right" w:pos="8838"/>
      </w:tabs>
      <w:spacing w:after="0" w:line="240" w:lineRule="auto"/>
      <w:ind w:hanging="357"/>
      <w:jc w:val="both"/>
    </w:pPr>
    <w:rPr>
      <w:rFonts w:ascii="Times New Roman" w:eastAsia="Calibri" w:hAnsi="Times New Roman" w:cs="Times New Roman"/>
      <w:sz w:val="24"/>
      <w:lang w:eastAsia="en-US"/>
    </w:rPr>
  </w:style>
  <w:style w:type="character" w:customStyle="1" w:styleId="FooterChar">
    <w:name w:val="Footer Char"/>
    <w:basedOn w:val="DefaultParagraphFont"/>
    <w:link w:val="Footer"/>
    <w:uiPriority w:val="99"/>
    <w:rsid w:val="000544EA"/>
    <w:rPr>
      <w:rFonts w:ascii="Times New Roman" w:eastAsia="Calibri" w:hAnsi="Times New Roman" w:cs="Times New Roman"/>
      <w:sz w:val="24"/>
      <w:lang w:eastAsia="en-US"/>
    </w:rPr>
  </w:style>
  <w:style w:type="paragraph" w:styleId="ListParagraph">
    <w:name w:val="List Paragraph"/>
    <w:aliases w:val="Cita texto,Footnote,Dot pt,No Spacing1,List Paragraph Char Char Char,Indicator Text,List Paragraph1,Numbered Para 1,Colorful List - Accent 11,Bullet 1,F5 List Paragraph,Bullet Points,4 Párrafo de lista,Figuras,DH1,Párrafo Título 3"/>
    <w:basedOn w:val="Normal"/>
    <w:link w:val="ListParagraphChar"/>
    <w:uiPriority w:val="34"/>
    <w:qFormat/>
    <w:rsid w:val="004F6323"/>
    <w:pPr>
      <w:ind w:left="720"/>
      <w:contextualSpacing/>
    </w:pPr>
  </w:style>
  <w:style w:type="paragraph" w:styleId="TOC1">
    <w:name w:val="toc 1"/>
    <w:basedOn w:val="Normal"/>
    <w:next w:val="Normal"/>
    <w:autoRedefine/>
    <w:uiPriority w:val="39"/>
    <w:unhideWhenUsed/>
    <w:rsid w:val="003143B1"/>
    <w:pPr>
      <w:spacing w:after="100"/>
    </w:pPr>
  </w:style>
  <w:style w:type="character" w:styleId="Hyperlink">
    <w:name w:val="Hyperlink"/>
    <w:basedOn w:val="DefaultParagraphFont"/>
    <w:uiPriority w:val="99"/>
    <w:unhideWhenUsed/>
    <w:rsid w:val="003143B1"/>
    <w:rPr>
      <w:color w:val="0563C1" w:themeColor="hyperlink"/>
      <w:u w:val="single"/>
    </w:rPr>
  </w:style>
  <w:style w:type="paragraph" w:styleId="NormalWeb">
    <w:name w:val="Normal (Web)"/>
    <w:basedOn w:val="Normal"/>
    <w:uiPriority w:val="99"/>
    <w:unhideWhenUsed/>
    <w:rsid w:val="0082764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A6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DC1"/>
    <w:pPr>
      <w:tabs>
        <w:tab w:val="center" w:pos="4419"/>
        <w:tab w:val="right" w:pos="8838"/>
      </w:tabs>
      <w:spacing w:after="0" w:line="240" w:lineRule="auto"/>
    </w:pPr>
  </w:style>
  <w:style w:type="character" w:customStyle="1" w:styleId="HeaderChar">
    <w:name w:val="Header Char"/>
    <w:basedOn w:val="DefaultParagraphFont"/>
    <w:link w:val="Header"/>
    <w:uiPriority w:val="99"/>
    <w:rsid w:val="00221DC1"/>
  </w:style>
  <w:style w:type="paragraph" w:styleId="FootnoteText">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FootnoteTextChar"/>
    <w:uiPriority w:val="99"/>
    <w:unhideWhenUsed/>
    <w:qFormat/>
    <w:rsid w:val="00413DFC"/>
    <w:pPr>
      <w:spacing w:after="0" w:line="240" w:lineRule="auto"/>
    </w:pPr>
    <w:rPr>
      <w:rFonts w:eastAsiaTheme="minorHAnsi"/>
      <w:sz w:val="20"/>
      <w:szCs w:val="20"/>
      <w:lang w:val="es-ES" w:eastAsia="en-US"/>
    </w:rPr>
  </w:style>
  <w:style w:type="character" w:customStyle="1" w:styleId="FootnoteTextChar">
    <w:name w:val="Footnote Text Char"/>
    <w:aliases w:val="Car3 Char,Car3 Car Char,Footnote Text Char Char Char Char Char Char,Footnote Text Char Char Char Char Char1,Footnote reference Char,FA Fu Char,FA Fu Car Char, Car3 Char, Car3 Car Char,Footnote Text Char Char Char Char1, Car31 Car Char"/>
    <w:basedOn w:val="DefaultParagraphFont"/>
    <w:link w:val="FootnoteText"/>
    <w:uiPriority w:val="99"/>
    <w:qFormat/>
    <w:rsid w:val="00413DFC"/>
    <w:rPr>
      <w:rFonts w:eastAsiaTheme="minorHAnsi"/>
      <w:sz w:val="20"/>
      <w:szCs w:val="20"/>
      <w:lang w:val="es-ES" w:eastAsia="en-US"/>
    </w:rPr>
  </w:style>
  <w:style w:type="character" w:styleId="FootnoteReference">
    <w:name w:val="footnote reference"/>
    <w:aliases w:val="Ref. de nota al pie 2,Texto de nota al pie,Stinking Styles,Stinking Styles5,Appel note de bas de page,Footnotes refss,Footnote number,referencia nota al pie,BVI fnr,f,4_G,16 Point,Superscript 6 Point,Texto nota al pie,ftref,Ref,julio"/>
    <w:basedOn w:val="DefaultParagraphFont"/>
    <w:link w:val="BVIfnrCar1CarCarCarCar"/>
    <w:uiPriority w:val="99"/>
    <w:unhideWhenUsed/>
    <w:qFormat/>
    <w:rsid w:val="00413DFC"/>
    <w:rPr>
      <w:vertAlign w:val="superscript"/>
    </w:rPr>
  </w:style>
  <w:style w:type="character" w:customStyle="1" w:styleId="ListParagraphChar">
    <w:name w:val="List Paragraph Char"/>
    <w:aliases w:val="Cita texto Char,Footnote Char,Dot pt Char,No Spacing1 Char,List Paragraph Char Char Char Char,Indicator Text Char,List Paragraph1 Char,Numbered Para 1 Char,Colorful List - Accent 11 Char,Bullet 1 Char,F5 List Paragraph Char,DH1 Char"/>
    <w:link w:val="ListParagraph"/>
    <w:uiPriority w:val="34"/>
    <w:qFormat/>
    <w:locked/>
    <w:rsid w:val="00413DFC"/>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413DFC"/>
    <w:pPr>
      <w:spacing w:before="200" w:line="240" w:lineRule="exact"/>
    </w:pPr>
    <w:rPr>
      <w:vertAlign w:val="superscript"/>
    </w:rPr>
  </w:style>
  <w:style w:type="character" w:customStyle="1" w:styleId="Heading1Char">
    <w:name w:val="Heading 1 Char"/>
    <w:basedOn w:val="DefaultParagraphFont"/>
    <w:link w:val="Heading1"/>
    <w:uiPriority w:val="9"/>
    <w:rsid w:val="003B1C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1C1F"/>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B1C1F"/>
    <w:pPr>
      <w:spacing w:after="100"/>
      <w:ind w:left="220"/>
    </w:pPr>
  </w:style>
  <w:style w:type="paragraph" w:styleId="Subtitle">
    <w:name w:val="Subtitle"/>
    <w:basedOn w:val="Normal"/>
    <w:next w:val="Normal"/>
    <w:link w:val="SubtitleChar"/>
    <w:uiPriority w:val="11"/>
    <w:qFormat/>
    <w:rsid w:val="00E17FF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17FF0"/>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91A00.029F3250"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annex-1</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7A8F8C5-2F38-4DF9-B16D-049EAB88D852}">
  <ds:schemaRefs>
    <ds:schemaRef ds:uri="http://schemas.openxmlformats.org/officeDocument/2006/bibliography"/>
  </ds:schemaRefs>
</ds:datastoreItem>
</file>

<file path=customXml/itemProps2.xml><?xml version="1.0" encoding="utf-8"?>
<ds:datastoreItem xmlns:ds="http://schemas.openxmlformats.org/officeDocument/2006/customXml" ds:itemID="{90AC65AF-4B53-43DA-9F35-8BB4724B4F6C}"/>
</file>

<file path=customXml/itemProps3.xml><?xml version="1.0" encoding="utf-8"?>
<ds:datastoreItem xmlns:ds="http://schemas.openxmlformats.org/officeDocument/2006/customXml" ds:itemID="{CEE6945C-70D2-4477-AF59-9B6672B3C977}"/>
</file>

<file path=customXml/itemProps4.xml><?xml version="1.0" encoding="utf-8"?>
<ds:datastoreItem xmlns:ds="http://schemas.openxmlformats.org/officeDocument/2006/customXml" ds:itemID="{8B12006D-8C8D-45A3-BC24-BA5E5DBB4B6F}"/>
</file>

<file path=docProps/app.xml><?xml version="1.0" encoding="utf-8"?>
<Properties xmlns="http://schemas.openxmlformats.org/officeDocument/2006/extended-properties" xmlns:vt="http://schemas.openxmlformats.org/officeDocument/2006/docPropsVTypes">
  <Template>Normal.dotm</Template>
  <TotalTime>1</TotalTime>
  <Pages>7</Pages>
  <Words>1720</Words>
  <Characters>9809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Carrillo</dc:creator>
  <cp:keywords/>
  <dc:description/>
  <cp:lastModifiedBy>Melanie Santizo Sandoval</cp:lastModifiedBy>
  <cp:revision>2</cp:revision>
  <dcterms:created xsi:type="dcterms:W3CDTF">2023-05-08T08:01:00Z</dcterms:created>
  <dcterms:modified xsi:type="dcterms:W3CDTF">2023-05-08T08:01:00Z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