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871E" w14:textId="77777777" w:rsidR="00CF6BEE" w:rsidRDefault="00045675" w:rsidP="00C54D28">
      <w:pPr>
        <w:tabs>
          <w:tab w:val="left" w:pos="142"/>
        </w:tabs>
        <w:spacing w:before="120" w:after="120" w:line="240" w:lineRule="auto"/>
        <w:ind w:left="142"/>
        <w:jc w:val="center"/>
        <w:rPr>
          <w:rFonts w:ascii="Segoe UI" w:hAnsi="Segoe UI" w:cs="Segoe UI"/>
          <w:b/>
        </w:rPr>
      </w:pPr>
      <w:r w:rsidRPr="0047497B">
        <w:rPr>
          <w:rFonts w:ascii="Segoe UI" w:hAnsi="Segoe UI" w:cs="Segoe UI"/>
          <w:b/>
        </w:rPr>
        <w:t xml:space="preserve">ANEXO </w:t>
      </w:r>
    </w:p>
    <w:p w14:paraId="6A2C871F" w14:textId="77777777" w:rsidR="001077B4" w:rsidRPr="0047497B" w:rsidRDefault="000910A8" w:rsidP="00C54D28">
      <w:pPr>
        <w:tabs>
          <w:tab w:val="left" w:pos="142"/>
        </w:tabs>
        <w:spacing w:before="120" w:after="120" w:line="240" w:lineRule="auto"/>
        <w:ind w:left="142"/>
        <w:jc w:val="center"/>
        <w:rPr>
          <w:rFonts w:ascii="Segoe UI" w:hAnsi="Segoe UI" w:cs="Segoe UI"/>
          <w:b/>
        </w:rPr>
      </w:pPr>
      <w:r w:rsidRPr="0047497B">
        <w:rPr>
          <w:rFonts w:ascii="Segoe UI" w:hAnsi="Segoe UI" w:cs="Segoe UI"/>
          <w:b/>
        </w:rPr>
        <w:t>Respuesta de Chile a</w:t>
      </w:r>
      <w:r w:rsidR="003D2438" w:rsidRPr="0047497B">
        <w:rPr>
          <w:rFonts w:ascii="Segoe UI" w:hAnsi="Segoe UI" w:cs="Segoe UI"/>
          <w:b/>
        </w:rPr>
        <w:t>l</w:t>
      </w:r>
      <w:r w:rsidRPr="0047497B">
        <w:rPr>
          <w:rFonts w:ascii="Segoe UI" w:hAnsi="Segoe UI" w:cs="Segoe UI"/>
          <w:b/>
        </w:rPr>
        <w:t xml:space="preserve"> </w:t>
      </w:r>
      <w:r w:rsidR="003D2438" w:rsidRPr="0047497B">
        <w:rPr>
          <w:rFonts w:ascii="Segoe UI" w:hAnsi="Segoe UI" w:cs="Segoe UI"/>
          <w:b/>
        </w:rPr>
        <w:t>Cuestionario de la Relatora Especial sobre la ind</w:t>
      </w:r>
      <w:r w:rsidR="00045675" w:rsidRPr="0047497B">
        <w:rPr>
          <w:rFonts w:ascii="Segoe UI" w:hAnsi="Segoe UI" w:cs="Segoe UI"/>
          <w:b/>
        </w:rPr>
        <w:t xml:space="preserve">ependencia de los magistrados y </w:t>
      </w:r>
      <w:r w:rsidR="003D2438" w:rsidRPr="0047497B">
        <w:rPr>
          <w:rFonts w:ascii="Segoe UI" w:hAnsi="Segoe UI" w:cs="Segoe UI"/>
          <w:b/>
        </w:rPr>
        <w:t>abogados</w:t>
      </w:r>
    </w:p>
    <w:p w14:paraId="6A2C8720" w14:textId="77777777" w:rsidR="00C8428C" w:rsidRPr="0047497B" w:rsidRDefault="00C8428C" w:rsidP="00C54D28">
      <w:pPr>
        <w:tabs>
          <w:tab w:val="left" w:pos="142"/>
        </w:tabs>
        <w:spacing w:before="120" w:after="120" w:line="240" w:lineRule="auto"/>
        <w:ind w:left="142"/>
        <w:jc w:val="both"/>
        <w:rPr>
          <w:rFonts w:ascii="Segoe UI" w:hAnsi="Segoe UI" w:cs="Segoe UI"/>
          <w:b/>
          <w:bCs/>
          <w:lang w:val="es-MX"/>
        </w:rPr>
      </w:pPr>
    </w:p>
    <w:p w14:paraId="6A2C8721" w14:textId="77777777" w:rsidR="00793CA3" w:rsidRPr="00B27205" w:rsidRDefault="00432CC2" w:rsidP="00C54D28">
      <w:pPr>
        <w:pStyle w:val="ListParagraph"/>
        <w:numPr>
          <w:ilvl w:val="0"/>
          <w:numId w:val="27"/>
        </w:numPr>
        <w:tabs>
          <w:tab w:val="left" w:pos="142"/>
        </w:tabs>
        <w:spacing w:before="120" w:after="120" w:line="240" w:lineRule="auto"/>
        <w:contextualSpacing w:val="0"/>
        <w:jc w:val="both"/>
        <w:rPr>
          <w:rFonts w:ascii="Segoe UI" w:hAnsi="Segoe UI" w:cs="Segoe UI"/>
        </w:rPr>
      </w:pPr>
      <w:r w:rsidRPr="00B27205">
        <w:rPr>
          <w:rFonts w:ascii="Segoe UI" w:hAnsi="Segoe UI" w:cs="Segoe UI"/>
          <w:b/>
        </w:rPr>
        <w:t>Definiciones, entendimientos y variedades de enfoques y prá</w:t>
      </w:r>
      <w:r w:rsidR="00793CA3" w:rsidRPr="00B27205">
        <w:rPr>
          <w:rFonts w:ascii="Segoe UI" w:hAnsi="Segoe UI" w:cs="Segoe UI"/>
          <w:b/>
        </w:rPr>
        <w:t>cticas de empoderamiento legal</w:t>
      </w:r>
    </w:p>
    <w:p w14:paraId="6A2C8722" w14:textId="77777777" w:rsidR="00793CA3" w:rsidRPr="0047497B" w:rsidRDefault="00793CA3" w:rsidP="00C54D28">
      <w:pPr>
        <w:tabs>
          <w:tab w:val="left" w:pos="0"/>
        </w:tabs>
        <w:spacing w:before="120" w:after="120" w:line="240" w:lineRule="auto"/>
        <w:jc w:val="both"/>
        <w:rPr>
          <w:rFonts w:ascii="Segoe UI" w:hAnsi="Segoe UI" w:cs="Segoe UI"/>
          <w:u w:val="single"/>
        </w:rPr>
      </w:pPr>
      <w:r w:rsidRPr="0047497B">
        <w:rPr>
          <w:rFonts w:ascii="Segoe UI" w:hAnsi="Segoe UI" w:cs="Segoe UI"/>
          <w:bCs/>
          <w:u w:val="single"/>
        </w:rPr>
        <w:t xml:space="preserve">Algunos enfoques </w:t>
      </w:r>
      <w:r w:rsidRPr="0047497B">
        <w:rPr>
          <w:rFonts w:ascii="Segoe UI" w:hAnsi="Segoe UI" w:cs="Segoe UI"/>
          <w:u w:val="single"/>
        </w:rPr>
        <w:t xml:space="preserve">y prácticas de </w:t>
      </w:r>
      <w:r w:rsidR="00B27205">
        <w:rPr>
          <w:rFonts w:ascii="Segoe UI" w:hAnsi="Segoe UI" w:cs="Segoe UI"/>
          <w:u w:val="single"/>
        </w:rPr>
        <w:t>empoderamiento legal</w:t>
      </w:r>
    </w:p>
    <w:p w14:paraId="6A2C8723" w14:textId="77777777" w:rsidR="00CF6BEE" w:rsidRDefault="008862A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bCs/>
        </w:rPr>
        <w:t>Educación legal:</w:t>
      </w:r>
      <w:r w:rsidRPr="00CF6BEE">
        <w:rPr>
          <w:rFonts w:ascii="Segoe UI" w:hAnsi="Segoe UI" w:cs="Segoe UI"/>
        </w:rPr>
        <w:t xml:space="preserve"> Se trata de ofrecer información y orientación sobre el sistema legal y los derechos y deberes legales de las personas. La educación legal puede incluir talleres, charlas, materiales impresos o digitales, entre otros.  </w:t>
      </w:r>
    </w:p>
    <w:p w14:paraId="6A2C8724" w14:textId="77777777" w:rsidR="00CF6BEE" w:rsidRDefault="008862A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rPr>
        <w:t>A</w:t>
      </w:r>
      <w:r w:rsidRPr="00CF6BEE">
        <w:rPr>
          <w:rFonts w:ascii="Segoe UI" w:hAnsi="Segoe UI" w:cs="Segoe UI"/>
          <w:bCs/>
        </w:rPr>
        <w:t>sistencia legal:</w:t>
      </w:r>
      <w:r w:rsidRPr="00CF6BEE">
        <w:rPr>
          <w:rFonts w:ascii="Segoe UI" w:hAnsi="Segoe UI" w:cs="Segoe UI"/>
        </w:rPr>
        <w:t xml:space="preserve"> Incluye servicios como el asesoramiento, la representación legal y la mediación, que buscan apoyar a las personas en situaciones legales y ayudarles a obtener los resultados adecuados acordes a sus objetivos específicos a conseguir.  El Ministerio Público se crea en el año 2000, vinculado a este propósito de empoderamiento legal, pues le corresponde la adopción de medidas para proteger </w:t>
      </w:r>
      <w:r w:rsidR="00E21CC6" w:rsidRPr="00CF6BEE">
        <w:rPr>
          <w:rFonts w:ascii="Segoe UI" w:hAnsi="Segoe UI" w:cs="Segoe UI"/>
        </w:rPr>
        <w:t>a las víctimas y a los testigos.</w:t>
      </w:r>
    </w:p>
    <w:p w14:paraId="6A2C8725" w14:textId="77777777" w:rsidR="00CF6BEE" w:rsidRDefault="008862A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bCs/>
        </w:rPr>
        <w:t>Movilización comunitaria:</w:t>
      </w:r>
      <w:r w:rsidRPr="00CF6BEE">
        <w:rPr>
          <w:rFonts w:ascii="Segoe UI" w:hAnsi="Segoe UI" w:cs="Segoe UI"/>
        </w:rPr>
        <w:t xml:space="preserve"> Se refiere a promover y apoyar la participación activa de las comunidades en la toma de decisiones que afectan sus derechos e intereses legales, ya sea a nivel local o nacional. </w:t>
      </w:r>
    </w:p>
    <w:p w14:paraId="6A2C8726" w14:textId="77777777" w:rsidR="009B3EC7" w:rsidRDefault="009A21AB"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bCs/>
        </w:rPr>
        <w:t>Empoderamiento digital:</w:t>
      </w:r>
      <w:r w:rsidR="00CF6BEE">
        <w:rPr>
          <w:rFonts w:ascii="Segoe UI" w:hAnsi="Segoe UI" w:cs="Segoe UI"/>
        </w:rPr>
        <w:t xml:space="preserve"> S</w:t>
      </w:r>
      <w:r w:rsidRPr="00CF6BEE">
        <w:rPr>
          <w:rFonts w:ascii="Segoe UI" w:hAnsi="Segoe UI" w:cs="Segoe UI"/>
        </w:rPr>
        <w:t xml:space="preserve">e trata de utilizar herramientas informáticas y de telefonía celular (por ejemplo, aplicaciones, portales web, redes sociales, etc.) para difundir información y recursos legales, mejorando el acceso a la justicia y facilitar la comunicación y el intercambio de experiencias entre las personas.  </w:t>
      </w:r>
    </w:p>
    <w:p w14:paraId="6A2C8727" w14:textId="77777777" w:rsidR="007251EF" w:rsidRPr="00CF6BEE" w:rsidRDefault="009A21AB" w:rsidP="00C54D28">
      <w:pPr>
        <w:tabs>
          <w:tab w:val="left" w:pos="0"/>
        </w:tabs>
        <w:spacing w:before="120" w:after="120" w:line="240" w:lineRule="auto"/>
        <w:jc w:val="both"/>
        <w:rPr>
          <w:rFonts w:ascii="Segoe UI" w:hAnsi="Segoe UI" w:cs="Segoe UI"/>
          <w:u w:val="single"/>
        </w:rPr>
      </w:pPr>
      <w:r w:rsidRPr="00CF6BEE">
        <w:rPr>
          <w:rFonts w:ascii="Segoe UI" w:hAnsi="Segoe UI" w:cs="Segoe UI"/>
          <w:u w:val="single"/>
        </w:rPr>
        <w:t xml:space="preserve">Ejemplos </w:t>
      </w:r>
      <w:r w:rsidRPr="00B27205">
        <w:rPr>
          <w:rFonts w:ascii="Segoe UI" w:hAnsi="Segoe UI" w:cs="Segoe UI"/>
          <w:bCs/>
          <w:u w:val="single"/>
        </w:rPr>
        <w:t>sobre</w:t>
      </w:r>
      <w:r w:rsidRPr="00CF6BEE">
        <w:rPr>
          <w:rFonts w:ascii="Segoe UI" w:hAnsi="Segoe UI" w:cs="Segoe UI"/>
          <w:u w:val="single"/>
        </w:rPr>
        <w:t xml:space="preserve"> las modalidades e innovaciones de empoderamiento legal a nivel comunitario, local, nacional e internacional</w:t>
      </w:r>
    </w:p>
    <w:p w14:paraId="6A2C8728" w14:textId="77777777" w:rsidR="007251EF" w:rsidRPr="0047497B" w:rsidRDefault="007251EF" w:rsidP="00C54D28">
      <w:pPr>
        <w:shd w:val="clear" w:color="auto" w:fill="FFFFFF"/>
        <w:tabs>
          <w:tab w:val="left" w:pos="142"/>
        </w:tabs>
        <w:spacing w:before="120" w:after="120" w:line="240" w:lineRule="auto"/>
        <w:jc w:val="both"/>
        <w:rPr>
          <w:rFonts w:ascii="Segoe UI" w:hAnsi="Segoe UI" w:cs="Segoe UI"/>
          <w:bCs/>
          <w:i/>
        </w:rPr>
      </w:pPr>
      <w:r w:rsidRPr="0047497B">
        <w:rPr>
          <w:rFonts w:ascii="Segoe UI" w:hAnsi="Segoe UI" w:cs="Segoe UI"/>
          <w:bCs/>
          <w:i/>
        </w:rPr>
        <w:t>A nivel comunitario:</w:t>
      </w:r>
    </w:p>
    <w:p w14:paraId="6A2C8729" w14:textId="77777777" w:rsidR="007251EF" w:rsidRPr="0047497B" w:rsidRDefault="007251E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47497B">
        <w:rPr>
          <w:rFonts w:ascii="Segoe UI" w:hAnsi="Segoe UI" w:cs="Segoe UI"/>
          <w:bCs/>
        </w:rPr>
        <w:t>Promotores legales:</w:t>
      </w:r>
      <w:r w:rsidRPr="0047497B">
        <w:rPr>
          <w:rFonts w:ascii="Segoe UI" w:hAnsi="Segoe UI" w:cs="Segoe UI"/>
        </w:rPr>
        <w:t xml:space="preserve"> Conformados por mujeres y hombres que pertenecen a comunidades o centros de atención comunal capacitados para brindar información y orienta</w:t>
      </w:r>
      <w:r w:rsidR="00CF6BEE">
        <w:rPr>
          <w:rFonts w:ascii="Segoe UI" w:hAnsi="Segoe UI" w:cs="Segoe UI"/>
        </w:rPr>
        <w:t>ción legal a sus usuarios como Juntas de Vecinos</w:t>
      </w:r>
      <w:r w:rsidRPr="0047497B">
        <w:rPr>
          <w:rFonts w:ascii="Segoe UI" w:hAnsi="Segoe UI" w:cs="Segoe UI"/>
        </w:rPr>
        <w:t>.</w:t>
      </w:r>
    </w:p>
    <w:p w14:paraId="6A2C872A" w14:textId="77777777" w:rsidR="007251EF" w:rsidRPr="0047497B" w:rsidRDefault="007251E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rPr>
        <w:t>Escuelas de educación legal comunitaria:</w:t>
      </w:r>
      <w:r w:rsidRPr="0047497B">
        <w:rPr>
          <w:rFonts w:ascii="Segoe UI" w:hAnsi="Segoe UI" w:cs="Segoe UI"/>
        </w:rPr>
        <w:t xml:space="preserve"> Existen diferentes programas de difusión que ofrecen cursos y talleres sobre temas legales relevantes para las comunidades locales, como género, familia, la inmigración, derecho laboral y discriminación. Por ejemplo, </w:t>
      </w:r>
      <w:r w:rsidR="00CF6BEE">
        <w:rPr>
          <w:rFonts w:ascii="Segoe UI" w:hAnsi="Segoe UI" w:cs="Segoe UI"/>
        </w:rPr>
        <w:t xml:space="preserve">existen </w:t>
      </w:r>
      <w:r w:rsidRPr="0047497B">
        <w:rPr>
          <w:rFonts w:ascii="Segoe UI" w:hAnsi="Segoe UI" w:cs="Segoe UI"/>
        </w:rPr>
        <w:t xml:space="preserve">propuestas educativas y procesos de participación comunitaria en comunidades Mapuche </w:t>
      </w:r>
      <w:r w:rsidR="005F7193" w:rsidRPr="0047497B">
        <w:rPr>
          <w:rFonts w:ascii="Segoe UI" w:hAnsi="Segoe UI" w:cs="Segoe UI"/>
        </w:rPr>
        <w:t>como en las Escuelas de Tirú</w:t>
      </w:r>
      <w:r w:rsidRPr="0047497B">
        <w:rPr>
          <w:rFonts w:ascii="Segoe UI" w:hAnsi="Segoe UI" w:cs="Segoe UI"/>
        </w:rPr>
        <w:t>a y Contulmo</w:t>
      </w:r>
      <w:r w:rsidRPr="0047497B">
        <w:rPr>
          <w:rFonts w:ascii="Segoe UI" w:hAnsi="Segoe UI" w:cs="Segoe UI"/>
          <w:shd w:val="clear" w:color="auto" w:fill="FFFFFF"/>
        </w:rPr>
        <w:t xml:space="preserve"> </w:t>
      </w:r>
      <w:r w:rsidRPr="0047497B">
        <w:rPr>
          <w:rFonts w:ascii="Segoe UI" w:hAnsi="Segoe UI" w:cs="Segoe UI"/>
        </w:rPr>
        <w:t>en donde no solamente se desarrollan actividades propiamente académicas, sino también en aquellas de carácter extracurricular. Esto</w:t>
      </w:r>
      <w:r w:rsidR="00CF6BEE">
        <w:rPr>
          <w:rFonts w:ascii="Segoe UI" w:hAnsi="Segoe UI" w:cs="Segoe UI"/>
        </w:rPr>
        <w:t>,</w:t>
      </w:r>
      <w:r w:rsidRPr="0047497B">
        <w:rPr>
          <w:rFonts w:ascii="Segoe UI" w:hAnsi="Segoe UI" w:cs="Segoe UI"/>
        </w:rPr>
        <w:t xml:space="preserve"> para que las niñas, niños y adolescentes del sect</w:t>
      </w:r>
      <w:r w:rsidR="00CF6BEE">
        <w:rPr>
          <w:rFonts w:ascii="Segoe UI" w:hAnsi="Segoe UI" w:cs="Segoe UI"/>
        </w:rPr>
        <w:t>or</w:t>
      </w:r>
      <w:r w:rsidR="005F7193" w:rsidRPr="0047497B">
        <w:rPr>
          <w:rFonts w:ascii="Segoe UI" w:hAnsi="Segoe UI" w:cs="Segoe UI"/>
        </w:rPr>
        <w:t xml:space="preserve"> encuentren en sus escuelas </w:t>
      </w:r>
      <w:r w:rsidRPr="0047497B">
        <w:rPr>
          <w:rFonts w:ascii="Segoe UI" w:hAnsi="Segoe UI" w:cs="Segoe UI"/>
        </w:rPr>
        <w:t xml:space="preserve">espacios de resignificación institucional; que descubran en ellos, </w:t>
      </w:r>
      <w:r w:rsidRPr="0047497B">
        <w:rPr>
          <w:rFonts w:ascii="Segoe UI" w:hAnsi="Segoe UI" w:cs="Segoe UI"/>
        </w:rPr>
        <w:lastRenderedPageBreak/>
        <w:t xml:space="preserve">un centro comunitario de socialización, entretenimiento y de practica cultural y </w:t>
      </w:r>
      <w:r w:rsidR="00CF6BEE">
        <w:rPr>
          <w:rFonts w:ascii="Segoe UI" w:hAnsi="Segoe UI" w:cs="Segoe UI"/>
        </w:rPr>
        <w:t>deportiva. El</w:t>
      </w:r>
      <w:r w:rsidRPr="0047497B">
        <w:rPr>
          <w:rFonts w:ascii="Segoe UI" w:hAnsi="Segoe UI" w:cs="Segoe UI"/>
        </w:rPr>
        <w:t>lo demuestra la importancia del desarrollo de actividades extraescolares que involucren activamente a la comunidad, ya que durante estas se desarrollan dinámicas de construcción de conocimientos proyectados colectivamente y de forma colaborativa entre las y los participantes.</w:t>
      </w:r>
    </w:p>
    <w:p w14:paraId="6A2C872B" w14:textId="77777777" w:rsidR="007251EF" w:rsidRPr="0047497B" w:rsidRDefault="007251EF" w:rsidP="00C54D28">
      <w:pPr>
        <w:shd w:val="clear" w:color="auto" w:fill="FFFFFF"/>
        <w:tabs>
          <w:tab w:val="left" w:pos="142"/>
        </w:tabs>
        <w:spacing w:before="120" w:after="120" w:line="240" w:lineRule="auto"/>
        <w:jc w:val="both"/>
        <w:rPr>
          <w:rFonts w:ascii="Segoe UI" w:hAnsi="Segoe UI" w:cs="Segoe UI"/>
          <w:bCs/>
          <w:i/>
        </w:rPr>
      </w:pPr>
      <w:r w:rsidRPr="0047497B">
        <w:rPr>
          <w:rFonts w:ascii="Segoe UI" w:hAnsi="Segoe UI" w:cs="Segoe UI"/>
          <w:bCs/>
          <w:i/>
        </w:rPr>
        <w:t>A nivel local:</w:t>
      </w:r>
    </w:p>
    <w:p w14:paraId="6A2C872C" w14:textId="77777777" w:rsidR="007251EF" w:rsidRPr="0047497B" w:rsidRDefault="007251E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rPr>
        <w:t>Clínicas legales municipales:</w:t>
      </w:r>
      <w:r w:rsidR="00CF6BEE">
        <w:rPr>
          <w:rFonts w:ascii="Segoe UI" w:hAnsi="Segoe UI" w:cs="Segoe UI"/>
        </w:rPr>
        <w:t xml:space="preserve"> Constituida</w:t>
      </w:r>
      <w:r w:rsidRPr="0047497B">
        <w:rPr>
          <w:rFonts w:ascii="Segoe UI" w:hAnsi="Segoe UI" w:cs="Segoe UI"/>
        </w:rPr>
        <w:t>s por programas que brindan servicios legales gratuitos o a bajo costo en áreas específicas, como derecho de familia, del consumidor, vivienda, género, entre otros.</w:t>
      </w:r>
    </w:p>
    <w:p w14:paraId="6A2C872D" w14:textId="77777777" w:rsidR="007251EF" w:rsidRPr="0047497B" w:rsidRDefault="007251E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rPr>
        <w:t>Juntas de vecinos legales:</w:t>
      </w:r>
      <w:r w:rsidRPr="0047497B">
        <w:rPr>
          <w:rFonts w:ascii="Segoe UI" w:hAnsi="Segoe UI" w:cs="Segoe UI"/>
        </w:rPr>
        <w:t xml:space="preserve"> Grupos de vecinos y vecinas que trabajan juntos para abordar problemas legales en su comunidad, como la seguridad, el medio ambiente y el desarrollo urbano.</w:t>
      </w:r>
    </w:p>
    <w:p w14:paraId="6A2C872E" w14:textId="77777777" w:rsidR="007251EF" w:rsidRPr="0047497B" w:rsidRDefault="007251E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rPr>
        <w:t>Contratistas legales:</w:t>
      </w:r>
      <w:r w:rsidRPr="0047497B">
        <w:rPr>
          <w:rFonts w:ascii="Segoe UI" w:hAnsi="Segoe UI" w:cs="Segoe UI"/>
        </w:rPr>
        <w:t xml:space="preserve"> Abogados que trabajan con pequeñas empresas y organizaciones sin fines de lucro para brindarles servicios legales asequibles y prácticos.</w:t>
      </w:r>
    </w:p>
    <w:p w14:paraId="6A2C872F" w14:textId="77777777" w:rsidR="007251EF" w:rsidRPr="0047497B" w:rsidRDefault="007251EF" w:rsidP="00C54D28">
      <w:pPr>
        <w:shd w:val="clear" w:color="auto" w:fill="FFFFFF"/>
        <w:tabs>
          <w:tab w:val="left" w:pos="142"/>
        </w:tabs>
        <w:spacing w:before="120" w:after="120" w:line="240" w:lineRule="auto"/>
        <w:jc w:val="both"/>
        <w:rPr>
          <w:rFonts w:ascii="Segoe UI" w:hAnsi="Segoe UI" w:cs="Segoe UI"/>
          <w:bCs/>
          <w:i/>
        </w:rPr>
      </w:pPr>
      <w:r w:rsidRPr="0047497B">
        <w:rPr>
          <w:rFonts w:ascii="Segoe UI" w:hAnsi="Segoe UI" w:cs="Segoe UI"/>
          <w:bCs/>
          <w:i/>
        </w:rPr>
        <w:t>A nivel nacional:</w:t>
      </w:r>
    </w:p>
    <w:p w14:paraId="6A2C8730" w14:textId="77777777" w:rsidR="007251EF" w:rsidRPr="0047497B" w:rsidRDefault="007251E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rPr>
        <w:t>Servicios jurídicos en línea:</w:t>
      </w:r>
      <w:r w:rsidRPr="0047497B">
        <w:rPr>
          <w:rFonts w:ascii="Segoe UI" w:hAnsi="Segoe UI" w:cs="Segoe UI"/>
        </w:rPr>
        <w:t xml:space="preserve"> Plataformas en línea que ofrecen información legal gratuita y enlaces a recursos legales relacionados con temas de familia, penal, civil, protección del consumidor, etc. Por ejemplo, la atención y orientac</w:t>
      </w:r>
      <w:r w:rsidR="00D43EED">
        <w:rPr>
          <w:rFonts w:ascii="Segoe UI" w:hAnsi="Segoe UI" w:cs="Segoe UI"/>
        </w:rPr>
        <w:t xml:space="preserve">ión vía web que ofrece la </w:t>
      </w:r>
      <w:r w:rsidR="00CF6BEE">
        <w:rPr>
          <w:rFonts w:ascii="Segoe UI" w:hAnsi="Segoe UI" w:cs="Segoe UI"/>
        </w:rPr>
        <w:t>Corporación de Asistencia Ju</w:t>
      </w:r>
      <w:r w:rsidR="00960EC9">
        <w:rPr>
          <w:rFonts w:ascii="Segoe UI" w:hAnsi="Segoe UI" w:cs="Segoe UI"/>
        </w:rPr>
        <w:t>dicial</w:t>
      </w:r>
      <w:r w:rsidRPr="0047497B">
        <w:rPr>
          <w:rFonts w:ascii="Segoe UI" w:hAnsi="Segoe UI" w:cs="Segoe UI"/>
        </w:rPr>
        <w:t>, dentro de las materias que son de su competencia</w:t>
      </w:r>
    </w:p>
    <w:p w14:paraId="6A2C8731" w14:textId="77777777" w:rsidR="00162252" w:rsidRPr="0047497B" w:rsidRDefault="007251E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hAnsi="Segoe UI" w:cs="Segoe UI"/>
        </w:rPr>
        <w:t>Representación legal a poblaciones en riesgo:</w:t>
      </w:r>
      <w:r w:rsidRPr="0047497B">
        <w:rPr>
          <w:rFonts w:ascii="Segoe UI" w:hAnsi="Segoe UI" w:cs="Segoe UI"/>
        </w:rPr>
        <w:t xml:space="preserve"> Abogados y organizaciones que trabajan para garantizar el acceso a la justicia de p</w:t>
      </w:r>
      <w:r w:rsidR="00CF6BEE">
        <w:rPr>
          <w:rFonts w:ascii="Segoe UI" w:hAnsi="Segoe UI" w:cs="Segoe UI"/>
        </w:rPr>
        <w:t xml:space="preserve">ersonas vulnerables, como los </w:t>
      </w:r>
      <w:r w:rsidRPr="0047497B">
        <w:rPr>
          <w:rFonts w:ascii="Segoe UI" w:hAnsi="Segoe UI" w:cs="Segoe UI"/>
        </w:rPr>
        <w:t>migrantes, los refugiados, y las personas sin hogar. Por ejemplo</w:t>
      </w:r>
      <w:r w:rsidR="00CF6BEE">
        <w:rPr>
          <w:rFonts w:ascii="Segoe UI" w:hAnsi="Segoe UI" w:cs="Segoe UI"/>
        </w:rPr>
        <w:t>: el Servicio Jesuita de M</w:t>
      </w:r>
      <w:r w:rsidRPr="0047497B">
        <w:rPr>
          <w:rFonts w:ascii="Segoe UI" w:hAnsi="Segoe UI" w:cs="Segoe UI"/>
        </w:rPr>
        <w:t>igrantes el cual tiene por objeto promover y proteger la dignidad y los derechos de las personas que migran a Chile</w:t>
      </w:r>
      <w:r w:rsidR="00CF6BEE">
        <w:rPr>
          <w:rFonts w:ascii="Segoe UI" w:hAnsi="Segoe UI" w:cs="Segoe UI"/>
        </w:rPr>
        <w:t>,</w:t>
      </w:r>
      <w:r w:rsidRPr="0047497B">
        <w:rPr>
          <w:rFonts w:ascii="Segoe UI" w:hAnsi="Segoe UI" w:cs="Segoe UI"/>
        </w:rPr>
        <w:t xml:space="preserve"> acompañando</w:t>
      </w:r>
      <w:r w:rsidR="00162252" w:rsidRPr="0047497B">
        <w:rPr>
          <w:rFonts w:ascii="Segoe UI" w:hAnsi="Segoe UI" w:cs="Segoe UI"/>
        </w:rPr>
        <w:t xml:space="preserve"> su proceso de inclusión social.</w:t>
      </w:r>
    </w:p>
    <w:p w14:paraId="6A2C8732" w14:textId="77777777" w:rsidR="007251EF" w:rsidRPr="0047497B" w:rsidRDefault="00162252"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47497B">
        <w:rPr>
          <w:rFonts w:ascii="Segoe UI" w:hAnsi="Segoe UI" w:cs="Segoe UI"/>
        </w:rPr>
        <w:t>P</w:t>
      </w:r>
      <w:r w:rsidR="007251EF" w:rsidRPr="00CF6BEE">
        <w:rPr>
          <w:rFonts w:ascii="Segoe UI" w:hAnsi="Segoe UI" w:cs="Segoe UI"/>
        </w:rPr>
        <w:t>rivilegio de pobreza</w:t>
      </w:r>
      <w:r w:rsidRPr="00CF6BEE">
        <w:rPr>
          <w:rFonts w:ascii="Segoe UI" w:hAnsi="Segoe UI" w:cs="Segoe UI"/>
        </w:rPr>
        <w:t>: B</w:t>
      </w:r>
      <w:r w:rsidR="007251EF" w:rsidRPr="00CF6BEE">
        <w:rPr>
          <w:rFonts w:ascii="Segoe UI" w:hAnsi="Segoe UI" w:cs="Segoe UI"/>
        </w:rPr>
        <w:t>eneficio que se otorga a ciertas personas para ser servidas gratuitamente por los funcionarios y abogados encargados de defender a los pobres. Este privilegio permite a los litigantes ser servidos gratuitamente por el abogado designado</w:t>
      </w:r>
      <w:r w:rsidR="007251EF" w:rsidRPr="0047497B">
        <w:rPr>
          <w:rFonts w:ascii="Segoe UI" w:eastAsia="Calibri" w:hAnsi="Segoe UI" w:cs="Segoe UI"/>
        </w:rPr>
        <w:t>, salvo que el litigante pobre obtuviere ganancias del juicio, en cuyo caso deberá destinar la décima parte del valor líquido para el pago de honorarios y derechos; tampoco serán condenados al pago de costas, con excepción de los litigantes que hayan obrado temeraria o maliciosamente.</w:t>
      </w:r>
    </w:p>
    <w:p w14:paraId="6A2C8733" w14:textId="77777777" w:rsidR="007251EF" w:rsidRPr="0047497B" w:rsidRDefault="007251EF" w:rsidP="00C54D28">
      <w:pPr>
        <w:shd w:val="clear" w:color="auto" w:fill="FFFFFF"/>
        <w:tabs>
          <w:tab w:val="left" w:pos="142"/>
        </w:tabs>
        <w:spacing w:before="120" w:after="120" w:line="240" w:lineRule="auto"/>
        <w:jc w:val="both"/>
        <w:rPr>
          <w:rFonts w:ascii="Segoe UI" w:hAnsi="Segoe UI" w:cs="Segoe UI"/>
          <w:bCs/>
          <w:i/>
        </w:rPr>
      </w:pPr>
      <w:r w:rsidRPr="0047497B">
        <w:rPr>
          <w:rFonts w:ascii="Segoe UI" w:hAnsi="Segoe UI" w:cs="Segoe UI"/>
          <w:bCs/>
          <w:i/>
        </w:rPr>
        <w:t>A nivel internacional:</w:t>
      </w:r>
    </w:p>
    <w:p w14:paraId="6A2C8734" w14:textId="77777777" w:rsidR="007251EF" w:rsidRPr="00CF6BEE" w:rsidRDefault="007251EF" w:rsidP="00C54D28">
      <w:pPr>
        <w:pStyle w:val="ListParagraph"/>
        <w:numPr>
          <w:ilvl w:val="0"/>
          <w:numId w:val="26"/>
        </w:numPr>
        <w:tabs>
          <w:tab w:val="left" w:pos="142"/>
        </w:tabs>
        <w:spacing w:before="120" w:after="120" w:line="240" w:lineRule="auto"/>
        <w:contextualSpacing w:val="0"/>
        <w:jc w:val="both"/>
        <w:rPr>
          <w:rFonts w:ascii="Segoe UI" w:eastAsia="Calibri" w:hAnsi="Segoe UI" w:cs="Segoe UI"/>
        </w:rPr>
      </w:pPr>
      <w:r w:rsidRPr="0047497B">
        <w:rPr>
          <w:rFonts w:ascii="Segoe UI" w:hAnsi="Segoe UI" w:cs="Segoe UI"/>
          <w:bCs/>
        </w:rPr>
        <w:t>Comisiones internacionales:</w:t>
      </w:r>
      <w:r w:rsidRPr="0047497B">
        <w:rPr>
          <w:rFonts w:ascii="Segoe UI" w:hAnsi="Segoe UI" w:cs="Segoe UI"/>
        </w:rPr>
        <w:t xml:space="preserve"> Organizaciones intergubernamentales encargadas de la promoción y </w:t>
      </w:r>
      <w:r w:rsidRPr="00CF6BEE">
        <w:rPr>
          <w:rFonts w:ascii="Segoe UI" w:eastAsia="Calibri" w:hAnsi="Segoe UI" w:cs="Segoe UI"/>
        </w:rPr>
        <w:t xml:space="preserve">protección de los derechos humanos a nivel internacional, </w:t>
      </w:r>
      <w:r w:rsidRPr="00CF6BEE">
        <w:rPr>
          <w:rFonts w:ascii="Segoe UI" w:eastAsia="Calibri" w:hAnsi="Segoe UI" w:cs="Segoe UI"/>
        </w:rPr>
        <w:lastRenderedPageBreak/>
        <w:t>como la Comisión Interamericana de Derechos Humanos y la Oficina del Alto Comisionado de las Naciones Unidas para los Derechos Humanos.</w:t>
      </w:r>
    </w:p>
    <w:p w14:paraId="6A2C8735" w14:textId="77777777" w:rsidR="007251EF" w:rsidRPr="00CF6BEE" w:rsidRDefault="007251EF" w:rsidP="00C54D28">
      <w:pPr>
        <w:pStyle w:val="ListParagraph"/>
        <w:numPr>
          <w:ilvl w:val="0"/>
          <w:numId w:val="26"/>
        </w:numPr>
        <w:tabs>
          <w:tab w:val="left" w:pos="142"/>
        </w:tabs>
        <w:spacing w:before="120" w:after="120" w:line="240" w:lineRule="auto"/>
        <w:contextualSpacing w:val="0"/>
        <w:jc w:val="both"/>
        <w:rPr>
          <w:rFonts w:ascii="Segoe UI" w:eastAsia="Calibri" w:hAnsi="Segoe UI" w:cs="Segoe UI"/>
        </w:rPr>
      </w:pPr>
      <w:r w:rsidRPr="00CF6BEE">
        <w:rPr>
          <w:rFonts w:ascii="Segoe UI" w:eastAsia="Calibri" w:hAnsi="Segoe UI" w:cs="Segoe UI"/>
        </w:rPr>
        <w:t>Tribunales y organismos de resolución de disputas internacionales: Organizaciones creadas para resolver disputas internacionales, como la Corte Internacional de Justicia de las Naciones Unidas y el Centro Internacional de Arreglo de Diferencias Relativas a Inversiones.</w:t>
      </w:r>
    </w:p>
    <w:p w14:paraId="6A2C8736" w14:textId="77777777" w:rsidR="007251EF" w:rsidRPr="0047497B" w:rsidRDefault="007251EF"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CF6BEE">
        <w:rPr>
          <w:rFonts w:ascii="Segoe UI" w:eastAsia="Calibri" w:hAnsi="Segoe UI" w:cs="Segoe UI"/>
        </w:rPr>
        <w:t>Redes de abogados internacionales: Grupos de abogados y defensores legales que trabajan juntos en defensa de los derechos</w:t>
      </w:r>
      <w:r w:rsidRPr="0047497B">
        <w:rPr>
          <w:rFonts w:ascii="Segoe UI" w:hAnsi="Segoe UI" w:cs="Segoe UI"/>
        </w:rPr>
        <w:t xml:space="preserve"> humanos y la justicia social a nivel internacional, como la International </w:t>
      </w:r>
      <w:r w:rsidRPr="00B27205">
        <w:rPr>
          <w:rFonts w:ascii="Segoe UI" w:hAnsi="Segoe UI" w:cs="Segoe UI"/>
          <w:i/>
        </w:rPr>
        <w:t>Association of Women Lawyers</w:t>
      </w:r>
      <w:r w:rsidRPr="0047497B">
        <w:rPr>
          <w:rFonts w:ascii="Segoe UI" w:hAnsi="Segoe UI" w:cs="Segoe UI"/>
        </w:rPr>
        <w:t xml:space="preserve"> y la </w:t>
      </w:r>
      <w:r w:rsidRPr="00B27205">
        <w:rPr>
          <w:rFonts w:ascii="Segoe UI" w:hAnsi="Segoe UI" w:cs="Segoe UI"/>
          <w:i/>
        </w:rPr>
        <w:t>International Commission of Jurists</w:t>
      </w:r>
      <w:r w:rsidRPr="0047497B">
        <w:rPr>
          <w:rFonts w:ascii="Segoe UI" w:hAnsi="Segoe UI" w:cs="Segoe UI"/>
        </w:rPr>
        <w:t>.</w:t>
      </w:r>
    </w:p>
    <w:p w14:paraId="6A2C8737" w14:textId="77777777" w:rsidR="001434AD" w:rsidRDefault="001434AD" w:rsidP="00C54D28">
      <w:pPr>
        <w:pStyle w:val="ListParagraph"/>
        <w:numPr>
          <w:ilvl w:val="0"/>
          <w:numId w:val="27"/>
        </w:numPr>
        <w:tabs>
          <w:tab w:val="left" w:pos="142"/>
        </w:tabs>
        <w:spacing w:before="120" w:after="120" w:line="240" w:lineRule="auto"/>
        <w:contextualSpacing w:val="0"/>
        <w:jc w:val="both"/>
        <w:rPr>
          <w:rFonts w:ascii="Segoe UI" w:hAnsi="Segoe UI" w:cs="Segoe UI"/>
          <w:b/>
        </w:rPr>
      </w:pPr>
      <w:r w:rsidRPr="0047497B">
        <w:rPr>
          <w:rFonts w:ascii="Segoe UI" w:hAnsi="Segoe UI" w:cs="Segoe UI"/>
          <w:b/>
        </w:rPr>
        <w:t>Enfoques prometedores para la asociación entre abogados y asistentes jurídicos y otros defensores de la justicia base</w:t>
      </w:r>
    </w:p>
    <w:p w14:paraId="6A2C8738" w14:textId="77777777" w:rsidR="001434AD" w:rsidRPr="008E2FC2" w:rsidRDefault="00960EC9"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u w:val="single"/>
        </w:rPr>
      </w:pPr>
      <w:r>
        <w:rPr>
          <w:rFonts w:ascii="Segoe UI" w:hAnsi="Segoe UI" w:cs="Segoe UI"/>
          <w:bCs/>
          <w:u w:val="single"/>
        </w:rPr>
        <w:t>Asistencia j</w:t>
      </w:r>
      <w:r w:rsidR="001434AD" w:rsidRPr="008E2FC2">
        <w:rPr>
          <w:rFonts w:ascii="Segoe UI" w:hAnsi="Segoe UI" w:cs="Segoe UI"/>
          <w:bCs/>
          <w:u w:val="single"/>
        </w:rPr>
        <w:t xml:space="preserve">urídica </w:t>
      </w:r>
      <w:r w:rsidR="003B4EE5" w:rsidRPr="008E2FC2">
        <w:rPr>
          <w:rFonts w:ascii="Segoe UI" w:hAnsi="Segoe UI" w:cs="Segoe UI"/>
          <w:bCs/>
          <w:u w:val="single"/>
        </w:rPr>
        <w:t>y judicial gratuita</w:t>
      </w:r>
    </w:p>
    <w:p w14:paraId="6A2C8739" w14:textId="77777777" w:rsidR="00211EC3" w:rsidRDefault="001434AD" w:rsidP="00C54D28">
      <w:pPr>
        <w:tabs>
          <w:tab w:val="left" w:pos="142"/>
        </w:tabs>
        <w:spacing w:before="120" w:after="120" w:line="240" w:lineRule="auto"/>
        <w:jc w:val="both"/>
        <w:rPr>
          <w:rFonts w:ascii="Segoe UI" w:hAnsi="Segoe UI" w:cs="Segoe UI"/>
        </w:rPr>
      </w:pPr>
      <w:r w:rsidRPr="0047497B">
        <w:rPr>
          <w:rFonts w:ascii="Segoe UI" w:hAnsi="Segoe UI" w:cs="Segoe UI"/>
        </w:rPr>
        <w:t xml:space="preserve">A nivel institucional, </w:t>
      </w:r>
      <w:r w:rsidR="00960EC9">
        <w:rPr>
          <w:rFonts w:ascii="Segoe UI" w:hAnsi="Segoe UI" w:cs="Segoe UI"/>
        </w:rPr>
        <w:t xml:space="preserve">existen diversos organismos que entregan asistencia jurídica gratuita, incluyendo </w:t>
      </w:r>
      <w:r w:rsidRPr="0047497B">
        <w:rPr>
          <w:rFonts w:ascii="Segoe UI" w:hAnsi="Segoe UI" w:cs="Segoe UI"/>
        </w:rPr>
        <w:t>la Defensoría Penal Pública, el Ministerio Publico, la Corporación de Asistencia Judicial (</w:t>
      </w:r>
      <w:r w:rsidR="00960EC9">
        <w:rPr>
          <w:rFonts w:ascii="Segoe UI" w:hAnsi="Segoe UI" w:cs="Segoe UI"/>
        </w:rPr>
        <w:t>“</w:t>
      </w:r>
      <w:r w:rsidRPr="0047497B">
        <w:rPr>
          <w:rFonts w:ascii="Segoe UI" w:hAnsi="Segoe UI" w:cs="Segoe UI"/>
        </w:rPr>
        <w:t>CAJ</w:t>
      </w:r>
      <w:r w:rsidR="00960EC9">
        <w:rPr>
          <w:rFonts w:ascii="Segoe UI" w:hAnsi="Segoe UI" w:cs="Segoe UI"/>
        </w:rPr>
        <w:t>”</w:t>
      </w:r>
      <w:r w:rsidRPr="0047497B">
        <w:rPr>
          <w:rFonts w:ascii="Segoe UI" w:hAnsi="Segoe UI" w:cs="Segoe UI"/>
        </w:rPr>
        <w:t>), los aboga</w:t>
      </w:r>
      <w:r w:rsidR="00960EC9">
        <w:rPr>
          <w:rFonts w:ascii="Segoe UI" w:hAnsi="Segoe UI" w:cs="Segoe UI"/>
        </w:rPr>
        <w:t>dos de turno, los servicios de medicación familiar y el Programa de A</w:t>
      </w:r>
      <w:r w:rsidRPr="0047497B">
        <w:rPr>
          <w:rFonts w:ascii="Segoe UI" w:hAnsi="Segoe UI" w:cs="Segoe UI"/>
        </w:rPr>
        <w:t xml:space="preserve">poyo a </w:t>
      </w:r>
      <w:r w:rsidR="00960EC9">
        <w:rPr>
          <w:rFonts w:ascii="Segoe UI" w:hAnsi="Segoe UI" w:cs="Segoe UI"/>
        </w:rPr>
        <w:t>V</w:t>
      </w:r>
      <w:r w:rsidRPr="0047497B">
        <w:rPr>
          <w:rFonts w:ascii="Segoe UI" w:hAnsi="Segoe UI" w:cs="Segoe UI"/>
        </w:rPr>
        <w:t>íctimas</w:t>
      </w:r>
      <w:r w:rsidR="00960EC9">
        <w:rPr>
          <w:rFonts w:ascii="Segoe UI" w:hAnsi="Segoe UI" w:cs="Segoe UI"/>
        </w:rPr>
        <w:t xml:space="preserve"> de la Subsecretaría de Prevención del Delito</w:t>
      </w:r>
      <w:r w:rsidRPr="0047497B">
        <w:rPr>
          <w:rFonts w:ascii="Segoe UI" w:hAnsi="Segoe UI" w:cs="Segoe UI"/>
        </w:rPr>
        <w:t>.</w:t>
      </w:r>
      <w:r w:rsidR="00211EC3">
        <w:rPr>
          <w:rFonts w:ascii="Segoe UI" w:hAnsi="Segoe UI" w:cs="Segoe UI"/>
        </w:rPr>
        <w:t xml:space="preserve"> </w:t>
      </w:r>
      <w:r w:rsidR="00D57B35">
        <w:rPr>
          <w:rFonts w:ascii="Segoe UI" w:hAnsi="Segoe UI" w:cs="Segoe UI"/>
        </w:rPr>
        <w:t xml:space="preserve"> </w:t>
      </w:r>
      <w:r w:rsidR="00211EC3">
        <w:rPr>
          <w:rFonts w:ascii="Segoe UI" w:hAnsi="Segoe UI" w:cs="Segoe UI"/>
        </w:rPr>
        <w:t>A modo general, s</w:t>
      </w:r>
      <w:r w:rsidRPr="0047497B">
        <w:rPr>
          <w:rFonts w:ascii="Segoe UI" w:hAnsi="Segoe UI" w:cs="Segoe UI"/>
        </w:rPr>
        <w:t>on aquellas instituciones encargadas de proporcionar dichos servicios de manera gratuita</w:t>
      </w:r>
      <w:r w:rsidR="00211EC3">
        <w:rPr>
          <w:rFonts w:ascii="Segoe UI" w:hAnsi="Segoe UI" w:cs="Segoe UI"/>
        </w:rPr>
        <w:t>.</w:t>
      </w:r>
    </w:p>
    <w:p w14:paraId="6A2C873A" w14:textId="77777777" w:rsidR="00AC3CE0" w:rsidRDefault="00AC3CE0" w:rsidP="00C54D28">
      <w:pPr>
        <w:tabs>
          <w:tab w:val="left" w:pos="142"/>
        </w:tabs>
        <w:autoSpaceDE w:val="0"/>
        <w:autoSpaceDN w:val="0"/>
        <w:adjustRightInd w:val="0"/>
        <w:spacing w:before="120" w:after="120" w:line="240" w:lineRule="auto"/>
        <w:jc w:val="both"/>
        <w:rPr>
          <w:rFonts w:ascii="Segoe UI" w:hAnsi="Segoe UI" w:cs="Segoe UI"/>
        </w:rPr>
      </w:pPr>
      <w:r w:rsidRPr="00AC3CE0">
        <w:rPr>
          <w:rFonts w:ascii="Segoe UI" w:hAnsi="Segoe UI" w:cs="Segoe UI"/>
        </w:rPr>
        <w:t xml:space="preserve">El trabajo de las </w:t>
      </w:r>
      <w:r w:rsidRPr="00D57B35">
        <w:rPr>
          <w:rFonts w:ascii="Segoe UI" w:hAnsi="Segoe UI" w:cs="Segoe UI"/>
          <w:b/>
        </w:rPr>
        <w:t>Corporaciones de Asistencia Judicial</w:t>
      </w:r>
      <w:r w:rsidRPr="00AC3CE0">
        <w:rPr>
          <w:rFonts w:ascii="Segoe UI" w:hAnsi="Segoe UI" w:cs="Segoe UI"/>
        </w:rPr>
        <w:t xml:space="preserve"> está orientado a</w:t>
      </w:r>
      <w:r w:rsidR="00960EC9">
        <w:rPr>
          <w:rFonts w:ascii="Segoe UI" w:hAnsi="Segoe UI" w:cs="Segoe UI"/>
        </w:rPr>
        <w:t>l</w:t>
      </w:r>
      <w:r w:rsidRPr="00AC3CE0">
        <w:rPr>
          <w:rFonts w:ascii="Segoe UI" w:hAnsi="Segoe UI" w:cs="Segoe UI"/>
        </w:rPr>
        <w:t xml:space="preserve"> objetivo</w:t>
      </w:r>
      <w:r w:rsidRPr="00AC3CE0">
        <w:rPr>
          <w:rFonts w:ascii="Segoe UI" w:hAnsi="Segoe UI" w:cs="Segoe UI"/>
          <w:bCs/>
        </w:rPr>
        <w:t xml:space="preserve"> de promover el estado de derecho en los planos nacional e internacional y garantizar la igualdad de acceso a la justicia para todos</w:t>
      </w:r>
      <w:r w:rsidRPr="00AC3CE0">
        <w:rPr>
          <w:rFonts w:ascii="Segoe UI" w:hAnsi="Segoe UI" w:cs="Segoe UI"/>
        </w:rPr>
        <w:t xml:space="preserve">. Garantizar el acceso a la justicia tiene como consecuencia el fortalecimiento del Estado de Derecho y una convivencia más pacífica, pues los conflictos logran canalizarse a través de mecanismos preestablecidos, robusteciendo instituciones y proveyendo de especial asistencia a los grupos vulnerables de la población. </w:t>
      </w:r>
    </w:p>
    <w:p w14:paraId="6A2C873B" w14:textId="77777777" w:rsidR="00B6469B" w:rsidRDefault="00211EC3" w:rsidP="00C54D28">
      <w:pPr>
        <w:tabs>
          <w:tab w:val="left" w:pos="142"/>
        </w:tabs>
        <w:spacing w:before="120" w:after="120" w:line="240" w:lineRule="auto"/>
        <w:jc w:val="both"/>
        <w:rPr>
          <w:rFonts w:ascii="Segoe UI" w:hAnsi="Segoe UI" w:cs="Segoe UI"/>
        </w:rPr>
      </w:pPr>
      <w:r>
        <w:rPr>
          <w:rFonts w:ascii="Segoe UI" w:hAnsi="Segoe UI" w:cs="Segoe UI"/>
        </w:rPr>
        <w:t>L</w:t>
      </w:r>
      <w:r w:rsidR="001434AD" w:rsidRPr="0047497B">
        <w:rPr>
          <w:rFonts w:ascii="Segoe UI" w:hAnsi="Segoe UI" w:cs="Segoe UI"/>
        </w:rPr>
        <w:t>as Corporaciones de Asiste</w:t>
      </w:r>
      <w:r>
        <w:rPr>
          <w:rFonts w:ascii="Segoe UI" w:hAnsi="Segoe UI" w:cs="Segoe UI"/>
        </w:rPr>
        <w:t xml:space="preserve">ncia Judicial a nivel nacional </w:t>
      </w:r>
      <w:r w:rsidR="001434AD" w:rsidRPr="0047497B">
        <w:rPr>
          <w:rFonts w:ascii="Segoe UI" w:hAnsi="Segoe UI" w:cs="Segoe UI"/>
        </w:rPr>
        <w:t>otor</w:t>
      </w:r>
      <w:r w:rsidR="00960EC9">
        <w:rPr>
          <w:rFonts w:ascii="Segoe UI" w:hAnsi="Segoe UI" w:cs="Segoe UI"/>
        </w:rPr>
        <w:t>ga asistencia jurídica</w:t>
      </w:r>
      <w:r>
        <w:rPr>
          <w:rFonts w:ascii="Segoe UI" w:hAnsi="Segoe UI" w:cs="Segoe UI"/>
        </w:rPr>
        <w:t xml:space="preserve"> a personas </w:t>
      </w:r>
      <w:r w:rsidR="001434AD" w:rsidRPr="0047497B">
        <w:rPr>
          <w:rFonts w:ascii="Segoe UI" w:hAnsi="Segoe UI" w:cs="Segoe UI"/>
        </w:rPr>
        <w:t>de mayor vulnerabilidad ya sea por razón de edad, género, estado físico o mental, o por circunstancias sociales, eco</w:t>
      </w:r>
      <w:r w:rsidR="008E2FC2">
        <w:rPr>
          <w:rFonts w:ascii="Segoe UI" w:hAnsi="Segoe UI" w:cs="Segoe UI"/>
        </w:rPr>
        <w:t>nómicas, étnicas y/o culturales</w:t>
      </w:r>
      <w:r w:rsidR="001434AD" w:rsidRPr="0047497B">
        <w:rPr>
          <w:rFonts w:ascii="Segoe UI" w:hAnsi="Segoe UI" w:cs="Segoe UI"/>
        </w:rPr>
        <w:t xml:space="preserve"> y que encuentran especiales dificultades para ejercitar con plenitud ante el sistema de justicia los derechos reconocidos por el ordenamiento jurídico. </w:t>
      </w:r>
      <w:r w:rsidR="00B6469B">
        <w:rPr>
          <w:rFonts w:ascii="Segoe UI" w:hAnsi="Segoe UI" w:cs="Segoe UI"/>
        </w:rPr>
        <w:t>C</w:t>
      </w:r>
      <w:r w:rsidR="00B6469B" w:rsidRPr="0047497B">
        <w:rPr>
          <w:rFonts w:ascii="Segoe UI" w:hAnsi="Segoe UI" w:cs="Segoe UI"/>
        </w:rPr>
        <w:t>uenta con una oferta de representación jurídica especializada, dirigida a niños, niñas y adolescentes</w:t>
      </w:r>
      <w:r w:rsidR="00B6469B">
        <w:rPr>
          <w:rFonts w:ascii="Segoe UI" w:hAnsi="Segoe UI" w:cs="Segoe UI"/>
        </w:rPr>
        <w:t xml:space="preserve">, entre los cuales se encuentra el Programa Mi Abogado, que en el año 2022, </w:t>
      </w:r>
      <w:r w:rsidR="00B6469B" w:rsidRPr="00D43EED">
        <w:rPr>
          <w:rFonts w:ascii="Segoe UI" w:hAnsi="Segoe UI" w:cs="Segoe UI"/>
        </w:rPr>
        <w:t>atendió a 26.544 niños, niñas y adolescentes, tanto en acogimiento residencial como en sistemas de cuidados alternativos</w:t>
      </w:r>
      <w:r w:rsidR="00B6469B">
        <w:rPr>
          <w:rStyle w:val="FootnoteReference"/>
          <w:rFonts w:ascii="Segoe UI" w:hAnsi="Segoe UI" w:cs="Segoe UI"/>
        </w:rPr>
        <w:footnoteReference w:id="1"/>
      </w:r>
      <w:r w:rsidR="00B6469B" w:rsidRPr="00D43EED">
        <w:rPr>
          <w:rFonts w:ascii="Segoe UI" w:hAnsi="Segoe UI" w:cs="Segoe UI"/>
        </w:rPr>
        <w:t xml:space="preserve">. </w:t>
      </w:r>
    </w:p>
    <w:p w14:paraId="6A2C873C" w14:textId="77777777" w:rsidR="00AC3CE0" w:rsidRPr="0047497B" w:rsidRDefault="00AC3CE0" w:rsidP="00C54D28">
      <w:pPr>
        <w:tabs>
          <w:tab w:val="left" w:pos="142"/>
        </w:tabs>
        <w:spacing w:before="120" w:after="120" w:line="240" w:lineRule="auto"/>
        <w:jc w:val="both"/>
        <w:rPr>
          <w:rFonts w:ascii="Segoe UI" w:hAnsi="Segoe UI" w:cs="Segoe UI"/>
        </w:rPr>
      </w:pPr>
      <w:r w:rsidRPr="0047497B">
        <w:rPr>
          <w:rFonts w:ascii="Segoe UI" w:hAnsi="Segoe UI" w:cs="Segoe UI"/>
        </w:rPr>
        <w:lastRenderedPageBreak/>
        <w:t xml:space="preserve">Durante 2022, las Corporaciones de Asistencia Judicial atendieron un total de 542.783 personas en los distintos centros de atención, </w:t>
      </w:r>
      <w:r w:rsidR="00C56226">
        <w:rPr>
          <w:rFonts w:ascii="Segoe UI" w:hAnsi="Segoe UI" w:cs="Segoe UI"/>
        </w:rPr>
        <w:t xml:space="preserve">(65,4% </w:t>
      </w:r>
      <w:r w:rsidRPr="0047497B">
        <w:rPr>
          <w:rFonts w:ascii="Segoe UI" w:hAnsi="Segoe UI" w:cs="Segoe UI"/>
        </w:rPr>
        <w:t xml:space="preserve"> mujeres y un 34,6% </w:t>
      </w:r>
      <w:r w:rsidR="00C56226">
        <w:rPr>
          <w:rFonts w:ascii="Segoe UI" w:hAnsi="Segoe UI" w:cs="Segoe UI"/>
        </w:rPr>
        <w:t>hombres)</w:t>
      </w:r>
      <w:r w:rsidR="00C56226">
        <w:rPr>
          <w:rStyle w:val="FootnoteReference"/>
          <w:rFonts w:ascii="Segoe UI" w:hAnsi="Segoe UI" w:cs="Segoe UI"/>
        </w:rPr>
        <w:footnoteReference w:id="2"/>
      </w:r>
      <w:r w:rsidRPr="0047497B">
        <w:rPr>
          <w:rFonts w:ascii="Segoe UI" w:hAnsi="Segoe UI" w:cs="Segoe UI"/>
        </w:rPr>
        <w:t xml:space="preserve"> </w:t>
      </w:r>
      <w:r w:rsidR="00C56226">
        <w:rPr>
          <w:rFonts w:ascii="Segoe UI" w:hAnsi="Segoe UI" w:cs="Segoe UI"/>
        </w:rPr>
        <w:t>y cuentan con las siguientes líneas de acción</w:t>
      </w:r>
    </w:p>
    <w:p w14:paraId="6A2C873D" w14:textId="77777777" w:rsidR="00C56226" w:rsidRPr="00960EC9" w:rsidRDefault="00AC3CE0" w:rsidP="00C54D28">
      <w:pPr>
        <w:pStyle w:val="ListParagraph"/>
        <w:numPr>
          <w:ilvl w:val="0"/>
          <w:numId w:val="26"/>
        </w:numPr>
        <w:tabs>
          <w:tab w:val="left" w:pos="142"/>
        </w:tabs>
        <w:spacing w:before="120" w:after="120" w:line="240" w:lineRule="auto"/>
        <w:contextualSpacing w:val="0"/>
        <w:jc w:val="both"/>
        <w:rPr>
          <w:rFonts w:ascii="Segoe UI" w:eastAsia="Calibri" w:hAnsi="Segoe UI" w:cs="Segoe UI"/>
        </w:rPr>
      </w:pPr>
      <w:r w:rsidRPr="00C56226">
        <w:rPr>
          <w:rFonts w:ascii="Segoe UI" w:hAnsi="Segoe UI" w:cs="Segoe UI"/>
        </w:rPr>
        <w:t>Orientac</w:t>
      </w:r>
      <w:r w:rsidR="00C56226">
        <w:rPr>
          <w:rFonts w:ascii="Segoe UI" w:hAnsi="Segoe UI" w:cs="Segoe UI"/>
        </w:rPr>
        <w:t xml:space="preserve">ión e información en Derecho: A </w:t>
      </w:r>
      <w:r w:rsidRPr="00C56226">
        <w:rPr>
          <w:rFonts w:ascii="Segoe UI" w:hAnsi="Segoe UI" w:cs="Segoe UI"/>
        </w:rPr>
        <w:t>nivel de centros jurídicos, centros especializados</w:t>
      </w:r>
      <w:r w:rsidRPr="00960EC9">
        <w:rPr>
          <w:rFonts w:ascii="Segoe UI" w:eastAsia="Calibri" w:hAnsi="Segoe UI" w:cs="Segoe UI"/>
        </w:rPr>
        <w:t>, oficinas móviles y uni</w:t>
      </w:r>
      <w:r w:rsidR="00C56226" w:rsidRPr="00960EC9">
        <w:rPr>
          <w:rFonts w:ascii="Segoe UI" w:eastAsia="Calibri" w:hAnsi="Segoe UI" w:cs="Segoe UI"/>
        </w:rPr>
        <w:t>dades de atención no presencial. E</w:t>
      </w:r>
      <w:r w:rsidRPr="00960EC9">
        <w:rPr>
          <w:rFonts w:ascii="Segoe UI" w:eastAsia="Calibri" w:hAnsi="Segoe UI" w:cs="Segoe UI"/>
        </w:rPr>
        <w:t xml:space="preserve">n 2022 ingresó a esta primera línea de atención un total de 763.182 casos, y durante el primer semestre de 2023 el número de casos ingresados asciende a 405.430. </w:t>
      </w:r>
    </w:p>
    <w:p w14:paraId="6A2C873E" w14:textId="77777777" w:rsidR="00AC3CE0" w:rsidRPr="00960EC9" w:rsidRDefault="00AC3CE0" w:rsidP="00C54D28">
      <w:pPr>
        <w:pStyle w:val="ListParagraph"/>
        <w:numPr>
          <w:ilvl w:val="0"/>
          <w:numId w:val="26"/>
        </w:numPr>
        <w:tabs>
          <w:tab w:val="left" w:pos="142"/>
        </w:tabs>
        <w:spacing w:before="120" w:after="120" w:line="240" w:lineRule="auto"/>
        <w:contextualSpacing w:val="0"/>
        <w:jc w:val="both"/>
        <w:rPr>
          <w:rFonts w:ascii="Segoe UI" w:eastAsia="Calibri" w:hAnsi="Segoe UI" w:cs="Segoe UI"/>
        </w:rPr>
      </w:pPr>
      <w:r w:rsidRPr="00960EC9">
        <w:rPr>
          <w:rFonts w:ascii="Segoe UI" w:eastAsia="Calibri" w:hAnsi="Segoe UI" w:cs="Segoe UI"/>
        </w:rPr>
        <w:t xml:space="preserve">Solución colaborativa de conflictos: </w:t>
      </w:r>
      <w:r w:rsidR="00C56226" w:rsidRPr="00960EC9">
        <w:rPr>
          <w:rFonts w:ascii="Segoe UI" w:eastAsia="Calibri" w:hAnsi="Segoe UI" w:cs="Segoe UI"/>
        </w:rPr>
        <w:t>E</w:t>
      </w:r>
      <w:r w:rsidR="00960EC9">
        <w:rPr>
          <w:rFonts w:ascii="Segoe UI" w:eastAsia="Calibri" w:hAnsi="Segoe UI" w:cs="Segoe UI"/>
        </w:rPr>
        <w:t>n 2022 registró a nivel nacional</w:t>
      </w:r>
      <w:r w:rsidRPr="00960EC9">
        <w:rPr>
          <w:rFonts w:ascii="Segoe UI" w:eastAsia="Calibri" w:hAnsi="Segoe UI" w:cs="Segoe UI"/>
        </w:rPr>
        <w:t xml:space="preserve"> un total de 10.250 casos ingresados, tanto a consultorios jurídicos como a los centros de mediación, y durante el primer semestre, 6.094. Los casos resueltos en 2022 evidencian que en el 65,1% se </w:t>
      </w:r>
      <w:r w:rsidR="00C56226" w:rsidRPr="00960EC9">
        <w:rPr>
          <w:rFonts w:ascii="Segoe UI" w:eastAsia="Calibri" w:hAnsi="Segoe UI" w:cs="Segoe UI"/>
        </w:rPr>
        <w:t xml:space="preserve">obtuvo </w:t>
      </w:r>
      <w:r w:rsidRPr="00960EC9">
        <w:rPr>
          <w:rFonts w:ascii="Segoe UI" w:eastAsia="Calibri" w:hAnsi="Segoe UI" w:cs="Segoe UI"/>
        </w:rPr>
        <w:t>un acuerdo por parte de los intervinientes, tendencia que se mantiene en el actual periodo.</w:t>
      </w:r>
    </w:p>
    <w:p w14:paraId="6A2C873F" w14:textId="77777777" w:rsidR="00DE7BA3" w:rsidRPr="00960EC9" w:rsidRDefault="00AC3CE0" w:rsidP="00C54D28">
      <w:pPr>
        <w:pStyle w:val="ListParagraph"/>
        <w:numPr>
          <w:ilvl w:val="0"/>
          <w:numId w:val="26"/>
        </w:numPr>
        <w:tabs>
          <w:tab w:val="left" w:pos="142"/>
        </w:tabs>
        <w:spacing w:before="120" w:after="120" w:line="240" w:lineRule="auto"/>
        <w:contextualSpacing w:val="0"/>
        <w:jc w:val="both"/>
        <w:rPr>
          <w:rFonts w:ascii="Segoe UI" w:eastAsia="Calibri" w:hAnsi="Segoe UI" w:cs="Segoe UI"/>
        </w:rPr>
      </w:pPr>
      <w:r w:rsidRPr="00960EC9">
        <w:rPr>
          <w:rFonts w:ascii="Segoe UI" w:eastAsia="Calibri" w:hAnsi="Segoe UI" w:cs="Segoe UI"/>
        </w:rPr>
        <w:t>Patrocin</w:t>
      </w:r>
      <w:r w:rsidR="00DE7BA3" w:rsidRPr="00960EC9">
        <w:rPr>
          <w:rFonts w:ascii="Segoe UI" w:eastAsia="Calibri" w:hAnsi="Segoe UI" w:cs="Segoe UI"/>
        </w:rPr>
        <w:t>io y representación en juicio: A</w:t>
      </w:r>
      <w:r w:rsidRPr="00960EC9">
        <w:rPr>
          <w:rFonts w:ascii="Segoe UI" w:eastAsia="Calibri" w:hAnsi="Segoe UI" w:cs="Segoe UI"/>
        </w:rPr>
        <w:t xml:space="preserve"> nivel nacional se ingresó a tribunales un total de 165.031</w:t>
      </w:r>
      <w:r w:rsidR="00DE7BA3" w:rsidRPr="00960EC9">
        <w:rPr>
          <w:rFonts w:ascii="Segoe UI" w:eastAsia="Calibri" w:hAnsi="Segoe UI" w:cs="Segoe UI"/>
        </w:rPr>
        <w:t xml:space="preserve"> causas</w:t>
      </w:r>
      <w:r w:rsidRPr="00960EC9">
        <w:rPr>
          <w:rFonts w:ascii="Segoe UI" w:eastAsia="Calibri" w:hAnsi="Segoe UI" w:cs="Segoe UI"/>
        </w:rPr>
        <w:t>, tanto por los consultorios jurídicos que asisten en conflictos de orden civil y de familia, como por las oficinas de defensa laboral. Las causas terminadas ascendieron a 142.796, de las cuales un 73% obtuvo un resultado favorable a los intereses alegados en juicio.</w:t>
      </w:r>
    </w:p>
    <w:p w14:paraId="6A2C8740" w14:textId="77777777" w:rsidR="0032787A" w:rsidRPr="00960EC9" w:rsidRDefault="00AC3CE0" w:rsidP="00C54D28">
      <w:pPr>
        <w:pStyle w:val="ListParagraph"/>
        <w:numPr>
          <w:ilvl w:val="0"/>
          <w:numId w:val="26"/>
        </w:numPr>
        <w:tabs>
          <w:tab w:val="left" w:pos="142"/>
        </w:tabs>
        <w:spacing w:before="120" w:after="120" w:line="240" w:lineRule="auto"/>
        <w:contextualSpacing w:val="0"/>
        <w:jc w:val="both"/>
        <w:rPr>
          <w:rFonts w:ascii="Segoe UI" w:eastAsia="Calibri" w:hAnsi="Segoe UI" w:cs="Segoe UI"/>
        </w:rPr>
      </w:pPr>
      <w:r w:rsidRPr="00960EC9">
        <w:rPr>
          <w:rFonts w:ascii="Segoe UI" w:eastAsia="Calibri" w:hAnsi="Segoe UI" w:cs="Segoe UI"/>
        </w:rPr>
        <w:t xml:space="preserve">Prevención de conflictos y promoción de derechos: </w:t>
      </w:r>
      <w:r w:rsidR="0032787A" w:rsidRPr="00960EC9">
        <w:rPr>
          <w:rFonts w:ascii="Segoe UI" w:eastAsia="Calibri" w:hAnsi="Segoe UI" w:cs="Segoe UI"/>
        </w:rPr>
        <w:t>C</w:t>
      </w:r>
      <w:r w:rsidRPr="00960EC9">
        <w:rPr>
          <w:rFonts w:ascii="Segoe UI" w:eastAsia="Calibri" w:hAnsi="Segoe UI" w:cs="Segoe UI"/>
        </w:rPr>
        <w:t>ontempla actividades dirigidas a la comunidad, como talleres, cursos, seminarios, programas radiales, etc. En 2022</w:t>
      </w:r>
      <w:r w:rsidR="00960EC9">
        <w:rPr>
          <w:rFonts w:ascii="Segoe UI" w:eastAsia="Calibri" w:hAnsi="Segoe UI" w:cs="Segoe UI"/>
        </w:rPr>
        <w:t>,</w:t>
      </w:r>
      <w:r w:rsidRPr="00960EC9">
        <w:rPr>
          <w:rFonts w:ascii="Segoe UI" w:eastAsia="Calibri" w:hAnsi="Segoe UI" w:cs="Segoe UI"/>
        </w:rPr>
        <w:t xml:space="preserve"> los centros jurídicos y especializados de las Corporaciones de Asistencia Judicial realizaron 3.244 actividades, en su mayoría en forma remota, y entre los meses de enero y junio, las acciones realizadas suman 1.679.</w:t>
      </w:r>
    </w:p>
    <w:p w14:paraId="6A2C8741" w14:textId="77777777" w:rsidR="002D1D1B" w:rsidRPr="00960EC9" w:rsidRDefault="00AC3CE0" w:rsidP="00C54D28">
      <w:pPr>
        <w:pStyle w:val="ListParagraph"/>
        <w:numPr>
          <w:ilvl w:val="0"/>
          <w:numId w:val="26"/>
        </w:numPr>
        <w:tabs>
          <w:tab w:val="left" w:pos="142"/>
        </w:tabs>
        <w:spacing w:before="120" w:after="120" w:line="240" w:lineRule="auto"/>
        <w:contextualSpacing w:val="0"/>
        <w:jc w:val="both"/>
        <w:rPr>
          <w:rFonts w:ascii="Segoe UI" w:eastAsia="Calibri" w:hAnsi="Segoe UI" w:cs="Segoe UI"/>
        </w:rPr>
      </w:pPr>
      <w:r w:rsidRPr="00960EC9">
        <w:rPr>
          <w:rFonts w:ascii="Segoe UI" w:eastAsia="Calibri" w:hAnsi="Segoe UI" w:cs="Segoe UI"/>
        </w:rPr>
        <w:t xml:space="preserve">Atención integral a víctimas de delitos violentos: </w:t>
      </w:r>
      <w:r w:rsidR="00E02330" w:rsidRPr="00960EC9">
        <w:rPr>
          <w:rFonts w:ascii="Segoe UI" w:eastAsia="Calibri" w:hAnsi="Segoe UI" w:cs="Segoe UI"/>
        </w:rPr>
        <w:t>S</w:t>
      </w:r>
      <w:r w:rsidRPr="00960EC9">
        <w:rPr>
          <w:rFonts w:ascii="Segoe UI" w:eastAsia="Calibri" w:hAnsi="Segoe UI" w:cs="Segoe UI"/>
        </w:rPr>
        <w:t xml:space="preserve">ervicio integral que contempla acompañamiento y reparación, además de representación judicial, y se brinda a través de los centros y unidades de atención integral a víctimas de delitos violentos. En tal sentido, en el año 2022 ingresaron a estos centros 4.508 personas, configurándose el ingreso de 2.324 casos con perfil de atención, los cuales dieron lugar a la presentación de 2.003 querellas y acciones judiciales. A su turno, durante el primer semestre de 2023 se registra el ingreso de 2.392 personas a los </w:t>
      </w:r>
      <w:r w:rsidR="00960EC9" w:rsidRPr="00960EC9">
        <w:rPr>
          <w:rFonts w:ascii="Segoe UI" w:eastAsia="Calibri" w:hAnsi="Segoe UI" w:cs="Segoe UI"/>
        </w:rPr>
        <w:t xml:space="preserve">Centro Atención a Víctimas de Delitos Violentos </w:t>
      </w:r>
      <w:r w:rsidR="00960EC9">
        <w:rPr>
          <w:rFonts w:ascii="Segoe UI" w:eastAsia="Calibri" w:hAnsi="Segoe UI" w:cs="Segoe UI"/>
        </w:rPr>
        <w:t>(“</w:t>
      </w:r>
      <w:r w:rsidRPr="00960EC9">
        <w:rPr>
          <w:rFonts w:ascii="Segoe UI" w:eastAsia="Calibri" w:hAnsi="Segoe UI" w:cs="Segoe UI"/>
        </w:rPr>
        <w:t>CAVI</w:t>
      </w:r>
      <w:r w:rsidR="00960EC9">
        <w:rPr>
          <w:rFonts w:ascii="Segoe UI" w:eastAsia="Calibri" w:hAnsi="Segoe UI" w:cs="Segoe UI"/>
        </w:rPr>
        <w:t>”)</w:t>
      </w:r>
      <w:r w:rsidRPr="00960EC9">
        <w:rPr>
          <w:rFonts w:ascii="Segoe UI" w:eastAsia="Calibri" w:hAnsi="Segoe UI" w:cs="Segoe UI"/>
        </w:rPr>
        <w:t>, presentándose 1.197 casos con perfil de atención, dando lugar a la presentación de 1.118 querellas y acciones judiciales.</w:t>
      </w:r>
    </w:p>
    <w:p w14:paraId="6A2C8742" w14:textId="77777777" w:rsidR="00AC3CE0" w:rsidRDefault="00AC3CE0" w:rsidP="00C54D28">
      <w:pPr>
        <w:pStyle w:val="ListParagraph"/>
        <w:numPr>
          <w:ilvl w:val="0"/>
          <w:numId w:val="26"/>
        </w:numPr>
        <w:tabs>
          <w:tab w:val="left" w:pos="142"/>
        </w:tabs>
        <w:spacing w:before="120" w:after="120" w:line="240" w:lineRule="auto"/>
        <w:contextualSpacing w:val="0"/>
        <w:jc w:val="both"/>
        <w:rPr>
          <w:rFonts w:ascii="Segoe UI" w:hAnsi="Segoe UI" w:cs="Segoe UI"/>
        </w:rPr>
      </w:pPr>
      <w:r w:rsidRPr="00960EC9">
        <w:rPr>
          <w:rFonts w:ascii="Segoe UI" w:eastAsia="Calibri" w:hAnsi="Segoe UI" w:cs="Segoe UI"/>
        </w:rPr>
        <w:t>Defensa Jurídica</w:t>
      </w:r>
      <w:r w:rsidR="00910BF2" w:rsidRPr="00960EC9">
        <w:rPr>
          <w:rFonts w:ascii="Segoe UI" w:eastAsia="Calibri" w:hAnsi="Segoe UI" w:cs="Segoe UI"/>
        </w:rPr>
        <w:t xml:space="preserve"> Integral de Adultos Mayores: A </w:t>
      </w:r>
      <w:r w:rsidRPr="00960EC9">
        <w:rPr>
          <w:rFonts w:ascii="Segoe UI" w:eastAsia="Calibri" w:hAnsi="Segoe UI" w:cs="Segoe UI"/>
        </w:rPr>
        <w:t>través de este servicio ejecutado por una dupla socio jurídica en cada región del país, en 2022 se atendió a un total de 12.550 personas mayores, y durante</w:t>
      </w:r>
      <w:r w:rsidRPr="002D1D1B">
        <w:rPr>
          <w:rFonts w:ascii="Segoe UI" w:hAnsi="Segoe UI" w:cs="Segoe UI"/>
        </w:rPr>
        <w:t xml:space="preserve"> el primer semestre de este año 5.038. Estas atenciones han dado origen al patrocinio de 5.</w:t>
      </w:r>
      <w:r w:rsidR="008E2FC2">
        <w:rPr>
          <w:rFonts w:ascii="Segoe UI" w:hAnsi="Segoe UI" w:cs="Segoe UI"/>
        </w:rPr>
        <w:t>190 acciones judiciales en 2022</w:t>
      </w:r>
      <w:r w:rsidRPr="002D1D1B">
        <w:rPr>
          <w:rFonts w:ascii="Segoe UI" w:hAnsi="Segoe UI" w:cs="Segoe UI"/>
        </w:rPr>
        <w:t xml:space="preserve"> y 2.343 en el primer semestre de 2023, las cuales en su mayoría corresponden a procesos tramitados en materia de violencia </w:t>
      </w:r>
      <w:r w:rsidRPr="002D1D1B">
        <w:rPr>
          <w:rFonts w:ascii="Segoe UI" w:hAnsi="Segoe UI" w:cs="Segoe UI"/>
        </w:rPr>
        <w:lastRenderedPageBreak/>
        <w:t xml:space="preserve">intrafamiliar en los que se asiste para ejercer la defensa de los intereses de la persona mayor, ya sea a través de su patrocinio en calidad de curador </w:t>
      </w:r>
      <w:r w:rsidRPr="00960EC9">
        <w:rPr>
          <w:rFonts w:ascii="Segoe UI" w:hAnsi="Segoe UI" w:cs="Segoe UI"/>
          <w:i/>
        </w:rPr>
        <w:t>ad litem</w:t>
      </w:r>
      <w:r w:rsidRPr="002D1D1B">
        <w:rPr>
          <w:rFonts w:ascii="Segoe UI" w:hAnsi="Segoe UI" w:cs="Segoe UI"/>
        </w:rPr>
        <w:t>.</w:t>
      </w:r>
    </w:p>
    <w:p w14:paraId="6A2C8743" w14:textId="77777777" w:rsidR="008C202C" w:rsidRPr="0047497B" w:rsidRDefault="008C202C" w:rsidP="00C54D28">
      <w:pPr>
        <w:tabs>
          <w:tab w:val="left" w:pos="142"/>
        </w:tabs>
        <w:spacing w:before="120" w:after="120" w:line="240" w:lineRule="auto"/>
        <w:jc w:val="both"/>
        <w:rPr>
          <w:rFonts w:ascii="Segoe UI" w:hAnsi="Segoe UI" w:cs="Segoe UI"/>
        </w:rPr>
      </w:pPr>
      <w:r w:rsidRPr="0047497B">
        <w:rPr>
          <w:rFonts w:ascii="Segoe UI" w:hAnsi="Segoe UI" w:cs="Segoe UI"/>
        </w:rPr>
        <w:t xml:space="preserve">Por su parte, en relación a los </w:t>
      </w:r>
      <w:r w:rsidRPr="00960EC9">
        <w:rPr>
          <w:rFonts w:ascii="Segoe UI" w:hAnsi="Segoe UI" w:cs="Segoe UI"/>
          <w:b/>
        </w:rPr>
        <w:t>servicios de mediación fa</w:t>
      </w:r>
      <w:r w:rsidR="00960EC9" w:rsidRPr="00960EC9">
        <w:rPr>
          <w:rFonts w:ascii="Segoe UI" w:hAnsi="Segoe UI" w:cs="Segoe UI"/>
          <w:b/>
        </w:rPr>
        <w:t>miliar</w:t>
      </w:r>
      <w:r w:rsidR="00960EC9">
        <w:rPr>
          <w:rFonts w:ascii="Segoe UI" w:hAnsi="Segoe UI" w:cs="Segoe UI"/>
        </w:rPr>
        <w:t xml:space="preserve"> procurados por el Estado </w:t>
      </w:r>
      <w:r w:rsidRPr="0047497B">
        <w:rPr>
          <w:rFonts w:ascii="Segoe UI" w:hAnsi="Segoe UI" w:cs="Segoe UI"/>
        </w:rPr>
        <w:t xml:space="preserve">a las personas, durante el año 2022 se llevó a cabo un nuevo proceso licitatorio para el periodo 2022-2027 por parte de la Subsecretaría de Justicia. En este proceso se realizaron 143 llamados a licitación de forma simultánea, en donde se evaluaron 321 ofertas, de las cuales se adjudicaron 150 oferentes en 130 zonas de litación. En las 13 zonas que se declararon desiertas continúan prestando servicio los contratos vigentes del periodo anterior, hasta que culmine el proceso licitatorio para estas zonas. </w:t>
      </w:r>
    </w:p>
    <w:p w14:paraId="6A2C8744" w14:textId="77777777" w:rsidR="008C202C" w:rsidRPr="0047497B" w:rsidRDefault="00960EC9" w:rsidP="00C54D28">
      <w:pPr>
        <w:tabs>
          <w:tab w:val="left" w:pos="142"/>
        </w:tabs>
        <w:spacing w:before="120" w:after="120" w:line="240" w:lineRule="auto"/>
        <w:jc w:val="both"/>
        <w:rPr>
          <w:rFonts w:ascii="Segoe UI" w:hAnsi="Segoe UI" w:cs="Segoe UI"/>
        </w:rPr>
      </w:pPr>
      <w:r>
        <w:rPr>
          <w:rFonts w:ascii="Segoe UI" w:hAnsi="Segoe UI" w:cs="Segoe UI"/>
        </w:rPr>
        <w:t>E</w:t>
      </w:r>
      <w:r w:rsidR="008C202C" w:rsidRPr="0047497B">
        <w:rPr>
          <w:rFonts w:ascii="Segoe UI" w:hAnsi="Segoe UI" w:cs="Segoe UI"/>
        </w:rPr>
        <w:t>l Sistema de Mediación Familiar registró un total de ingresos de 248</w:t>
      </w:r>
      <w:r>
        <w:rPr>
          <w:rFonts w:ascii="Segoe UI" w:hAnsi="Segoe UI" w:cs="Segoe UI"/>
        </w:rPr>
        <w:t>.095</w:t>
      </w:r>
      <w:r w:rsidR="008C202C" w:rsidRPr="0047497B">
        <w:rPr>
          <w:rFonts w:ascii="Segoe UI" w:hAnsi="Segoe UI" w:cs="Segoe UI"/>
        </w:rPr>
        <w:t xml:space="preserve"> causas durante 2022, de los cuales 166</w:t>
      </w:r>
      <w:r>
        <w:rPr>
          <w:rFonts w:ascii="Segoe UI" w:hAnsi="Segoe UI" w:cs="Segoe UI"/>
        </w:rPr>
        <w:t>.</w:t>
      </w:r>
      <w:r w:rsidR="008C202C" w:rsidRPr="0047497B">
        <w:rPr>
          <w:rFonts w:ascii="Segoe UI" w:hAnsi="Segoe UI" w:cs="Segoe UI"/>
        </w:rPr>
        <w:t xml:space="preserve">681 (58,67 </w:t>
      </w:r>
      <w:r>
        <w:rPr>
          <w:rFonts w:ascii="Segoe UI" w:hAnsi="Segoe UI" w:cs="Segoe UI"/>
        </w:rPr>
        <w:t>%</w:t>
      </w:r>
      <w:r w:rsidR="008C202C" w:rsidRPr="0047497B">
        <w:rPr>
          <w:rFonts w:ascii="Segoe UI" w:hAnsi="Segoe UI" w:cs="Segoe UI"/>
        </w:rPr>
        <w:t xml:space="preserve">) de las solicitudes corresponden a ingresos espontáneos </w:t>
      </w:r>
      <w:r>
        <w:rPr>
          <w:rFonts w:ascii="Segoe UI" w:hAnsi="Segoe UI" w:cs="Segoe UI"/>
        </w:rPr>
        <w:t xml:space="preserve">por </w:t>
      </w:r>
      <w:r w:rsidR="008C202C" w:rsidRPr="0047497B">
        <w:rPr>
          <w:rFonts w:ascii="Segoe UI" w:hAnsi="Segoe UI" w:cs="Segoe UI"/>
        </w:rPr>
        <w:t>web, 115</w:t>
      </w:r>
      <w:r>
        <w:rPr>
          <w:rFonts w:ascii="Segoe UI" w:hAnsi="Segoe UI" w:cs="Segoe UI"/>
        </w:rPr>
        <w:t>.582 (40,68%) son presenciales, 1.411 (0,5%</w:t>
      </w:r>
      <w:r w:rsidR="008C202C" w:rsidRPr="0047497B">
        <w:rPr>
          <w:rFonts w:ascii="Segoe UI" w:hAnsi="Segoe UI" w:cs="Segoe UI"/>
        </w:rPr>
        <w:t>) corresponden a derivaciones de las Corporaciones de A</w:t>
      </w:r>
      <w:r>
        <w:rPr>
          <w:rFonts w:ascii="Segoe UI" w:hAnsi="Segoe UI" w:cs="Segoe UI"/>
        </w:rPr>
        <w:t>sistencia Judicial, y 421 (0,15%</w:t>
      </w:r>
      <w:r w:rsidR="008C202C" w:rsidRPr="0047497B">
        <w:rPr>
          <w:rFonts w:ascii="Segoe UI" w:hAnsi="Segoe UI" w:cs="Segoe UI"/>
        </w:rPr>
        <w:t>) están asociadas a derivaciones de los Tribunales de Familia. Es importante destacar que las causas ingresadas espontáneamente vía web representan el mayor porcentaje de las solicitudes de mediación.</w:t>
      </w:r>
    </w:p>
    <w:p w14:paraId="6A2C8745" w14:textId="77777777" w:rsidR="008C202C" w:rsidRPr="0047497B" w:rsidRDefault="008C202C" w:rsidP="00C54D28">
      <w:pPr>
        <w:tabs>
          <w:tab w:val="left" w:pos="142"/>
        </w:tabs>
        <w:spacing w:before="120" w:after="120" w:line="240" w:lineRule="auto"/>
        <w:jc w:val="both"/>
        <w:rPr>
          <w:rFonts w:ascii="Segoe UI" w:hAnsi="Segoe UI" w:cs="Segoe UI"/>
        </w:rPr>
      </w:pPr>
      <w:r w:rsidRPr="0047497B">
        <w:rPr>
          <w:rFonts w:ascii="Segoe UI" w:hAnsi="Segoe UI" w:cs="Segoe UI"/>
        </w:rPr>
        <w:t>En cuanto a los resultados asociados al proceso de mediación, se destaca que las caus</w:t>
      </w:r>
      <w:r w:rsidR="00960EC9">
        <w:rPr>
          <w:rFonts w:ascii="Segoe UI" w:hAnsi="Segoe UI" w:cs="Segoe UI"/>
        </w:rPr>
        <w:t>as terminadas ascendieron a 251.516, de las cuales 88.</w:t>
      </w:r>
      <w:r w:rsidRPr="0047497B">
        <w:rPr>
          <w:rFonts w:ascii="Segoe UI" w:hAnsi="Segoe UI" w:cs="Segoe UI"/>
        </w:rPr>
        <w:t>475 (35,18</w:t>
      </w:r>
      <w:r w:rsidR="00960EC9">
        <w:rPr>
          <w:rFonts w:ascii="Segoe UI" w:hAnsi="Segoe UI" w:cs="Segoe UI"/>
        </w:rPr>
        <w:t>%</w:t>
      </w:r>
      <w:r w:rsidRPr="0047497B">
        <w:rPr>
          <w:rFonts w:ascii="Segoe UI" w:hAnsi="Segoe UI" w:cs="Segoe UI"/>
        </w:rPr>
        <w:t>), concluyeron con ac</w:t>
      </w:r>
      <w:r w:rsidR="00960EC9">
        <w:rPr>
          <w:rFonts w:ascii="Segoe UI" w:hAnsi="Segoe UI" w:cs="Segoe UI"/>
        </w:rPr>
        <w:t>uerdo, mientras que en otras 42.</w:t>
      </w:r>
      <w:r w:rsidRPr="0047497B">
        <w:rPr>
          <w:rFonts w:ascii="Segoe UI" w:hAnsi="Segoe UI" w:cs="Segoe UI"/>
        </w:rPr>
        <w:t>116 (16,74</w:t>
      </w:r>
      <w:r w:rsidR="00960EC9">
        <w:rPr>
          <w:rFonts w:ascii="Segoe UI" w:hAnsi="Segoe UI" w:cs="Segoe UI"/>
        </w:rPr>
        <w:t>%</w:t>
      </w:r>
      <w:r w:rsidRPr="0047497B">
        <w:rPr>
          <w:rFonts w:ascii="Segoe UI" w:hAnsi="Segoe UI" w:cs="Segoe UI"/>
        </w:rPr>
        <w:t>) la mediación se vio frustrada después de una o más sesiones conjunt</w:t>
      </w:r>
      <w:r w:rsidR="00960EC9">
        <w:rPr>
          <w:rFonts w:ascii="Segoe UI" w:hAnsi="Segoe UI" w:cs="Segoe UI"/>
        </w:rPr>
        <w:t>as. En tanto, las restantes 120.</w:t>
      </w:r>
      <w:r w:rsidRPr="0047497B">
        <w:rPr>
          <w:rFonts w:ascii="Segoe UI" w:hAnsi="Segoe UI" w:cs="Segoe UI"/>
        </w:rPr>
        <w:t>925 (48,08</w:t>
      </w:r>
      <w:r w:rsidR="00960EC9">
        <w:rPr>
          <w:rFonts w:ascii="Segoe UI" w:hAnsi="Segoe UI" w:cs="Segoe UI"/>
        </w:rPr>
        <w:t>%</w:t>
      </w:r>
      <w:r w:rsidRPr="0047497B">
        <w:rPr>
          <w:rFonts w:ascii="Segoe UI" w:hAnsi="Segoe UI" w:cs="Segoe UI"/>
        </w:rPr>
        <w:t>) se vieron frustradas al no realizarse ninguna sesión. Si se consideran solo las causas en que hubo sesiones de mediación el porcentaje de acuerdos asciende al 67,75</w:t>
      </w:r>
      <w:r w:rsidR="00960EC9">
        <w:rPr>
          <w:rFonts w:ascii="Segoe UI" w:hAnsi="Segoe UI" w:cs="Segoe UI"/>
        </w:rPr>
        <w:t>%</w:t>
      </w:r>
      <w:r w:rsidRPr="0047497B">
        <w:rPr>
          <w:rFonts w:ascii="Segoe UI" w:hAnsi="Segoe UI" w:cs="Segoe UI"/>
        </w:rPr>
        <w:t>.</w:t>
      </w:r>
    </w:p>
    <w:p w14:paraId="6A2C8746" w14:textId="77777777" w:rsidR="00B6469B" w:rsidRDefault="008C202C" w:rsidP="00C54D28">
      <w:pPr>
        <w:tabs>
          <w:tab w:val="left" w:pos="142"/>
        </w:tabs>
        <w:spacing w:before="120" w:after="120" w:line="240" w:lineRule="auto"/>
        <w:jc w:val="both"/>
        <w:rPr>
          <w:rFonts w:ascii="Segoe UI" w:hAnsi="Segoe UI" w:cs="Segoe UI"/>
        </w:rPr>
      </w:pPr>
      <w:r w:rsidRPr="0047497B">
        <w:rPr>
          <w:rFonts w:ascii="Segoe UI" w:hAnsi="Segoe UI" w:cs="Segoe UI"/>
        </w:rPr>
        <w:t>En relación con la satisfacción de usuarias y usuarios respecto al Sistema de Mediación, la encuesta realizada durante el año 2022 arrojó un índ</w:t>
      </w:r>
      <w:r w:rsidR="00960EC9">
        <w:rPr>
          <w:rFonts w:ascii="Segoe UI" w:hAnsi="Segoe UI" w:cs="Segoe UI"/>
        </w:rPr>
        <w:t>ice de satisfacción neta del 64%. Por otro lado, el 91%</w:t>
      </w:r>
      <w:r w:rsidRPr="0047497B">
        <w:rPr>
          <w:rFonts w:ascii="Segoe UI" w:hAnsi="Segoe UI" w:cs="Segoe UI"/>
        </w:rPr>
        <w:t xml:space="preserve"> de las personas usuarias declararon que acudirían nuevamente a </w:t>
      </w:r>
      <w:r w:rsidR="00960EC9">
        <w:rPr>
          <w:rFonts w:ascii="Segoe UI" w:hAnsi="Segoe UI" w:cs="Segoe UI"/>
        </w:rPr>
        <w:t xml:space="preserve">un centro de mediación, y un 67% </w:t>
      </w:r>
      <w:r w:rsidRPr="0047497B">
        <w:rPr>
          <w:rFonts w:ascii="Segoe UI" w:hAnsi="Segoe UI" w:cs="Segoe UI"/>
        </w:rPr>
        <w:t>de ellas estarían dispuestos a recomendar el proceso de mediación.</w:t>
      </w:r>
    </w:p>
    <w:p w14:paraId="6A2C8747" w14:textId="77777777" w:rsidR="00AC3CE0" w:rsidRDefault="008C202C" w:rsidP="00C54D28">
      <w:pPr>
        <w:tabs>
          <w:tab w:val="left" w:pos="142"/>
        </w:tabs>
        <w:spacing w:before="120" w:after="120" w:line="240" w:lineRule="auto"/>
        <w:jc w:val="both"/>
        <w:rPr>
          <w:rFonts w:ascii="Segoe UI" w:hAnsi="Segoe UI" w:cs="Segoe UI"/>
        </w:rPr>
      </w:pPr>
      <w:r w:rsidRPr="0047497B">
        <w:rPr>
          <w:rFonts w:ascii="Segoe UI" w:hAnsi="Segoe UI" w:cs="Segoe UI"/>
        </w:rPr>
        <w:t xml:space="preserve">Por su parte, el </w:t>
      </w:r>
      <w:r w:rsidRPr="00960EC9">
        <w:rPr>
          <w:rFonts w:ascii="Segoe UI" w:hAnsi="Segoe UI" w:cs="Segoe UI"/>
          <w:b/>
        </w:rPr>
        <w:t xml:space="preserve">Programa de </w:t>
      </w:r>
      <w:r w:rsidR="00960EC9" w:rsidRPr="00960EC9">
        <w:rPr>
          <w:rFonts w:ascii="Segoe UI" w:hAnsi="Segoe UI" w:cs="Segoe UI"/>
          <w:b/>
        </w:rPr>
        <w:t xml:space="preserve">Apoyo </w:t>
      </w:r>
      <w:r w:rsidRPr="00960EC9">
        <w:rPr>
          <w:rFonts w:ascii="Segoe UI" w:hAnsi="Segoe UI" w:cs="Segoe UI"/>
          <w:b/>
        </w:rPr>
        <w:t xml:space="preserve">a </w:t>
      </w:r>
      <w:r w:rsidR="00960EC9" w:rsidRPr="00960EC9">
        <w:rPr>
          <w:rFonts w:ascii="Segoe UI" w:hAnsi="Segoe UI" w:cs="Segoe UI"/>
          <w:b/>
        </w:rPr>
        <w:t>Víctimas</w:t>
      </w:r>
      <w:r w:rsidR="00960EC9" w:rsidRPr="0047497B">
        <w:rPr>
          <w:rFonts w:ascii="Segoe UI" w:hAnsi="Segoe UI" w:cs="Segoe UI"/>
        </w:rPr>
        <w:t xml:space="preserve"> </w:t>
      </w:r>
      <w:r w:rsidRPr="0047497B">
        <w:rPr>
          <w:rFonts w:ascii="Segoe UI" w:hAnsi="Segoe UI" w:cs="Segoe UI"/>
        </w:rPr>
        <w:t xml:space="preserve">busca garantizar el ejercicio de los derechos de las personas víctimas de delitos, mediante una intervención integral, eficiente y eficaz, orientada a dar respuesta a sus necesidades. Su objetivo es contribuir a la superación de los daños ocasionados por la vivencia de un delito, a través del contacto rápido, gratuito y oportuno con las personas afectadas, entregando atención psicológica, social y legal. Se encuentra dirigido a personas que han sido víctimas de delitos en forma directa e indirectamente -es decir, familiares, amigos o testigos- que experimentan consecuencias negativas producto de este hecho. </w:t>
      </w:r>
    </w:p>
    <w:p w14:paraId="6A2C8748" w14:textId="77777777" w:rsidR="001A7227" w:rsidRPr="008E2FC2" w:rsidRDefault="001A7227"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bCs/>
          <w:u w:val="single"/>
        </w:rPr>
      </w:pPr>
      <w:r w:rsidRPr="008E2FC2">
        <w:rPr>
          <w:rFonts w:ascii="Segoe UI" w:hAnsi="Segoe UI" w:cs="Segoe UI"/>
          <w:bCs/>
          <w:u w:val="single"/>
        </w:rPr>
        <w:t>Instrumentos y directrices</w:t>
      </w:r>
      <w:r w:rsidR="001312C5" w:rsidRPr="008E2FC2">
        <w:rPr>
          <w:rFonts w:ascii="Segoe UI" w:hAnsi="Segoe UI" w:cs="Segoe UI"/>
          <w:bCs/>
          <w:u w:val="single"/>
        </w:rPr>
        <w:t xml:space="preserve"> de los servicios públicos</w:t>
      </w:r>
    </w:p>
    <w:p w14:paraId="6A2C8749" w14:textId="77777777" w:rsidR="00F8707A" w:rsidRPr="005A7AF3" w:rsidRDefault="00A6590E"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A nivel público, s</w:t>
      </w:r>
      <w:r w:rsidR="00267616" w:rsidRPr="005A7AF3">
        <w:rPr>
          <w:rFonts w:ascii="Segoe UI" w:hAnsi="Segoe UI" w:cs="Segoe UI"/>
        </w:rPr>
        <w:t xml:space="preserve">e insta por el fortalecimiento y mejoramiento de los sistemas de asistencia jurídica y promover la incorporación de mecanismos que garanticen la protección y promoción de los derechos </w:t>
      </w:r>
      <w:r w:rsidR="00C63DD6" w:rsidRPr="005A7AF3">
        <w:rPr>
          <w:rFonts w:ascii="Segoe UI" w:hAnsi="Segoe UI" w:cs="Segoe UI"/>
        </w:rPr>
        <w:t>humanos</w:t>
      </w:r>
      <w:r w:rsidR="00960EC9" w:rsidRPr="005A7AF3">
        <w:rPr>
          <w:rFonts w:ascii="Segoe UI" w:hAnsi="Segoe UI" w:cs="Segoe UI"/>
        </w:rPr>
        <w:t>. A</w:t>
      </w:r>
      <w:r w:rsidR="00C63DD6" w:rsidRPr="005A7AF3">
        <w:rPr>
          <w:rFonts w:ascii="Segoe UI" w:hAnsi="Segoe UI" w:cs="Segoe UI"/>
        </w:rPr>
        <w:t xml:space="preserve"> su vez,</w:t>
      </w:r>
      <w:r w:rsidR="00267616" w:rsidRPr="005A7AF3">
        <w:rPr>
          <w:rFonts w:ascii="Segoe UI" w:hAnsi="Segoe UI" w:cs="Segoe UI"/>
        </w:rPr>
        <w:t xml:space="preserve"> </w:t>
      </w:r>
      <w:r w:rsidR="00C63DD6" w:rsidRPr="005A7AF3">
        <w:rPr>
          <w:rFonts w:ascii="Segoe UI" w:hAnsi="Segoe UI" w:cs="Segoe UI"/>
        </w:rPr>
        <w:t>s</w:t>
      </w:r>
      <w:r w:rsidR="006E1CA2" w:rsidRPr="005A7AF3">
        <w:rPr>
          <w:rFonts w:ascii="Segoe UI" w:hAnsi="Segoe UI" w:cs="Segoe UI"/>
        </w:rPr>
        <w:t xml:space="preserve">e fomenta la cooperación </w:t>
      </w:r>
      <w:r w:rsidR="006E1CA2" w:rsidRPr="005A7AF3">
        <w:rPr>
          <w:rFonts w:ascii="Segoe UI" w:hAnsi="Segoe UI" w:cs="Segoe UI"/>
        </w:rPr>
        <w:lastRenderedPageBreak/>
        <w:t xml:space="preserve">interinstitucional y </w:t>
      </w:r>
      <w:r w:rsidR="00F8707A" w:rsidRPr="005A7AF3">
        <w:rPr>
          <w:rFonts w:ascii="Segoe UI" w:hAnsi="Segoe UI" w:cs="Segoe UI"/>
        </w:rPr>
        <w:t xml:space="preserve">alianzas con la sociedad civil y la </w:t>
      </w:r>
      <w:r w:rsidR="006E1CA2" w:rsidRPr="005A7AF3">
        <w:rPr>
          <w:rFonts w:ascii="Segoe UI" w:hAnsi="Segoe UI" w:cs="Segoe UI"/>
        </w:rPr>
        <w:t xml:space="preserve">difusión del rol y posicionamiento de imagen </w:t>
      </w:r>
      <w:r w:rsidR="00F8707A" w:rsidRPr="005A7AF3">
        <w:rPr>
          <w:rFonts w:ascii="Segoe UI" w:hAnsi="Segoe UI" w:cs="Segoe UI"/>
        </w:rPr>
        <w:t>de las instituciones</w:t>
      </w:r>
      <w:r w:rsidR="001359EC" w:rsidRPr="005A7AF3">
        <w:rPr>
          <w:rFonts w:ascii="Segoe UI" w:hAnsi="Segoe UI" w:cs="Segoe UI"/>
        </w:rPr>
        <w:t>.</w:t>
      </w:r>
    </w:p>
    <w:p w14:paraId="6A2C874A" w14:textId="77777777" w:rsidR="007324CB" w:rsidRPr="005A7AF3" w:rsidRDefault="00F8707A"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 xml:space="preserve">Se debe </w:t>
      </w:r>
      <w:r w:rsidR="006E1CA2" w:rsidRPr="005A7AF3">
        <w:rPr>
          <w:rFonts w:ascii="Segoe UI" w:hAnsi="Segoe UI" w:cs="Segoe UI"/>
        </w:rPr>
        <w:t>facilitar la accesibilidad de los servicios para el público</w:t>
      </w:r>
      <w:r w:rsidRPr="005A7AF3">
        <w:rPr>
          <w:rFonts w:ascii="Segoe UI" w:hAnsi="Segoe UI" w:cs="Segoe UI"/>
        </w:rPr>
        <w:t xml:space="preserve"> y la infraestructura debe ser inclusiva, en orden a incorporar protocolos y medidas de atención inclusiva y preferente para aquellos usuarios en situación de vulnerabilidad, </w:t>
      </w:r>
      <w:r w:rsidR="006E1CA2" w:rsidRPr="005A7AF3">
        <w:rPr>
          <w:rFonts w:ascii="Segoe UI" w:hAnsi="Segoe UI" w:cs="Segoe UI"/>
        </w:rPr>
        <w:t>prom</w:t>
      </w:r>
      <w:r w:rsidRPr="005A7AF3">
        <w:rPr>
          <w:rFonts w:ascii="Segoe UI" w:hAnsi="Segoe UI" w:cs="Segoe UI"/>
        </w:rPr>
        <w:t>over la participación ciudadana, como también concientizar y capacitar interna a los funcionarios, promoviendo</w:t>
      </w:r>
      <w:r w:rsidR="007324CB" w:rsidRPr="005A7AF3">
        <w:rPr>
          <w:rFonts w:ascii="Segoe UI" w:hAnsi="Segoe UI" w:cs="Segoe UI"/>
        </w:rPr>
        <w:t xml:space="preserve"> políticas de uso y difusión del lenguaje claro y adecuado.</w:t>
      </w:r>
    </w:p>
    <w:p w14:paraId="6A2C874B" w14:textId="77777777" w:rsidR="00B173ED" w:rsidRPr="005A7AF3" w:rsidRDefault="005A7AF3"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Para ello, e</w:t>
      </w:r>
      <w:r w:rsidR="00F8707A" w:rsidRPr="005A7AF3">
        <w:rPr>
          <w:rFonts w:ascii="Segoe UI" w:hAnsi="Segoe UI" w:cs="Segoe UI"/>
        </w:rPr>
        <w:t>xiste una Red de Gobierno Abierto, respecto a la cual l</w:t>
      </w:r>
      <w:r w:rsidR="00B34C7D" w:rsidRPr="005A7AF3">
        <w:rPr>
          <w:rFonts w:ascii="Segoe UI" w:hAnsi="Segoe UI" w:cs="Segoe UI"/>
        </w:rPr>
        <w:t xml:space="preserve">a Defensoría Penal Pública es uno de los 78 países que </w:t>
      </w:r>
      <w:r w:rsidR="00F8707A" w:rsidRPr="005A7AF3">
        <w:rPr>
          <w:rFonts w:ascii="Segoe UI" w:hAnsi="Segoe UI" w:cs="Segoe UI"/>
        </w:rPr>
        <w:t>la integra</w:t>
      </w:r>
      <w:r w:rsidR="00B34C7D" w:rsidRPr="005A7AF3">
        <w:rPr>
          <w:rFonts w:ascii="Segoe UI" w:hAnsi="Segoe UI" w:cs="Segoe UI"/>
        </w:rPr>
        <w:t>. Este programa tiene por finalidad acercar el Estado a los ciudadanos a través de programas de trabajo que deben plasmar los principios de transparencia, participación, rendición de cuentas y el uso de la innovación y tecnología</w:t>
      </w:r>
      <w:r w:rsidR="00B173ED" w:rsidRPr="0047497B">
        <w:rPr>
          <w:rStyle w:val="FootnoteReference"/>
          <w:rFonts w:ascii="Segoe UI" w:hAnsi="Segoe UI" w:cs="Segoe UI"/>
        </w:rPr>
        <w:footnoteReference w:id="3"/>
      </w:r>
      <w:r w:rsidR="00B34C7D" w:rsidRPr="005A7AF3">
        <w:rPr>
          <w:rFonts w:ascii="Segoe UI" w:hAnsi="Segoe UI" w:cs="Segoe UI"/>
        </w:rPr>
        <w:t xml:space="preserve">. </w:t>
      </w:r>
    </w:p>
    <w:p w14:paraId="6A2C874C" w14:textId="77777777" w:rsidR="00B34C7D" w:rsidRPr="005A7AF3" w:rsidRDefault="005A7AF3"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Asimismo</w:t>
      </w:r>
      <w:r w:rsidR="00CF7697" w:rsidRPr="005A7AF3">
        <w:rPr>
          <w:rFonts w:ascii="Segoe UI" w:hAnsi="Segoe UI" w:cs="Segoe UI"/>
        </w:rPr>
        <w:t>, l</w:t>
      </w:r>
      <w:r w:rsidR="00B34C7D" w:rsidRPr="005A7AF3">
        <w:rPr>
          <w:rFonts w:ascii="Segoe UI" w:hAnsi="Segoe UI" w:cs="Segoe UI"/>
        </w:rPr>
        <w:t>a Defensoría Penal Pública se incorporó a la Alianza en el "Cuarto Plan de Acción de Gobierno Abierto de Chile 2018-2020 ” con su iniciativa “Justicia Abierta”, que tiene por objetivo acercar la justicia a la ciudadanía, a través de la democratización del conocimiento de los derechos de los ciudadanos en materia penal y transparentar los roles de los actores del sistema de justicia, a través de mesas de participación ciudadana, la incorporación del programa de lenguaje claro, la implementación de datos abiertos y de estrategias de atención de usuarios.</w:t>
      </w:r>
    </w:p>
    <w:p w14:paraId="6A2C874D" w14:textId="77777777" w:rsidR="001312C5" w:rsidRPr="005A7AF3" w:rsidRDefault="005A7AF3"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En el caso del</w:t>
      </w:r>
      <w:r w:rsidR="001A7227" w:rsidRPr="005A7AF3">
        <w:rPr>
          <w:rFonts w:ascii="Segoe UI" w:hAnsi="Segoe UI" w:cs="Segoe UI"/>
        </w:rPr>
        <w:t xml:space="preserve"> Poder Judicial, vale mencionar el “Plan Estratégico del Poder Judicial para el período 2021-2025” y la “Política de atención </w:t>
      </w:r>
      <w:r w:rsidR="001312C5" w:rsidRPr="005A7AF3">
        <w:rPr>
          <w:rFonts w:ascii="Segoe UI" w:hAnsi="Segoe UI" w:cs="Segoe UI"/>
        </w:rPr>
        <w:t xml:space="preserve">de usuarios del Poder Judicial”. El </w:t>
      </w:r>
      <w:r w:rsidR="00F17007" w:rsidRPr="005A7AF3">
        <w:rPr>
          <w:rFonts w:ascii="Segoe UI" w:hAnsi="Segoe UI" w:cs="Segoe UI"/>
        </w:rPr>
        <w:t xml:space="preserve">primero, </w:t>
      </w:r>
      <w:r w:rsidR="001A7227" w:rsidRPr="005A7AF3">
        <w:rPr>
          <w:rFonts w:ascii="Segoe UI" w:hAnsi="Segoe UI" w:cs="Segoe UI"/>
        </w:rPr>
        <w:t xml:space="preserve">establece objetivos y ejes transversales institucionales para el periodo mencionado, </w:t>
      </w:r>
      <w:r w:rsidR="00F17007" w:rsidRPr="005A7AF3">
        <w:rPr>
          <w:rFonts w:ascii="Segoe UI" w:hAnsi="Segoe UI" w:cs="Segoe UI"/>
        </w:rPr>
        <w:t xml:space="preserve">que </w:t>
      </w:r>
      <w:r w:rsidR="001A7227" w:rsidRPr="005A7AF3">
        <w:rPr>
          <w:rFonts w:ascii="Segoe UI" w:hAnsi="Segoe UI" w:cs="Segoe UI"/>
        </w:rPr>
        <w:t>releva como meta facilitar el acceso a la justicia</w:t>
      </w:r>
      <w:r w:rsidR="001312C5" w:rsidRPr="005A7AF3">
        <w:rPr>
          <w:rFonts w:ascii="Segoe UI" w:hAnsi="Segoe UI" w:cs="Segoe UI"/>
        </w:rPr>
        <w:t xml:space="preserve"> para las personas</w:t>
      </w:r>
      <w:r w:rsidR="001A7227" w:rsidRPr="005A7AF3">
        <w:rPr>
          <w:rFonts w:ascii="Segoe UI" w:hAnsi="Segoe UI" w:cs="Segoe UI"/>
        </w:rPr>
        <w:t xml:space="preserve">. </w:t>
      </w:r>
    </w:p>
    <w:p w14:paraId="6A2C874E" w14:textId="77777777" w:rsidR="001A7227" w:rsidRPr="005A7AF3" w:rsidRDefault="001312C5"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D</w:t>
      </w:r>
      <w:r w:rsidR="001A7227" w:rsidRPr="005A7AF3">
        <w:rPr>
          <w:rFonts w:ascii="Segoe UI" w:hAnsi="Segoe UI" w:cs="Segoe UI"/>
        </w:rPr>
        <w:t>entro de los ejes estratégicos del plan estratégico, destaca el eje denom</w:t>
      </w:r>
      <w:r w:rsidR="005F2ECE" w:rsidRPr="005A7AF3">
        <w:rPr>
          <w:rFonts w:ascii="Segoe UI" w:hAnsi="Segoe UI" w:cs="Segoe UI"/>
        </w:rPr>
        <w:t xml:space="preserve">inado “Impacto en la sociedad”, que </w:t>
      </w:r>
      <w:r w:rsidR="001A7227" w:rsidRPr="005A7AF3">
        <w:rPr>
          <w:rFonts w:ascii="Segoe UI" w:hAnsi="Segoe UI" w:cs="Segoe UI"/>
        </w:rPr>
        <w:t>comprende obj</w:t>
      </w:r>
      <w:r w:rsidR="005F2ECE" w:rsidRPr="005A7AF3">
        <w:rPr>
          <w:rFonts w:ascii="Segoe UI" w:hAnsi="Segoe UI" w:cs="Segoe UI"/>
        </w:rPr>
        <w:t xml:space="preserve">etivos y líneas de acción como mejorar la percepción de la ciudadanía respecto de la confiabilidad, oportunidad y transparencia del Poder Judicial, así como para </w:t>
      </w:r>
      <w:r w:rsidR="001A7227" w:rsidRPr="005A7AF3">
        <w:rPr>
          <w:rFonts w:ascii="Segoe UI" w:hAnsi="Segoe UI" w:cs="Segoe UI"/>
        </w:rPr>
        <w:t>estimular la cercanía y la inclusión con la sociedad, mediante la aplicación de políticas de vinculación con el medio, y en lo concerniente a igualdad de género y no discriminación, niñez, derechos hum</w:t>
      </w:r>
      <w:r w:rsidR="005F2ECE" w:rsidRPr="005A7AF3">
        <w:rPr>
          <w:rFonts w:ascii="Segoe UI" w:hAnsi="Segoe UI" w:cs="Segoe UI"/>
        </w:rPr>
        <w:t>anos y migrantes, fortaleciendo</w:t>
      </w:r>
      <w:r w:rsidR="001A7227" w:rsidRPr="005A7AF3">
        <w:rPr>
          <w:rFonts w:ascii="Segoe UI" w:hAnsi="Segoe UI" w:cs="Segoe UI"/>
        </w:rPr>
        <w:t xml:space="preserve"> </w:t>
      </w:r>
      <w:r w:rsidR="005F2ECE" w:rsidRPr="005A7AF3">
        <w:rPr>
          <w:rFonts w:ascii="Segoe UI" w:hAnsi="Segoe UI" w:cs="Segoe UI"/>
        </w:rPr>
        <w:t>el uso de lenguaje comprensible.</w:t>
      </w:r>
    </w:p>
    <w:p w14:paraId="6A2C874F" w14:textId="77777777" w:rsidR="005A7AF3" w:rsidRDefault="006D590C"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Esto incluye un</w:t>
      </w:r>
      <w:r w:rsidR="0066519B" w:rsidRPr="005A7AF3">
        <w:rPr>
          <w:rFonts w:ascii="Segoe UI" w:hAnsi="Segoe UI" w:cs="Segoe UI"/>
        </w:rPr>
        <w:t xml:space="preserve"> programa de fortalecimiento, difusión y socialización del rol del Poder Judicial a la ciudadanía, relativa</w:t>
      </w:r>
      <w:r w:rsidR="001312C5" w:rsidRPr="005A7AF3">
        <w:rPr>
          <w:rFonts w:ascii="Segoe UI" w:hAnsi="Segoe UI" w:cs="Segoe UI"/>
        </w:rPr>
        <w:t xml:space="preserve"> a acciones de educación cívica; </w:t>
      </w:r>
      <w:r w:rsidR="0066519B" w:rsidRPr="005A7AF3">
        <w:rPr>
          <w:rFonts w:ascii="Segoe UI" w:hAnsi="Segoe UI" w:cs="Segoe UI"/>
        </w:rPr>
        <w:t>de mejoramiento del</w:t>
      </w:r>
      <w:r w:rsidR="001312C5" w:rsidRPr="005A7AF3">
        <w:rPr>
          <w:rFonts w:ascii="Segoe UI" w:hAnsi="Segoe UI" w:cs="Segoe UI"/>
        </w:rPr>
        <w:t xml:space="preserve"> modelo de atención de usuarios; </w:t>
      </w:r>
      <w:r w:rsidR="0066519B" w:rsidRPr="005A7AF3">
        <w:rPr>
          <w:rFonts w:ascii="Segoe UI" w:hAnsi="Segoe UI" w:cs="Segoe UI"/>
        </w:rPr>
        <w:t>de resolución alternativa de conflictos, en asuntos de peq</w:t>
      </w:r>
      <w:r w:rsidR="001312C5" w:rsidRPr="005A7AF3">
        <w:rPr>
          <w:rFonts w:ascii="Segoe UI" w:hAnsi="Segoe UI" w:cs="Segoe UI"/>
        </w:rPr>
        <w:t xml:space="preserve">ueñas cuantías; y </w:t>
      </w:r>
      <w:r w:rsidR="0066519B" w:rsidRPr="005A7AF3">
        <w:rPr>
          <w:rFonts w:ascii="Segoe UI" w:hAnsi="Segoe UI" w:cs="Segoe UI"/>
        </w:rPr>
        <w:t>de fomento de claridad de las comunicaciones orales</w:t>
      </w:r>
      <w:r w:rsidR="00052986" w:rsidRPr="005A7AF3">
        <w:rPr>
          <w:rFonts w:ascii="Segoe UI" w:hAnsi="Segoe UI" w:cs="Segoe UI"/>
        </w:rPr>
        <w:t xml:space="preserve"> y escritas del Poder Judicial.</w:t>
      </w:r>
    </w:p>
    <w:p w14:paraId="6A2C8750" w14:textId="77777777" w:rsidR="0066519B" w:rsidRPr="005A7AF3" w:rsidRDefault="0066519B"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Por su parte, la “Política de atención de usuarios del Poder Jud</w:t>
      </w:r>
      <w:r w:rsidR="00925CE9" w:rsidRPr="005A7AF3">
        <w:rPr>
          <w:rFonts w:ascii="Segoe UI" w:hAnsi="Segoe UI" w:cs="Segoe UI"/>
        </w:rPr>
        <w:t xml:space="preserve">icial” tiene por finalidad </w:t>
      </w:r>
      <w:r w:rsidRPr="005A7AF3">
        <w:rPr>
          <w:rFonts w:ascii="Segoe UI" w:hAnsi="Segoe UI" w:cs="Segoe UI"/>
        </w:rPr>
        <w:t xml:space="preserve">garantizar el derecho humano de acceso a la justicia en el quehacer diario, atendiendo a las personas de todo el territorio nacional, de manera clara, oportuna y efectiva, </w:t>
      </w:r>
      <w:r w:rsidRPr="005A7AF3">
        <w:rPr>
          <w:rFonts w:ascii="Segoe UI" w:hAnsi="Segoe UI" w:cs="Segoe UI"/>
        </w:rPr>
        <w:lastRenderedPageBreak/>
        <w:t>efectivizando todos sus derechos, y solucionando sus consultas y conflictos de relevancia jurídica, de manera de contribuir a la paz social, el diálogo y el f</w:t>
      </w:r>
      <w:r w:rsidR="00925CE9" w:rsidRPr="005A7AF3">
        <w:rPr>
          <w:rFonts w:ascii="Segoe UI" w:hAnsi="Segoe UI" w:cs="Segoe UI"/>
        </w:rPr>
        <w:t>ortalecimiento de la democracia.</w:t>
      </w:r>
    </w:p>
    <w:p w14:paraId="6A2C8751" w14:textId="77777777" w:rsidR="001C7031" w:rsidRPr="005A7AF3" w:rsidRDefault="00925CE9"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C</w:t>
      </w:r>
      <w:r w:rsidR="0066519B" w:rsidRPr="005A7AF3">
        <w:rPr>
          <w:rFonts w:ascii="Segoe UI" w:hAnsi="Segoe UI" w:cs="Segoe UI"/>
        </w:rPr>
        <w:t>omo fundamentos rectores, junto a la tutela judicial</w:t>
      </w:r>
      <w:r w:rsidRPr="005A7AF3">
        <w:rPr>
          <w:rFonts w:ascii="Segoe UI" w:hAnsi="Segoe UI" w:cs="Segoe UI"/>
        </w:rPr>
        <w:t xml:space="preserve"> efectiva y el debido proceso, se encuentran </w:t>
      </w:r>
      <w:r w:rsidR="0066519B" w:rsidRPr="005A7AF3">
        <w:rPr>
          <w:rFonts w:ascii="Segoe UI" w:hAnsi="Segoe UI" w:cs="Segoe UI"/>
        </w:rPr>
        <w:t xml:space="preserve">la solución </w:t>
      </w:r>
      <w:r w:rsidRPr="005A7AF3">
        <w:rPr>
          <w:rFonts w:ascii="Segoe UI" w:hAnsi="Segoe UI" w:cs="Segoe UI"/>
        </w:rPr>
        <w:t xml:space="preserve">alternativa de conflictos, </w:t>
      </w:r>
      <w:r w:rsidR="0066519B" w:rsidRPr="005A7AF3">
        <w:rPr>
          <w:rFonts w:ascii="Segoe UI" w:hAnsi="Segoe UI" w:cs="Segoe UI"/>
        </w:rPr>
        <w:t>el derecho de asistencia</w:t>
      </w:r>
      <w:r w:rsidRPr="005A7AF3">
        <w:rPr>
          <w:rFonts w:ascii="Segoe UI" w:hAnsi="Segoe UI" w:cs="Segoe UI"/>
        </w:rPr>
        <w:t xml:space="preserve"> jurídica</w:t>
      </w:r>
      <w:r w:rsidR="0066519B" w:rsidRPr="005A7AF3">
        <w:rPr>
          <w:rFonts w:ascii="Segoe UI" w:hAnsi="Segoe UI" w:cs="Segoe UI"/>
        </w:rPr>
        <w:t xml:space="preserve"> el derec</w:t>
      </w:r>
      <w:r w:rsidRPr="005A7AF3">
        <w:rPr>
          <w:rFonts w:ascii="Segoe UI" w:hAnsi="Segoe UI" w:cs="Segoe UI"/>
        </w:rPr>
        <w:t xml:space="preserve">ho a formación jurídica, y </w:t>
      </w:r>
      <w:r w:rsidR="0066519B" w:rsidRPr="005A7AF3">
        <w:rPr>
          <w:rFonts w:ascii="Segoe UI" w:hAnsi="Segoe UI" w:cs="Segoe UI"/>
        </w:rPr>
        <w:t>el derecho a información jurídica.</w:t>
      </w:r>
    </w:p>
    <w:p w14:paraId="6A2C8752" w14:textId="77777777" w:rsidR="009D2AF7" w:rsidRPr="005A7AF3" w:rsidRDefault="0066519B"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 xml:space="preserve">Estos fundamentos, asociados a la necesidad de superar </w:t>
      </w:r>
      <w:r w:rsidR="001C7031" w:rsidRPr="005A7AF3">
        <w:rPr>
          <w:rFonts w:ascii="Segoe UI" w:hAnsi="Segoe UI" w:cs="Segoe UI"/>
        </w:rPr>
        <w:t>la mencionada barrera</w:t>
      </w:r>
      <w:r w:rsidRPr="005A7AF3">
        <w:rPr>
          <w:rFonts w:ascii="Segoe UI" w:hAnsi="Segoe UI" w:cs="Segoe UI"/>
        </w:rPr>
        <w:t xml:space="preserve"> de acceso a la justicia, inspiran los ejes estratégicos en los que se estructura la Po</w:t>
      </w:r>
      <w:r w:rsidR="007B6C6A" w:rsidRPr="005A7AF3">
        <w:rPr>
          <w:rFonts w:ascii="Segoe UI" w:hAnsi="Segoe UI" w:cs="Segoe UI"/>
        </w:rPr>
        <w:t>lítica de Atención de Usuarios.</w:t>
      </w:r>
      <w:r w:rsidR="00A37DD9" w:rsidRPr="005A7AF3">
        <w:rPr>
          <w:rFonts w:ascii="Segoe UI" w:hAnsi="Segoe UI" w:cs="Segoe UI"/>
        </w:rPr>
        <w:t xml:space="preserve"> </w:t>
      </w:r>
      <w:r w:rsidR="009D2AF7" w:rsidRPr="005A7AF3">
        <w:rPr>
          <w:rFonts w:ascii="Segoe UI" w:hAnsi="Segoe UI" w:cs="Segoe UI"/>
        </w:rPr>
        <w:t>Existe, además,</w:t>
      </w:r>
      <w:r w:rsidR="00267616" w:rsidRPr="005A7AF3">
        <w:rPr>
          <w:rFonts w:ascii="Segoe UI" w:hAnsi="Segoe UI" w:cs="Segoe UI"/>
        </w:rPr>
        <w:t xml:space="preserve"> una política de ventanilla de atención única y especializada; atención de un equipo multidisciplinario para personas y grupos vulnerables; y la estandarizarización de procedimientos.</w:t>
      </w:r>
    </w:p>
    <w:p w14:paraId="6A2C8753" w14:textId="77777777" w:rsidR="00321C8C" w:rsidRPr="005A7AF3" w:rsidRDefault="00693C60"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 xml:space="preserve">También se han creado </w:t>
      </w:r>
      <w:r w:rsidR="00CD2173" w:rsidRPr="005A7AF3">
        <w:rPr>
          <w:rFonts w:ascii="Segoe UI" w:hAnsi="Segoe UI" w:cs="Segoe UI"/>
        </w:rPr>
        <w:t xml:space="preserve">orgánicas especializadas y destinadas a proponer y conducir programas relacionados con el acceso a la justicia. Ejemplo de esto último son la </w:t>
      </w:r>
      <w:r w:rsidR="005A7AF3" w:rsidRPr="005A7AF3">
        <w:rPr>
          <w:rFonts w:ascii="Segoe UI" w:hAnsi="Segoe UI" w:cs="Segoe UI"/>
        </w:rPr>
        <w:t xml:space="preserve">Secretaría Técnica </w:t>
      </w:r>
      <w:r w:rsidRPr="005A7AF3">
        <w:rPr>
          <w:rFonts w:ascii="Segoe UI" w:hAnsi="Segoe UI" w:cs="Segoe UI"/>
        </w:rPr>
        <w:t xml:space="preserve">de </w:t>
      </w:r>
      <w:r w:rsidR="005A7AF3" w:rsidRPr="005A7AF3">
        <w:rPr>
          <w:rFonts w:ascii="Segoe UI" w:hAnsi="Segoe UI" w:cs="Segoe UI"/>
        </w:rPr>
        <w:t xml:space="preserve">Igualdad </w:t>
      </w:r>
      <w:r w:rsidR="009D2AF7" w:rsidRPr="005A7AF3">
        <w:rPr>
          <w:rFonts w:ascii="Segoe UI" w:hAnsi="Segoe UI" w:cs="Segoe UI"/>
        </w:rPr>
        <w:t xml:space="preserve">de </w:t>
      </w:r>
      <w:r w:rsidR="005A7AF3" w:rsidRPr="005A7AF3">
        <w:rPr>
          <w:rFonts w:ascii="Segoe UI" w:hAnsi="Segoe UI" w:cs="Segoe UI"/>
        </w:rPr>
        <w:t xml:space="preserve">Género </w:t>
      </w:r>
      <w:r w:rsidR="009D2AF7" w:rsidRPr="005A7AF3">
        <w:rPr>
          <w:rFonts w:ascii="Segoe UI" w:hAnsi="Segoe UI" w:cs="Segoe UI"/>
        </w:rPr>
        <w:t xml:space="preserve">y </w:t>
      </w:r>
      <w:r w:rsidR="005A7AF3" w:rsidRPr="005A7AF3">
        <w:rPr>
          <w:rFonts w:ascii="Segoe UI" w:hAnsi="Segoe UI" w:cs="Segoe UI"/>
        </w:rPr>
        <w:t>No Discriminación</w:t>
      </w:r>
      <w:r w:rsidRPr="005A7AF3">
        <w:rPr>
          <w:rFonts w:ascii="Segoe UI" w:hAnsi="Segoe UI" w:cs="Segoe UI"/>
        </w:rPr>
        <w:t xml:space="preserve">, la </w:t>
      </w:r>
      <w:r w:rsidR="005A7AF3" w:rsidRPr="005A7AF3">
        <w:rPr>
          <w:rFonts w:ascii="Segoe UI" w:hAnsi="Segoe UI" w:cs="Segoe UI"/>
        </w:rPr>
        <w:t xml:space="preserve">Comisión </w:t>
      </w:r>
      <w:r w:rsidRPr="005A7AF3">
        <w:rPr>
          <w:rFonts w:ascii="Segoe UI" w:hAnsi="Segoe UI" w:cs="Segoe UI"/>
        </w:rPr>
        <w:t xml:space="preserve">de </w:t>
      </w:r>
      <w:r w:rsidR="005A7AF3" w:rsidRPr="005A7AF3">
        <w:rPr>
          <w:rFonts w:ascii="Segoe UI" w:hAnsi="Segoe UI" w:cs="Segoe UI"/>
        </w:rPr>
        <w:t xml:space="preserve">Lenguaje Claro </w:t>
      </w:r>
      <w:r w:rsidRPr="005A7AF3">
        <w:rPr>
          <w:rFonts w:ascii="Segoe UI" w:hAnsi="Segoe UI" w:cs="Segoe UI"/>
        </w:rPr>
        <w:t xml:space="preserve">y el </w:t>
      </w:r>
      <w:r w:rsidR="005A7AF3" w:rsidRPr="005A7AF3">
        <w:rPr>
          <w:rFonts w:ascii="Segoe UI" w:hAnsi="Segoe UI" w:cs="Segoe UI"/>
        </w:rPr>
        <w:t xml:space="preserve">Subcomité </w:t>
      </w:r>
      <w:r w:rsidRPr="005A7AF3">
        <w:rPr>
          <w:rFonts w:ascii="Segoe UI" w:hAnsi="Segoe UI" w:cs="Segoe UI"/>
        </w:rPr>
        <w:t xml:space="preserve">sobre </w:t>
      </w:r>
      <w:r w:rsidR="005A7AF3" w:rsidRPr="005A7AF3">
        <w:rPr>
          <w:rFonts w:ascii="Segoe UI" w:hAnsi="Segoe UI" w:cs="Segoe UI"/>
        </w:rPr>
        <w:t xml:space="preserve">Acceso </w:t>
      </w:r>
      <w:r w:rsidRPr="005A7AF3">
        <w:rPr>
          <w:rFonts w:ascii="Segoe UI" w:hAnsi="Segoe UI" w:cs="Segoe UI"/>
        </w:rPr>
        <w:t xml:space="preserve">a la </w:t>
      </w:r>
      <w:r w:rsidR="005A7AF3" w:rsidRPr="005A7AF3">
        <w:rPr>
          <w:rFonts w:ascii="Segoe UI" w:hAnsi="Segoe UI" w:cs="Segoe UI"/>
        </w:rPr>
        <w:t xml:space="preserve">Justicia </w:t>
      </w:r>
      <w:r w:rsidRPr="005A7AF3">
        <w:rPr>
          <w:rFonts w:ascii="Segoe UI" w:hAnsi="Segoe UI" w:cs="Segoe UI"/>
        </w:rPr>
        <w:t xml:space="preserve">de </w:t>
      </w:r>
      <w:r w:rsidR="005A7AF3" w:rsidRPr="005A7AF3">
        <w:rPr>
          <w:rFonts w:ascii="Segoe UI" w:hAnsi="Segoe UI" w:cs="Segoe UI"/>
        </w:rPr>
        <w:t>Grupos Vulnerables</w:t>
      </w:r>
      <w:r w:rsidRPr="005A7AF3">
        <w:rPr>
          <w:rFonts w:ascii="Segoe UI" w:hAnsi="Segoe UI" w:cs="Segoe UI"/>
        </w:rPr>
        <w:t>.</w:t>
      </w:r>
    </w:p>
    <w:p w14:paraId="6A2C8754" w14:textId="77777777" w:rsidR="00C463EC" w:rsidRPr="008E2FC2" w:rsidRDefault="002F6161"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bCs/>
          <w:u w:val="single"/>
        </w:rPr>
      </w:pPr>
      <w:r w:rsidRPr="008E2FC2">
        <w:rPr>
          <w:rFonts w:ascii="Segoe UI" w:hAnsi="Segoe UI" w:cs="Segoe UI"/>
          <w:bCs/>
          <w:u w:val="single"/>
        </w:rPr>
        <w:t>Ed</w:t>
      </w:r>
      <w:r w:rsidR="00C463EC" w:rsidRPr="008E2FC2">
        <w:rPr>
          <w:rFonts w:ascii="Segoe UI" w:hAnsi="Segoe UI" w:cs="Segoe UI"/>
          <w:bCs/>
          <w:u w:val="single"/>
        </w:rPr>
        <w:t>ucación y capacitación conjunta</w:t>
      </w:r>
    </w:p>
    <w:p w14:paraId="6A2C8755" w14:textId="77777777" w:rsidR="002F6161" w:rsidRPr="0047497B" w:rsidRDefault="00AA7B77" w:rsidP="00C54D28">
      <w:pPr>
        <w:shd w:val="clear" w:color="auto" w:fill="FFFFFF"/>
        <w:tabs>
          <w:tab w:val="left" w:pos="142"/>
        </w:tabs>
        <w:spacing w:before="120" w:after="120" w:line="240" w:lineRule="auto"/>
        <w:jc w:val="both"/>
        <w:rPr>
          <w:rFonts w:ascii="Segoe UI" w:hAnsi="Segoe UI" w:cs="Segoe UI"/>
        </w:rPr>
      </w:pPr>
      <w:r w:rsidRPr="0047497B">
        <w:rPr>
          <w:rFonts w:ascii="Segoe UI" w:hAnsi="Segoe UI" w:cs="Segoe UI"/>
        </w:rPr>
        <w:t>Corresponde a la educación y formación en materia de d</w:t>
      </w:r>
      <w:r w:rsidR="00FE3AE0" w:rsidRPr="0047497B">
        <w:rPr>
          <w:rFonts w:ascii="Segoe UI" w:hAnsi="Segoe UI" w:cs="Segoe UI"/>
        </w:rPr>
        <w:t xml:space="preserve">erechos humanos, </w:t>
      </w:r>
      <w:r w:rsidR="00D43430">
        <w:rPr>
          <w:rFonts w:ascii="Segoe UI" w:hAnsi="Segoe UI" w:cs="Segoe UI"/>
        </w:rPr>
        <w:t xml:space="preserve">y que </w:t>
      </w:r>
      <w:r w:rsidRPr="0047497B">
        <w:rPr>
          <w:rFonts w:ascii="Segoe UI" w:hAnsi="Segoe UI" w:cs="Segoe UI"/>
        </w:rPr>
        <w:t xml:space="preserve">incorpora enfoques </w:t>
      </w:r>
      <w:r w:rsidR="00D43430">
        <w:rPr>
          <w:rFonts w:ascii="Segoe UI" w:hAnsi="Segoe UI" w:cs="Segoe UI"/>
        </w:rPr>
        <w:t xml:space="preserve">de </w:t>
      </w:r>
      <w:r w:rsidRPr="0047497B">
        <w:rPr>
          <w:rFonts w:ascii="Segoe UI" w:hAnsi="Segoe UI" w:cs="Segoe UI"/>
        </w:rPr>
        <w:t xml:space="preserve">prevención y la exigibilidad. </w:t>
      </w:r>
    </w:p>
    <w:p w14:paraId="6A2C8756" w14:textId="77777777" w:rsidR="00C463EC" w:rsidRPr="0047497B" w:rsidRDefault="005A7AF3" w:rsidP="00C54D28">
      <w:pPr>
        <w:tabs>
          <w:tab w:val="left" w:pos="142"/>
        </w:tabs>
        <w:spacing w:before="120" w:after="120" w:line="240" w:lineRule="auto"/>
        <w:jc w:val="both"/>
        <w:rPr>
          <w:rFonts w:ascii="Segoe UI" w:eastAsia="Calibri" w:hAnsi="Segoe UI" w:cs="Segoe UI"/>
        </w:rPr>
      </w:pPr>
      <w:r w:rsidRPr="005A7AF3">
        <w:rPr>
          <w:rFonts w:ascii="Segoe UI" w:eastAsia="Calibri" w:hAnsi="Segoe UI" w:cs="Segoe UI"/>
        </w:rPr>
        <w:t xml:space="preserve">Al respecto, cabe destacar el rol desempeñado por la </w:t>
      </w:r>
      <w:r w:rsidR="00C463EC" w:rsidRPr="005A7AF3">
        <w:rPr>
          <w:rFonts w:ascii="Segoe UI" w:eastAsia="Calibri" w:hAnsi="Segoe UI" w:cs="Segoe UI"/>
        </w:rPr>
        <w:t>Clínicas Jurídicas de las Facultades de Derech</w:t>
      </w:r>
      <w:r>
        <w:rPr>
          <w:rFonts w:ascii="Segoe UI" w:eastAsia="Calibri" w:hAnsi="Segoe UI" w:cs="Segoe UI"/>
        </w:rPr>
        <w:t>o de las Universidades del país. Ellas c</w:t>
      </w:r>
      <w:r w:rsidR="00C463EC" w:rsidRPr="0047497B">
        <w:rPr>
          <w:rFonts w:ascii="Segoe UI" w:eastAsia="Calibri" w:hAnsi="Segoe UI" w:cs="Segoe UI"/>
        </w:rPr>
        <w:t>orresponden a departamentos de dichas facultades que, insertadas como ramos obligatorios dentro de la malla curricular de Derecho, brindan servicios de asistencia jurídica y judicial a personas de situación económica deficiente a través de sus alumnos, los cuales tramitan causas ante la jurisdicción o entidades administrativas bajo la supervisión de un profesor.</w:t>
      </w:r>
    </w:p>
    <w:p w14:paraId="6A2C8757" w14:textId="77777777" w:rsidR="00C463EC" w:rsidRPr="0047497B" w:rsidRDefault="00C463EC" w:rsidP="00C54D28">
      <w:pPr>
        <w:tabs>
          <w:tab w:val="left" w:pos="142"/>
        </w:tabs>
        <w:spacing w:before="120" w:after="120" w:line="240" w:lineRule="auto"/>
        <w:jc w:val="both"/>
        <w:rPr>
          <w:rFonts w:ascii="Segoe UI" w:eastAsia="Calibri" w:hAnsi="Segoe UI" w:cs="Segoe UI"/>
        </w:rPr>
      </w:pPr>
      <w:r w:rsidRPr="0047497B">
        <w:rPr>
          <w:rFonts w:ascii="Segoe UI" w:eastAsia="Calibri" w:hAnsi="Segoe UI" w:cs="Segoe UI"/>
        </w:rPr>
        <w:t>Su origen data de la década de 1970, en el marco del proyecto “Derecho y Desarrollo” de la Fundación Ford, de manera que se reprodujera en Latinoamérica el modelo c</w:t>
      </w:r>
      <w:r w:rsidR="0061375A" w:rsidRPr="0047497B">
        <w:rPr>
          <w:rFonts w:ascii="Segoe UI" w:eastAsia="Calibri" w:hAnsi="Segoe UI" w:cs="Segoe UI"/>
        </w:rPr>
        <w:t>línico de enseñanza del Derecho</w:t>
      </w:r>
      <w:r w:rsidRPr="0047497B">
        <w:rPr>
          <w:rFonts w:ascii="Segoe UI" w:hAnsi="Segoe UI" w:cs="Segoe UI"/>
          <w:vertAlign w:val="superscript"/>
        </w:rPr>
        <w:footnoteReference w:id="4"/>
      </w:r>
      <w:r w:rsidR="0061375A" w:rsidRPr="0047497B">
        <w:rPr>
          <w:rFonts w:ascii="Segoe UI" w:eastAsia="Calibri" w:hAnsi="Segoe UI" w:cs="Segoe UI"/>
        </w:rPr>
        <w:t>. S</w:t>
      </w:r>
      <w:r w:rsidRPr="0047497B">
        <w:rPr>
          <w:rFonts w:ascii="Segoe UI" w:eastAsia="Calibri" w:hAnsi="Segoe UI" w:cs="Segoe UI"/>
        </w:rPr>
        <w:t>uelen cumplir una doble función: por un lado, acercar al estudiante a un aprendizaje práctico del Derecho, por otro efectuar una labor social de conexión de la Universidad con la comunidad a través de la prestación de servicios jurídicos gratuitos.</w:t>
      </w:r>
    </w:p>
    <w:p w14:paraId="6A2C8758" w14:textId="77777777" w:rsidR="00FE3AE0" w:rsidRPr="0047497B" w:rsidRDefault="005A7AF3" w:rsidP="00C54D28">
      <w:pPr>
        <w:shd w:val="clear" w:color="auto" w:fill="FFFFFF"/>
        <w:tabs>
          <w:tab w:val="left" w:pos="142"/>
        </w:tabs>
        <w:spacing w:before="120" w:after="120" w:line="240" w:lineRule="auto"/>
        <w:jc w:val="both"/>
        <w:rPr>
          <w:rFonts w:ascii="Segoe UI" w:hAnsi="Segoe UI" w:cs="Segoe UI"/>
        </w:rPr>
      </w:pPr>
      <w:r>
        <w:rPr>
          <w:rFonts w:ascii="Segoe UI" w:hAnsi="Segoe UI" w:cs="Segoe UI"/>
        </w:rPr>
        <w:t>Asimismo</w:t>
      </w:r>
      <w:r w:rsidR="00FE3AE0" w:rsidRPr="0047497B">
        <w:rPr>
          <w:rFonts w:ascii="Segoe UI" w:hAnsi="Segoe UI" w:cs="Segoe UI"/>
        </w:rPr>
        <w:t>, los abogados pueden trabajar junto con otros defensores de la justicia de base para impartir talleres y capacitaciones sobre temas legales relevantes para la comunidad, mejorando el alcance y la calidad de la educación y capacitación.</w:t>
      </w:r>
    </w:p>
    <w:p w14:paraId="6A2C8759" w14:textId="77777777" w:rsidR="00C463EC" w:rsidRPr="008E2FC2" w:rsidRDefault="00C463EC"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bCs/>
          <w:u w:val="single"/>
        </w:rPr>
      </w:pPr>
      <w:r w:rsidRPr="008E2FC2">
        <w:rPr>
          <w:rFonts w:ascii="Segoe UI" w:hAnsi="Segoe UI" w:cs="Segoe UI"/>
          <w:bCs/>
          <w:u w:val="single"/>
        </w:rPr>
        <w:t>Fundaciones Pro-Bono</w:t>
      </w:r>
    </w:p>
    <w:p w14:paraId="6A2C875A" w14:textId="77777777" w:rsidR="00C463EC" w:rsidRPr="0047497B" w:rsidRDefault="00C463EC" w:rsidP="00C54D28">
      <w:pPr>
        <w:tabs>
          <w:tab w:val="left" w:pos="142"/>
        </w:tabs>
        <w:spacing w:before="120" w:after="120" w:line="240" w:lineRule="auto"/>
        <w:jc w:val="both"/>
        <w:rPr>
          <w:rFonts w:ascii="Segoe UI" w:eastAsia="Calibri" w:hAnsi="Segoe UI" w:cs="Segoe UI"/>
        </w:rPr>
      </w:pPr>
      <w:r w:rsidRPr="0047497B">
        <w:rPr>
          <w:rFonts w:ascii="Segoe UI" w:eastAsia="Calibri" w:hAnsi="Segoe UI" w:cs="Segoe UI"/>
        </w:rPr>
        <w:lastRenderedPageBreak/>
        <w:t>El trabajo pro-bono es aquel conjunto de servicios gratuitos que buscan proteger el interés público o las organizaciones de la sociedad civil que cumplen con este objetivo. Este suele caracterizarse por ser ofrecido por abogados en su esfera privada del ejercicio, quienes no son remunerados por sus beneficiarios, sino que reciben financiamiento de terceros, principalmente entidades no lucrativas.</w:t>
      </w:r>
    </w:p>
    <w:p w14:paraId="6A2C875B" w14:textId="77777777" w:rsidR="00C463EC" w:rsidRPr="0047497B" w:rsidRDefault="00C463EC" w:rsidP="00C54D28">
      <w:pPr>
        <w:tabs>
          <w:tab w:val="left" w:pos="142"/>
        </w:tabs>
        <w:spacing w:before="120" w:after="120" w:line="240" w:lineRule="auto"/>
        <w:jc w:val="both"/>
        <w:rPr>
          <w:rFonts w:ascii="Segoe UI" w:eastAsia="Calibri" w:hAnsi="Segoe UI" w:cs="Segoe UI"/>
        </w:rPr>
      </w:pPr>
      <w:r w:rsidRPr="0047497B">
        <w:rPr>
          <w:rFonts w:ascii="Segoe UI" w:eastAsia="Calibri" w:hAnsi="Segoe UI" w:cs="Segoe UI"/>
        </w:rPr>
        <w:t>Esta actividad se ha ido institucionalizando dentro del sector privado ya que traen aparejados una serie de beneficios como el mejoramiento de las relaciones públicas, el aumento de los beneficios económicos, facilitar el entrenamiento de los abogados</w:t>
      </w:r>
      <w:r w:rsidR="00EA14C3" w:rsidRPr="0047497B">
        <w:rPr>
          <w:rFonts w:ascii="Segoe UI" w:eastAsia="Calibri" w:hAnsi="Segoe UI" w:cs="Segoe UI"/>
        </w:rPr>
        <w:t>, o incrementar su reputación</w:t>
      </w:r>
      <w:r w:rsidRPr="0047497B">
        <w:rPr>
          <w:rFonts w:ascii="Segoe UI" w:eastAsia="Calibri" w:hAnsi="Segoe UI" w:cs="Segoe UI"/>
          <w:vertAlign w:val="superscript"/>
        </w:rPr>
        <w:footnoteReference w:id="5"/>
      </w:r>
      <w:r w:rsidR="00EA14C3" w:rsidRPr="0047497B">
        <w:rPr>
          <w:rFonts w:ascii="Segoe UI" w:eastAsia="Calibri" w:hAnsi="Segoe UI" w:cs="Segoe UI"/>
        </w:rPr>
        <w:t>.</w:t>
      </w:r>
    </w:p>
    <w:p w14:paraId="6A2C875C" w14:textId="77777777" w:rsidR="00C463EC" w:rsidRPr="0047497B" w:rsidRDefault="00C463EC" w:rsidP="00C54D28">
      <w:pPr>
        <w:tabs>
          <w:tab w:val="left" w:pos="142"/>
        </w:tabs>
        <w:spacing w:before="120" w:after="120" w:line="240" w:lineRule="auto"/>
        <w:jc w:val="both"/>
        <w:rPr>
          <w:rFonts w:ascii="Segoe UI" w:eastAsia="Calibri" w:hAnsi="Segoe UI" w:cs="Segoe UI"/>
        </w:rPr>
      </w:pPr>
      <w:r w:rsidRPr="0047497B">
        <w:rPr>
          <w:rFonts w:ascii="Segoe UI" w:eastAsia="Calibri" w:hAnsi="Segoe UI" w:cs="Segoe UI"/>
        </w:rPr>
        <w:t>En nuestro país se conoce la “Fundación Pro Bono”, creada el año 2000 con la finalidad de generar una red de colaboración para promover y facilitar el acceso a la justicia en favor de personas en situación de vulnerabilidad y organizaciones sociales.</w:t>
      </w:r>
      <w:r w:rsidRPr="0047497B">
        <w:rPr>
          <w:rFonts w:ascii="Segoe UI" w:eastAsia="Calibri" w:hAnsi="Segoe UI" w:cs="Segoe UI"/>
          <w:vertAlign w:val="superscript"/>
        </w:rPr>
        <w:footnoteReference w:id="6"/>
      </w:r>
      <w:r w:rsidRPr="0047497B">
        <w:rPr>
          <w:rFonts w:ascii="Segoe UI" w:eastAsia="Calibri" w:hAnsi="Segoe UI" w:cs="Segoe UI"/>
        </w:rPr>
        <w:t xml:space="preserve"> Actualmente la fundación actúa como un intermediario entre el sector privado y la sociedad civil. </w:t>
      </w:r>
    </w:p>
    <w:p w14:paraId="6A2C875D" w14:textId="77777777" w:rsidR="005E3C50" w:rsidRPr="008E2FC2" w:rsidRDefault="005E3C50"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bCs/>
          <w:u w:val="single"/>
        </w:rPr>
      </w:pPr>
      <w:r w:rsidRPr="008E2FC2">
        <w:rPr>
          <w:rFonts w:ascii="Segoe UI" w:hAnsi="Segoe UI" w:cs="Segoe UI"/>
          <w:bCs/>
          <w:u w:val="single"/>
        </w:rPr>
        <w:t>Organizaciones de la Sociedad Civil</w:t>
      </w:r>
    </w:p>
    <w:p w14:paraId="6A2C875E" w14:textId="77777777" w:rsidR="00A37DD9" w:rsidRDefault="005E3C50" w:rsidP="00C54D28">
      <w:pPr>
        <w:tabs>
          <w:tab w:val="left" w:pos="142"/>
        </w:tabs>
        <w:autoSpaceDE w:val="0"/>
        <w:autoSpaceDN w:val="0"/>
        <w:adjustRightInd w:val="0"/>
        <w:spacing w:before="120" w:after="120" w:line="240" w:lineRule="auto"/>
        <w:jc w:val="both"/>
        <w:rPr>
          <w:rFonts w:ascii="Segoe UI" w:hAnsi="Segoe UI" w:cs="Segoe UI"/>
        </w:rPr>
      </w:pPr>
      <w:r w:rsidRPr="0047497B">
        <w:rPr>
          <w:rFonts w:ascii="Segoe UI" w:hAnsi="Segoe UI" w:cs="Segoe UI"/>
        </w:rPr>
        <w:t>Existe además una red no articulada de organizaciones de la sociedad civil que entregan asesoría y representación jurídica gratuita en diversas áreas temáticas, según los enfoques y competencias de la propi</w:t>
      </w:r>
      <w:r w:rsidR="00492A29">
        <w:rPr>
          <w:rFonts w:ascii="Segoe UI" w:hAnsi="Segoe UI" w:cs="Segoe UI"/>
        </w:rPr>
        <w:t xml:space="preserve">a organización. </w:t>
      </w:r>
    </w:p>
    <w:p w14:paraId="6A2C875F" w14:textId="77777777" w:rsidR="00A37DD9" w:rsidRDefault="00492A29" w:rsidP="00C54D28">
      <w:pPr>
        <w:tabs>
          <w:tab w:val="left" w:pos="142"/>
        </w:tabs>
        <w:autoSpaceDE w:val="0"/>
        <w:autoSpaceDN w:val="0"/>
        <w:adjustRightInd w:val="0"/>
        <w:spacing w:before="120" w:after="120" w:line="240" w:lineRule="auto"/>
        <w:jc w:val="both"/>
        <w:rPr>
          <w:rFonts w:ascii="Segoe UI" w:hAnsi="Segoe UI" w:cs="Segoe UI"/>
        </w:rPr>
      </w:pPr>
      <w:r>
        <w:rPr>
          <w:rFonts w:ascii="Segoe UI" w:hAnsi="Segoe UI" w:cs="Segoe UI"/>
        </w:rPr>
        <w:t>En este ámbito existen</w:t>
      </w:r>
      <w:r w:rsidR="005E3C50" w:rsidRPr="0047497B">
        <w:rPr>
          <w:rFonts w:ascii="Segoe UI" w:hAnsi="Segoe UI" w:cs="Segoe UI"/>
        </w:rPr>
        <w:t xml:space="preserve"> las Asociaciones de consumidores que actúan como representantes de un colectivo en los procesos colectivos por vulneración de los derechos fundamentales de las y los consumidores. </w:t>
      </w:r>
      <w:r>
        <w:rPr>
          <w:rFonts w:ascii="Segoe UI" w:hAnsi="Segoe UI" w:cs="Segoe UI"/>
        </w:rPr>
        <w:t xml:space="preserve">Por otra parte, hay </w:t>
      </w:r>
      <w:r w:rsidR="005E3C50" w:rsidRPr="0047497B">
        <w:rPr>
          <w:rFonts w:ascii="Segoe UI" w:hAnsi="Segoe UI" w:cs="Segoe UI"/>
        </w:rPr>
        <w:t xml:space="preserve">ONG’s especializadas en algún área temática que entregan asesoría y representación jurídica, tales como Fundación Iguales y Movimiento de Integración y Liberación Homosexual, en los casos relacionados con la Población LGBTIQ+; o el Servicio Jesuita Migrante en los casos que afectan a la población migrante del país. </w:t>
      </w:r>
    </w:p>
    <w:p w14:paraId="6A2C8760" w14:textId="77777777" w:rsidR="00C463EC" w:rsidRPr="008E2FC2" w:rsidRDefault="002F6161"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bCs/>
          <w:u w:val="single"/>
        </w:rPr>
      </w:pPr>
      <w:r w:rsidRPr="008E2FC2">
        <w:rPr>
          <w:rFonts w:ascii="Segoe UI" w:hAnsi="Segoe UI" w:cs="Segoe UI"/>
          <w:bCs/>
          <w:u w:val="single"/>
        </w:rPr>
        <w:t xml:space="preserve">Trabajo </w:t>
      </w:r>
      <w:r w:rsidR="00C463EC" w:rsidRPr="008E2FC2">
        <w:rPr>
          <w:rFonts w:ascii="Segoe UI" w:hAnsi="Segoe UI" w:cs="Segoe UI"/>
          <w:bCs/>
          <w:u w:val="single"/>
        </w:rPr>
        <w:t>en equipo en casos individuales</w:t>
      </w:r>
    </w:p>
    <w:p w14:paraId="6A2C8761" w14:textId="77777777" w:rsidR="002F6161" w:rsidRPr="0047497B" w:rsidRDefault="002F6161" w:rsidP="00C54D28">
      <w:pPr>
        <w:shd w:val="clear" w:color="auto" w:fill="FFFFFF"/>
        <w:tabs>
          <w:tab w:val="left" w:pos="284"/>
        </w:tabs>
        <w:spacing w:before="120" w:after="120" w:line="240" w:lineRule="auto"/>
        <w:jc w:val="both"/>
        <w:rPr>
          <w:rFonts w:ascii="Segoe UI" w:hAnsi="Segoe UI" w:cs="Segoe UI"/>
        </w:rPr>
      </w:pPr>
      <w:r w:rsidRPr="0047497B">
        <w:rPr>
          <w:rFonts w:ascii="Segoe UI" w:hAnsi="Segoe UI" w:cs="Segoe UI"/>
        </w:rPr>
        <w:t xml:space="preserve">Los abogados pueden trabajar en colaboración con otros defensores de la justicia de base en casos individuales para proporcionar asesoramiento </w:t>
      </w:r>
      <w:r w:rsidR="00A37DD9">
        <w:rPr>
          <w:rFonts w:ascii="Segoe UI" w:hAnsi="Segoe UI" w:cs="Segoe UI"/>
        </w:rPr>
        <w:t>y representación legal integral, e</w:t>
      </w:r>
      <w:r w:rsidRPr="0047497B">
        <w:rPr>
          <w:rFonts w:ascii="Segoe UI" w:hAnsi="Segoe UI" w:cs="Segoe UI"/>
        </w:rPr>
        <w:t>sto puede incluir la participación de asistentes jurídicos y defensores comunitarios en la recopilación de pruebas o la preparación de documentos legales cumpliendo una labor de asesoría legal.</w:t>
      </w:r>
    </w:p>
    <w:p w14:paraId="6A2C8762" w14:textId="77777777" w:rsidR="00C463EC" w:rsidRPr="008E2FC2" w:rsidRDefault="002F6161"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bCs/>
          <w:u w:val="single"/>
        </w:rPr>
      </w:pPr>
      <w:r w:rsidRPr="008E2FC2">
        <w:rPr>
          <w:rFonts w:ascii="Segoe UI" w:hAnsi="Segoe UI" w:cs="Segoe UI"/>
          <w:bCs/>
          <w:u w:val="single"/>
        </w:rPr>
        <w:t>Litigio estratégico</w:t>
      </w:r>
    </w:p>
    <w:p w14:paraId="6A2C8763" w14:textId="77777777" w:rsidR="00513ACB" w:rsidRPr="0047497B" w:rsidRDefault="002F6161" w:rsidP="00C54D28">
      <w:pPr>
        <w:shd w:val="clear" w:color="auto" w:fill="FFFFFF"/>
        <w:tabs>
          <w:tab w:val="left" w:pos="284"/>
        </w:tabs>
        <w:spacing w:before="120" w:after="120" w:line="240" w:lineRule="auto"/>
        <w:jc w:val="both"/>
        <w:rPr>
          <w:rFonts w:ascii="Segoe UI" w:hAnsi="Segoe UI" w:cs="Segoe UI"/>
        </w:rPr>
      </w:pPr>
      <w:r w:rsidRPr="0047497B">
        <w:rPr>
          <w:rFonts w:ascii="Segoe UI" w:hAnsi="Segoe UI" w:cs="Segoe UI"/>
        </w:rPr>
        <w:t xml:space="preserve">La Corporación de Asistencia Judicial de la Región Metropolitana cuenta con la Oficina de </w:t>
      </w:r>
      <w:r w:rsidR="005A7AF3">
        <w:rPr>
          <w:rFonts w:ascii="Segoe UI" w:hAnsi="Segoe UI" w:cs="Segoe UI"/>
        </w:rPr>
        <w:t>Derechos Humanos</w:t>
      </w:r>
      <w:r w:rsidRPr="0047497B">
        <w:rPr>
          <w:rFonts w:ascii="Segoe UI" w:hAnsi="Segoe UI" w:cs="Segoe UI"/>
        </w:rPr>
        <w:t xml:space="preserve"> encargada de la defensa de personas que han visto vulnerados sus derechos fundamentales por parte de órganos del Estado.</w:t>
      </w:r>
      <w:r w:rsidR="00696B10">
        <w:rPr>
          <w:rFonts w:ascii="Segoe UI" w:hAnsi="Segoe UI" w:cs="Segoe UI"/>
        </w:rPr>
        <w:t xml:space="preserve"> </w:t>
      </w:r>
      <w:r w:rsidRPr="0047497B">
        <w:rPr>
          <w:rFonts w:ascii="Segoe UI" w:hAnsi="Segoe UI" w:cs="Segoe UI"/>
        </w:rPr>
        <w:t xml:space="preserve">Esto se realiza a través de </w:t>
      </w:r>
      <w:r w:rsidRPr="0047497B">
        <w:rPr>
          <w:rFonts w:ascii="Segoe UI" w:hAnsi="Segoe UI" w:cs="Segoe UI"/>
        </w:rPr>
        <w:lastRenderedPageBreak/>
        <w:t xml:space="preserve">la </w:t>
      </w:r>
      <w:r w:rsidR="00027737" w:rsidRPr="0047497B">
        <w:rPr>
          <w:rFonts w:ascii="Segoe UI" w:hAnsi="Segoe UI" w:cs="Segoe UI"/>
        </w:rPr>
        <w:t>representación</w:t>
      </w:r>
      <w:r w:rsidRPr="0047497B">
        <w:rPr>
          <w:rFonts w:ascii="Segoe UI" w:hAnsi="Segoe UI" w:cs="Segoe UI"/>
        </w:rPr>
        <w:t xml:space="preserve"> judicial ante tribunales competentes que conozcan de las materias señaladas, </w:t>
      </w:r>
      <w:r w:rsidR="00027737" w:rsidRPr="0047497B">
        <w:rPr>
          <w:rFonts w:ascii="Segoe UI" w:hAnsi="Segoe UI" w:cs="Segoe UI"/>
        </w:rPr>
        <w:t>así</w:t>
      </w:r>
      <w:r w:rsidRPr="0047497B">
        <w:rPr>
          <w:rFonts w:ascii="Segoe UI" w:hAnsi="Segoe UI" w:cs="Segoe UI"/>
        </w:rPr>
        <w:t xml:space="preserve"> como también a través funciones de carácter extrajudicial o administrativas tales como: sumarios administrativos por violencia policial; solicitud de reconocimiento por tener calidad de exonerado político o de calidad de refugiados entre muchas otras que digan relación con la materia.</w:t>
      </w:r>
      <w:r w:rsidR="00513ACB" w:rsidRPr="0047497B">
        <w:rPr>
          <w:rFonts w:ascii="Segoe UI" w:hAnsi="Segoe UI" w:cs="Segoe UI"/>
        </w:rPr>
        <w:t xml:space="preserve"> </w:t>
      </w:r>
    </w:p>
    <w:p w14:paraId="6A2C8764" w14:textId="77777777" w:rsidR="00027737" w:rsidRPr="008E2FC2" w:rsidRDefault="002F6161"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bCs/>
          <w:u w:val="single"/>
        </w:rPr>
      </w:pPr>
      <w:r w:rsidRPr="008E2FC2">
        <w:rPr>
          <w:rFonts w:ascii="Segoe UI" w:hAnsi="Segoe UI" w:cs="Segoe UI"/>
          <w:bCs/>
          <w:u w:val="single"/>
        </w:rPr>
        <w:t xml:space="preserve">Desarrollo de </w:t>
      </w:r>
      <w:r w:rsidR="00027737" w:rsidRPr="008E2FC2">
        <w:rPr>
          <w:rFonts w:ascii="Segoe UI" w:hAnsi="Segoe UI" w:cs="Segoe UI"/>
          <w:bCs/>
          <w:u w:val="single"/>
        </w:rPr>
        <w:t>herramientas y recursos legales</w:t>
      </w:r>
    </w:p>
    <w:p w14:paraId="6A2C8765" w14:textId="77777777" w:rsidR="00630673" w:rsidRDefault="00630673" w:rsidP="00C54D28">
      <w:pPr>
        <w:shd w:val="clear" w:color="auto" w:fill="FFFFFF"/>
        <w:tabs>
          <w:tab w:val="left" w:pos="284"/>
        </w:tabs>
        <w:spacing w:before="120" w:after="120" w:line="240" w:lineRule="auto"/>
        <w:jc w:val="both"/>
        <w:rPr>
          <w:rFonts w:ascii="Segoe UI" w:hAnsi="Segoe UI" w:cs="Segoe UI"/>
        </w:rPr>
      </w:pPr>
      <w:r w:rsidRPr="00630673">
        <w:rPr>
          <w:rFonts w:ascii="Segoe UI" w:hAnsi="Segoe UI" w:cs="Segoe UI"/>
        </w:rPr>
        <w:t>Es posible mencionar el aporte académico realizado por abogados tanto en clases de aula de las respectivas facultades de derecho de diferentes universidades; como en la exposición de seminarios, conferencias y publicación de libros, artículos de revistas y diferentes tipos de publicaciones relativas a variadas materias en el ámbito del derecho y en especial de los derechos fundamentales de las personas.</w:t>
      </w:r>
    </w:p>
    <w:p w14:paraId="6A2C8766" w14:textId="77777777" w:rsidR="00DA74BC" w:rsidRDefault="00630673" w:rsidP="00C54D28">
      <w:pPr>
        <w:shd w:val="clear" w:color="auto" w:fill="FFFFFF"/>
        <w:tabs>
          <w:tab w:val="left" w:pos="284"/>
        </w:tabs>
        <w:spacing w:before="120" w:after="120" w:line="240" w:lineRule="auto"/>
        <w:jc w:val="both"/>
        <w:rPr>
          <w:rFonts w:ascii="Segoe UI" w:hAnsi="Segoe UI" w:cs="Segoe UI"/>
        </w:rPr>
      </w:pPr>
      <w:r>
        <w:rPr>
          <w:rFonts w:ascii="Segoe UI" w:hAnsi="Segoe UI" w:cs="Segoe UI"/>
        </w:rPr>
        <w:t>Además, l</w:t>
      </w:r>
      <w:r w:rsidR="002F6161" w:rsidRPr="0047497B">
        <w:rPr>
          <w:rFonts w:ascii="Segoe UI" w:hAnsi="Segoe UI" w:cs="Segoe UI"/>
        </w:rPr>
        <w:t>os abogados pueden trabajar en colaboración con otros defensores de la justicia de base para desarrollar recursos legales y herramientas que sean accesibl</w:t>
      </w:r>
      <w:r w:rsidR="00DA74BC">
        <w:rPr>
          <w:rFonts w:ascii="Segoe UI" w:hAnsi="Segoe UI" w:cs="Segoe UI"/>
        </w:rPr>
        <w:t>es y útiles para la comunidad, e</w:t>
      </w:r>
      <w:r w:rsidR="002F6161" w:rsidRPr="0047497B">
        <w:rPr>
          <w:rFonts w:ascii="Segoe UI" w:hAnsi="Segoe UI" w:cs="Segoe UI"/>
        </w:rPr>
        <w:t>sto puede incluir guías y folletos, videos educativos o herramientas en línea.</w:t>
      </w:r>
    </w:p>
    <w:p w14:paraId="6A2C8767" w14:textId="77777777" w:rsidR="00027737" w:rsidRPr="008E2FC2" w:rsidRDefault="002F6161" w:rsidP="00C54D28">
      <w:pPr>
        <w:pStyle w:val="ListParagraph"/>
        <w:numPr>
          <w:ilvl w:val="0"/>
          <w:numId w:val="28"/>
        </w:numPr>
        <w:tabs>
          <w:tab w:val="left" w:pos="142"/>
        </w:tabs>
        <w:spacing w:before="120" w:after="120" w:line="240" w:lineRule="auto"/>
        <w:ind w:left="993" w:hanging="426"/>
        <w:contextualSpacing w:val="0"/>
        <w:jc w:val="both"/>
        <w:rPr>
          <w:rFonts w:ascii="Segoe UI" w:hAnsi="Segoe UI" w:cs="Segoe UI"/>
          <w:bCs/>
          <w:u w:val="single"/>
        </w:rPr>
      </w:pPr>
      <w:r w:rsidRPr="008E2FC2">
        <w:rPr>
          <w:rFonts w:ascii="Segoe UI" w:hAnsi="Segoe UI" w:cs="Segoe UI"/>
          <w:bCs/>
          <w:u w:val="single"/>
        </w:rPr>
        <w:t>Desar</w:t>
      </w:r>
      <w:r w:rsidR="00027737" w:rsidRPr="008E2FC2">
        <w:rPr>
          <w:rFonts w:ascii="Segoe UI" w:hAnsi="Segoe UI" w:cs="Segoe UI"/>
          <w:bCs/>
          <w:u w:val="single"/>
        </w:rPr>
        <w:t>rollo de redes y coaliciones</w:t>
      </w:r>
    </w:p>
    <w:p w14:paraId="6A2C8768" w14:textId="77777777" w:rsidR="002F6161" w:rsidRPr="0047497B" w:rsidRDefault="002F6161" w:rsidP="00C54D28">
      <w:pPr>
        <w:shd w:val="clear" w:color="auto" w:fill="FFFFFF"/>
        <w:tabs>
          <w:tab w:val="left" w:pos="284"/>
        </w:tabs>
        <w:spacing w:before="120" w:after="120" w:line="240" w:lineRule="auto"/>
        <w:jc w:val="both"/>
        <w:rPr>
          <w:rFonts w:ascii="Segoe UI" w:hAnsi="Segoe UI" w:cs="Segoe UI"/>
        </w:rPr>
      </w:pPr>
      <w:r w:rsidRPr="0047497B">
        <w:rPr>
          <w:rFonts w:ascii="Segoe UI" w:hAnsi="Segoe UI" w:cs="Segoe UI"/>
        </w:rPr>
        <w:t>Los abogados pueden trabajar con otros defensores de la justicia de base para desarrollar redes y coaliciones que fomenten la colaboración y el intercamb</w:t>
      </w:r>
      <w:r w:rsidR="00630673">
        <w:rPr>
          <w:rFonts w:ascii="Segoe UI" w:hAnsi="Segoe UI" w:cs="Segoe UI"/>
        </w:rPr>
        <w:t xml:space="preserve">io de conocimientos y recursos. </w:t>
      </w:r>
      <w:r w:rsidR="00630673" w:rsidRPr="0047497B">
        <w:rPr>
          <w:rFonts w:ascii="Segoe UI" w:hAnsi="Segoe UI" w:cs="Segoe UI"/>
        </w:rPr>
        <w:t>Es</w:t>
      </w:r>
      <w:r w:rsidR="00630673">
        <w:rPr>
          <w:rFonts w:ascii="Segoe UI" w:hAnsi="Segoe UI" w:cs="Segoe UI"/>
        </w:rPr>
        <w:t>t</w:t>
      </w:r>
      <w:r w:rsidR="00630673" w:rsidRPr="0047497B">
        <w:rPr>
          <w:rFonts w:ascii="Segoe UI" w:hAnsi="Segoe UI" w:cs="Segoe UI"/>
        </w:rPr>
        <w:t>as</w:t>
      </w:r>
      <w:r w:rsidRPr="0047497B">
        <w:rPr>
          <w:rFonts w:ascii="Segoe UI" w:hAnsi="Segoe UI" w:cs="Segoe UI"/>
        </w:rPr>
        <w:t xml:space="preserve"> pueden ayudar a ampliar el alcance y la influencia de los defensores de la justicia de base al trabajar en conjunto para abordar cuestion</w:t>
      </w:r>
      <w:r w:rsidR="00630673">
        <w:rPr>
          <w:rFonts w:ascii="Segoe UI" w:hAnsi="Segoe UI" w:cs="Segoe UI"/>
        </w:rPr>
        <w:t>es legales y de justicia social, p</w:t>
      </w:r>
      <w:r w:rsidRPr="0047497B">
        <w:rPr>
          <w:rFonts w:ascii="Segoe UI" w:hAnsi="Segoe UI" w:cs="Segoe UI"/>
        </w:rPr>
        <w:t>or ejemplo, la Asociación Gremial de Abogadas y Abogados Laboralistas de Chile; la Asociación de Abogados de Familia de Chile; A</w:t>
      </w:r>
      <w:r w:rsidR="00C80CA7">
        <w:rPr>
          <w:rFonts w:ascii="Segoe UI" w:hAnsi="Segoe UI" w:cs="Segoe UI"/>
        </w:rPr>
        <w:t xml:space="preserve">sociación de Abogados de Chile; </w:t>
      </w:r>
      <w:r w:rsidR="00C80CA7" w:rsidRPr="00C80CA7">
        <w:rPr>
          <w:rFonts w:ascii="Segoe UI" w:hAnsi="Segoe UI" w:cs="Segoe UI"/>
        </w:rPr>
        <w:t xml:space="preserve">Asociación de </w:t>
      </w:r>
      <w:r w:rsidR="005A7AF3" w:rsidRPr="00C80CA7">
        <w:rPr>
          <w:rFonts w:ascii="Segoe UI" w:hAnsi="Segoe UI" w:cs="Segoe UI"/>
        </w:rPr>
        <w:t>Abogadas Feministas</w:t>
      </w:r>
      <w:r w:rsidR="005A7AF3">
        <w:rPr>
          <w:rFonts w:ascii="Segoe UI" w:hAnsi="Segoe UI" w:cs="Segoe UI"/>
        </w:rPr>
        <w:t xml:space="preserve"> </w:t>
      </w:r>
      <w:r w:rsidR="00C80CA7">
        <w:rPr>
          <w:rFonts w:ascii="Segoe UI" w:hAnsi="Segoe UI" w:cs="Segoe UI"/>
        </w:rPr>
        <w:t xml:space="preserve">de Chile (ABOFEM), </w:t>
      </w:r>
      <w:r w:rsidRPr="0047497B">
        <w:rPr>
          <w:rFonts w:ascii="Segoe UI" w:hAnsi="Segoe UI" w:cs="Segoe UI"/>
        </w:rPr>
        <w:t>entre otros.</w:t>
      </w:r>
    </w:p>
    <w:p w14:paraId="6A2C8769" w14:textId="77777777" w:rsidR="005A7AF3" w:rsidRDefault="009A21AB" w:rsidP="00C54D28">
      <w:pPr>
        <w:pStyle w:val="ListParagraph"/>
        <w:numPr>
          <w:ilvl w:val="0"/>
          <w:numId w:val="27"/>
        </w:numPr>
        <w:tabs>
          <w:tab w:val="left" w:pos="142"/>
        </w:tabs>
        <w:spacing w:before="120" w:after="120" w:line="240" w:lineRule="auto"/>
        <w:contextualSpacing w:val="0"/>
        <w:jc w:val="both"/>
        <w:rPr>
          <w:rFonts w:ascii="Segoe UI" w:hAnsi="Segoe UI" w:cs="Segoe UI"/>
          <w:b/>
        </w:rPr>
      </w:pPr>
      <w:r w:rsidRPr="0047497B">
        <w:rPr>
          <w:rFonts w:ascii="Segoe UI" w:hAnsi="Segoe UI" w:cs="Segoe UI"/>
          <w:b/>
        </w:rPr>
        <w:t>Deficiencias de los sistemas judiciales existentes o de otros sistemas, que ilustran el valor de un acercamiento desde el empoderamiento legal, como son la discriminación sistémica, la exclusión y los daños cau</w:t>
      </w:r>
      <w:r w:rsidR="00CA5B69">
        <w:rPr>
          <w:rFonts w:ascii="Segoe UI" w:hAnsi="Segoe UI" w:cs="Segoe UI"/>
          <w:b/>
        </w:rPr>
        <w:t>sados por los sistemas legales</w:t>
      </w:r>
    </w:p>
    <w:p w14:paraId="6A2C876A" w14:textId="77777777" w:rsidR="009A21AB" w:rsidRPr="005A7AF3" w:rsidRDefault="00C80CA7" w:rsidP="00C54D28">
      <w:pPr>
        <w:tabs>
          <w:tab w:val="left" w:pos="142"/>
        </w:tabs>
        <w:spacing w:before="120" w:after="120" w:line="240" w:lineRule="auto"/>
        <w:jc w:val="both"/>
        <w:rPr>
          <w:rFonts w:ascii="Segoe UI" w:hAnsi="Segoe UI" w:cs="Segoe UI"/>
          <w:b/>
        </w:rPr>
      </w:pPr>
      <w:r w:rsidRPr="005A7AF3">
        <w:rPr>
          <w:rFonts w:ascii="Segoe UI" w:hAnsi="Segoe UI" w:cs="Segoe UI"/>
        </w:rPr>
        <w:t xml:space="preserve">En </w:t>
      </w:r>
      <w:r w:rsidR="005A7AF3" w:rsidRPr="005A7AF3">
        <w:rPr>
          <w:rFonts w:ascii="Segoe UI" w:hAnsi="Segoe UI" w:cs="Segoe UI"/>
        </w:rPr>
        <w:t xml:space="preserve">materia de recursos, </w:t>
      </w:r>
      <w:r w:rsidR="00027737" w:rsidRPr="005A7AF3">
        <w:rPr>
          <w:rFonts w:ascii="Segoe UI" w:hAnsi="Segoe UI" w:cs="Segoe UI"/>
        </w:rPr>
        <w:t>l</w:t>
      </w:r>
      <w:r w:rsidR="009A21AB" w:rsidRPr="005A7AF3">
        <w:rPr>
          <w:rFonts w:ascii="Segoe UI" w:hAnsi="Segoe UI" w:cs="Segoe UI"/>
        </w:rPr>
        <w:t xml:space="preserve">a Fiscalía Nacional advierte </w:t>
      </w:r>
      <w:r w:rsidRPr="005A7AF3">
        <w:rPr>
          <w:rFonts w:ascii="Segoe UI" w:hAnsi="Segoe UI" w:cs="Segoe UI"/>
        </w:rPr>
        <w:t xml:space="preserve">un enorme déficit en dotación, con </w:t>
      </w:r>
      <w:r w:rsidR="009A21AB" w:rsidRPr="005A7AF3">
        <w:rPr>
          <w:rFonts w:ascii="Segoe UI" w:hAnsi="Segoe UI" w:cs="Segoe UI"/>
        </w:rPr>
        <w:t>un promedio d</w:t>
      </w:r>
      <w:r w:rsidR="005A7AF3" w:rsidRPr="005A7AF3">
        <w:rPr>
          <w:rFonts w:ascii="Segoe UI" w:hAnsi="Segoe UI" w:cs="Segoe UI"/>
        </w:rPr>
        <w:t xml:space="preserve">e 3,9 persecutores por cada 100.000 </w:t>
      </w:r>
      <w:r w:rsidR="009A21AB" w:rsidRPr="005A7AF3">
        <w:rPr>
          <w:rFonts w:ascii="Segoe UI" w:hAnsi="Segoe UI" w:cs="Segoe UI"/>
        </w:rPr>
        <w:t>habit</w:t>
      </w:r>
      <w:r w:rsidR="0030468B" w:rsidRPr="005A7AF3">
        <w:rPr>
          <w:rFonts w:ascii="Segoe UI" w:hAnsi="Segoe UI" w:cs="Segoe UI"/>
        </w:rPr>
        <w:t>antes en Chile</w:t>
      </w:r>
      <w:r w:rsidR="009A21AB" w:rsidRPr="005A7AF3">
        <w:rPr>
          <w:rFonts w:ascii="Segoe UI" w:hAnsi="Segoe UI" w:cs="Segoe UI"/>
        </w:rPr>
        <w:t>. Esa cifra se encuentra bajo la media de realidades internacionales, como la europea, donde se cuenta con 12,7 fi</w:t>
      </w:r>
      <w:r w:rsidRPr="005A7AF3">
        <w:rPr>
          <w:rFonts w:ascii="Segoe UI" w:hAnsi="Segoe UI" w:cs="Segoe UI"/>
        </w:rPr>
        <w:t>s</w:t>
      </w:r>
      <w:r w:rsidR="005A7AF3" w:rsidRPr="005A7AF3">
        <w:rPr>
          <w:rFonts w:ascii="Segoe UI" w:hAnsi="Segoe UI" w:cs="Segoe UI"/>
        </w:rPr>
        <w:t>cales para esa misma población. A</w:t>
      </w:r>
      <w:r w:rsidR="009A21AB" w:rsidRPr="005A7AF3">
        <w:rPr>
          <w:rFonts w:ascii="Segoe UI" w:hAnsi="Segoe UI" w:cs="Segoe UI"/>
        </w:rPr>
        <w:t>demás, existe un déficit en la cobertura de apoyo a las víctimas en las zonas geográficas más apartadas de los grandes centros urbanos del país.</w:t>
      </w:r>
    </w:p>
    <w:p w14:paraId="6A2C876B" w14:textId="77777777" w:rsidR="00AC3CE0" w:rsidRDefault="005A7AF3" w:rsidP="00C54D28">
      <w:pPr>
        <w:tabs>
          <w:tab w:val="left" w:pos="142"/>
        </w:tabs>
        <w:spacing w:before="120" w:after="120" w:line="240" w:lineRule="auto"/>
        <w:jc w:val="both"/>
        <w:rPr>
          <w:rFonts w:ascii="Segoe UI" w:hAnsi="Segoe UI" w:cs="Segoe UI"/>
        </w:rPr>
      </w:pPr>
      <w:r>
        <w:rPr>
          <w:rFonts w:ascii="Segoe UI" w:hAnsi="Segoe UI" w:cs="Segoe UI"/>
        </w:rPr>
        <w:t>En ese sentido, a</w:t>
      </w:r>
      <w:r w:rsidR="009A21AB" w:rsidRPr="0047497B">
        <w:rPr>
          <w:rFonts w:ascii="Segoe UI" w:hAnsi="Segoe UI" w:cs="Segoe UI"/>
        </w:rPr>
        <w:t xml:space="preserve"> partir de octubre del año 2019, se visibilizó la necesidad de promover y fortalecer en el Ministerio Público las políticas, planes y programas nacionales referidos a la protección de los derechos humanos y de asesorar a las y los fiscales en la persecución penal de los fenómenos de violencia institucional. </w:t>
      </w:r>
    </w:p>
    <w:p w14:paraId="6A2C876C" w14:textId="77777777" w:rsidR="00C561E2" w:rsidRDefault="009A21AB" w:rsidP="00C54D28">
      <w:pPr>
        <w:tabs>
          <w:tab w:val="left" w:pos="142"/>
        </w:tabs>
        <w:spacing w:before="120" w:after="120" w:line="240" w:lineRule="auto"/>
        <w:jc w:val="both"/>
        <w:rPr>
          <w:rFonts w:ascii="Segoe UI" w:hAnsi="Segoe UI" w:cs="Segoe UI"/>
        </w:rPr>
      </w:pPr>
      <w:r w:rsidRPr="0047497B">
        <w:rPr>
          <w:rFonts w:ascii="Segoe UI" w:hAnsi="Segoe UI" w:cs="Segoe UI"/>
        </w:rPr>
        <w:t xml:space="preserve">Para estos efectos se crea la Unidad Especializada en Derechos Humanos, que deberá asesorar y apoyar en la transversalización de un enfoque de derechos humanos en la </w:t>
      </w:r>
      <w:r w:rsidRPr="0047497B">
        <w:rPr>
          <w:rFonts w:ascii="Segoe UI" w:hAnsi="Segoe UI" w:cs="Segoe UI"/>
        </w:rPr>
        <w:lastRenderedPageBreak/>
        <w:t xml:space="preserve">persecución penal. Con esta mirada, se continuará asesorando y prestando apoyo técnico a las y los fiscales que investigan fenómenos de violencia institucional, pero además se promoverán y fortalecerán las políticas y planes referidos a la protección de los derechos humanos que estén dentro de nuestro ámbito de competencias. </w:t>
      </w:r>
    </w:p>
    <w:p w14:paraId="6A2C876D" w14:textId="77777777" w:rsidR="00F81B4C" w:rsidRPr="0047497B" w:rsidRDefault="009A21AB" w:rsidP="00C54D28">
      <w:pPr>
        <w:tabs>
          <w:tab w:val="left" w:pos="142"/>
        </w:tabs>
        <w:spacing w:before="120" w:after="120" w:line="240" w:lineRule="auto"/>
        <w:jc w:val="both"/>
        <w:rPr>
          <w:rFonts w:ascii="Segoe UI" w:hAnsi="Segoe UI" w:cs="Segoe UI"/>
        </w:rPr>
      </w:pPr>
      <w:r w:rsidRPr="0047497B">
        <w:rPr>
          <w:rFonts w:ascii="Segoe UI" w:hAnsi="Segoe UI" w:cs="Segoe UI"/>
        </w:rPr>
        <w:t xml:space="preserve">Esa Unidad aplicará este enfoque especialmente cuando, en la persecución penal, intervengan personas pertenecientes a grupos de especial protección por parte del Estado, como niñas, niños y adolescentes, personas con discapacidad, adultos mayores, diversidades, entre otros. También </w:t>
      </w:r>
      <w:r w:rsidR="00C561E2">
        <w:rPr>
          <w:rFonts w:ascii="Segoe UI" w:hAnsi="Segoe UI" w:cs="Segoe UI"/>
        </w:rPr>
        <w:t>se trabajará</w:t>
      </w:r>
      <w:r w:rsidRPr="0047497B">
        <w:rPr>
          <w:rFonts w:ascii="Segoe UI" w:hAnsi="Segoe UI" w:cs="Segoe UI"/>
        </w:rPr>
        <w:t xml:space="preserve"> con organismos públicos y privados especializados y fortaleceremos los mecanismos de cooperación y colaboración con los órganos, instituciones y servicios del Estado que nos permitan una persecución penal efectiva, una adecuada protección a las víctimas y testigos, y contar con una institucionalidad interna con perspectiva de género.</w:t>
      </w:r>
    </w:p>
    <w:p w14:paraId="6A2C876E" w14:textId="77777777" w:rsidR="00045675" w:rsidRPr="0047497B" w:rsidRDefault="00F81B4C" w:rsidP="00C54D28">
      <w:pPr>
        <w:pStyle w:val="ListParagraph"/>
        <w:numPr>
          <w:ilvl w:val="0"/>
          <w:numId w:val="27"/>
        </w:numPr>
        <w:tabs>
          <w:tab w:val="left" w:pos="142"/>
        </w:tabs>
        <w:spacing w:before="120" w:after="120" w:line="240" w:lineRule="auto"/>
        <w:contextualSpacing w:val="0"/>
        <w:jc w:val="both"/>
        <w:rPr>
          <w:rFonts w:ascii="Segoe UI" w:hAnsi="Segoe UI" w:cs="Segoe UI"/>
          <w:b/>
        </w:rPr>
      </w:pPr>
      <w:r w:rsidRPr="0047497B">
        <w:rPr>
          <w:rFonts w:ascii="Segoe UI" w:hAnsi="Segoe UI" w:cs="Segoe UI"/>
          <w:b/>
        </w:rPr>
        <w:t>Retos que experimentan quienes buscan avanzar y/o implementar enfoques de empoderamiento legal</w:t>
      </w:r>
    </w:p>
    <w:p w14:paraId="6A2C876F" w14:textId="77777777" w:rsidR="00F10789" w:rsidRDefault="00C75CCF" w:rsidP="00C54D28">
      <w:pPr>
        <w:tabs>
          <w:tab w:val="left" w:pos="142"/>
        </w:tabs>
        <w:spacing w:before="120" w:after="120" w:line="240" w:lineRule="auto"/>
        <w:jc w:val="both"/>
        <w:rPr>
          <w:rFonts w:ascii="Segoe UI" w:hAnsi="Segoe UI" w:cs="Segoe UI"/>
        </w:rPr>
      </w:pPr>
      <w:r w:rsidRPr="0047497B">
        <w:rPr>
          <w:rFonts w:ascii="Segoe UI" w:hAnsi="Segoe UI" w:cs="Segoe UI"/>
        </w:rPr>
        <w:t xml:space="preserve">La protección de víctimas y testigos es una prioridad </w:t>
      </w:r>
      <w:r w:rsidR="00AC13E2">
        <w:rPr>
          <w:rFonts w:ascii="Segoe UI" w:hAnsi="Segoe UI" w:cs="Segoe UI"/>
        </w:rPr>
        <w:t>del Ministerio Público, lo que</w:t>
      </w:r>
      <w:r w:rsidR="00844201">
        <w:rPr>
          <w:rFonts w:ascii="Segoe UI" w:hAnsi="Segoe UI" w:cs="Segoe UI"/>
        </w:rPr>
        <w:t xml:space="preserve"> </w:t>
      </w:r>
      <w:r w:rsidR="00AC13E2">
        <w:rPr>
          <w:rFonts w:ascii="Segoe UI" w:hAnsi="Segoe UI" w:cs="Segoe UI"/>
        </w:rPr>
        <w:t>requiere</w:t>
      </w:r>
      <w:r w:rsidR="00844201">
        <w:rPr>
          <w:rFonts w:ascii="Segoe UI" w:hAnsi="Segoe UI" w:cs="Segoe UI"/>
        </w:rPr>
        <w:t xml:space="preserve"> f</w:t>
      </w:r>
      <w:r w:rsidRPr="0047497B">
        <w:rPr>
          <w:rFonts w:ascii="Segoe UI" w:hAnsi="Segoe UI" w:cs="Segoe UI"/>
        </w:rPr>
        <w:t>ortalecer el modelo de atención, sustentado en el derecho a ser oído, a ser informad</w:t>
      </w:r>
      <w:r w:rsidR="00AC13E2">
        <w:rPr>
          <w:rFonts w:ascii="Segoe UI" w:hAnsi="Segoe UI" w:cs="Segoe UI"/>
        </w:rPr>
        <w:t>o y a ser tratado con dignidad. Ello</w:t>
      </w:r>
      <w:r w:rsidR="00DF2253">
        <w:rPr>
          <w:rFonts w:ascii="Segoe UI" w:hAnsi="Segoe UI" w:cs="Segoe UI"/>
        </w:rPr>
        <w:t xml:space="preserve"> </w:t>
      </w:r>
      <w:r w:rsidRPr="0047497B">
        <w:rPr>
          <w:rFonts w:ascii="Segoe UI" w:hAnsi="Segoe UI" w:cs="Segoe UI"/>
        </w:rPr>
        <w:t xml:space="preserve">exige un abordaje transversal, donde todos los integrantes de la institución, especialmente aquellos cuyas funciones involucran la interacción con las víctimas, y en particular los fiscales, fortalezcan sus habilidades para una otorgar una atención que haga efectivos los derechos. </w:t>
      </w:r>
    </w:p>
    <w:p w14:paraId="6A2C8770" w14:textId="77777777" w:rsidR="00AC13E2" w:rsidRDefault="00AC13E2" w:rsidP="00C54D28">
      <w:pPr>
        <w:tabs>
          <w:tab w:val="left" w:pos="142"/>
        </w:tabs>
        <w:spacing w:before="120" w:after="120" w:line="240" w:lineRule="auto"/>
        <w:jc w:val="both"/>
        <w:rPr>
          <w:rFonts w:ascii="Segoe UI" w:hAnsi="Segoe UI" w:cs="Segoe UI"/>
        </w:rPr>
      </w:pPr>
      <w:r>
        <w:rPr>
          <w:rFonts w:ascii="Segoe UI" w:hAnsi="Segoe UI" w:cs="Segoe UI"/>
        </w:rPr>
        <w:t>Asimismo, han</w:t>
      </w:r>
      <w:r w:rsidR="00844201">
        <w:rPr>
          <w:rFonts w:ascii="Segoe UI" w:hAnsi="Segoe UI" w:cs="Segoe UI"/>
        </w:rPr>
        <w:t xml:space="preserve"> de f</w:t>
      </w:r>
      <w:r w:rsidR="00F10789">
        <w:rPr>
          <w:rFonts w:ascii="Segoe UI" w:hAnsi="Segoe UI" w:cs="Segoe UI"/>
        </w:rPr>
        <w:t>ortalecer</w:t>
      </w:r>
      <w:r w:rsidR="00844201">
        <w:rPr>
          <w:rFonts w:ascii="Segoe UI" w:hAnsi="Segoe UI" w:cs="Segoe UI"/>
        </w:rPr>
        <w:t>se</w:t>
      </w:r>
      <w:r w:rsidR="00F10789">
        <w:rPr>
          <w:rFonts w:ascii="Segoe UI" w:hAnsi="Segoe UI" w:cs="Segoe UI"/>
        </w:rPr>
        <w:t xml:space="preserve"> las </w:t>
      </w:r>
      <w:r w:rsidR="00C75CCF" w:rsidRPr="0047497B">
        <w:rPr>
          <w:rFonts w:ascii="Segoe UI" w:hAnsi="Segoe UI" w:cs="Segoe UI"/>
        </w:rPr>
        <w:t xml:space="preserve">plataformas y portales web, </w:t>
      </w:r>
      <w:r w:rsidR="00F10789">
        <w:rPr>
          <w:rFonts w:ascii="Segoe UI" w:hAnsi="Segoe UI" w:cs="Segoe UI"/>
        </w:rPr>
        <w:t>crear</w:t>
      </w:r>
      <w:r w:rsidR="00C75CCF" w:rsidRPr="0047497B">
        <w:rPr>
          <w:rFonts w:ascii="Segoe UI" w:hAnsi="Segoe UI" w:cs="Segoe UI"/>
        </w:rPr>
        <w:t xml:space="preserve"> </w:t>
      </w:r>
      <w:r w:rsidR="00F10789">
        <w:rPr>
          <w:rFonts w:ascii="Segoe UI" w:hAnsi="Segoe UI" w:cs="Segoe UI"/>
        </w:rPr>
        <w:t xml:space="preserve">centros de contacto </w:t>
      </w:r>
      <w:r w:rsidR="00C75CCF" w:rsidRPr="0047497B">
        <w:rPr>
          <w:rFonts w:ascii="Segoe UI" w:hAnsi="Segoe UI" w:cs="Segoe UI"/>
        </w:rPr>
        <w:t>institucional</w:t>
      </w:r>
      <w:r w:rsidR="00F10789">
        <w:rPr>
          <w:rFonts w:ascii="Segoe UI" w:hAnsi="Segoe UI" w:cs="Segoe UI"/>
        </w:rPr>
        <w:t xml:space="preserve">es, y avanzar en la inclusión, </w:t>
      </w:r>
      <w:r w:rsidR="00C75CCF" w:rsidRPr="0047497B">
        <w:rPr>
          <w:rFonts w:ascii="Segoe UI" w:hAnsi="Segoe UI" w:cs="Segoe UI"/>
        </w:rPr>
        <w:t xml:space="preserve">a través del desarrollo e implementación de un </w:t>
      </w:r>
      <w:r w:rsidR="00844201" w:rsidRPr="0047497B">
        <w:rPr>
          <w:rFonts w:ascii="Segoe UI" w:hAnsi="Segoe UI" w:cs="Segoe UI"/>
        </w:rPr>
        <w:t>plan de acceso a la justicia de personas en situación de vulnerab</w:t>
      </w:r>
      <w:r w:rsidR="00844201">
        <w:rPr>
          <w:rFonts w:ascii="Segoe UI" w:hAnsi="Segoe UI" w:cs="Segoe UI"/>
        </w:rPr>
        <w:t>ilidad.</w:t>
      </w:r>
    </w:p>
    <w:p w14:paraId="6A2C8771" w14:textId="77777777" w:rsidR="00AC13E2" w:rsidRPr="005A7AF3" w:rsidRDefault="00AC13E2"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t xml:space="preserve">En cuanto a la protección de </w:t>
      </w:r>
      <w:r>
        <w:rPr>
          <w:rFonts w:ascii="Segoe UI" w:hAnsi="Segoe UI" w:cs="Segoe UI"/>
        </w:rPr>
        <w:t>niños, niñas y adolescentes (“NNA”)</w:t>
      </w:r>
      <w:r w:rsidRPr="005A7AF3">
        <w:rPr>
          <w:rFonts w:ascii="Segoe UI" w:hAnsi="Segoe UI" w:cs="Segoe UI"/>
        </w:rPr>
        <w:t>, desde el mes de septiembre de 2022, comenzó a implementarse en las Corporaciones de Asistencia Judicial el Programa “La Niñez y Adolescencia se defienden”, el cual tiene por objeto otorgar representación jurídica letrada, especializada y autónoma de todos los NNA, a fin de garantizar su efectivo acceso a la justicia y el debido proceso en los procedimientos administrativos y judiciales que intervenga, ya sea porque tengan intereses incompatibles con sus padres/madres, representantes legales o quienes los tengan legalmente bajo su cuidado, o porque enfrentan un proceso para la posible aplicación de una o más medias de protección de sus derechos.</w:t>
      </w:r>
    </w:p>
    <w:p w14:paraId="6A2C8772" w14:textId="77777777" w:rsidR="00AC13E2" w:rsidRPr="005A7AF3" w:rsidRDefault="00AC13E2" w:rsidP="00C54D28">
      <w:pPr>
        <w:tabs>
          <w:tab w:val="left" w:pos="142"/>
        </w:tabs>
        <w:autoSpaceDE w:val="0"/>
        <w:autoSpaceDN w:val="0"/>
        <w:adjustRightInd w:val="0"/>
        <w:spacing w:before="120" w:after="120" w:line="240" w:lineRule="auto"/>
        <w:jc w:val="both"/>
        <w:rPr>
          <w:rFonts w:ascii="Segoe UI" w:hAnsi="Segoe UI" w:cs="Segoe UI"/>
        </w:rPr>
      </w:pPr>
      <w:r w:rsidRPr="005A7AF3">
        <w:rPr>
          <w:rFonts w:ascii="Segoe UI" w:hAnsi="Segoe UI" w:cs="Segoe UI"/>
        </w:rPr>
        <w:t>La cobertura del Programa “La Niñez y Adolescencia se defienden” se brinda a través de la instalación de 17 Centros Regionales Especializados en la Representación Jurídica de Niños, Niñas y Adolescentes: uno en cada región, ubicados en las comunas asiento de Corte de Apelaciones, y dos en la Región Metropolitana. Tanto en estas unidades, como en los centros multimaterias de las Corporaciones de Asistencia Judicial se ubican los más de 350 funcionarios que se han incorporado para prestar servicios en esta línea especializada, de los cuales, 241 son abogados/as y 62 trabajadores sociales, además de personal de soporte administrativo y de coordinación técnica.</w:t>
      </w:r>
    </w:p>
    <w:p w14:paraId="6A2C8773" w14:textId="77777777" w:rsidR="00AC13E2" w:rsidRPr="005A7AF3" w:rsidRDefault="00AC13E2" w:rsidP="00C54D28">
      <w:pPr>
        <w:tabs>
          <w:tab w:val="left" w:pos="142"/>
        </w:tabs>
        <w:autoSpaceDE w:val="0"/>
        <w:autoSpaceDN w:val="0"/>
        <w:adjustRightInd w:val="0"/>
        <w:spacing w:before="120" w:after="120" w:line="240" w:lineRule="auto"/>
        <w:jc w:val="both"/>
        <w:rPr>
          <w:rFonts w:ascii="Segoe UI" w:hAnsi="Segoe UI" w:cs="Segoe UI"/>
        </w:rPr>
      </w:pPr>
      <w:r w:rsidRPr="005A7AF3">
        <w:rPr>
          <w:rFonts w:ascii="Segoe UI" w:hAnsi="Segoe UI" w:cs="Segoe UI"/>
        </w:rPr>
        <w:lastRenderedPageBreak/>
        <w:t xml:space="preserve">Desde sus inicios al mes de diciembre de 2022, el Programa ha atendido a más de 28 mil niños, niñas y adolescentes, cuyas situaciones jurídicas han dado lugar al ejercicio de la curaduría </w:t>
      </w:r>
      <w:r w:rsidRPr="00AC13E2">
        <w:rPr>
          <w:rFonts w:ascii="Segoe UI" w:hAnsi="Segoe UI" w:cs="Segoe UI"/>
          <w:i/>
        </w:rPr>
        <w:t>ad litem</w:t>
      </w:r>
      <w:r w:rsidRPr="005A7AF3">
        <w:rPr>
          <w:rFonts w:ascii="Segoe UI" w:hAnsi="Segoe UI" w:cs="Segoe UI"/>
        </w:rPr>
        <w:t xml:space="preserve"> en 24.805 procesos judiciales. Por su parte, considerando que se trata de una línea en expansión, dada la alta demanda de designaciones efectuadas por los Tribunales de Justicia, en el primer semestre de 2023 y han sido ingresados 45.908 niños, niñas y adolescentes, y se ha asumido la curaduría ad litem en 64.421 procesos.</w:t>
      </w:r>
    </w:p>
    <w:p w14:paraId="6A2C8774" w14:textId="77777777" w:rsidR="00F2535D" w:rsidRPr="00AC13E2" w:rsidRDefault="00F2535D" w:rsidP="00C54D28">
      <w:pPr>
        <w:tabs>
          <w:tab w:val="left" w:pos="142"/>
        </w:tabs>
        <w:spacing w:before="120" w:after="120" w:line="240" w:lineRule="auto"/>
        <w:jc w:val="both"/>
        <w:rPr>
          <w:rFonts w:ascii="Segoe UI" w:hAnsi="Segoe UI" w:cs="Segoe UI"/>
        </w:rPr>
      </w:pPr>
      <w:r w:rsidRPr="00AC13E2">
        <w:rPr>
          <w:rFonts w:ascii="Segoe UI" w:hAnsi="Segoe UI" w:cs="Segoe UI"/>
        </w:rPr>
        <w:t xml:space="preserve">Por su parte, </w:t>
      </w:r>
      <w:r w:rsidR="00AC13E2">
        <w:rPr>
          <w:rFonts w:ascii="Segoe UI" w:hAnsi="Segoe UI" w:cs="Segoe UI"/>
        </w:rPr>
        <w:t xml:space="preserve">cabe destacar que </w:t>
      </w:r>
      <w:r w:rsidRPr="00AC13E2">
        <w:rPr>
          <w:rFonts w:ascii="Segoe UI" w:hAnsi="Segoe UI" w:cs="Segoe UI"/>
        </w:rPr>
        <w:t>e</w:t>
      </w:r>
      <w:r w:rsidR="00C75CCF" w:rsidRPr="00AC13E2">
        <w:rPr>
          <w:rFonts w:ascii="Segoe UI" w:hAnsi="Segoe UI" w:cs="Segoe UI"/>
        </w:rPr>
        <w:t>l 5 de enero de 2021 fue presentado el proyecto de ley que Crea el Servicio Nacional de Acceso a la Justicia y la Defensoría de Víctimas de Delitos</w:t>
      </w:r>
      <w:r w:rsidR="00AC13E2">
        <w:rPr>
          <w:rFonts w:ascii="Segoe UI" w:hAnsi="Segoe UI" w:cs="Segoe UI"/>
        </w:rPr>
        <w:t xml:space="preserve"> (</w:t>
      </w:r>
      <w:r w:rsidR="00C75CCF" w:rsidRPr="00AC13E2">
        <w:rPr>
          <w:rFonts w:ascii="Segoe UI" w:hAnsi="Segoe UI" w:cs="Segoe UI"/>
        </w:rPr>
        <w:t>Boletín 13.991-07</w:t>
      </w:r>
      <w:r w:rsidR="00AC13E2">
        <w:rPr>
          <w:rFonts w:ascii="Segoe UI" w:hAnsi="Segoe UI" w:cs="Segoe UI"/>
        </w:rPr>
        <w:t>)</w:t>
      </w:r>
      <w:r w:rsidR="00C75CCF" w:rsidRPr="00AC13E2">
        <w:rPr>
          <w:rFonts w:ascii="Segoe UI" w:hAnsi="Segoe UI" w:cs="Segoe UI"/>
        </w:rPr>
        <w:t>.</w:t>
      </w:r>
      <w:r w:rsidRPr="00AC13E2">
        <w:rPr>
          <w:rFonts w:ascii="Segoe UI" w:hAnsi="Segoe UI" w:cs="Segoe UI"/>
        </w:rPr>
        <w:t xml:space="preserve"> </w:t>
      </w:r>
      <w:r w:rsidR="00AC13E2">
        <w:rPr>
          <w:rFonts w:ascii="Segoe UI" w:hAnsi="Segoe UI" w:cs="Segoe UI"/>
        </w:rPr>
        <w:t>É</w:t>
      </w:r>
      <w:r w:rsidRPr="00AC13E2">
        <w:rPr>
          <w:rFonts w:ascii="Segoe UI" w:hAnsi="Segoe UI" w:cs="Segoe UI"/>
        </w:rPr>
        <w:t xml:space="preserve">ste es uno de los grandes desafíos pendientes y que requiere </w:t>
      </w:r>
      <w:r w:rsidR="00C75CCF" w:rsidRPr="00AC13E2">
        <w:rPr>
          <w:rFonts w:ascii="Segoe UI" w:hAnsi="Segoe UI" w:cs="Segoe UI"/>
        </w:rPr>
        <w:t>abordar la modernización del sistema que garantiza el acceso a la justicia en nuestro país</w:t>
      </w:r>
      <w:r w:rsidRPr="00AC13E2">
        <w:rPr>
          <w:rFonts w:ascii="Segoe UI" w:hAnsi="Segoe UI" w:cs="Segoe UI"/>
        </w:rPr>
        <w:t xml:space="preserve">. </w:t>
      </w:r>
    </w:p>
    <w:p w14:paraId="6A2C8775" w14:textId="77777777" w:rsidR="00C75CCF" w:rsidRPr="0047497B" w:rsidRDefault="00C75CCF" w:rsidP="00C54D28">
      <w:pPr>
        <w:tabs>
          <w:tab w:val="left" w:pos="142"/>
        </w:tabs>
        <w:spacing w:before="120" w:after="120" w:line="240" w:lineRule="auto"/>
        <w:jc w:val="both"/>
        <w:rPr>
          <w:rFonts w:ascii="Segoe UI" w:hAnsi="Segoe UI" w:cs="Segoe UI"/>
        </w:rPr>
      </w:pPr>
      <w:r w:rsidRPr="0047497B">
        <w:rPr>
          <w:rFonts w:ascii="Segoe UI" w:hAnsi="Segoe UI" w:cs="Segoe UI"/>
        </w:rPr>
        <w:t>En forma paralela a la tramitación del proyecto, se contempla la ejecución de medidas que permiten ir avanzando en mejor acceso a la justicia en las Corporaciones de Asistencia Judicial:</w:t>
      </w:r>
    </w:p>
    <w:p w14:paraId="6A2C8776" w14:textId="77777777" w:rsidR="00AC13E2" w:rsidRDefault="00C75CCF" w:rsidP="00C54D28">
      <w:pPr>
        <w:pStyle w:val="ListParagraph"/>
        <w:numPr>
          <w:ilvl w:val="0"/>
          <w:numId w:val="29"/>
        </w:numPr>
        <w:tabs>
          <w:tab w:val="left" w:pos="142"/>
        </w:tabs>
        <w:autoSpaceDE w:val="0"/>
        <w:autoSpaceDN w:val="0"/>
        <w:adjustRightInd w:val="0"/>
        <w:spacing w:before="120" w:after="120" w:line="240" w:lineRule="auto"/>
        <w:contextualSpacing w:val="0"/>
        <w:jc w:val="both"/>
        <w:rPr>
          <w:rFonts w:ascii="Segoe UI" w:hAnsi="Segoe UI" w:cs="Segoe UI"/>
        </w:rPr>
      </w:pPr>
      <w:r w:rsidRPr="00AC13E2">
        <w:rPr>
          <w:rFonts w:ascii="Segoe UI" w:hAnsi="Segoe UI" w:cs="Segoe UI"/>
        </w:rPr>
        <w:t xml:space="preserve">Fortalecimiento de los programas de representación jurídica de niñas, niños y adolescentes: “Mi Abogado” y “La Niñez y Adolescencia se defienden”, en atención al significativo incremento en la demanda de designación de curadurías </w:t>
      </w:r>
      <w:r w:rsidRPr="00AC13E2">
        <w:rPr>
          <w:rFonts w:ascii="Segoe UI" w:hAnsi="Segoe UI" w:cs="Segoe UI"/>
          <w:i/>
        </w:rPr>
        <w:t>ad litem</w:t>
      </w:r>
      <w:r w:rsidRPr="00AC13E2">
        <w:rPr>
          <w:rFonts w:ascii="Segoe UI" w:hAnsi="Segoe UI" w:cs="Segoe UI"/>
        </w:rPr>
        <w:t xml:space="preserve">, a raíz de la implementación de la Ley N° 21.430. Al respecto, se han presentado incrementos presupuestarios acordes a la necesidad manifiesta, que permitan mantener los estándares de representación y asistencia jurídica especializada para este grupo vulnerable de la población. </w:t>
      </w:r>
    </w:p>
    <w:p w14:paraId="6A2C8777" w14:textId="77777777" w:rsidR="00AC13E2" w:rsidRDefault="00C75CCF" w:rsidP="00C54D28">
      <w:pPr>
        <w:pStyle w:val="ListParagraph"/>
        <w:numPr>
          <w:ilvl w:val="0"/>
          <w:numId w:val="29"/>
        </w:numPr>
        <w:tabs>
          <w:tab w:val="left" w:pos="142"/>
        </w:tabs>
        <w:autoSpaceDE w:val="0"/>
        <w:autoSpaceDN w:val="0"/>
        <w:adjustRightInd w:val="0"/>
        <w:spacing w:before="120" w:after="120" w:line="240" w:lineRule="auto"/>
        <w:contextualSpacing w:val="0"/>
        <w:jc w:val="both"/>
        <w:rPr>
          <w:rFonts w:ascii="Segoe UI" w:hAnsi="Segoe UI" w:cs="Segoe UI"/>
        </w:rPr>
      </w:pPr>
      <w:r w:rsidRPr="00AC13E2">
        <w:rPr>
          <w:rFonts w:ascii="Segoe UI" w:hAnsi="Segoe UI" w:cs="Segoe UI"/>
        </w:rPr>
        <w:t>Transferencia de conocimientos desde la línea especializada de Defensa Jurídica Integral a Adultos Mayores en las Corporaciones de Asistencia Judicial a las demás unidades operativas</w:t>
      </w:r>
      <w:r w:rsidR="00AC13E2">
        <w:rPr>
          <w:rFonts w:ascii="Segoe UI" w:hAnsi="Segoe UI" w:cs="Segoe UI"/>
        </w:rPr>
        <w:t>. Ello</w:t>
      </w:r>
      <w:r w:rsidRPr="00AC13E2">
        <w:rPr>
          <w:rFonts w:ascii="Segoe UI" w:hAnsi="Segoe UI" w:cs="Segoe UI"/>
        </w:rPr>
        <w:t>, a través de la consolidación del modelo de atención y el reconocimiento de las duplas socio jurídicas presentes en cada región, como referentes técnicos y equipos expertos, capaces de asesorar en el ejercicio de representación que se ejecuta en los demás centros jurídicos y especializados de la Corporación.</w:t>
      </w:r>
    </w:p>
    <w:p w14:paraId="6A2C8778" w14:textId="77777777" w:rsidR="00C75CCF" w:rsidRDefault="00C75CCF" w:rsidP="00C54D28">
      <w:pPr>
        <w:pStyle w:val="ListParagraph"/>
        <w:numPr>
          <w:ilvl w:val="0"/>
          <w:numId w:val="29"/>
        </w:numPr>
        <w:tabs>
          <w:tab w:val="left" w:pos="142"/>
        </w:tabs>
        <w:autoSpaceDE w:val="0"/>
        <w:autoSpaceDN w:val="0"/>
        <w:adjustRightInd w:val="0"/>
        <w:spacing w:before="120" w:after="120" w:line="240" w:lineRule="auto"/>
        <w:contextualSpacing w:val="0"/>
        <w:jc w:val="both"/>
        <w:rPr>
          <w:rFonts w:ascii="Segoe UI" w:hAnsi="Segoe UI" w:cs="Segoe UI"/>
        </w:rPr>
      </w:pPr>
      <w:r w:rsidRPr="00AC13E2">
        <w:rPr>
          <w:rFonts w:ascii="Segoe UI" w:hAnsi="Segoe UI" w:cs="Segoe UI"/>
        </w:rPr>
        <w:t>Inicio de la representación especializada a personas migrantes, con miras de generar un modelo especializado de atención en esta materia. Esta implementación piloto partió con la contratación de cinco profesionales distribuidos en el territorio nacional, y, en base a su experiencia, se espera generar parámetros y lineamientos técnicos para todas las Corporaciones de Asistencia Judicial.</w:t>
      </w:r>
    </w:p>
    <w:p w14:paraId="6A2C8779" w14:textId="77777777" w:rsidR="00AC13E2" w:rsidRPr="005A7AF3" w:rsidRDefault="00AC13E2" w:rsidP="00C54D28">
      <w:pPr>
        <w:tabs>
          <w:tab w:val="left" w:pos="142"/>
        </w:tabs>
        <w:spacing w:before="120" w:after="120" w:line="240" w:lineRule="auto"/>
        <w:jc w:val="both"/>
        <w:rPr>
          <w:rFonts w:ascii="Segoe UI" w:hAnsi="Segoe UI" w:cs="Segoe UI"/>
          <w:b/>
        </w:rPr>
      </w:pPr>
      <w:r>
        <w:rPr>
          <w:rFonts w:ascii="Segoe UI" w:hAnsi="Segoe UI" w:cs="Segoe UI"/>
        </w:rPr>
        <w:t>Por otra parte, e</w:t>
      </w:r>
      <w:r w:rsidRPr="005A7AF3">
        <w:rPr>
          <w:rFonts w:ascii="Segoe UI" w:hAnsi="Segoe UI" w:cs="Segoe UI"/>
        </w:rPr>
        <w:t xml:space="preserve">n </w:t>
      </w:r>
      <w:r>
        <w:rPr>
          <w:rFonts w:ascii="Segoe UI" w:hAnsi="Segoe UI" w:cs="Segoe UI"/>
        </w:rPr>
        <w:t>materias</w:t>
      </w:r>
      <w:r w:rsidRPr="005A7AF3">
        <w:rPr>
          <w:rFonts w:ascii="Segoe UI" w:hAnsi="Segoe UI" w:cs="Segoe UI"/>
        </w:rPr>
        <w:t xml:space="preserve"> de acceso a la justicia, y a fines de 2020, la Mesa de Gobierno Abierto seleccionó a la Defensoría Penal Pública como una de las instituciones participantes en el 5° Plan de Acción de Gobierno Abierto 2021-2022, con el compromiso “Derechos Humanos y Justicia Abierta”, que tiene por objetivo acercar la justicia y los derechos humanos a las personas, a través de la difusión de los derechos fundamentales de los ciudadanos, en particular respecto del proceso penal. </w:t>
      </w:r>
    </w:p>
    <w:p w14:paraId="6A2C877A" w14:textId="77777777" w:rsidR="00AC13E2" w:rsidRPr="005A7AF3" w:rsidRDefault="00AC13E2" w:rsidP="00C54D28">
      <w:pPr>
        <w:shd w:val="clear" w:color="auto" w:fill="FFFFFF"/>
        <w:tabs>
          <w:tab w:val="left" w:pos="142"/>
        </w:tabs>
        <w:spacing w:before="120" w:after="120" w:line="240" w:lineRule="auto"/>
        <w:jc w:val="both"/>
        <w:rPr>
          <w:rFonts w:ascii="Segoe UI" w:hAnsi="Segoe UI" w:cs="Segoe UI"/>
        </w:rPr>
      </w:pPr>
      <w:r w:rsidRPr="005A7AF3">
        <w:rPr>
          <w:rFonts w:ascii="Segoe UI" w:hAnsi="Segoe UI" w:cs="Segoe UI"/>
        </w:rPr>
        <w:lastRenderedPageBreak/>
        <w:t>En este marco se desarrolló e implementó el “Observatorio de Derechos Humanos en el Sistema Penal”</w:t>
      </w:r>
      <w:r>
        <w:rPr>
          <w:rStyle w:val="FootnoteReference"/>
          <w:rFonts w:ascii="Segoe UI" w:hAnsi="Segoe UI" w:cs="Segoe UI"/>
        </w:rPr>
        <w:footnoteReference w:id="7"/>
      </w:r>
      <w:r w:rsidRPr="005A7AF3">
        <w:rPr>
          <w:rFonts w:ascii="Segoe UI" w:hAnsi="Segoe UI" w:cs="Segoe UI"/>
        </w:rPr>
        <w:t xml:space="preserve">, que busca dar a conocer información relevante sobre el respeto de derechos humanos en cada una de las etapas del proceso penal, a través de sentencias judiciales que den cuenta de situaciones concretas de vulneración de los derechos humanos y las formas en que los tribunales de justicia recogen y solucionan dichas vulneraciones de derechos. </w:t>
      </w:r>
    </w:p>
    <w:p w14:paraId="6A2C877B" w14:textId="77777777" w:rsidR="00AC13E2" w:rsidRPr="005A7AF3" w:rsidRDefault="00AC13E2" w:rsidP="00C54D28">
      <w:pPr>
        <w:shd w:val="clear" w:color="auto" w:fill="FFFFFF"/>
        <w:tabs>
          <w:tab w:val="left" w:pos="142"/>
        </w:tabs>
        <w:spacing w:before="120" w:after="120" w:line="240" w:lineRule="auto"/>
        <w:jc w:val="both"/>
        <w:rPr>
          <w:rFonts w:ascii="Segoe UI" w:hAnsi="Segoe UI" w:cs="Segoe UI"/>
        </w:rPr>
      </w:pPr>
      <w:r>
        <w:rPr>
          <w:rFonts w:ascii="Segoe UI" w:hAnsi="Segoe UI" w:cs="Segoe UI"/>
        </w:rPr>
        <w:t>Asimismo</w:t>
      </w:r>
      <w:r w:rsidRPr="005A7AF3">
        <w:rPr>
          <w:rFonts w:ascii="Segoe UI" w:hAnsi="Segoe UI" w:cs="Segoe UI"/>
        </w:rPr>
        <w:t xml:space="preserve">, la Defensoría Penal Pública ha desarrollado iniciativas específicamente diseñadas para acercar la justicia a las personas que se encuentran en una situación vulnerable por encontrarse bajo custodia del Estado. En este sentido, se ha desarrollado una línea de trabajo de “Defensa en las primeras horas de detención”, que se materializa a través de la presencia de defensores públicos en las unidades policiales para otorgar defensa letrada a las personas detenidas, antes del correspondiente control judicial. </w:t>
      </w:r>
    </w:p>
    <w:p w14:paraId="6A2C877C" w14:textId="77777777" w:rsidR="00AC13E2" w:rsidRPr="005A7AF3" w:rsidRDefault="00AC13E2" w:rsidP="00C54D28">
      <w:pPr>
        <w:shd w:val="clear" w:color="auto" w:fill="FFFFFF"/>
        <w:tabs>
          <w:tab w:val="left" w:pos="142"/>
        </w:tabs>
        <w:spacing w:before="120" w:after="120" w:line="240" w:lineRule="auto"/>
        <w:jc w:val="both"/>
        <w:rPr>
          <w:rFonts w:ascii="Segoe UI" w:hAnsi="Segoe UI" w:cs="Segoe UI"/>
        </w:rPr>
      </w:pPr>
      <w:r>
        <w:rPr>
          <w:rFonts w:ascii="Segoe UI" w:hAnsi="Segoe UI" w:cs="Segoe UI"/>
        </w:rPr>
        <w:t>Igualmente, d</w:t>
      </w:r>
      <w:r w:rsidRPr="005A7AF3">
        <w:rPr>
          <w:rFonts w:ascii="Segoe UI" w:hAnsi="Segoe UI" w:cs="Segoe UI"/>
        </w:rPr>
        <w:t>esde el 2022 se implementa el “Sistema de Registro, Comunicación y Atención Integral a Víctimas de Violencia Institucional Carcelaria” (SIRCAIVI), que tiene por objeto el resguardo de los derechos y el acceso a la justicia de las personas privadas de libertad, tanto condenadas como imputadas, frente a hechos de violencia institucional ejercida por los funcionarios encargados de su custodia. Este sistema permite que las personas privadas de libertad denuncien situaciones de violencia carcelaria que tradicionalmente no salen a la luz, a la vez que dispone lineamientos específicos para la protección de sus derechos a través de mecanismos tanto judiciales como administrativos, así como mediante la cooperación interinstitucional.</w:t>
      </w:r>
    </w:p>
    <w:p w14:paraId="6A2C877D" w14:textId="77777777" w:rsidR="00AC13E2" w:rsidRPr="0047497B" w:rsidRDefault="00AC13E2" w:rsidP="00C54D28">
      <w:pPr>
        <w:tabs>
          <w:tab w:val="left" w:pos="142"/>
        </w:tabs>
        <w:autoSpaceDE w:val="0"/>
        <w:autoSpaceDN w:val="0"/>
        <w:adjustRightInd w:val="0"/>
        <w:spacing w:before="120" w:after="120" w:line="240" w:lineRule="auto"/>
        <w:jc w:val="both"/>
        <w:rPr>
          <w:rFonts w:ascii="Segoe UI" w:hAnsi="Segoe UI" w:cs="Segoe UI"/>
        </w:rPr>
      </w:pPr>
      <w:r>
        <w:rPr>
          <w:rFonts w:ascii="Segoe UI" w:hAnsi="Segoe UI" w:cs="Segoe UI"/>
        </w:rPr>
        <w:t>Finalmente, con respecto a los procesos de justicia transicional, e</w:t>
      </w:r>
      <w:r w:rsidRPr="0047497B">
        <w:rPr>
          <w:rFonts w:ascii="Segoe UI" w:hAnsi="Segoe UI" w:cs="Segoe UI"/>
        </w:rPr>
        <w:t xml:space="preserve">ntre el año 2022 y 2023 se ha realizado un proceso participativo de diseño para la implementación de un plan nacional efectivo de búsqueda de personas detenidas desaparecidas, integrado por las entidades públicas pertinentes que cuenten con equipos multidisciplinarios especializados, con recursos suficientes y dotación especializada, que trabaje junto a la sociedad civil en el esclarecimiento de su destino final. </w:t>
      </w:r>
    </w:p>
    <w:p w14:paraId="6A2C877E" w14:textId="77777777" w:rsidR="00AC13E2" w:rsidRPr="0047497B" w:rsidRDefault="00AC13E2" w:rsidP="00C54D28">
      <w:pPr>
        <w:tabs>
          <w:tab w:val="left" w:pos="142"/>
        </w:tabs>
        <w:autoSpaceDE w:val="0"/>
        <w:autoSpaceDN w:val="0"/>
        <w:adjustRightInd w:val="0"/>
        <w:spacing w:before="120" w:after="120" w:line="240" w:lineRule="auto"/>
        <w:jc w:val="both"/>
        <w:rPr>
          <w:rFonts w:ascii="Segoe UI" w:eastAsia="Cambria" w:hAnsi="Segoe UI" w:cs="Segoe UI"/>
        </w:rPr>
      </w:pPr>
      <w:r w:rsidRPr="0047497B">
        <w:rPr>
          <w:rFonts w:ascii="Segoe UI" w:eastAsia="Cambria" w:hAnsi="Segoe UI" w:cs="Segoe UI"/>
          <w:lang w:val="es-CL"/>
        </w:rPr>
        <w:t>La etapa de participación y diálogo tiene como propósito desarrollar un proceso de escucha activa, colaborativa y colectiva, que busca integrar en el diseño e implementación del Plan Nacional de Búsqueda la mirada de las agrupaciones, sus familias, expertos nacionales e internacionales y organizaciones de la sociedad civil. Para lo anterior, a partir de septiembre de 2022, se realizaron encuentros territoriales con las agrupaciones, familiares de víctimas de desaparición forzada y sitios de memoria, convocados con la asistencia del Programa de Derechos Humanos del Ministerio</w:t>
      </w:r>
      <w:r w:rsidR="008B5B6A">
        <w:rPr>
          <w:rFonts w:ascii="Segoe UI" w:eastAsia="Cambria" w:hAnsi="Segoe UI" w:cs="Segoe UI"/>
          <w:lang w:val="es-CL"/>
        </w:rPr>
        <w:t xml:space="preserve"> de Justicia y Derechos Humanos</w:t>
      </w:r>
      <w:r w:rsidRPr="0047497B">
        <w:rPr>
          <w:rFonts w:ascii="Segoe UI" w:eastAsia="Cambria" w:hAnsi="Segoe UI" w:cs="Segoe UI"/>
          <w:lang w:val="es-CL"/>
        </w:rPr>
        <w:t xml:space="preserve"> para discutir en profundidad el diseño del Plan Nacional de Búsqueda e incorporar su mirada, intereses, inquietudes y críticas, desde los principios de la participación incidente. </w:t>
      </w:r>
    </w:p>
    <w:p w14:paraId="6A2C877F" w14:textId="77777777" w:rsidR="00AC13E2" w:rsidRPr="0047497B" w:rsidRDefault="00AC13E2" w:rsidP="00C54D28">
      <w:pPr>
        <w:tabs>
          <w:tab w:val="left" w:pos="142"/>
        </w:tabs>
        <w:autoSpaceDE w:val="0"/>
        <w:autoSpaceDN w:val="0"/>
        <w:adjustRightInd w:val="0"/>
        <w:spacing w:before="120" w:after="120" w:line="240" w:lineRule="auto"/>
        <w:jc w:val="both"/>
        <w:rPr>
          <w:rFonts w:ascii="Segoe UI" w:eastAsia="Cambria" w:hAnsi="Segoe UI" w:cs="Segoe UI"/>
        </w:rPr>
      </w:pPr>
      <w:r w:rsidRPr="0047497B">
        <w:rPr>
          <w:rFonts w:ascii="Segoe UI" w:eastAsia="Cambria" w:hAnsi="Segoe UI" w:cs="Segoe UI"/>
          <w:lang w:val="es-CL"/>
        </w:rPr>
        <w:t xml:space="preserve">Asimismo, se realizaron seis ciclos de audiencias temáticas para escuchar a los expertos y a las organizaciones de la sociedad civil, con la finalidad de recibir sus aportes desde </w:t>
      </w:r>
      <w:r w:rsidRPr="0047497B">
        <w:rPr>
          <w:rFonts w:ascii="Segoe UI" w:eastAsia="Cambria" w:hAnsi="Segoe UI" w:cs="Segoe UI"/>
          <w:lang w:val="es-CL"/>
        </w:rPr>
        <w:lastRenderedPageBreak/>
        <w:t xml:space="preserve">sus distintas trayectorias y experiencias en materia de búsqueda, estas audiencias versaron, entre otros temas, sobre: </w:t>
      </w:r>
      <w:r>
        <w:rPr>
          <w:rFonts w:ascii="Segoe UI" w:eastAsia="Cambria" w:hAnsi="Segoe UI" w:cs="Segoe UI"/>
          <w:lang w:val="es-CL"/>
        </w:rPr>
        <w:t>(1)</w:t>
      </w:r>
      <w:r w:rsidRPr="0047497B">
        <w:rPr>
          <w:rFonts w:ascii="Segoe UI" w:eastAsia="Cambria" w:hAnsi="Segoe UI" w:cs="Segoe UI"/>
          <w:lang w:val="es-CL"/>
        </w:rPr>
        <w:t xml:space="preserve"> La ciencia forense al servicio de la búsqueda de víctimas de desaparición </w:t>
      </w:r>
      <w:r>
        <w:rPr>
          <w:rFonts w:ascii="Segoe UI" w:eastAsia="Cambria" w:hAnsi="Segoe UI" w:cs="Segoe UI"/>
          <w:lang w:val="es-CL"/>
        </w:rPr>
        <w:t>forzada de la dictadura chilena;</w:t>
      </w:r>
      <w:r w:rsidRPr="0047497B">
        <w:rPr>
          <w:rFonts w:ascii="Segoe UI" w:eastAsia="Cambria" w:hAnsi="Segoe UI" w:cs="Segoe UI"/>
          <w:lang w:val="es-CL"/>
        </w:rPr>
        <w:t xml:space="preserve"> </w:t>
      </w:r>
      <w:r>
        <w:rPr>
          <w:rFonts w:ascii="Segoe UI" w:eastAsia="Cambria" w:hAnsi="Segoe UI" w:cs="Segoe UI"/>
          <w:lang w:val="es-CL"/>
        </w:rPr>
        <w:t>(2)</w:t>
      </w:r>
      <w:r w:rsidRPr="0047497B">
        <w:rPr>
          <w:rFonts w:ascii="Segoe UI" w:eastAsia="Cambria" w:hAnsi="Segoe UI" w:cs="Segoe UI"/>
          <w:lang w:val="es-CL"/>
        </w:rPr>
        <w:t xml:space="preserve"> Aprendizajes de los procesos de búsqueda en América Latina</w:t>
      </w:r>
      <w:r w:rsidR="008B5B6A">
        <w:rPr>
          <w:rFonts w:ascii="Segoe UI" w:eastAsia="Cambria" w:hAnsi="Segoe UI" w:cs="Segoe UI"/>
          <w:lang w:val="es-CL"/>
        </w:rPr>
        <w:t>; (3)</w:t>
      </w:r>
      <w:r w:rsidRPr="0047497B">
        <w:rPr>
          <w:rFonts w:ascii="Segoe UI" w:eastAsia="Cambria" w:hAnsi="Segoe UI" w:cs="Segoe UI"/>
          <w:lang w:val="es-CL"/>
        </w:rPr>
        <w:t xml:space="preserve"> Aprendizajes del proceso de búsqueda en Chile</w:t>
      </w:r>
      <w:r w:rsidR="008B5B6A">
        <w:rPr>
          <w:rFonts w:ascii="Segoe UI" w:eastAsia="Cambria" w:hAnsi="Segoe UI" w:cs="Segoe UI"/>
          <w:lang w:val="es-CL"/>
        </w:rPr>
        <w:t>; (4)</w:t>
      </w:r>
      <w:r w:rsidRPr="0047497B">
        <w:rPr>
          <w:rFonts w:ascii="Segoe UI" w:eastAsia="Cambria" w:hAnsi="Segoe UI" w:cs="Segoe UI"/>
          <w:lang w:val="es-CL"/>
        </w:rPr>
        <w:t xml:space="preserve"> Estándares internacionales aplicables a la búsqueda de víctimas de desaparición forzada en Chile</w:t>
      </w:r>
      <w:r w:rsidR="008B5B6A">
        <w:rPr>
          <w:rFonts w:ascii="Segoe UI" w:eastAsia="Cambria" w:hAnsi="Segoe UI" w:cs="Segoe UI"/>
          <w:lang w:val="es-CL"/>
        </w:rPr>
        <w:t>; (5)</w:t>
      </w:r>
      <w:r w:rsidRPr="0047497B">
        <w:rPr>
          <w:rFonts w:ascii="Segoe UI" w:eastAsia="Cambria" w:hAnsi="Segoe UI" w:cs="Segoe UI"/>
          <w:lang w:val="es-CL"/>
        </w:rPr>
        <w:t xml:space="preserve"> Acompañamiento psicosocial como una dimensión de los procesos de búsqueda de víctimas de desaparición forzada</w:t>
      </w:r>
      <w:r w:rsidR="008B5B6A">
        <w:rPr>
          <w:rFonts w:ascii="Segoe UI" w:eastAsia="Cambria" w:hAnsi="Segoe UI" w:cs="Segoe UI"/>
          <w:lang w:val="es-CL"/>
        </w:rPr>
        <w:t xml:space="preserve">; (6) </w:t>
      </w:r>
      <w:r w:rsidRPr="0047497B">
        <w:rPr>
          <w:rFonts w:ascii="Segoe UI" w:eastAsia="Cambria" w:hAnsi="Segoe UI" w:cs="Segoe UI"/>
          <w:lang w:val="es-CL"/>
        </w:rPr>
        <w:t>Metodología de políticas públicas con enfoque de derechos humanos como herramienta al servicio del proceso de búsqueda.</w:t>
      </w:r>
    </w:p>
    <w:p w14:paraId="6A2C8780" w14:textId="77777777" w:rsidR="00AC13E2" w:rsidRPr="0047497B" w:rsidRDefault="00AC13E2" w:rsidP="00C54D28">
      <w:pPr>
        <w:tabs>
          <w:tab w:val="left" w:pos="142"/>
        </w:tabs>
        <w:spacing w:before="120" w:after="120" w:line="240" w:lineRule="auto"/>
        <w:jc w:val="both"/>
        <w:rPr>
          <w:rFonts w:ascii="Segoe UI" w:eastAsia="Cambria" w:hAnsi="Segoe UI" w:cs="Segoe UI"/>
        </w:rPr>
      </w:pPr>
      <w:r w:rsidRPr="0047497B">
        <w:rPr>
          <w:rFonts w:ascii="Segoe UI" w:eastAsia="Cambria" w:hAnsi="Segoe UI" w:cs="Segoe UI"/>
          <w:lang w:val="es-CL"/>
        </w:rPr>
        <w:t xml:space="preserve">Durante el proceso participativo territorial, se realizaron 68 encuentros en 32 localidades de las 16 regiones del país, se reunieron con 116 agrupaciones de familiares, sitios de memoria y organizaciones de </w:t>
      </w:r>
      <w:r w:rsidR="008B5B6A">
        <w:rPr>
          <w:rFonts w:ascii="Segoe UI" w:eastAsia="Cambria" w:hAnsi="Segoe UI" w:cs="Segoe UI"/>
          <w:lang w:val="es-CL"/>
        </w:rPr>
        <w:t>derechos humanos</w:t>
      </w:r>
      <w:r w:rsidRPr="0047497B">
        <w:rPr>
          <w:rFonts w:ascii="Segoe UI" w:eastAsia="Cambria" w:hAnsi="Segoe UI" w:cs="Segoe UI"/>
          <w:lang w:val="es-CL"/>
        </w:rPr>
        <w:t>, trabajaron con 711 personas en los encuentros participativos y abordaron 4 seminarios públicos con 138 asistentes presenciales y 2928 visualizaciones virtuales</w:t>
      </w:r>
    </w:p>
    <w:p w14:paraId="6A2C8781" w14:textId="77777777" w:rsidR="00AC13E2" w:rsidRDefault="008B5B6A" w:rsidP="00C54D28">
      <w:pPr>
        <w:tabs>
          <w:tab w:val="left" w:pos="142"/>
        </w:tabs>
        <w:spacing w:before="120" w:after="120" w:line="240" w:lineRule="auto"/>
        <w:jc w:val="both"/>
        <w:rPr>
          <w:rFonts w:ascii="Segoe UI" w:eastAsia="Cambria" w:hAnsi="Segoe UI" w:cs="Segoe UI"/>
          <w:lang w:val="es-CL"/>
        </w:rPr>
      </w:pPr>
      <w:r>
        <w:rPr>
          <w:rFonts w:ascii="Segoe UI" w:eastAsia="Cambria" w:hAnsi="Segoe UI" w:cs="Segoe UI"/>
          <w:lang w:val="es-CL"/>
        </w:rPr>
        <w:t xml:space="preserve">Al mismo tiempo, </w:t>
      </w:r>
      <w:r w:rsidR="00AC13E2">
        <w:rPr>
          <w:rFonts w:ascii="Segoe UI" w:eastAsia="Cambria" w:hAnsi="Segoe UI" w:cs="Segoe UI"/>
          <w:lang w:val="es-CL"/>
        </w:rPr>
        <w:t>e</w:t>
      </w:r>
      <w:r w:rsidR="00AC13E2" w:rsidRPr="0047497B">
        <w:rPr>
          <w:rFonts w:ascii="Segoe UI" w:eastAsia="Cambria" w:hAnsi="Segoe UI" w:cs="Segoe UI"/>
          <w:lang w:val="es-CL"/>
        </w:rPr>
        <w:t>n el Ministerio de justicia y Derechos Humanos participan aproximadamente 14 organizaciones de la sociedad civil</w:t>
      </w:r>
      <w:r w:rsidR="00AC13E2">
        <w:rPr>
          <w:rStyle w:val="FootnoteReference"/>
          <w:rFonts w:ascii="Segoe UI" w:eastAsia="Cambria" w:hAnsi="Segoe UI" w:cs="Segoe UI"/>
          <w:lang w:val="es-CL"/>
        </w:rPr>
        <w:footnoteReference w:id="8"/>
      </w:r>
      <w:r w:rsidR="00AC13E2" w:rsidRPr="0047497B">
        <w:rPr>
          <w:rFonts w:ascii="Segoe UI" w:eastAsia="Cambria" w:hAnsi="Segoe UI" w:cs="Segoe UI"/>
          <w:lang w:val="es-CL"/>
        </w:rPr>
        <w:t xml:space="preserve"> en materias tales como promoción de derechos de las personas privadas de libertad, víctimas de la dictadura, víctimas de mutilación ocular en el estallido social de 2019, asociaciones de abogadas feministas, promoción de derechos migrantes, entre otras. </w:t>
      </w:r>
    </w:p>
    <w:p w14:paraId="6A2C8782" w14:textId="77777777" w:rsidR="00AC13E2" w:rsidRPr="00AC13E2" w:rsidRDefault="00AC13E2" w:rsidP="00C54D28">
      <w:pPr>
        <w:tabs>
          <w:tab w:val="left" w:pos="142"/>
        </w:tabs>
        <w:spacing w:before="120" w:after="120" w:line="240" w:lineRule="auto"/>
        <w:ind w:left="142"/>
        <w:jc w:val="both"/>
        <w:rPr>
          <w:rFonts w:ascii="Segoe UI" w:hAnsi="Segoe UI" w:cs="Segoe UI"/>
          <w:lang w:val="es-CL"/>
        </w:rPr>
      </w:pPr>
    </w:p>
    <w:sectPr w:rsidR="00AC13E2" w:rsidRPr="00AC13E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8785" w14:textId="77777777" w:rsidR="00C6569E" w:rsidRDefault="00C6569E" w:rsidP="00B214DC">
      <w:pPr>
        <w:spacing w:after="0" w:line="240" w:lineRule="auto"/>
      </w:pPr>
      <w:r>
        <w:separator/>
      </w:r>
    </w:p>
  </w:endnote>
  <w:endnote w:type="continuationSeparator" w:id="0">
    <w:p w14:paraId="6A2C8786" w14:textId="77777777" w:rsidR="00C6569E" w:rsidRDefault="00C6569E" w:rsidP="00B2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228889960"/>
      <w:docPartObj>
        <w:docPartGallery w:val="Page Numbers (Bottom of Page)"/>
        <w:docPartUnique/>
      </w:docPartObj>
    </w:sdtPr>
    <w:sdtEndPr/>
    <w:sdtContent>
      <w:p w14:paraId="6A2C878E" w14:textId="77777777" w:rsidR="00AC13E2" w:rsidRPr="002C6B6D" w:rsidRDefault="00AC13E2">
        <w:pPr>
          <w:pStyle w:val="Footer"/>
          <w:jc w:val="center"/>
          <w:rPr>
            <w:rFonts w:ascii="Segoe UI" w:hAnsi="Segoe UI" w:cs="Segoe UI"/>
            <w:sz w:val="20"/>
            <w:szCs w:val="20"/>
          </w:rPr>
        </w:pPr>
        <w:r w:rsidRPr="002C6B6D">
          <w:rPr>
            <w:rFonts w:ascii="Segoe UI" w:hAnsi="Segoe UI" w:cs="Segoe UI"/>
            <w:sz w:val="20"/>
            <w:szCs w:val="20"/>
          </w:rPr>
          <w:fldChar w:fldCharType="begin"/>
        </w:r>
        <w:r w:rsidRPr="002C6B6D">
          <w:rPr>
            <w:rFonts w:ascii="Segoe UI" w:hAnsi="Segoe UI" w:cs="Segoe UI"/>
            <w:sz w:val="20"/>
            <w:szCs w:val="20"/>
          </w:rPr>
          <w:instrText>PAGE   \* MERGEFORMAT</w:instrText>
        </w:r>
        <w:r w:rsidRPr="002C6B6D">
          <w:rPr>
            <w:rFonts w:ascii="Segoe UI" w:hAnsi="Segoe UI" w:cs="Segoe UI"/>
            <w:sz w:val="20"/>
            <w:szCs w:val="20"/>
          </w:rPr>
          <w:fldChar w:fldCharType="separate"/>
        </w:r>
        <w:r w:rsidR="00C54D28">
          <w:rPr>
            <w:rFonts w:ascii="Segoe UI" w:hAnsi="Segoe UI" w:cs="Segoe UI"/>
            <w:noProof/>
            <w:sz w:val="20"/>
            <w:szCs w:val="20"/>
          </w:rPr>
          <w:t>13</w:t>
        </w:r>
        <w:r w:rsidRPr="002C6B6D">
          <w:rPr>
            <w:rFonts w:ascii="Segoe UI" w:hAnsi="Segoe UI" w:cs="Segoe UI"/>
            <w:sz w:val="20"/>
            <w:szCs w:val="20"/>
          </w:rPr>
          <w:fldChar w:fldCharType="end"/>
        </w:r>
      </w:p>
    </w:sdtContent>
  </w:sdt>
  <w:p w14:paraId="6A2C878F" w14:textId="77777777" w:rsidR="00AC13E2" w:rsidRDefault="00AC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8783" w14:textId="77777777" w:rsidR="00C6569E" w:rsidRDefault="00C6569E" w:rsidP="00B214DC">
      <w:pPr>
        <w:spacing w:after="0" w:line="240" w:lineRule="auto"/>
      </w:pPr>
      <w:r>
        <w:separator/>
      </w:r>
    </w:p>
  </w:footnote>
  <w:footnote w:type="continuationSeparator" w:id="0">
    <w:p w14:paraId="6A2C8784" w14:textId="77777777" w:rsidR="00C6569E" w:rsidRDefault="00C6569E" w:rsidP="00B214DC">
      <w:pPr>
        <w:spacing w:after="0" w:line="240" w:lineRule="auto"/>
      </w:pPr>
      <w:r>
        <w:continuationSeparator/>
      </w:r>
    </w:p>
  </w:footnote>
  <w:footnote w:id="1">
    <w:p w14:paraId="6A2C8792" w14:textId="77777777" w:rsidR="00AC13E2" w:rsidRPr="00960EC9" w:rsidRDefault="00AC13E2" w:rsidP="00960EC9">
      <w:pPr>
        <w:pStyle w:val="FootnoteText"/>
        <w:jc w:val="both"/>
        <w:rPr>
          <w:rFonts w:ascii="Segoe UI" w:hAnsi="Segoe UI" w:cs="Segoe UI"/>
          <w:sz w:val="18"/>
          <w:szCs w:val="18"/>
        </w:rPr>
      </w:pPr>
      <w:r w:rsidRPr="00960EC9">
        <w:rPr>
          <w:rStyle w:val="FootnoteReference"/>
          <w:rFonts w:ascii="Segoe UI" w:hAnsi="Segoe UI" w:cs="Segoe UI"/>
          <w:sz w:val="18"/>
          <w:szCs w:val="18"/>
        </w:rPr>
        <w:footnoteRef/>
      </w:r>
      <w:r w:rsidRPr="00960EC9">
        <w:rPr>
          <w:rFonts w:ascii="Segoe UI" w:hAnsi="Segoe UI" w:cs="Segoe UI"/>
          <w:sz w:val="18"/>
          <w:szCs w:val="18"/>
        </w:rPr>
        <w:t xml:space="preserve"> Al alero de la entrada en vigor de la Ley 21.430 sobre garantías y protección integral de los derechos de la niñez y adolescencia., se fortaleció el trabajo coordinado con el intersector, promoviendo la protección integral de los NNA, especialmente con el Ministerio Público, el Servicio de Protección Especializada en la Niñez y Adolescencia (Mejor Niñez) y el Servicio Nacional para la Prevención y Rehabilitación del Consumo de Drogas y Alcohol (SENDA).</w:t>
      </w:r>
    </w:p>
  </w:footnote>
  <w:footnote w:id="2">
    <w:p w14:paraId="6A2C8793" w14:textId="77777777" w:rsidR="00AC13E2" w:rsidRPr="00960EC9" w:rsidRDefault="00AC13E2" w:rsidP="00960EC9">
      <w:pPr>
        <w:pStyle w:val="FootnoteText"/>
        <w:jc w:val="both"/>
        <w:rPr>
          <w:rFonts w:ascii="Segoe UI" w:hAnsi="Segoe UI" w:cs="Segoe UI"/>
          <w:sz w:val="18"/>
          <w:szCs w:val="18"/>
        </w:rPr>
      </w:pPr>
      <w:r w:rsidRPr="00960EC9">
        <w:rPr>
          <w:rStyle w:val="FootnoteReference"/>
          <w:rFonts w:ascii="Segoe UI" w:hAnsi="Segoe UI" w:cs="Segoe UI"/>
          <w:sz w:val="18"/>
          <w:szCs w:val="18"/>
        </w:rPr>
        <w:footnoteRef/>
      </w:r>
      <w:r w:rsidRPr="00960EC9">
        <w:rPr>
          <w:rFonts w:ascii="Segoe UI" w:hAnsi="Segoe UI" w:cs="Segoe UI"/>
          <w:sz w:val="18"/>
          <w:szCs w:val="18"/>
        </w:rPr>
        <w:t xml:space="preserve"> A partir del segundo semestre del año 2023 dicho registro incluirá la variable de género, mediante la cual las personas podrán clasificarse conforme su identidad.</w:t>
      </w:r>
    </w:p>
  </w:footnote>
  <w:footnote w:id="3">
    <w:p w14:paraId="6A2C8794" w14:textId="77777777" w:rsidR="00AC13E2" w:rsidRPr="00960EC9" w:rsidRDefault="00AC13E2" w:rsidP="00960EC9">
      <w:pPr>
        <w:pStyle w:val="FootnoteText"/>
        <w:jc w:val="both"/>
        <w:rPr>
          <w:rFonts w:ascii="Segoe UI" w:hAnsi="Segoe UI" w:cs="Segoe UI"/>
          <w:sz w:val="18"/>
          <w:szCs w:val="18"/>
        </w:rPr>
      </w:pPr>
      <w:r w:rsidRPr="00960EC9">
        <w:rPr>
          <w:rStyle w:val="FootnoteReference"/>
          <w:rFonts w:ascii="Segoe UI" w:hAnsi="Segoe UI" w:cs="Segoe UI"/>
          <w:sz w:val="18"/>
          <w:szCs w:val="18"/>
        </w:rPr>
        <w:footnoteRef/>
      </w:r>
      <w:r w:rsidRPr="00960EC9">
        <w:rPr>
          <w:rFonts w:ascii="Segoe UI" w:hAnsi="Segoe UI" w:cs="Segoe UI"/>
          <w:sz w:val="18"/>
          <w:szCs w:val="18"/>
        </w:rPr>
        <w:t xml:space="preserve"> Más información en: </w:t>
      </w:r>
      <w:hyperlink r:id="rId1" w:history="1">
        <w:r w:rsidRPr="00493F00">
          <w:rPr>
            <w:rStyle w:val="Hyperlink"/>
            <w:rFonts w:ascii="Segoe UI" w:hAnsi="Segoe UI" w:cs="Segoe UI"/>
            <w:sz w:val="18"/>
            <w:szCs w:val="18"/>
          </w:rPr>
          <w:t>https://www.dpp.cl/pag/307</w:t>
        </w:r>
      </w:hyperlink>
    </w:p>
  </w:footnote>
  <w:footnote w:id="4">
    <w:p w14:paraId="6A2C8795" w14:textId="77777777" w:rsidR="00AC13E2" w:rsidRPr="00960EC9" w:rsidRDefault="00AC13E2" w:rsidP="00960EC9">
      <w:pPr>
        <w:pStyle w:val="FootnoteText"/>
        <w:jc w:val="both"/>
        <w:rPr>
          <w:rFonts w:ascii="Segoe UI" w:hAnsi="Segoe UI" w:cs="Segoe UI"/>
          <w:sz w:val="18"/>
          <w:szCs w:val="18"/>
        </w:rPr>
      </w:pPr>
      <w:r w:rsidRPr="00960EC9">
        <w:rPr>
          <w:rStyle w:val="FootnoteReference"/>
          <w:rFonts w:ascii="Segoe UI" w:hAnsi="Segoe UI" w:cs="Segoe UI"/>
          <w:sz w:val="18"/>
          <w:szCs w:val="18"/>
        </w:rPr>
        <w:footnoteRef/>
      </w:r>
      <w:r w:rsidRPr="00960EC9">
        <w:rPr>
          <w:rFonts w:ascii="Segoe UI" w:hAnsi="Segoe UI" w:cs="Segoe UI"/>
          <w:sz w:val="18"/>
          <w:szCs w:val="18"/>
        </w:rPr>
        <w:t xml:space="preserve"> CASTILLO, J. 2006. Problemas de acceso a la justicia civil en Chile. p. 319. </w:t>
      </w:r>
      <w:r w:rsidRPr="00960EC9">
        <w:rPr>
          <w:rFonts w:ascii="Segoe UI" w:hAnsi="Segoe UI" w:cs="Segoe UI"/>
          <w:sz w:val="18"/>
          <w:szCs w:val="18"/>
          <w:u w:val="single"/>
        </w:rPr>
        <w:t>En:</w:t>
      </w:r>
      <w:r w:rsidRPr="00960EC9">
        <w:rPr>
          <w:rFonts w:ascii="Segoe UI" w:hAnsi="Segoe UI" w:cs="Segoe UI"/>
          <w:sz w:val="18"/>
          <w:szCs w:val="18"/>
        </w:rPr>
        <w:t xml:space="preserve"> SILVA, J. Et al. Justicia Civil y Comercial. Una reforma pendiente: Bases para el diseño de la reforma procesal civil. Santiago, Pontificia Universidad Católica de Chile. [En línea] </w:t>
      </w:r>
      <w:hyperlink r:id="rId2" w:history="1">
        <w:r w:rsidRPr="00960EC9">
          <w:rPr>
            <w:rStyle w:val="Hyperlink"/>
            <w:rFonts w:ascii="Segoe UI" w:hAnsi="Segoe UI" w:cs="Segoe UI"/>
            <w:sz w:val="18"/>
            <w:szCs w:val="18"/>
          </w:rPr>
          <w:t>https://lyd.org/wp-content/uploads/2011/05/Libro-Justicia-Civil-y-Comercial-Noviembre2006.pdf</w:t>
        </w:r>
      </w:hyperlink>
      <w:r>
        <w:rPr>
          <w:rFonts w:ascii="Segoe UI" w:hAnsi="Segoe UI" w:cs="Segoe UI"/>
          <w:sz w:val="18"/>
          <w:szCs w:val="18"/>
        </w:rPr>
        <w:t xml:space="preserve">  </w:t>
      </w:r>
    </w:p>
  </w:footnote>
  <w:footnote w:id="5">
    <w:p w14:paraId="6A2C8796" w14:textId="77777777" w:rsidR="00AC13E2" w:rsidRPr="00960EC9" w:rsidRDefault="00AC13E2" w:rsidP="00960EC9">
      <w:pPr>
        <w:pStyle w:val="FootnoteText"/>
        <w:jc w:val="both"/>
        <w:rPr>
          <w:rFonts w:ascii="Segoe UI" w:hAnsi="Segoe UI" w:cs="Segoe UI"/>
          <w:sz w:val="18"/>
          <w:szCs w:val="18"/>
        </w:rPr>
      </w:pPr>
      <w:r w:rsidRPr="00960EC9">
        <w:rPr>
          <w:rStyle w:val="FootnoteReference"/>
          <w:rFonts w:ascii="Segoe UI" w:hAnsi="Segoe UI" w:cs="Segoe UI"/>
          <w:sz w:val="18"/>
          <w:szCs w:val="18"/>
        </w:rPr>
        <w:footnoteRef/>
      </w:r>
      <w:r w:rsidRPr="00960EC9">
        <w:rPr>
          <w:rFonts w:ascii="Segoe UI" w:hAnsi="Segoe UI" w:cs="Segoe UI"/>
          <w:sz w:val="18"/>
          <w:szCs w:val="18"/>
        </w:rPr>
        <w:t xml:space="preserve"> TORRES, N. et al. 2017. El trabajo jurídico Pro Bono en Chile 2000-2014. p. 298. </w:t>
      </w:r>
      <w:r w:rsidRPr="00960EC9">
        <w:rPr>
          <w:rFonts w:ascii="Segoe UI" w:hAnsi="Segoe UI" w:cs="Segoe UI"/>
          <w:sz w:val="18"/>
          <w:szCs w:val="18"/>
          <w:u w:val="single"/>
        </w:rPr>
        <w:t>En:</w:t>
      </w:r>
      <w:r w:rsidRPr="00960EC9">
        <w:rPr>
          <w:rFonts w:ascii="Segoe UI" w:hAnsi="Segoe UI" w:cs="Segoe UI"/>
          <w:sz w:val="18"/>
          <w:szCs w:val="18"/>
        </w:rPr>
        <w:t xml:space="preserve"> BONILLA, D. Los mandarines del Derecho: trasplantes jurídicos, análisis cultural del Derecho y trabajo Pro Bono. Bogotá D., Siglo del Hombre Editores, Colombia. [En Línea] </w:t>
      </w:r>
      <w:hyperlink r:id="rId3" w:history="1">
        <w:r w:rsidRPr="00960EC9">
          <w:rPr>
            <w:rStyle w:val="Hyperlink"/>
            <w:rFonts w:ascii="Segoe UI" w:hAnsi="Segoe UI" w:cs="Segoe UI"/>
            <w:sz w:val="18"/>
            <w:szCs w:val="18"/>
          </w:rPr>
          <w:t>https://www.jstor.org/stable/j.ctt1kw27qm</w:t>
        </w:r>
      </w:hyperlink>
      <w:r>
        <w:rPr>
          <w:rFonts w:ascii="Segoe UI" w:hAnsi="Segoe UI" w:cs="Segoe UI"/>
          <w:sz w:val="18"/>
          <w:szCs w:val="18"/>
        </w:rPr>
        <w:t xml:space="preserve"> </w:t>
      </w:r>
    </w:p>
  </w:footnote>
  <w:footnote w:id="6">
    <w:p w14:paraId="6A2C8797" w14:textId="77777777" w:rsidR="00AC13E2" w:rsidRPr="00960EC9" w:rsidRDefault="00AC13E2" w:rsidP="00960EC9">
      <w:pPr>
        <w:pStyle w:val="FootnoteText"/>
        <w:jc w:val="both"/>
        <w:rPr>
          <w:rFonts w:ascii="Segoe UI" w:hAnsi="Segoe UI" w:cs="Segoe UI"/>
          <w:sz w:val="18"/>
          <w:szCs w:val="18"/>
        </w:rPr>
      </w:pPr>
      <w:r w:rsidRPr="00960EC9">
        <w:rPr>
          <w:rStyle w:val="FootnoteReference"/>
          <w:rFonts w:ascii="Segoe UI" w:hAnsi="Segoe UI" w:cs="Segoe UI"/>
          <w:sz w:val="18"/>
          <w:szCs w:val="18"/>
        </w:rPr>
        <w:footnoteRef/>
      </w:r>
      <w:r w:rsidRPr="00960EC9">
        <w:rPr>
          <w:rFonts w:ascii="Segoe UI" w:hAnsi="Segoe UI" w:cs="Segoe UI"/>
          <w:sz w:val="18"/>
          <w:szCs w:val="18"/>
        </w:rPr>
        <w:t xml:space="preserve"> Fundación Pro Bono Chile: Nuestra institución [En línea] </w:t>
      </w:r>
      <w:hyperlink r:id="rId4" w:history="1">
        <w:r w:rsidRPr="00960EC9">
          <w:rPr>
            <w:rStyle w:val="Hyperlink"/>
            <w:rFonts w:ascii="Segoe UI" w:hAnsi="Segoe UI" w:cs="Segoe UI"/>
            <w:sz w:val="18"/>
            <w:szCs w:val="18"/>
          </w:rPr>
          <w:t>https://www.probono.cl/quienes-somos/nuestra-institucion/</w:t>
        </w:r>
      </w:hyperlink>
      <w:r>
        <w:rPr>
          <w:rFonts w:ascii="Segoe UI" w:hAnsi="Segoe UI" w:cs="Segoe UI"/>
          <w:sz w:val="18"/>
          <w:szCs w:val="18"/>
        </w:rPr>
        <w:t xml:space="preserve"> </w:t>
      </w:r>
      <w:r w:rsidRPr="00960EC9">
        <w:rPr>
          <w:rFonts w:ascii="Segoe UI" w:hAnsi="Segoe UI" w:cs="Segoe UI"/>
          <w:sz w:val="18"/>
          <w:szCs w:val="18"/>
        </w:rPr>
        <w:t xml:space="preserve"> </w:t>
      </w:r>
    </w:p>
  </w:footnote>
  <w:footnote w:id="7">
    <w:p w14:paraId="6A2C8798" w14:textId="77777777" w:rsidR="00AC13E2" w:rsidRPr="00960EC9" w:rsidRDefault="00AC13E2" w:rsidP="00AC13E2">
      <w:pPr>
        <w:pStyle w:val="FootnoteText"/>
        <w:jc w:val="both"/>
        <w:rPr>
          <w:rFonts w:ascii="Segoe UI" w:hAnsi="Segoe UI" w:cs="Segoe UI"/>
          <w:sz w:val="18"/>
          <w:szCs w:val="18"/>
        </w:rPr>
      </w:pPr>
      <w:r w:rsidRPr="00960EC9">
        <w:rPr>
          <w:rStyle w:val="FootnoteReference"/>
          <w:rFonts w:ascii="Segoe UI" w:hAnsi="Segoe UI" w:cs="Segoe UI"/>
          <w:sz w:val="18"/>
          <w:szCs w:val="18"/>
        </w:rPr>
        <w:footnoteRef/>
      </w:r>
      <w:r w:rsidRPr="00960EC9">
        <w:rPr>
          <w:rFonts w:ascii="Segoe UI" w:hAnsi="Segoe UI" w:cs="Segoe UI"/>
          <w:sz w:val="18"/>
          <w:szCs w:val="18"/>
        </w:rPr>
        <w:t xml:space="preserve"> </w:t>
      </w:r>
      <w:hyperlink r:id="rId5" w:history="1">
        <w:r w:rsidRPr="00493F00">
          <w:rPr>
            <w:rStyle w:val="Hyperlink"/>
            <w:rFonts w:ascii="Segoe UI" w:hAnsi="Segoe UI" w:cs="Segoe UI"/>
            <w:sz w:val="18"/>
            <w:szCs w:val="18"/>
          </w:rPr>
          <w:t>https://observatorioddhh.dpp.cl/</w:t>
        </w:r>
      </w:hyperlink>
    </w:p>
  </w:footnote>
  <w:footnote w:id="8">
    <w:p w14:paraId="6A2C8799" w14:textId="77777777" w:rsidR="00AC13E2" w:rsidRPr="00960EC9" w:rsidRDefault="00AC13E2" w:rsidP="00AC13E2">
      <w:pPr>
        <w:pStyle w:val="FootnoteText"/>
        <w:jc w:val="both"/>
        <w:rPr>
          <w:rFonts w:ascii="Segoe UI" w:hAnsi="Segoe UI" w:cs="Segoe UI"/>
          <w:sz w:val="18"/>
          <w:szCs w:val="18"/>
        </w:rPr>
      </w:pPr>
      <w:r w:rsidRPr="00960EC9">
        <w:rPr>
          <w:rStyle w:val="FootnoteReference"/>
          <w:rFonts w:ascii="Segoe UI" w:hAnsi="Segoe UI" w:cs="Segoe UI"/>
          <w:sz w:val="18"/>
          <w:szCs w:val="18"/>
        </w:rPr>
        <w:footnoteRef/>
      </w:r>
      <w:r w:rsidRPr="00960EC9">
        <w:rPr>
          <w:rFonts w:ascii="Segoe UI" w:hAnsi="Segoe UI" w:cs="Segoe UI"/>
          <w:sz w:val="18"/>
          <w:szCs w:val="18"/>
        </w:rPr>
        <w:t xml:space="preserve"> El Consejo de la Sociedad Civil (Ley N° 20.500) es un órgano colegiado, de carácter consultivo, compuesto por representantes de las organizaciones de la sociedad civil, sin fines de lucro, relacionadas con las políticas, servicios, programas o planes ejecutados por el Ministerio de Justicia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8787" w14:textId="77777777" w:rsidR="00AC13E2" w:rsidRDefault="00AC13E2" w:rsidP="00B214DC">
    <w:pPr>
      <w:pStyle w:val="Header"/>
      <w:jc w:val="right"/>
      <w:rPr>
        <w:rFonts w:ascii="Segoe UI" w:hAnsi="Segoe UI" w:cs="Segoe UI"/>
        <w:b/>
      </w:rPr>
    </w:pPr>
    <w:r>
      <w:rPr>
        <w:noProof/>
        <w:lang w:eastAsia="es-ES"/>
      </w:rPr>
      <w:drawing>
        <wp:anchor distT="0" distB="0" distL="114300" distR="114300" simplePos="0" relativeHeight="251659264" behindDoc="1" locked="0" layoutInCell="1" allowOverlap="1" wp14:anchorId="6A2C8790" wp14:editId="6A2C8791">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14:paraId="6A2C8788" w14:textId="77777777" w:rsidR="00AC13E2" w:rsidRPr="00A75FD1" w:rsidRDefault="00AC13E2" w:rsidP="00B214DC">
    <w:pPr>
      <w:pStyle w:val="Header"/>
      <w:jc w:val="right"/>
      <w:rPr>
        <w:rFonts w:ascii="Segoe UI" w:hAnsi="Segoe UI" w:cs="Segoe UI"/>
      </w:rPr>
    </w:pPr>
    <w:r w:rsidRPr="00A75FD1">
      <w:rPr>
        <w:rFonts w:ascii="Segoe UI" w:hAnsi="Segoe UI" w:cs="Segoe UI"/>
      </w:rPr>
      <w:t>Ministerio de Relaciones Exteriores</w:t>
    </w:r>
  </w:p>
  <w:p w14:paraId="6A2C8789" w14:textId="77777777" w:rsidR="00AC13E2" w:rsidRPr="00A75FD1" w:rsidRDefault="00AC13E2" w:rsidP="00B214DC">
    <w:pPr>
      <w:pStyle w:val="Header"/>
      <w:jc w:val="right"/>
      <w:rPr>
        <w:rFonts w:ascii="Segoe UI" w:hAnsi="Segoe UI" w:cs="Segoe UI"/>
      </w:rPr>
    </w:pPr>
    <w:r w:rsidRPr="00A75FD1">
      <w:rPr>
        <w:rFonts w:ascii="Segoe UI" w:hAnsi="Segoe UI" w:cs="Segoe UI"/>
      </w:rPr>
      <w:t>División de Derechos Humanos</w:t>
    </w:r>
  </w:p>
  <w:p w14:paraId="6A2C878A" w14:textId="77777777" w:rsidR="00AC13E2" w:rsidRPr="00A75FD1" w:rsidRDefault="00AC13E2" w:rsidP="00B214DC">
    <w:pPr>
      <w:pStyle w:val="Header"/>
      <w:jc w:val="right"/>
      <w:rPr>
        <w:rFonts w:ascii="Segoe UI" w:hAnsi="Segoe UI" w:cs="Segoe UI"/>
      </w:rPr>
    </w:pPr>
    <w:r>
      <w:rPr>
        <w:rFonts w:ascii="Segoe UI" w:hAnsi="Segoe UI" w:cs="Segoe UI"/>
      </w:rPr>
      <w:t xml:space="preserve">16 </w:t>
    </w:r>
    <w:r w:rsidRPr="00A75FD1">
      <w:rPr>
        <w:rFonts w:ascii="Segoe UI" w:hAnsi="Segoe UI" w:cs="Segoe UI"/>
      </w:rPr>
      <w:t xml:space="preserve">de </w:t>
    </w:r>
    <w:r>
      <w:rPr>
        <w:rFonts w:ascii="Segoe UI" w:hAnsi="Segoe UI" w:cs="Segoe UI"/>
      </w:rPr>
      <w:t>agosto</w:t>
    </w:r>
    <w:r w:rsidRPr="00A75FD1">
      <w:rPr>
        <w:rFonts w:ascii="Segoe UI" w:hAnsi="Segoe UI" w:cs="Segoe UI"/>
      </w:rPr>
      <w:t xml:space="preserve"> de 2023</w:t>
    </w:r>
  </w:p>
  <w:p w14:paraId="6A2C878B" w14:textId="77777777" w:rsidR="00AC13E2" w:rsidRDefault="00AC13E2" w:rsidP="00B214DC">
    <w:pPr>
      <w:pStyle w:val="Header"/>
    </w:pPr>
  </w:p>
  <w:p w14:paraId="6A2C878C" w14:textId="77777777" w:rsidR="00AC13E2" w:rsidRDefault="00AC13E2">
    <w:pPr>
      <w:pStyle w:val="Header"/>
    </w:pPr>
  </w:p>
  <w:p w14:paraId="6A2C878D" w14:textId="77777777" w:rsidR="00AC13E2" w:rsidRPr="002C6B6D" w:rsidRDefault="00AC13E2">
    <w:pPr>
      <w:pStyle w:val="Header"/>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659"/>
    <w:multiLevelType w:val="hybridMultilevel"/>
    <w:tmpl w:val="E982A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F764B2"/>
    <w:multiLevelType w:val="hybridMultilevel"/>
    <w:tmpl w:val="4F443D80"/>
    <w:lvl w:ilvl="0" w:tplc="A86CBECA">
      <w:start w:val="1"/>
      <w:numFmt w:val="lowerLetter"/>
      <w:lvlText w:val="%1."/>
      <w:lvlJc w:val="left"/>
      <w:pPr>
        <w:ind w:left="720" w:hanging="360"/>
      </w:pPr>
    </w:lvl>
    <w:lvl w:ilvl="1" w:tplc="03064DDE">
      <w:start w:val="1"/>
      <w:numFmt w:val="lowerLetter"/>
      <w:lvlText w:val="%2."/>
      <w:lvlJc w:val="left"/>
      <w:pPr>
        <w:ind w:left="1440" w:hanging="360"/>
      </w:pPr>
    </w:lvl>
    <w:lvl w:ilvl="2" w:tplc="D66EDFBE">
      <w:start w:val="1"/>
      <w:numFmt w:val="lowerRoman"/>
      <w:lvlText w:val="%3."/>
      <w:lvlJc w:val="right"/>
      <w:pPr>
        <w:ind w:left="2160" w:hanging="180"/>
      </w:pPr>
    </w:lvl>
    <w:lvl w:ilvl="3" w:tplc="3FF05D90">
      <w:start w:val="1"/>
      <w:numFmt w:val="decimal"/>
      <w:lvlText w:val="%4."/>
      <w:lvlJc w:val="left"/>
      <w:pPr>
        <w:ind w:left="2880" w:hanging="360"/>
      </w:pPr>
    </w:lvl>
    <w:lvl w:ilvl="4" w:tplc="C20A8F30">
      <w:start w:val="1"/>
      <w:numFmt w:val="lowerLetter"/>
      <w:lvlText w:val="%5."/>
      <w:lvlJc w:val="left"/>
      <w:pPr>
        <w:ind w:left="3600" w:hanging="360"/>
      </w:pPr>
    </w:lvl>
    <w:lvl w:ilvl="5" w:tplc="9BC8D89C">
      <w:start w:val="1"/>
      <w:numFmt w:val="lowerRoman"/>
      <w:lvlText w:val="%6."/>
      <w:lvlJc w:val="right"/>
      <w:pPr>
        <w:ind w:left="4320" w:hanging="180"/>
      </w:pPr>
    </w:lvl>
    <w:lvl w:ilvl="6" w:tplc="8DE63F26">
      <w:start w:val="1"/>
      <w:numFmt w:val="decimal"/>
      <w:lvlText w:val="%7."/>
      <w:lvlJc w:val="left"/>
      <w:pPr>
        <w:ind w:left="5040" w:hanging="360"/>
      </w:pPr>
    </w:lvl>
    <w:lvl w:ilvl="7" w:tplc="0C44D952">
      <w:start w:val="1"/>
      <w:numFmt w:val="lowerLetter"/>
      <w:lvlText w:val="%8."/>
      <w:lvlJc w:val="left"/>
      <w:pPr>
        <w:ind w:left="5760" w:hanging="360"/>
      </w:pPr>
    </w:lvl>
    <w:lvl w:ilvl="8" w:tplc="CC24F948">
      <w:start w:val="1"/>
      <w:numFmt w:val="lowerRoman"/>
      <w:lvlText w:val="%9."/>
      <w:lvlJc w:val="right"/>
      <w:pPr>
        <w:ind w:left="6480" w:hanging="180"/>
      </w:pPr>
    </w:lvl>
  </w:abstractNum>
  <w:abstractNum w:abstractNumId="2" w15:restartNumberingAfterBreak="0">
    <w:nsid w:val="0F8167F5"/>
    <w:multiLevelType w:val="hybridMultilevel"/>
    <w:tmpl w:val="039A7E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6E6379"/>
    <w:multiLevelType w:val="hybridMultilevel"/>
    <w:tmpl w:val="F466A682"/>
    <w:lvl w:ilvl="0" w:tplc="17C4008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274321"/>
    <w:multiLevelType w:val="hybridMultilevel"/>
    <w:tmpl w:val="F24E5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2618F0"/>
    <w:multiLevelType w:val="hybridMultilevel"/>
    <w:tmpl w:val="6D666348"/>
    <w:lvl w:ilvl="0" w:tplc="0C0A0001">
      <w:start w:val="1"/>
      <w:numFmt w:val="bullet"/>
      <w:lvlText w:val=""/>
      <w:lvlJc w:val="left"/>
      <w:pPr>
        <w:ind w:left="720" w:hanging="360"/>
      </w:pPr>
      <w:rPr>
        <w:rFonts w:ascii="Symbol" w:hAnsi="Symbol" w:hint="default"/>
      </w:rPr>
    </w:lvl>
    <w:lvl w:ilvl="1" w:tplc="465A4676">
      <w:start w:val="4"/>
      <w:numFmt w:val="bullet"/>
      <w:lvlText w:val="-"/>
      <w:lvlJc w:val="left"/>
      <w:pPr>
        <w:ind w:left="1440" w:hanging="360"/>
      </w:pPr>
      <w:rPr>
        <w:rFonts w:ascii="Segoe UI" w:eastAsiaTheme="minorHAnsi" w:hAnsi="Segoe UI" w:cs="Segoe U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F04F46"/>
    <w:multiLevelType w:val="hybridMultilevel"/>
    <w:tmpl w:val="450685F0"/>
    <w:lvl w:ilvl="0" w:tplc="8D5EAF9C">
      <w:start w:val="1"/>
      <w:numFmt w:val="decimal"/>
      <w:lvlText w:val="%1."/>
      <w:lvlJc w:val="left"/>
      <w:pPr>
        <w:ind w:left="1080" w:hanging="360"/>
      </w:pPr>
      <w:rPr>
        <w:rFonts w:hint="default"/>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2473715"/>
    <w:multiLevelType w:val="hybridMultilevel"/>
    <w:tmpl w:val="B6FA3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A43742"/>
    <w:multiLevelType w:val="hybridMultilevel"/>
    <w:tmpl w:val="545CA256"/>
    <w:lvl w:ilvl="0" w:tplc="C3DC692E">
      <w:start w:val="1"/>
      <w:numFmt w:val="decimal"/>
      <w:lvlText w:val="%1."/>
      <w:lvlJc w:val="left"/>
      <w:pPr>
        <w:ind w:left="927" w:hanging="360"/>
      </w:pPr>
      <w:rPr>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9" w15:restartNumberingAfterBreak="0">
    <w:nsid w:val="297E0F2E"/>
    <w:multiLevelType w:val="hybridMultilevel"/>
    <w:tmpl w:val="10B437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CA03FD8"/>
    <w:multiLevelType w:val="hybridMultilevel"/>
    <w:tmpl w:val="02CA6E14"/>
    <w:lvl w:ilvl="0" w:tplc="83DC2770">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2CD62DAE"/>
    <w:multiLevelType w:val="hybridMultilevel"/>
    <w:tmpl w:val="E14A7FD6"/>
    <w:lvl w:ilvl="0" w:tplc="930A9524">
      <w:start w:val="1"/>
      <w:numFmt w:val="bullet"/>
      <w:lvlText w:val="-"/>
      <w:lvlJc w:val="left"/>
      <w:pPr>
        <w:ind w:left="720" w:hanging="360"/>
      </w:pPr>
      <w:rPr>
        <w:rFonts w:ascii="Calibri" w:hAnsi="Calibri" w:hint="default"/>
      </w:rPr>
    </w:lvl>
    <w:lvl w:ilvl="1" w:tplc="EEAE10C8">
      <w:start w:val="1"/>
      <w:numFmt w:val="bullet"/>
      <w:lvlText w:val="o"/>
      <w:lvlJc w:val="left"/>
      <w:pPr>
        <w:ind w:left="1440" w:hanging="360"/>
      </w:pPr>
      <w:rPr>
        <w:rFonts w:ascii="Courier New" w:hAnsi="Courier New" w:hint="default"/>
      </w:rPr>
    </w:lvl>
    <w:lvl w:ilvl="2" w:tplc="342E53BA">
      <w:start w:val="1"/>
      <w:numFmt w:val="bullet"/>
      <w:lvlText w:val=""/>
      <w:lvlJc w:val="left"/>
      <w:pPr>
        <w:ind w:left="2160" w:hanging="360"/>
      </w:pPr>
      <w:rPr>
        <w:rFonts w:ascii="Wingdings" w:hAnsi="Wingdings" w:hint="default"/>
      </w:rPr>
    </w:lvl>
    <w:lvl w:ilvl="3" w:tplc="7D9EBA7C">
      <w:start w:val="1"/>
      <w:numFmt w:val="bullet"/>
      <w:lvlText w:val=""/>
      <w:lvlJc w:val="left"/>
      <w:pPr>
        <w:ind w:left="2880" w:hanging="360"/>
      </w:pPr>
      <w:rPr>
        <w:rFonts w:ascii="Symbol" w:hAnsi="Symbol" w:hint="default"/>
      </w:rPr>
    </w:lvl>
    <w:lvl w:ilvl="4" w:tplc="B868E6D6">
      <w:start w:val="1"/>
      <w:numFmt w:val="bullet"/>
      <w:lvlText w:val="o"/>
      <w:lvlJc w:val="left"/>
      <w:pPr>
        <w:ind w:left="3600" w:hanging="360"/>
      </w:pPr>
      <w:rPr>
        <w:rFonts w:ascii="Courier New" w:hAnsi="Courier New" w:hint="default"/>
      </w:rPr>
    </w:lvl>
    <w:lvl w:ilvl="5" w:tplc="5C823E36">
      <w:start w:val="1"/>
      <w:numFmt w:val="bullet"/>
      <w:lvlText w:val=""/>
      <w:lvlJc w:val="left"/>
      <w:pPr>
        <w:ind w:left="4320" w:hanging="360"/>
      </w:pPr>
      <w:rPr>
        <w:rFonts w:ascii="Wingdings" w:hAnsi="Wingdings" w:hint="default"/>
      </w:rPr>
    </w:lvl>
    <w:lvl w:ilvl="6" w:tplc="04FC70BC">
      <w:start w:val="1"/>
      <w:numFmt w:val="bullet"/>
      <w:lvlText w:val=""/>
      <w:lvlJc w:val="left"/>
      <w:pPr>
        <w:ind w:left="5040" w:hanging="360"/>
      </w:pPr>
      <w:rPr>
        <w:rFonts w:ascii="Symbol" w:hAnsi="Symbol" w:hint="default"/>
      </w:rPr>
    </w:lvl>
    <w:lvl w:ilvl="7" w:tplc="75826184">
      <w:start w:val="1"/>
      <w:numFmt w:val="bullet"/>
      <w:lvlText w:val="o"/>
      <w:lvlJc w:val="left"/>
      <w:pPr>
        <w:ind w:left="5760" w:hanging="360"/>
      </w:pPr>
      <w:rPr>
        <w:rFonts w:ascii="Courier New" w:hAnsi="Courier New" w:hint="default"/>
      </w:rPr>
    </w:lvl>
    <w:lvl w:ilvl="8" w:tplc="9DFC3C3C">
      <w:start w:val="1"/>
      <w:numFmt w:val="bullet"/>
      <w:lvlText w:val=""/>
      <w:lvlJc w:val="left"/>
      <w:pPr>
        <w:ind w:left="6480" w:hanging="360"/>
      </w:pPr>
      <w:rPr>
        <w:rFonts w:ascii="Wingdings" w:hAnsi="Wingdings" w:hint="default"/>
      </w:rPr>
    </w:lvl>
  </w:abstractNum>
  <w:abstractNum w:abstractNumId="12" w15:restartNumberingAfterBreak="0">
    <w:nsid w:val="386A0043"/>
    <w:multiLevelType w:val="hybridMultilevel"/>
    <w:tmpl w:val="7B3E7818"/>
    <w:lvl w:ilvl="0" w:tplc="4E129362">
      <w:start w:val="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A3651E"/>
    <w:multiLevelType w:val="hybridMultilevel"/>
    <w:tmpl w:val="06CC3F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3B2AC2"/>
    <w:multiLevelType w:val="hybridMultilevel"/>
    <w:tmpl w:val="8EF26F2A"/>
    <w:lvl w:ilvl="0" w:tplc="8D5EAF9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4841E9"/>
    <w:multiLevelType w:val="hybridMultilevel"/>
    <w:tmpl w:val="DF3821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6841E1"/>
    <w:multiLevelType w:val="hybridMultilevel"/>
    <w:tmpl w:val="4DB0BF6E"/>
    <w:lvl w:ilvl="0" w:tplc="365018AE">
      <w:start w:val="1"/>
      <w:numFmt w:val="decimal"/>
      <w:lvlText w:val="2.%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15:restartNumberingAfterBreak="0">
    <w:nsid w:val="48DD7B0D"/>
    <w:multiLevelType w:val="hybridMultilevel"/>
    <w:tmpl w:val="0C3840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13B0587"/>
    <w:multiLevelType w:val="hybridMultilevel"/>
    <w:tmpl w:val="75BAC6FE"/>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EE2F77"/>
    <w:multiLevelType w:val="hybridMultilevel"/>
    <w:tmpl w:val="6762B3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35D6CD4"/>
    <w:multiLevelType w:val="hybridMultilevel"/>
    <w:tmpl w:val="460A7EEE"/>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3773516"/>
    <w:multiLevelType w:val="hybridMultilevel"/>
    <w:tmpl w:val="3670EC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1D2858"/>
    <w:multiLevelType w:val="hybridMultilevel"/>
    <w:tmpl w:val="CD7800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84A2C88"/>
    <w:multiLevelType w:val="hybridMultilevel"/>
    <w:tmpl w:val="50065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C0552F"/>
    <w:multiLevelType w:val="hybridMultilevel"/>
    <w:tmpl w:val="443C3CB2"/>
    <w:lvl w:ilvl="0" w:tplc="661485E0">
      <w:start w:val="4"/>
      <w:numFmt w:val="bullet"/>
      <w:lvlText w:val="-"/>
      <w:lvlJc w:val="left"/>
      <w:pPr>
        <w:ind w:left="720" w:hanging="360"/>
      </w:pPr>
      <w:rPr>
        <w:rFonts w:ascii="Segoe UI" w:eastAsiaTheme="minorHAnsi" w:hAnsi="Segoe UI" w:cs="Segoe U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56549B"/>
    <w:multiLevelType w:val="hybridMultilevel"/>
    <w:tmpl w:val="5CFC8B40"/>
    <w:lvl w:ilvl="0" w:tplc="AFE6997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D740B4"/>
    <w:multiLevelType w:val="hybridMultilevel"/>
    <w:tmpl w:val="D5EAFA06"/>
    <w:lvl w:ilvl="0" w:tplc="8D5EAF9C">
      <w:start w:val="1"/>
      <w:numFmt w:val="decimal"/>
      <w:lvlText w:val="%1."/>
      <w:lvlJc w:val="left"/>
      <w:pPr>
        <w:ind w:left="1080" w:hanging="360"/>
      </w:pPr>
      <w:rPr>
        <w:rFonts w:hint="default"/>
        <w:b/>
      </w:rPr>
    </w:lvl>
    <w:lvl w:ilvl="1" w:tplc="0C0A0019">
      <w:start w:val="1"/>
      <w:numFmt w:val="lowerLetter"/>
      <w:lvlText w:val="%2."/>
      <w:lvlJc w:val="left"/>
      <w:pPr>
        <w:ind w:left="1800" w:hanging="360"/>
      </w:pPr>
    </w:lvl>
    <w:lvl w:ilvl="2" w:tplc="0C0A0019">
      <w:start w:val="1"/>
      <w:numFmt w:val="lowerLetter"/>
      <w:lvlText w:val="%3."/>
      <w:lvlJc w:val="lef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7496E54"/>
    <w:multiLevelType w:val="hybridMultilevel"/>
    <w:tmpl w:val="B45E0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DC36E4"/>
    <w:multiLevelType w:val="hybridMultilevel"/>
    <w:tmpl w:val="F05207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78360280">
    <w:abstractNumId w:val="12"/>
  </w:num>
  <w:num w:numId="2" w16cid:durableId="801461451">
    <w:abstractNumId w:val="9"/>
  </w:num>
  <w:num w:numId="3" w16cid:durableId="64378171">
    <w:abstractNumId w:val="8"/>
  </w:num>
  <w:num w:numId="4" w16cid:durableId="1425570560">
    <w:abstractNumId w:val="27"/>
  </w:num>
  <w:num w:numId="5" w16cid:durableId="1807968584">
    <w:abstractNumId w:val="14"/>
  </w:num>
  <w:num w:numId="6" w16cid:durableId="302933302">
    <w:abstractNumId w:val="4"/>
  </w:num>
  <w:num w:numId="7" w16cid:durableId="1181309977">
    <w:abstractNumId w:val="7"/>
  </w:num>
  <w:num w:numId="8" w16cid:durableId="84037070">
    <w:abstractNumId w:val="17"/>
  </w:num>
  <w:num w:numId="9" w16cid:durableId="1389068179">
    <w:abstractNumId w:val="21"/>
  </w:num>
  <w:num w:numId="10" w16cid:durableId="2067796847">
    <w:abstractNumId w:val="6"/>
  </w:num>
  <w:num w:numId="11" w16cid:durableId="564998214">
    <w:abstractNumId w:val="28"/>
  </w:num>
  <w:num w:numId="12" w16cid:durableId="1763144690">
    <w:abstractNumId w:val="23"/>
  </w:num>
  <w:num w:numId="13" w16cid:durableId="970936249">
    <w:abstractNumId w:val="24"/>
  </w:num>
  <w:num w:numId="14" w16cid:durableId="795221506">
    <w:abstractNumId w:val="19"/>
  </w:num>
  <w:num w:numId="15" w16cid:durableId="201869991">
    <w:abstractNumId w:val="5"/>
  </w:num>
  <w:num w:numId="16" w16cid:durableId="1241254401">
    <w:abstractNumId w:val="13"/>
  </w:num>
  <w:num w:numId="17" w16cid:durableId="1688629095">
    <w:abstractNumId w:val="3"/>
  </w:num>
  <w:num w:numId="18" w16cid:durableId="852963036">
    <w:abstractNumId w:val="2"/>
  </w:num>
  <w:num w:numId="19" w16cid:durableId="1212957571">
    <w:abstractNumId w:val="15"/>
  </w:num>
  <w:num w:numId="20" w16cid:durableId="1412462154">
    <w:abstractNumId w:val="22"/>
  </w:num>
  <w:num w:numId="21" w16cid:durableId="502626875">
    <w:abstractNumId w:val="1"/>
  </w:num>
  <w:num w:numId="22" w16cid:durableId="242374292">
    <w:abstractNumId w:val="11"/>
  </w:num>
  <w:num w:numId="23" w16cid:durableId="1674140212">
    <w:abstractNumId w:val="20"/>
  </w:num>
  <w:num w:numId="24" w16cid:durableId="348916952">
    <w:abstractNumId w:val="26"/>
  </w:num>
  <w:num w:numId="25" w16cid:durableId="899051312">
    <w:abstractNumId w:val="0"/>
  </w:num>
  <w:num w:numId="26" w16cid:durableId="1538927555">
    <w:abstractNumId w:val="10"/>
  </w:num>
  <w:num w:numId="27" w16cid:durableId="1261177751">
    <w:abstractNumId w:val="25"/>
  </w:num>
  <w:num w:numId="28" w16cid:durableId="320037124">
    <w:abstractNumId w:val="16"/>
  </w:num>
  <w:num w:numId="29" w16cid:durableId="3817569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DC"/>
    <w:rsid w:val="00010B7E"/>
    <w:rsid w:val="00021E7E"/>
    <w:rsid w:val="00027737"/>
    <w:rsid w:val="000406FF"/>
    <w:rsid w:val="00045675"/>
    <w:rsid w:val="00052986"/>
    <w:rsid w:val="00056545"/>
    <w:rsid w:val="000628B9"/>
    <w:rsid w:val="00066493"/>
    <w:rsid w:val="000910A8"/>
    <w:rsid w:val="000C70F8"/>
    <w:rsid w:val="000C72D3"/>
    <w:rsid w:val="000D62AE"/>
    <w:rsid w:val="000E489D"/>
    <w:rsid w:val="001077B4"/>
    <w:rsid w:val="00117B23"/>
    <w:rsid w:val="00123F9B"/>
    <w:rsid w:val="001312C5"/>
    <w:rsid w:val="001359EC"/>
    <w:rsid w:val="001434AD"/>
    <w:rsid w:val="001518C9"/>
    <w:rsid w:val="0015385D"/>
    <w:rsid w:val="00162252"/>
    <w:rsid w:val="00166737"/>
    <w:rsid w:val="001A7227"/>
    <w:rsid w:val="001C1DA9"/>
    <w:rsid w:val="001C7031"/>
    <w:rsid w:val="00200184"/>
    <w:rsid w:val="0020519F"/>
    <w:rsid w:val="00211EC3"/>
    <w:rsid w:val="00223F74"/>
    <w:rsid w:val="00254BF2"/>
    <w:rsid w:val="00265D58"/>
    <w:rsid w:val="00267616"/>
    <w:rsid w:val="002754EE"/>
    <w:rsid w:val="00293362"/>
    <w:rsid w:val="002C2FBB"/>
    <w:rsid w:val="002C4A92"/>
    <w:rsid w:val="002C6B6D"/>
    <w:rsid w:val="002D1D1B"/>
    <w:rsid w:val="002E50B9"/>
    <w:rsid w:val="002F6161"/>
    <w:rsid w:val="0030468B"/>
    <w:rsid w:val="00317DAA"/>
    <w:rsid w:val="00321C8C"/>
    <w:rsid w:val="00321DC2"/>
    <w:rsid w:val="0032349F"/>
    <w:rsid w:val="0032787A"/>
    <w:rsid w:val="003A1E90"/>
    <w:rsid w:val="003A668C"/>
    <w:rsid w:val="003B4EE5"/>
    <w:rsid w:val="003D2438"/>
    <w:rsid w:val="003F1DBA"/>
    <w:rsid w:val="0040112E"/>
    <w:rsid w:val="00432CC2"/>
    <w:rsid w:val="004340F8"/>
    <w:rsid w:val="00472F51"/>
    <w:rsid w:val="0047497B"/>
    <w:rsid w:val="004878AC"/>
    <w:rsid w:val="00491F26"/>
    <w:rsid w:val="00492A29"/>
    <w:rsid w:val="004A020B"/>
    <w:rsid w:val="004B2A88"/>
    <w:rsid w:val="004C6872"/>
    <w:rsid w:val="004D16FE"/>
    <w:rsid w:val="004D29DE"/>
    <w:rsid w:val="004E3CA7"/>
    <w:rsid w:val="004E410E"/>
    <w:rsid w:val="004E56CF"/>
    <w:rsid w:val="00513ACB"/>
    <w:rsid w:val="00526033"/>
    <w:rsid w:val="00544181"/>
    <w:rsid w:val="005453C9"/>
    <w:rsid w:val="00564537"/>
    <w:rsid w:val="005A7AF3"/>
    <w:rsid w:val="005B3517"/>
    <w:rsid w:val="005C4A5F"/>
    <w:rsid w:val="005D0146"/>
    <w:rsid w:val="005E3C50"/>
    <w:rsid w:val="005F2ECE"/>
    <w:rsid w:val="005F7193"/>
    <w:rsid w:val="0061375A"/>
    <w:rsid w:val="00630673"/>
    <w:rsid w:val="0063585F"/>
    <w:rsid w:val="0066519B"/>
    <w:rsid w:val="00693C60"/>
    <w:rsid w:val="00696B10"/>
    <w:rsid w:val="006D590C"/>
    <w:rsid w:val="006E1CA2"/>
    <w:rsid w:val="00720BC7"/>
    <w:rsid w:val="007251EF"/>
    <w:rsid w:val="00731EA8"/>
    <w:rsid w:val="007324CB"/>
    <w:rsid w:val="007432CD"/>
    <w:rsid w:val="00754EA3"/>
    <w:rsid w:val="00793CA3"/>
    <w:rsid w:val="007B6C6A"/>
    <w:rsid w:val="007B6FB3"/>
    <w:rsid w:val="007C6598"/>
    <w:rsid w:val="007D162B"/>
    <w:rsid w:val="007E70DD"/>
    <w:rsid w:val="0081687E"/>
    <w:rsid w:val="00833DA5"/>
    <w:rsid w:val="00844201"/>
    <w:rsid w:val="008862AF"/>
    <w:rsid w:val="008B1027"/>
    <w:rsid w:val="008B5B6A"/>
    <w:rsid w:val="008C202C"/>
    <w:rsid w:val="008E2FC2"/>
    <w:rsid w:val="00910BF2"/>
    <w:rsid w:val="00925CE9"/>
    <w:rsid w:val="00951F49"/>
    <w:rsid w:val="00960EC9"/>
    <w:rsid w:val="0097593C"/>
    <w:rsid w:val="009A1AA9"/>
    <w:rsid w:val="009A21AB"/>
    <w:rsid w:val="009B3EC7"/>
    <w:rsid w:val="009D2AF7"/>
    <w:rsid w:val="009E7A9A"/>
    <w:rsid w:val="00A37DD9"/>
    <w:rsid w:val="00A6590E"/>
    <w:rsid w:val="00A86702"/>
    <w:rsid w:val="00A93BB2"/>
    <w:rsid w:val="00A947F4"/>
    <w:rsid w:val="00A9700E"/>
    <w:rsid w:val="00AA7B77"/>
    <w:rsid w:val="00AB0FE3"/>
    <w:rsid w:val="00AB4264"/>
    <w:rsid w:val="00AB615F"/>
    <w:rsid w:val="00AC13E2"/>
    <w:rsid w:val="00AC3CE0"/>
    <w:rsid w:val="00B173ED"/>
    <w:rsid w:val="00B214DC"/>
    <w:rsid w:val="00B23A5A"/>
    <w:rsid w:val="00B25CEE"/>
    <w:rsid w:val="00B27205"/>
    <w:rsid w:val="00B34C7D"/>
    <w:rsid w:val="00B4502B"/>
    <w:rsid w:val="00B6469B"/>
    <w:rsid w:val="00B90A92"/>
    <w:rsid w:val="00B948BB"/>
    <w:rsid w:val="00BA1646"/>
    <w:rsid w:val="00BB7A43"/>
    <w:rsid w:val="00C44740"/>
    <w:rsid w:val="00C463EC"/>
    <w:rsid w:val="00C54D28"/>
    <w:rsid w:val="00C561E2"/>
    <w:rsid w:val="00C56226"/>
    <w:rsid w:val="00C56253"/>
    <w:rsid w:val="00C63B4C"/>
    <w:rsid w:val="00C63DD6"/>
    <w:rsid w:val="00C642ED"/>
    <w:rsid w:val="00C6569E"/>
    <w:rsid w:val="00C75CCF"/>
    <w:rsid w:val="00C80CA7"/>
    <w:rsid w:val="00C8428C"/>
    <w:rsid w:val="00CA552B"/>
    <w:rsid w:val="00CA5B69"/>
    <w:rsid w:val="00CD2173"/>
    <w:rsid w:val="00CE03E2"/>
    <w:rsid w:val="00CF6BEE"/>
    <w:rsid w:val="00CF7697"/>
    <w:rsid w:val="00D268B8"/>
    <w:rsid w:val="00D312DA"/>
    <w:rsid w:val="00D40401"/>
    <w:rsid w:val="00D40D5D"/>
    <w:rsid w:val="00D43430"/>
    <w:rsid w:val="00D43EED"/>
    <w:rsid w:val="00D57B35"/>
    <w:rsid w:val="00DA69F1"/>
    <w:rsid w:val="00DA74BC"/>
    <w:rsid w:val="00DC7339"/>
    <w:rsid w:val="00DD612B"/>
    <w:rsid w:val="00DE7BA3"/>
    <w:rsid w:val="00DF2253"/>
    <w:rsid w:val="00DF464B"/>
    <w:rsid w:val="00E02330"/>
    <w:rsid w:val="00E04AFC"/>
    <w:rsid w:val="00E07E0F"/>
    <w:rsid w:val="00E21CC6"/>
    <w:rsid w:val="00E278CA"/>
    <w:rsid w:val="00E7113F"/>
    <w:rsid w:val="00E95F1E"/>
    <w:rsid w:val="00EA14C3"/>
    <w:rsid w:val="00ED353D"/>
    <w:rsid w:val="00ED5A5B"/>
    <w:rsid w:val="00EE21E7"/>
    <w:rsid w:val="00F10789"/>
    <w:rsid w:val="00F17007"/>
    <w:rsid w:val="00F22BD4"/>
    <w:rsid w:val="00F2535D"/>
    <w:rsid w:val="00F3345B"/>
    <w:rsid w:val="00F8018B"/>
    <w:rsid w:val="00F81B4C"/>
    <w:rsid w:val="00F865B9"/>
    <w:rsid w:val="00F8707A"/>
    <w:rsid w:val="00FC6C40"/>
    <w:rsid w:val="00FE3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871E"/>
  <w15:chartTrackingRefBased/>
  <w15:docId w15:val="{6EAD4B3B-4FAB-4335-9D71-99C16361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DC"/>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14DC"/>
  </w:style>
  <w:style w:type="paragraph" w:styleId="Footer">
    <w:name w:val="footer"/>
    <w:basedOn w:val="Normal"/>
    <w:link w:val="FooterChar"/>
    <w:uiPriority w:val="99"/>
    <w:unhideWhenUsed/>
    <w:rsid w:val="00B214DC"/>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14DC"/>
  </w:style>
  <w:style w:type="paragraph" w:styleId="ListParagraph">
    <w:name w:val="List Paragraph"/>
    <w:basedOn w:val="Normal"/>
    <w:uiPriority w:val="34"/>
    <w:qFormat/>
    <w:rsid w:val="00564537"/>
    <w:pPr>
      <w:ind w:left="720"/>
      <w:contextualSpacing/>
    </w:pPr>
  </w:style>
  <w:style w:type="paragraph" w:styleId="FootnoteText">
    <w:name w:val="footnote text"/>
    <w:basedOn w:val="Normal"/>
    <w:link w:val="FootnoteTextChar"/>
    <w:uiPriority w:val="99"/>
    <w:unhideWhenUsed/>
    <w:rsid w:val="00254BF2"/>
    <w:pPr>
      <w:spacing w:after="0" w:line="240" w:lineRule="auto"/>
    </w:pPr>
    <w:rPr>
      <w:sz w:val="20"/>
      <w:szCs w:val="20"/>
    </w:rPr>
  </w:style>
  <w:style w:type="character" w:customStyle="1" w:styleId="FootnoteTextChar">
    <w:name w:val="Footnote Text Char"/>
    <w:basedOn w:val="DefaultParagraphFont"/>
    <w:link w:val="FootnoteText"/>
    <w:uiPriority w:val="99"/>
    <w:rsid w:val="00254BF2"/>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254BF2"/>
    <w:rPr>
      <w:vertAlign w:val="superscript"/>
    </w:rPr>
  </w:style>
  <w:style w:type="character" w:customStyle="1" w:styleId="TextonotapieCar1">
    <w:name w:val="Texto nota pie Car1"/>
    <w:basedOn w:val="DefaultParagraphFont"/>
    <w:uiPriority w:val="99"/>
    <w:semiHidden/>
    <w:rsid w:val="00C463EC"/>
    <w:rPr>
      <w:sz w:val="20"/>
      <w:szCs w:val="20"/>
    </w:rPr>
  </w:style>
  <w:style w:type="character" w:styleId="Hyperlink">
    <w:name w:val="Hyperlink"/>
    <w:basedOn w:val="DefaultParagraphFont"/>
    <w:uiPriority w:val="99"/>
    <w:unhideWhenUsed/>
    <w:rsid w:val="00C46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stor.org/stable/j.ctt1kw27qm" TargetMode="External"/><Relationship Id="rId2" Type="http://schemas.openxmlformats.org/officeDocument/2006/relationships/hyperlink" Target="https://lyd.org/wp-content/uploads/2011/05/Libro-Justicia-Civil-y-Comercial-Noviembre2006.pdf" TargetMode="External"/><Relationship Id="rId1" Type="http://schemas.openxmlformats.org/officeDocument/2006/relationships/hyperlink" Target="https://www.dpp.cl/pag/307" TargetMode="External"/><Relationship Id="rId5" Type="http://schemas.openxmlformats.org/officeDocument/2006/relationships/hyperlink" Target="https://observatorioddhh.dpp.cl/" TargetMode="External"/><Relationship Id="rId4" Type="http://schemas.openxmlformats.org/officeDocument/2006/relationships/hyperlink" Target="https://www.probono.cl/quienes-somos/nuestra-institu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annex-2</Doctype>
    <Contributor xmlns="d42e65b2-cf21-49c1-b27d-d23f90380c0e">Chile</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2FC4-374B-4A82-93A6-6DB5FFA15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B9B55-6BA9-4B77-9C0D-91CA98DD8731}">
  <ds:schemaRefs>
    <ds:schemaRef ds:uri="http://schemas.microsoft.com/sharepoint/v3/contenttype/forms"/>
  </ds:schemaRefs>
</ds:datastoreItem>
</file>

<file path=customXml/itemProps3.xml><?xml version="1.0" encoding="utf-8"?>
<ds:datastoreItem xmlns:ds="http://schemas.openxmlformats.org/officeDocument/2006/customXml" ds:itemID="{A84BC05B-21FE-4FD3-8D6B-FB2EDFB3F44D}"/>
</file>

<file path=customXml/itemProps4.xml><?xml version="1.0" encoding="utf-8"?>
<ds:datastoreItem xmlns:ds="http://schemas.openxmlformats.org/officeDocument/2006/customXml" ds:itemID="{FC65A4BA-8CA8-4C7C-AE46-EC58D1EA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5245</Words>
  <Characters>29898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Ríos Echeverría</dc:creator>
  <cp:keywords/>
  <dc:description/>
  <cp:lastModifiedBy>Melanie Santizo Sandoval</cp:lastModifiedBy>
  <cp:revision>2</cp:revision>
  <dcterms:created xsi:type="dcterms:W3CDTF">2023-08-21T07:45:00Z</dcterms:created>
  <dcterms:modified xsi:type="dcterms:W3CDTF">2023-08-21T07:45:00Z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d09b0f29fb6be7e62bdb306527cfd2e86add93b2e73692cb54f4311b30eb1cd7</vt:lpwstr>
  </property>
  <property fmtid="{D5CDD505-2E9C-101B-9397-08002B2CF9AE}" pid="3" name="ContentTypeId">
    <vt:lpwstr>0x0101009D953D6983EF5F4EB0B6A5354F975E96</vt:lpwstr>
  </property>
</Properties>
</file>