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8D2C" w14:textId="77777777" w:rsidR="000C2C1E" w:rsidRPr="00527CDE" w:rsidRDefault="000C2C1E" w:rsidP="000C2C1E">
      <w:pPr>
        <w:jc w:val="both"/>
        <w:rPr>
          <w:rFonts w:ascii="Artifex CF" w:hAnsi="Artifex CF" w:cs="Arial"/>
          <w:b/>
          <w:bCs/>
          <w:lang w:val="pt-BR"/>
        </w:rPr>
      </w:pPr>
      <w:r w:rsidRPr="00527CDE">
        <w:rPr>
          <w:rFonts w:ascii="Artifex CF" w:hAnsi="Artifex CF" w:cs="Arial"/>
          <w:b/>
          <w:bCs/>
          <w:lang w:val="pt-BR"/>
        </w:rPr>
        <w:t>VPEM-DDHH</w:t>
      </w:r>
      <w:r w:rsidRPr="00527CDE">
        <w:rPr>
          <w:rFonts w:ascii="Artifex CF" w:hAnsi="Artifex CF" w:cs="Arial"/>
          <w:b/>
          <w:bCs/>
          <w:lang w:val="pt-BR"/>
        </w:rPr>
        <w:tab/>
      </w:r>
      <w:r w:rsidRPr="00527CDE">
        <w:rPr>
          <w:rFonts w:ascii="Artifex CF" w:hAnsi="Artifex CF" w:cs="Arial"/>
          <w:b/>
          <w:bCs/>
          <w:lang w:val="pt-BR"/>
        </w:rPr>
        <w:tab/>
      </w:r>
      <w:r w:rsidRPr="00527CDE">
        <w:rPr>
          <w:rFonts w:ascii="Artifex CF" w:hAnsi="Artifex CF" w:cs="Arial"/>
          <w:b/>
          <w:bCs/>
          <w:lang w:val="pt-BR"/>
        </w:rPr>
        <w:tab/>
      </w:r>
      <w:r w:rsidRPr="00527CDE">
        <w:rPr>
          <w:rFonts w:ascii="Artifex CF" w:hAnsi="Artifex CF" w:cs="Arial"/>
          <w:b/>
          <w:bCs/>
          <w:lang w:val="pt-BR"/>
        </w:rPr>
        <w:tab/>
      </w:r>
      <w:r w:rsidRPr="00527CDE">
        <w:rPr>
          <w:rFonts w:ascii="Artifex CF" w:hAnsi="Artifex CF" w:cs="Arial"/>
          <w:b/>
          <w:bCs/>
          <w:lang w:val="pt-BR"/>
        </w:rPr>
        <w:tab/>
      </w:r>
      <w:r w:rsidRPr="00527CDE">
        <w:rPr>
          <w:rFonts w:ascii="Artifex CF" w:hAnsi="Artifex CF" w:cs="Arial"/>
          <w:b/>
          <w:bCs/>
          <w:lang w:val="pt-BR"/>
        </w:rPr>
        <w:tab/>
        <w:t xml:space="preserve">         Santo Domingo, R.D.</w:t>
      </w:r>
    </w:p>
    <w:p w14:paraId="58909432" w14:textId="701CAA9E" w:rsidR="000C2C1E" w:rsidRPr="00811C36" w:rsidRDefault="000C2C1E" w:rsidP="000C2C1E">
      <w:pPr>
        <w:rPr>
          <w:rFonts w:ascii="Artifex CF" w:hAnsi="Artifex CF" w:cs="Arial"/>
          <w:b/>
          <w:bCs/>
        </w:rPr>
      </w:pPr>
      <w:r w:rsidRPr="00527CDE">
        <w:rPr>
          <w:rFonts w:ascii="Artifex CF" w:hAnsi="Artifex CF" w:cs="Arial"/>
          <w:b/>
          <w:bCs/>
          <w:lang w:val="pt-BR"/>
        </w:rPr>
        <w:t xml:space="preserve">                                                                                                                                                 </w:t>
      </w:r>
      <w:r w:rsidR="00FB2D3F">
        <w:rPr>
          <w:rFonts w:ascii="Artifex CF" w:hAnsi="Artifex CF" w:cs="Arial"/>
          <w:b/>
          <w:bCs/>
        </w:rPr>
        <w:t>11</w:t>
      </w:r>
      <w:r w:rsidRPr="00811C36">
        <w:rPr>
          <w:rFonts w:ascii="Artifex CF" w:hAnsi="Artifex CF" w:cs="Arial"/>
          <w:b/>
          <w:bCs/>
        </w:rPr>
        <w:t xml:space="preserve"> de </w:t>
      </w:r>
      <w:r w:rsidR="00786085">
        <w:rPr>
          <w:rFonts w:ascii="Artifex CF" w:hAnsi="Artifex CF" w:cs="Arial"/>
          <w:b/>
          <w:bCs/>
        </w:rPr>
        <w:t>junio</w:t>
      </w:r>
      <w:r w:rsidRPr="00811C36">
        <w:rPr>
          <w:rFonts w:ascii="Artifex CF" w:hAnsi="Artifex CF" w:cs="Arial"/>
          <w:b/>
          <w:bCs/>
        </w:rPr>
        <w:t xml:space="preserve"> de 2024</w:t>
      </w:r>
    </w:p>
    <w:p w14:paraId="3D921962" w14:textId="77777777" w:rsidR="000C2C1E" w:rsidRPr="00283B39" w:rsidRDefault="000C2C1E" w:rsidP="000C2C1E">
      <w:pPr>
        <w:rPr>
          <w:rFonts w:ascii="Artifex CF" w:hAnsi="Artifex CF" w:cs="Arial"/>
          <w:b/>
          <w:bCs/>
        </w:rPr>
      </w:pPr>
    </w:p>
    <w:p w14:paraId="28E48890" w14:textId="50EAD460" w:rsidR="000C2C1E" w:rsidRDefault="000C2C1E" w:rsidP="000C2C1E">
      <w:pPr>
        <w:jc w:val="both"/>
        <w:rPr>
          <w:rFonts w:ascii="Artifex CF" w:hAnsi="Artifex CF" w:cs="Arial"/>
        </w:rPr>
      </w:pPr>
      <w:r w:rsidRPr="00174BE5">
        <w:rPr>
          <w:rFonts w:ascii="Artifex CF" w:hAnsi="Artifex CF" w:cs="Arial"/>
          <w:b/>
          <w:bCs/>
        </w:rPr>
        <w:t>Asunto:</w:t>
      </w:r>
      <w:r w:rsidRPr="00070DE4">
        <w:rPr>
          <w:rFonts w:ascii="Artifex CF" w:hAnsi="Artifex CF" w:cs="Arial"/>
        </w:rPr>
        <w:t xml:space="preserve"> Contribuciones del Estado dominicano par</w:t>
      </w:r>
      <w:r w:rsidR="00786085">
        <w:rPr>
          <w:rFonts w:ascii="Artifex CF" w:hAnsi="Artifex CF" w:cs="Arial"/>
        </w:rPr>
        <w:t xml:space="preserve">a </w:t>
      </w:r>
      <w:r w:rsidR="00FB2D3F">
        <w:rPr>
          <w:rFonts w:ascii="Artifex CF" w:hAnsi="Artifex CF" w:cs="Arial"/>
        </w:rPr>
        <w:t>la Relatora Especial sobre la independencia de los magistrados y abogados.</w:t>
      </w:r>
    </w:p>
    <w:p w14:paraId="6257CC7C" w14:textId="69911783" w:rsidR="000C2C1E" w:rsidRDefault="000C2C1E" w:rsidP="000C2C1E">
      <w:pPr>
        <w:jc w:val="both"/>
        <w:rPr>
          <w:rFonts w:ascii="Artifex CF" w:hAnsi="Artifex CF" w:cs="Arial"/>
        </w:rPr>
      </w:pPr>
      <w:r w:rsidRPr="00174BE5">
        <w:rPr>
          <w:rFonts w:ascii="Artifex CF" w:hAnsi="Artifex CF" w:cs="Arial"/>
          <w:b/>
          <w:bCs/>
        </w:rPr>
        <w:t>Referencia:</w:t>
      </w:r>
      <w:r w:rsidRPr="00070DE4">
        <w:rPr>
          <w:rFonts w:ascii="Artifex CF" w:hAnsi="Artifex CF" w:cs="Arial"/>
        </w:rPr>
        <w:t xml:space="preserve"> Comunicación MPRD-ONU-GI-</w:t>
      </w:r>
      <w:r w:rsidR="00423C62">
        <w:rPr>
          <w:rFonts w:ascii="Artifex CF" w:hAnsi="Artifex CF" w:cs="Arial"/>
        </w:rPr>
        <w:t>0</w:t>
      </w:r>
      <w:r w:rsidR="00F27C5C">
        <w:rPr>
          <w:rFonts w:ascii="Artifex CF" w:hAnsi="Artifex CF" w:cs="Arial"/>
        </w:rPr>
        <w:t>614</w:t>
      </w:r>
      <w:r w:rsidRPr="00070DE4">
        <w:rPr>
          <w:rFonts w:ascii="Artifex CF" w:hAnsi="Artifex CF" w:cs="Arial"/>
        </w:rPr>
        <w:t>-202</w:t>
      </w:r>
      <w:r w:rsidR="00423C62">
        <w:rPr>
          <w:rFonts w:ascii="Artifex CF" w:hAnsi="Artifex CF" w:cs="Arial"/>
        </w:rPr>
        <w:t>4</w:t>
      </w:r>
      <w:r w:rsidRPr="00070DE4">
        <w:rPr>
          <w:rFonts w:ascii="Artifex CF" w:hAnsi="Artifex CF" w:cs="Arial"/>
        </w:rPr>
        <w:t xml:space="preserve">, del </w:t>
      </w:r>
      <w:r w:rsidR="001D1BD4">
        <w:rPr>
          <w:rFonts w:ascii="Artifex CF" w:hAnsi="Artifex CF" w:cs="Arial"/>
        </w:rPr>
        <w:t>1</w:t>
      </w:r>
      <w:r w:rsidR="00F27C5C">
        <w:rPr>
          <w:rFonts w:ascii="Artifex CF" w:hAnsi="Artifex CF" w:cs="Arial"/>
        </w:rPr>
        <w:t>7</w:t>
      </w:r>
      <w:r w:rsidR="001D1BD4">
        <w:rPr>
          <w:rFonts w:ascii="Artifex CF" w:hAnsi="Artifex CF" w:cs="Arial"/>
        </w:rPr>
        <w:t xml:space="preserve"> de mayo</w:t>
      </w:r>
      <w:r>
        <w:rPr>
          <w:rFonts w:ascii="Artifex CF" w:hAnsi="Artifex CF" w:cs="Arial"/>
        </w:rPr>
        <w:t xml:space="preserve"> </w:t>
      </w:r>
      <w:r w:rsidRPr="00070DE4">
        <w:rPr>
          <w:rFonts w:ascii="Artifex CF" w:hAnsi="Artifex CF" w:cs="Arial"/>
        </w:rPr>
        <w:t>de 202</w:t>
      </w:r>
      <w:r w:rsidR="00423C62">
        <w:rPr>
          <w:rFonts w:ascii="Artifex CF" w:hAnsi="Artifex CF" w:cs="Arial"/>
        </w:rPr>
        <w:t>4</w:t>
      </w:r>
      <w:r>
        <w:rPr>
          <w:rFonts w:ascii="Artifex CF" w:hAnsi="Artifex CF" w:cs="Arial"/>
        </w:rPr>
        <w:t>.</w:t>
      </w:r>
    </w:p>
    <w:p w14:paraId="2D0BC4F3" w14:textId="77777777" w:rsidR="00811C36" w:rsidRPr="00174BE5" w:rsidRDefault="00811C36" w:rsidP="00811C36">
      <w:pPr>
        <w:jc w:val="both"/>
        <w:rPr>
          <w:rFonts w:ascii="Artifex CF" w:hAnsi="Artifex CF" w:cs="Arial"/>
        </w:rPr>
      </w:pPr>
      <w:r w:rsidRPr="00174BE5">
        <w:rPr>
          <w:rFonts w:ascii="Artifex CF" w:hAnsi="Artifex CF" w:cs="Arial"/>
          <w:b/>
          <w:bCs/>
        </w:rPr>
        <w:t>Introducción</w:t>
      </w:r>
      <w:r w:rsidRPr="00174BE5">
        <w:rPr>
          <w:rFonts w:ascii="Artifex CF" w:hAnsi="Artifex CF" w:cs="Arial"/>
        </w:rPr>
        <w:t>:</w:t>
      </w:r>
    </w:p>
    <w:p w14:paraId="29DFAA70" w14:textId="42E429F0" w:rsidR="00E878B1" w:rsidRDefault="00811C36" w:rsidP="00423C62">
      <w:pPr>
        <w:jc w:val="both"/>
        <w:rPr>
          <w:rFonts w:ascii="Artifex CF" w:hAnsi="Artifex CF" w:cs="Arial"/>
        </w:rPr>
      </w:pPr>
      <w:r w:rsidRPr="001B16D5">
        <w:rPr>
          <w:rFonts w:ascii="Artifex CF" w:hAnsi="Artifex CF" w:cs="Arial"/>
        </w:rPr>
        <w:t>El presente informe contiene las respuestas</w:t>
      </w:r>
      <w:r>
        <w:rPr>
          <w:rFonts w:ascii="Artifex CF" w:hAnsi="Artifex CF" w:cs="Arial"/>
        </w:rPr>
        <w:t xml:space="preserve"> del Estado dominicano</w:t>
      </w:r>
      <w:r w:rsidR="00F27C5C" w:rsidRPr="00F27C5C">
        <w:rPr>
          <w:rFonts w:ascii="Artifex CF" w:hAnsi="Artifex CF" w:cs="Arial"/>
        </w:rPr>
        <w:t xml:space="preserve"> </w:t>
      </w:r>
      <w:r w:rsidR="00F27C5C" w:rsidRPr="00070DE4">
        <w:rPr>
          <w:rFonts w:ascii="Artifex CF" w:hAnsi="Artifex CF" w:cs="Arial"/>
        </w:rPr>
        <w:t>par</w:t>
      </w:r>
      <w:r w:rsidR="00F27C5C">
        <w:rPr>
          <w:rFonts w:ascii="Artifex CF" w:hAnsi="Artifex CF" w:cs="Arial"/>
        </w:rPr>
        <w:t xml:space="preserve">a la Relatora Especial sobre la independencia de los magistrados y abogados. </w:t>
      </w:r>
      <w:r w:rsidR="00E878B1">
        <w:rPr>
          <w:rFonts w:ascii="Artifex CF" w:hAnsi="Artifex CF" w:cs="Arial"/>
        </w:rPr>
        <w:t xml:space="preserve">En este informe se responde el cuestionario de preguntas sobre la </w:t>
      </w:r>
      <w:r w:rsidR="00F27C5C">
        <w:rPr>
          <w:rFonts w:ascii="Artifex CF" w:hAnsi="Artifex CF" w:cs="Arial"/>
        </w:rPr>
        <w:t>influencia indebida de los actores económicos en los sistemas judiciales.</w:t>
      </w:r>
    </w:p>
    <w:p w14:paraId="635DE488" w14:textId="0C0E2A86" w:rsidR="00E878B1" w:rsidRPr="00E878B1" w:rsidRDefault="003D155F" w:rsidP="003D155F">
      <w:pPr>
        <w:pStyle w:val="ListParagraph"/>
        <w:spacing w:line="240" w:lineRule="auto"/>
        <w:ind w:left="0"/>
        <w:jc w:val="both"/>
        <w:rPr>
          <w:rFonts w:ascii="Artifex CF" w:eastAsiaTheme="minorEastAsia" w:hAnsi="Artifex CF" w:cs="Arial"/>
          <w:b/>
          <w:bCs/>
        </w:rPr>
      </w:pPr>
      <w:r>
        <w:rPr>
          <w:rFonts w:ascii="Artifex CF" w:eastAsiaTheme="minorEastAsia" w:hAnsi="Artifex CF" w:cs="Arial"/>
          <w:b/>
          <w:bCs/>
        </w:rPr>
        <w:t>1.</w:t>
      </w:r>
      <w:r w:rsidRPr="00E878B1">
        <w:rPr>
          <w:rFonts w:ascii="Artifex CF" w:eastAsiaTheme="minorEastAsia" w:hAnsi="Artifex CF" w:cs="Arial"/>
          <w:b/>
          <w:bCs/>
        </w:rPr>
        <w:t xml:space="preserve"> ¿</w:t>
      </w:r>
      <w:r w:rsidR="00E878B1" w:rsidRPr="00E878B1">
        <w:rPr>
          <w:rFonts w:ascii="Artifex CF" w:eastAsiaTheme="minorEastAsia" w:hAnsi="Artifex CF" w:cs="Arial"/>
          <w:b/>
          <w:bCs/>
        </w:rPr>
        <w:t>Considera que existe el riesgo de que las empresas, los grupos de interés económico o las personas adineradas socaven la independencia de los jueces o la medida en que el sistema judicial puede funcionar en interés público? ¿Qué formas adopta este riesgo?</w:t>
      </w:r>
    </w:p>
    <w:p w14:paraId="24151BAF" w14:textId="77777777" w:rsidR="00E878B1" w:rsidRPr="00E878B1" w:rsidRDefault="00E878B1" w:rsidP="00E878B1">
      <w:pPr>
        <w:pStyle w:val="ListParagraph"/>
        <w:spacing w:line="240" w:lineRule="auto"/>
        <w:ind w:left="0"/>
        <w:jc w:val="both"/>
        <w:rPr>
          <w:rFonts w:ascii="Artifex CF" w:eastAsiaTheme="minorEastAsia" w:hAnsi="Artifex CF" w:cs="Arial"/>
        </w:rPr>
      </w:pPr>
    </w:p>
    <w:p w14:paraId="298B5565" w14:textId="47F10656" w:rsidR="00832497" w:rsidRDefault="00E878B1" w:rsidP="00E878B1">
      <w:pPr>
        <w:pStyle w:val="ListParagraph"/>
        <w:spacing w:line="240" w:lineRule="auto"/>
        <w:ind w:left="0"/>
        <w:jc w:val="both"/>
        <w:rPr>
          <w:rFonts w:ascii="Artifex CF" w:eastAsiaTheme="minorEastAsia" w:hAnsi="Artifex CF" w:cs="Arial"/>
        </w:rPr>
      </w:pPr>
      <w:r w:rsidRPr="00E878B1">
        <w:rPr>
          <w:rFonts w:ascii="Artifex CF" w:eastAsiaTheme="minorEastAsia" w:hAnsi="Artifex CF" w:cs="Arial"/>
        </w:rPr>
        <w:t>Los sistemas judiciales deben ser fortalecidos enfocados desde los derechos humanos en el proceso, no únicamente de las partes implicadas en el proceso, sino también de los actores del sistema, con quienes el Estado tiene diversas obligaciones de cumplimiento respecto de la relación funcionario público-Estado, lo cual</w:t>
      </w:r>
      <w:r w:rsidR="00832497">
        <w:rPr>
          <w:rFonts w:ascii="Artifex CF" w:eastAsiaTheme="minorEastAsia" w:hAnsi="Artifex CF" w:cs="Arial"/>
        </w:rPr>
        <w:t xml:space="preserve"> a</w:t>
      </w:r>
      <w:r w:rsidRPr="00E878B1">
        <w:rPr>
          <w:rFonts w:ascii="Artifex CF" w:eastAsiaTheme="minorEastAsia" w:hAnsi="Artifex CF" w:cs="Arial"/>
        </w:rPr>
        <w:t xml:space="preserve"> su vez redunda en la mejora del sistema.</w:t>
      </w:r>
    </w:p>
    <w:p w14:paraId="025C01C6" w14:textId="77777777" w:rsidR="00832497" w:rsidRDefault="00832497" w:rsidP="00E878B1">
      <w:pPr>
        <w:pStyle w:val="ListParagraph"/>
        <w:spacing w:line="240" w:lineRule="auto"/>
        <w:ind w:left="0"/>
        <w:jc w:val="both"/>
        <w:rPr>
          <w:rFonts w:ascii="Artifex CF" w:eastAsiaTheme="minorEastAsia" w:hAnsi="Artifex CF" w:cs="Arial"/>
        </w:rPr>
      </w:pPr>
    </w:p>
    <w:p w14:paraId="3208FFCF" w14:textId="78892A3F" w:rsidR="00E878B1" w:rsidRPr="00E878B1" w:rsidRDefault="00E878B1" w:rsidP="00E878B1">
      <w:pPr>
        <w:pStyle w:val="ListParagraph"/>
        <w:spacing w:line="240" w:lineRule="auto"/>
        <w:ind w:left="0"/>
        <w:jc w:val="both"/>
        <w:rPr>
          <w:rFonts w:ascii="Artifex CF" w:eastAsiaTheme="minorEastAsia" w:hAnsi="Artifex CF" w:cs="Arial"/>
        </w:rPr>
      </w:pPr>
      <w:r w:rsidRPr="00E878B1">
        <w:rPr>
          <w:rFonts w:ascii="Artifex CF" w:eastAsiaTheme="minorEastAsia" w:hAnsi="Artifex CF" w:cs="Arial"/>
        </w:rPr>
        <w:t xml:space="preserve">Respecto de la relación entre el poder económico y la selección de jueces y fiscales, uno de los riesgos latentes </w:t>
      </w:r>
      <w:r w:rsidR="002D088E" w:rsidRPr="00E878B1">
        <w:rPr>
          <w:rFonts w:ascii="Artifex CF" w:eastAsiaTheme="minorEastAsia" w:hAnsi="Artifex CF" w:cs="Arial"/>
        </w:rPr>
        <w:t>ser</w:t>
      </w:r>
      <w:r w:rsidR="002D088E">
        <w:rPr>
          <w:rFonts w:ascii="Artifex CF" w:eastAsiaTheme="minorEastAsia" w:hAnsi="Artifex CF" w:cs="Arial"/>
        </w:rPr>
        <w:t>í</w:t>
      </w:r>
      <w:r w:rsidR="002D088E" w:rsidRPr="00E878B1">
        <w:rPr>
          <w:rFonts w:ascii="Artifex CF" w:eastAsiaTheme="minorEastAsia" w:hAnsi="Artifex CF" w:cs="Arial"/>
        </w:rPr>
        <w:t>a</w:t>
      </w:r>
      <w:r w:rsidRPr="00E878B1">
        <w:rPr>
          <w:rFonts w:ascii="Artifex CF" w:eastAsiaTheme="minorEastAsia" w:hAnsi="Artifex CF" w:cs="Arial"/>
        </w:rPr>
        <w:t xml:space="preserve"> la posible vinculación a grupos de poder en su selección, en los casos que se realice sin observación de pautas establecidas vinculadas a evaluaciones de desempeño y selecciones objetivas, sin influencias de intereses políticos o económicos de jueces y fiscales lo que puede afectar en la independencia de los tribunales y generar conflictos de interés.</w:t>
      </w:r>
    </w:p>
    <w:p w14:paraId="1E4A857D" w14:textId="77777777" w:rsidR="00E878B1" w:rsidRPr="00E878B1" w:rsidRDefault="00E878B1" w:rsidP="00E878B1">
      <w:pPr>
        <w:pStyle w:val="ListParagraph"/>
        <w:spacing w:line="240" w:lineRule="auto"/>
        <w:ind w:left="0"/>
        <w:jc w:val="both"/>
        <w:rPr>
          <w:rFonts w:ascii="Artifex CF" w:eastAsiaTheme="minorEastAsia" w:hAnsi="Artifex CF" w:cs="Arial"/>
        </w:rPr>
      </w:pPr>
    </w:p>
    <w:p w14:paraId="0F01B5F6" w14:textId="2E9C0610" w:rsidR="00E878B1" w:rsidRPr="00E878B1" w:rsidRDefault="00A93045" w:rsidP="00E878B1">
      <w:pPr>
        <w:pStyle w:val="ListParagraph"/>
        <w:spacing w:line="240" w:lineRule="auto"/>
        <w:ind w:left="0"/>
        <w:jc w:val="both"/>
        <w:rPr>
          <w:rFonts w:ascii="Artifex CF" w:eastAsiaTheme="minorEastAsia" w:hAnsi="Artifex CF" w:cs="Arial"/>
        </w:rPr>
      </w:pPr>
      <w:r>
        <w:rPr>
          <w:rFonts w:ascii="Artifex CF" w:eastAsiaTheme="minorEastAsia" w:hAnsi="Artifex CF" w:cs="Arial"/>
        </w:rPr>
        <w:t>En el</w:t>
      </w:r>
      <w:r w:rsidR="00E878B1" w:rsidRPr="00E878B1">
        <w:rPr>
          <w:rFonts w:ascii="Artifex CF" w:eastAsiaTheme="minorEastAsia" w:hAnsi="Artifex CF" w:cs="Arial"/>
        </w:rPr>
        <w:t xml:space="preserve"> caso de la Republica Dominicana,</w:t>
      </w:r>
      <w:r w:rsidR="002318C0">
        <w:rPr>
          <w:rFonts w:ascii="Artifex CF" w:eastAsiaTheme="minorEastAsia" w:hAnsi="Artifex CF" w:cs="Arial"/>
        </w:rPr>
        <w:t xml:space="preserve"> con</w:t>
      </w:r>
      <w:r w:rsidR="00E878B1" w:rsidRPr="00E878B1">
        <w:rPr>
          <w:rFonts w:ascii="Artifex CF" w:eastAsiaTheme="minorEastAsia" w:hAnsi="Artifex CF" w:cs="Arial"/>
        </w:rPr>
        <w:t xml:space="preserve"> en el proceso de reformas</w:t>
      </w:r>
      <w:r w:rsidR="00173BF7">
        <w:rPr>
          <w:rFonts w:ascii="Artifex CF" w:eastAsiaTheme="minorEastAsia" w:hAnsi="Artifex CF" w:cs="Arial"/>
        </w:rPr>
        <w:t xml:space="preserve"> judiciales</w:t>
      </w:r>
      <w:r w:rsidR="00E878B1" w:rsidRPr="00E878B1">
        <w:rPr>
          <w:rFonts w:ascii="Artifex CF" w:eastAsiaTheme="minorEastAsia" w:hAnsi="Artifex CF" w:cs="Arial"/>
        </w:rPr>
        <w:t xml:space="preserve"> </w:t>
      </w:r>
      <w:r w:rsidR="002318C0">
        <w:rPr>
          <w:rFonts w:ascii="Artifex CF" w:eastAsiaTheme="minorEastAsia" w:hAnsi="Artifex CF" w:cs="Arial"/>
        </w:rPr>
        <w:t>iniciado en el año 1996</w:t>
      </w:r>
      <w:r w:rsidR="00173BF7">
        <w:rPr>
          <w:rFonts w:ascii="Artifex CF" w:eastAsiaTheme="minorEastAsia" w:hAnsi="Artifex CF" w:cs="Arial"/>
        </w:rPr>
        <w:t xml:space="preserve"> se comenzó a </w:t>
      </w:r>
      <w:r w:rsidR="00E878B1" w:rsidRPr="00E878B1">
        <w:rPr>
          <w:rFonts w:ascii="Artifex CF" w:eastAsiaTheme="minorEastAsia" w:hAnsi="Artifex CF" w:cs="Arial"/>
        </w:rPr>
        <w:t>garantizar la imparcialidad, independencia y objetividad de los jueces, juezas y fiscales</w:t>
      </w:r>
      <w:r w:rsidR="00173BF7">
        <w:rPr>
          <w:rFonts w:ascii="Artifex CF" w:eastAsiaTheme="minorEastAsia" w:hAnsi="Artifex CF" w:cs="Arial"/>
        </w:rPr>
        <w:t>. Posteriormente,</w:t>
      </w:r>
      <w:r w:rsidR="00E878B1" w:rsidRPr="00E878B1">
        <w:rPr>
          <w:rFonts w:ascii="Artifex CF" w:eastAsiaTheme="minorEastAsia" w:hAnsi="Artifex CF" w:cs="Arial"/>
        </w:rPr>
        <w:t xml:space="preserve"> a partir de la Constitución</w:t>
      </w:r>
      <w:r w:rsidR="00173BF7">
        <w:rPr>
          <w:rFonts w:ascii="Artifex CF" w:eastAsiaTheme="minorEastAsia" w:hAnsi="Artifex CF" w:cs="Arial"/>
        </w:rPr>
        <w:t xml:space="preserve"> dominicana</w:t>
      </w:r>
      <w:r w:rsidR="00E878B1" w:rsidRPr="00E878B1">
        <w:rPr>
          <w:rFonts w:ascii="Artifex CF" w:eastAsiaTheme="minorEastAsia" w:hAnsi="Artifex CF" w:cs="Arial"/>
        </w:rPr>
        <w:t xml:space="preserve"> del 2</w:t>
      </w:r>
      <w:r w:rsidR="00173BF7">
        <w:rPr>
          <w:rFonts w:ascii="Artifex CF" w:eastAsiaTheme="minorEastAsia" w:hAnsi="Artifex CF" w:cs="Arial"/>
        </w:rPr>
        <w:t xml:space="preserve">015, </w:t>
      </w:r>
      <w:r w:rsidR="00E878B1" w:rsidRPr="00E878B1">
        <w:rPr>
          <w:rFonts w:ascii="Artifex CF" w:eastAsiaTheme="minorEastAsia" w:hAnsi="Artifex CF" w:cs="Arial"/>
        </w:rPr>
        <w:t xml:space="preserve">se estableció la consticionalización de ambas carreras funcionariales, la de la </w:t>
      </w:r>
      <w:r w:rsidR="00173BF7">
        <w:rPr>
          <w:rFonts w:ascii="Artifex CF" w:eastAsiaTheme="minorEastAsia" w:hAnsi="Artifex CF" w:cs="Arial"/>
        </w:rPr>
        <w:t>c</w:t>
      </w:r>
      <w:r w:rsidR="00E878B1" w:rsidRPr="00E878B1">
        <w:rPr>
          <w:rFonts w:ascii="Artifex CF" w:eastAsiaTheme="minorEastAsia" w:hAnsi="Artifex CF" w:cs="Arial"/>
        </w:rPr>
        <w:t xml:space="preserve">arrera </w:t>
      </w:r>
      <w:r w:rsidR="00173BF7">
        <w:rPr>
          <w:rFonts w:ascii="Artifex CF" w:eastAsiaTheme="minorEastAsia" w:hAnsi="Artifex CF" w:cs="Arial"/>
        </w:rPr>
        <w:t>j</w:t>
      </w:r>
      <w:r w:rsidR="00E878B1" w:rsidRPr="00E878B1">
        <w:rPr>
          <w:rFonts w:ascii="Artifex CF" w:eastAsiaTheme="minorEastAsia" w:hAnsi="Artifex CF" w:cs="Arial"/>
        </w:rPr>
        <w:t xml:space="preserve">udicial en el artículo 150 y la </w:t>
      </w:r>
      <w:r w:rsidR="00173BF7">
        <w:rPr>
          <w:rFonts w:ascii="Artifex CF" w:eastAsiaTheme="minorEastAsia" w:hAnsi="Artifex CF" w:cs="Arial"/>
        </w:rPr>
        <w:t>c</w:t>
      </w:r>
      <w:r w:rsidR="00E878B1" w:rsidRPr="00E878B1">
        <w:rPr>
          <w:rFonts w:ascii="Artifex CF" w:eastAsiaTheme="minorEastAsia" w:hAnsi="Artifex CF" w:cs="Arial"/>
        </w:rPr>
        <w:t>arrera del Ministerio Público en el artículo 169, para garantizar los procesos de selección e inamovilidad de estos funcionarios judiciales.</w:t>
      </w:r>
    </w:p>
    <w:p w14:paraId="4FAE6254" w14:textId="77777777" w:rsidR="00E878B1" w:rsidRPr="00E878B1" w:rsidRDefault="00E878B1" w:rsidP="00E878B1">
      <w:pPr>
        <w:pStyle w:val="ListParagraph"/>
        <w:spacing w:line="240" w:lineRule="auto"/>
        <w:ind w:left="0"/>
        <w:jc w:val="both"/>
        <w:rPr>
          <w:rFonts w:ascii="Artifex CF" w:eastAsiaTheme="minorEastAsia" w:hAnsi="Artifex CF" w:cs="Arial"/>
        </w:rPr>
      </w:pPr>
    </w:p>
    <w:p w14:paraId="6FFF00B0" w14:textId="0300FA4C" w:rsidR="00E878B1" w:rsidRPr="00E878B1" w:rsidRDefault="002750EF" w:rsidP="00E878B1">
      <w:pPr>
        <w:pStyle w:val="ListParagraph"/>
        <w:spacing w:line="240" w:lineRule="auto"/>
        <w:ind w:left="0"/>
        <w:jc w:val="both"/>
        <w:rPr>
          <w:rFonts w:ascii="Artifex CF" w:eastAsiaTheme="minorEastAsia" w:hAnsi="Artifex CF" w:cs="Arial"/>
        </w:rPr>
      </w:pPr>
      <w:r>
        <w:rPr>
          <w:rFonts w:ascii="Artifex CF" w:eastAsiaTheme="minorEastAsia" w:hAnsi="Artifex CF" w:cs="Arial"/>
        </w:rPr>
        <w:t xml:space="preserve">Con relación </w:t>
      </w:r>
      <w:r w:rsidR="00E878B1" w:rsidRPr="00E878B1">
        <w:rPr>
          <w:rFonts w:ascii="Artifex CF" w:eastAsiaTheme="minorEastAsia" w:hAnsi="Artifex CF" w:cs="Arial"/>
        </w:rPr>
        <w:t xml:space="preserve">a los jueces, la Constitución </w:t>
      </w:r>
      <w:r>
        <w:rPr>
          <w:rFonts w:ascii="Artifex CF" w:eastAsiaTheme="minorEastAsia" w:hAnsi="Artifex CF" w:cs="Arial"/>
        </w:rPr>
        <w:t>d</w:t>
      </w:r>
      <w:r w:rsidR="00E878B1" w:rsidRPr="00E878B1">
        <w:rPr>
          <w:rFonts w:ascii="Artifex CF" w:eastAsiaTheme="minorEastAsia" w:hAnsi="Artifex CF" w:cs="Arial"/>
        </w:rPr>
        <w:t>ominicana</w:t>
      </w:r>
      <w:r w:rsidR="00727142">
        <w:rPr>
          <w:rFonts w:ascii="Artifex CF" w:eastAsiaTheme="minorEastAsia" w:hAnsi="Artifex CF" w:cs="Arial"/>
        </w:rPr>
        <w:t xml:space="preserve"> del 2015</w:t>
      </w:r>
      <w:r w:rsidR="00E878B1" w:rsidRPr="00E878B1">
        <w:rPr>
          <w:rFonts w:ascii="Artifex CF" w:eastAsiaTheme="minorEastAsia" w:hAnsi="Artifex CF" w:cs="Arial"/>
        </w:rPr>
        <w:t xml:space="preserve"> establece </w:t>
      </w:r>
      <w:r w:rsidR="00727142">
        <w:rPr>
          <w:rFonts w:ascii="Artifex CF" w:eastAsiaTheme="minorEastAsia" w:hAnsi="Artifex CF" w:cs="Arial"/>
        </w:rPr>
        <w:t>la forma de</w:t>
      </w:r>
      <w:r w:rsidR="00E878B1" w:rsidRPr="00E878B1">
        <w:rPr>
          <w:rFonts w:ascii="Artifex CF" w:eastAsiaTheme="minorEastAsia" w:hAnsi="Artifex CF" w:cs="Arial"/>
        </w:rPr>
        <w:t xml:space="preserve"> escogencia de jueces pertenecientes a las altas cortes, en su artículo 178,</w:t>
      </w:r>
      <w:r w:rsidR="00727142">
        <w:rPr>
          <w:rFonts w:ascii="Artifex CF" w:eastAsiaTheme="minorEastAsia" w:hAnsi="Artifex CF" w:cs="Arial"/>
        </w:rPr>
        <w:t xml:space="preserve"> mediante</w:t>
      </w:r>
      <w:r w:rsidR="00E878B1" w:rsidRPr="00E878B1">
        <w:rPr>
          <w:rFonts w:ascii="Artifex CF" w:eastAsiaTheme="minorEastAsia" w:hAnsi="Artifex CF" w:cs="Arial"/>
        </w:rPr>
        <w:t xml:space="preserve"> el Consejo Nacional de la Magistratura, que se encuentra integrado por:</w:t>
      </w:r>
    </w:p>
    <w:p w14:paraId="24CA476A" w14:textId="77777777" w:rsidR="00E878B1" w:rsidRPr="00E878B1" w:rsidRDefault="00E878B1" w:rsidP="00E878B1">
      <w:pPr>
        <w:pStyle w:val="ListParagraph"/>
        <w:spacing w:line="240" w:lineRule="auto"/>
        <w:ind w:left="0"/>
        <w:jc w:val="both"/>
        <w:rPr>
          <w:rFonts w:ascii="Artifex CF" w:eastAsiaTheme="minorEastAsia" w:hAnsi="Artifex CF" w:cs="Arial"/>
        </w:rPr>
      </w:pPr>
    </w:p>
    <w:p w14:paraId="7F228180" w14:textId="77777777" w:rsidR="00E878B1" w:rsidRPr="00E878B1" w:rsidRDefault="00E878B1" w:rsidP="00E878B1">
      <w:pPr>
        <w:pStyle w:val="ListParagraph"/>
        <w:spacing w:line="240" w:lineRule="auto"/>
        <w:ind w:left="0"/>
        <w:jc w:val="both"/>
        <w:rPr>
          <w:rFonts w:ascii="Artifex CF" w:eastAsiaTheme="minorEastAsia" w:hAnsi="Artifex CF" w:cs="Arial"/>
        </w:rPr>
      </w:pPr>
      <w:r w:rsidRPr="00E878B1">
        <w:rPr>
          <w:rFonts w:ascii="Artifex CF" w:eastAsiaTheme="minorEastAsia" w:hAnsi="Artifex CF" w:cs="Arial"/>
        </w:rPr>
        <w:t xml:space="preserve">1) El Presidente de la República, quien lo presidirá y, en su ausencia, por el Vicepresidente de la República; 2) El Presidente del Senado; 3) Un senador o senadora escogido por el Senado que pertenezca al partido o bloque de partidos diferente al del Presidente del Senado y que ostente la </w:t>
      </w:r>
      <w:r w:rsidRPr="00E878B1">
        <w:rPr>
          <w:rFonts w:ascii="Artifex CF" w:eastAsiaTheme="minorEastAsia" w:hAnsi="Artifex CF" w:cs="Arial"/>
        </w:rPr>
        <w:lastRenderedPageBreak/>
        <w:t xml:space="preserve">representación de la segunda mayoría; 4) El Presidente de la Cámara de Diputados; 5) Un diputado o diputada escogido por la Cámara de Diputados que pertenezca al partido o bloque de partidos diferente al del Presidente de la Cámara de Diputados y que ostente la representación de la segunda mayoría; 6) El Presidente de la Suprema Corte de Justicia; 7) Un magistrado o magistrada de la Suprema Corte de Justicia escogido por ella misma, quien fungirá de secretario; 8) El Procurador General de la República. </w:t>
      </w:r>
    </w:p>
    <w:p w14:paraId="0043E980" w14:textId="77777777" w:rsidR="00E878B1" w:rsidRDefault="00E878B1" w:rsidP="00E878B1">
      <w:pPr>
        <w:pStyle w:val="ListParagraph"/>
        <w:spacing w:line="240" w:lineRule="auto"/>
        <w:ind w:left="0"/>
        <w:jc w:val="both"/>
        <w:rPr>
          <w:rFonts w:ascii="Artifex CF" w:eastAsiaTheme="minorEastAsia" w:hAnsi="Artifex CF" w:cs="Arial"/>
        </w:rPr>
      </w:pPr>
    </w:p>
    <w:p w14:paraId="04B1F887" w14:textId="263DDD4F" w:rsidR="00E878B1" w:rsidRDefault="003918DA" w:rsidP="00E878B1">
      <w:pPr>
        <w:pStyle w:val="ListParagraph"/>
        <w:spacing w:line="240" w:lineRule="auto"/>
        <w:ind w:left="0"/>
        <w:jc w:val="both"/>
        <w:rPr>
          <w:rFonts w:ascii="Artifex CF" w:eastAsiaTheme="minorEastAsia" w:hAnsi="Artifex CF" w:cs="Arial"/>
        </w:rPr>
      </w:pPr>
      <w:r>
        <w:rPr>
          <w:rFonts w:ascii="Artifex CF" w:eastAsiaTheme="minorEastAsia" w:hAnsi="Artifex CF" w:cs="Arial"/>
        </w:rPr>
        <w:t>A estos</w:t>
      </w:r>
      <w:r w:rsidR="00E878B1" w:rsidRPr="00E878B1">
        <w:rPr>
          <w:rFonts w:ascii="Artifex CF" w:eastAsiaTheme="minorEastAsia" w:hAnsi="Artifex CF" w:cs="Arial"/>
        </w:rPr>
        <w:t xml:space="preserve"> </w:t>
      </w:r>
      <w:r>
        <w:rPr>
          <w:rFonts w:ascii="Artifex CF" w:eastAsiaTheme="minorEastAsia" w:hAnsi="Artifex CF" w:cs="Arial"/>
        </w:rPr>
        <w:t>l</w:t>
      </w:r>
      <w:r w:rsidR="00E878B1" w:rsidRPr="00E878B1">
        <w:rPr>
          <w:rFonts w:ascii="Artifex CF" w:eastAsiaTheme="minorEastAsia" w:hAnsi="Artifex CF" w:cs="Arial"/>
        </w:rPr>
        <w:t>es corresponde</w:t>
      </w:r>
      <w:r>
        <w:rPr>
          <w:rFonts w:ascii="Artifex CF" w:eastAsiaTheme="minorEastAsia" w:hAnsi="Artifex CF" w:cs="Arial"/>
        </w:rPr>
        <w:t>, conforme el a</w:t>
      </w:r>
      <w:r w:rsidR="00E878B1" w:rsidRPr="00E878B1">
        <w:rPr>
          <w:rFonts w:ascii="Artifex CF" w:eastAsiaTheme="minorEastAsia" w:hAnsi="Artifex CF" w:cs="Arial"/>
        </w:rPr>
        <w:t>rt. 179:</w:t>
      </w:r>
    </w:p>
    <w:p w14:paraId="310C4ACB" w14:textId="77777777" w:rsidR="003918DA" w:rsidRPr="00E878B1" w:rsidRDefault="003918DA" w:rsidP="00E878B1">
      <w:pPr>
        <w:pStyle w:val="ListParagraph"/>
        <w:spacing w:line="240" w:lineRule="auto"/>
        <w:ind w:left="0"/>
        <w:jc w:val="both"/>
        <w:rPr>
          <w:rFonts w:ascii="Artifex CF" w:eastAsiaTheme="minorEastAsia" w:hAnsi="Artifex CF" w:cs="Arial"/>
        </w:rPr>
      </w:pPr>
    </w:p>
    <w:p w14:paraId="3A97FE94" w14:textId="77777777" w:rsidR="00E878B1" w:rsidRPr="00E878B1" w:rsidRDefault="00E878B1" w:rsidP="00E878B1">
      <w:pPr>
        <w:pStyle w:val="ListParagraph"/>
        <w:spacing w:line="240" w:lineRule="auto"/>
        <w:ind w:left="0"/>
        <w:jc w:val="both"/>
        <w:rPr>
          <w:rFonts w:ascii="Artifex CF" w:eastAsiaTheme="minorEastAsia" w:hAnsi="Artifex CF" w:cs="Arial"/>
        </w:rPr>
      </w:pPr>
      <w:r w:rsidRPr="00E878B1">
        <w:rPr>
          <w:rFonts w:ascii="Artifex CF" w:eastAsiaTheme="minorEastAsia" w:hAnsi="Artifex CF" w:cs="Arial"/>
        </w:rPr>
        <w:t xml:space="preserve">1) Designar los jueces de la Suprema Corte de Justicia; </w:t>
      </w:r>
    </w:p>
    <w:p w14:paraId="740E3BB2" w14:textId="77777777" w:rsidR="00E878B1" w:rsidRPr="00E878B1" w:rsidRDefault="00E878B1" w:rsidP="00E878B1">
      <w:pPr>
        <w:pStyle w:val="ListParagraph"/>
        <w:spacing w:line="240" w:lineRule="auto"/>
        <w:ind w:left="0"/>
        <w:jc w:val="both"/>
        <w:rPr>
          <w:rFonts w:ascii="Artifex CF" w:eastAsiaTheme="minorEastAsia" w:hAnsi="Artifex CF" w:cs="Arial"/>
        </w:rPr>
      </w:pPr>
      <w:r w:rsidRPr="00E878B1">
        <w:rPr>
          <w:rFonts w:ascii="Artifex CF" w:eastAsiaTheme="minorEastAsia" w:hAnsi="Artifex CF" w:cs="Arial"/>
        </w:rPr>
        <w:t xml:space="preserve">2) Designar los jueces del Tribunal Constitucional; </w:t>
      </w:r>
    </w:p>
    <w:p w14:paraId="611503E3" w14:textId="77777777" w:rsidR="00E878B1" w:rsidRPr="00E878B1" w:rsidRDefault="00E878B1" w:rsidP="00E878B1">
      <w:pPr>
        <w:pStyle w:val="ListParagraph"/>
        <w:spacing w:line="240" w:lineRule="auto"/>
        <w:ind w:left="0"/>
        <w:jc w:val="both"/>
        <w:rPr>
          <w:rFonts w:ascii="Artifex CF" w:eastAsiaTheme="minorEastAsia" w:hAnsi="Artifex CF" w:cs="Arial"/>
        </w:rPr>
      </w:pPr>
      <w:r w:rsidRPr="00E878B1">
        <w:rPr>
          <w:rFonts w:ascii="Artifex CF" w:eastAsiaTheme="minorEastAsia" w:hAnsi="Artifex CF" w:cs="Arial"/>
        </w:rPr>
        <w:t xml:space="preserve">3) Designar los jueces del Tribunal Superior Electoral y sus suplentes; </w:t>
      </w:r>
    </w:p>
    <w:p w14:paraId="7E430EC7" w14:textId="77777777" w:rsidR="00E878B1" w:rsidRPr="00E878B1" w:rsidRDefault="00E878B1" w:rsidP="00E878B1">
      <w:pPr>
        <w:pStyle w:val="ListParagraph"/>
        <w:spacing w:line="240" w:lineRule="auto"/>
        <w:ind w:left="0"/>
        <w:jc w:val="both"/>
        <w:rPr>
          <w:rFonts w:ascii="Artifex CF" w:eastAsiaTheme="minorEastAsia" w:hAnsi="Artifex CF" w:cs="Arial"/>
        </w:rPr>
      </w:pPr>
      <w:r w:rsidRPr="00E878B1">
        <w:rPr>
          <w:rFonts w:ascii="Artifex CF" w:eastAsiaTheme="minorEastAsia" w:hAnsi="Artifex CF" w:cs="Arial"/>
        </w:rPr>
        <w:t>4) Evaluar el desempeño de los jueces de la Suprema Corte de Justicia.</w:t>
      </w:r>
    </w:p>
    <w:p w14:paraId="6D9AD709" w14:textId="77777777" w:rsidR="00E878B1" w:rsidRPr="00E878B1" w:rsidRDefault="00E878B1" w:rsidP="00E878B1">
      <w:pPr>
        <w:pStyle w:val="ListParagraph"/>
        <w:spacing w:line="240" w:lineRule="auto"/>
        <w:ind w:left="0"/>
        <w:jc w:val="both"/>
        <w:rPr>
          <w:rFonts w:ascii="Artifex CF" w:eastAsiaTheme="minorEastAsia" w:hAnsi="Artifex CF" w:cs="Arial"/>
        </w:rPr>
      </w:pPr>
    </w:p>
    <w:p w14:paraId="511D8108" w14:textId="77777777" w:rsidR="007F7B41" w:rsidRDefault="00E878B1" w:rsidP="00E878B1">
      <w:pPr>
        <w:pStyle w:val="ListParagraph"/>
        <w:spacing w:line="240" w:lineRule="auto"/>
        <w:ind w:left="0"/>
        <w:jc w:val="both"/>
        <w:rPr>
          <w:rFonts w:ascii="Artifex CF" w:eastAsiaTheme="minorEastAsia" w:hAnsi="Artifex CF" w:cs="Arial"/>
        </w:rPr>
      </w:pPr>
      <w:r w:rsidRPr="00E878B1">
        <w:rPr>
          <w:rFonts w:ascii="Artifex CF" w:eastAsiaTheme="minorEastAsia" w:hAnsi="Artifex CF" w:cs="Arial"/>
        </w:rPr>
        <w:t>Esta selección será con un criterio de escogencia de las tres cuartas partes de sus miembros de jueces que pertenezcan al sistema de carrera judicial, y la cuarta parte restante los escogerá de profesionales del derecho, académicos o miembros del Ministerio Público, según lo establece el art. 180.</w:t>
      </w:r>
    </w:p>
    <w:p w14:paraId="3FD16F43" w14:textId="77777777" w:rsidR="007F7B41" w:rsidRDefault="007F7B41" w:rsidP="00E878B1">
      <w:pPr>
        <w:pStyle w:val="ListParagraph"/>
        <w:spacing w:line="240" w:lineRule="auto"/>
        <w:ind w:left="0"/>
        <w:jc w:val="both"/>
        <w:rPr>
          <w:rFonts w:ascii="Artifex CF" w:eastAsiaTheme="minorEastAsia" w:hAnsi="Artifex CF" w:cs="Arial"/>
        </w:rPr>
      </w:pPr>
    </w:p>
    <w:p w14:paraId="4313FDC7" w14:textId="280E5071" w:rsidR="00E878B1" w:rsidRPr="00E75E54" w:rsidRDefault="00E878B1" w:rsidP="00E878B1">
      <w:pPr>
        <w:pStyle w:val="ListParagraph"/>
        <w:spacing w:line="240" w:lineRule="auto"/>
        <w:ind w:left="0"/>
        <w:jc w:val="both"/>
        <w:rPr>
          <w:rFonts w:ascii="Artifex CF" w:eastAsiaTheme="minorEastAsia" w:hAnsi="Artifex CF" w:cs="Arial"/>
        </w:rPr>
      </w:pPr>
      <w:r w:rsidRPr="00E878B1">
        <w:rPr>
          <w:rFonts w:ascii="Artifex CF" w:eastAsiaTheme="minorEastAsia" w:hAnsi="Artifex CF" w:cs="Arial"/>
        </w:rPr>
        <w:t>Por otro lado, se han realizado ingentes esfuerzos por mejorar las condiciones laborales de jueces y fiscales, mantener y atraer a las carreras judiciales a profesionales cualificados y enfocados al servicio judicial, sin embargo, existen aspectos de mejora, inclusive entre jueces y fiscales existen diferencias respecto a los aspectos salariales, condiciones laborales y beneficios marginales.</w:t>
      </w:r>
    </w:p>
    <w:p w14:paraId="13E19BF1" w14:textId="77777777" w:rsidR="00E878B1" w:rsidRPr="00517A53" w:rsidRDefault="00E878B1" w:rsidP="00E878B1">
      <w:pPr>
        <w:spacing w:line="240" w:lineRule="auto"/>
        <w:jc w:val="both"/>
        <w:rPr>
          <w:rFonts w:ascii="Artifex CF" w:hAnsi="Artifex CF" w:cs="Arial"/>
          <w:b/>
          <w:bCs/>
        </w:rPr>
      </w:pPr>
      <w:r w:rsidRPr="00517A53">
        <w:rPr>
          <w:rFonts w:ascii="Artifex CF" w:hAnsi="Artifex CF" w:cs="Arial"/>
          <w:b/>
          <w:bCs/>
        </w:rPr>
        <w:t>2. ¿Ha visto investigaciones o pruebas que demuestren que los actores económicos (y no los políticos) ofrecen a los jueces beneficios a cambio de los resultados deseados? ¿Existe la percepción de que los jueces participan en tales actos?</w:t>
      </w:r>
    </w:p>
    <w:p w14:paraId="590C127D" w14:textId="77777777" w:rsidR="003D155F" w:rsidRDefault="00E878B1" w:rsidP="003D155F">
      <w:pPr>
        <w:spacing w:line="240" w:lineRule="auto"/>
        <w:jc w:val="both"/>
        <w:rPr>
          <w:rFonts w:ascii="Artifex CF" w:hAnsi="Artifex CF" w:cs="Arial"/>
        </w:rPr>
      </w:pPr>
      <w:r w:rsidRPr="00E878B1">
        <w:rPr>
          <w:rFonts w:ascii="Artifex CF" w:hAnsi="Artifex CF" w:cs="Arial"/>
        </w:rPr>
        <w:t>De manera general no se observan investigaciones respecto a este tema.</w:t>
      </w:r>
    </w:p>
    <w:p w14:paraId="291A8CDC" w14:textId="7F043CD6" w:rsidR="00E878B1" w:rsidRPr="00517A53" w:rsidRDefault="009162DE" w:rsidP="003D155F">
      <w:pPr>
        <w:spacing w:line="240" w:lineRule="auto"/>
        <w:jc w:val="both"/>
        <w:rPr>
          <w:rFonts w:ascii="Artifex CF" w:hAnsi="Artifex CF" w:cs="Arial"/>
          <w:b/>
          <w:bCs/>
        </w:rPr>
      </w:pPr>
      <w:r w:rsidRPr="00517A53">
        <w:rPr>
          <w:rFonts w:ascii="Artifex CF" w:hAnsi="Artifex CF" w:cs="Arial"/>
          <w:b/>
          <w:bCs/>
        </w:rPr>
        <w:t>3. ¿</w:t>
      </w:r>
      <w:r w:rsidR="00E878B1" w:rsidRPr="00517A53">
        <w:rPr>
          <w:rFonts w:ascii="Artifex CF" w:hAnsi="Artifex CF" w:cs="Arial"/>
          <w:b/>
          <w:bCs/>
        </w:rPr>
        <w:t>Existen investigaciones o pruebas que demuestren que las empresas, los grupos de interés económico o las personas adineradas desempeñan un papel inadecuado en la selección y promoción de los jueces?</w:t>
      </w:r>
    </w:p>
    <w:p w14:paraId="7CC83174" w14:textId="60A62E30" w:rsidR="003D155F" w:rsidRPr="00FD231C" w:rsidRDefault="003D155F" w:rsidP="003D155F">
      <w:pPr>
        <w:spacing w:line="240" w:lineRule="auto"/>
        <w:jc w:val="both"/>
        <w:rPr>
          <w:rFonts w:ascii="Artifex CF" w:hAnsi="Artifex CF" w:cs="Arial"/>
        </w:rPr>
      </w:pPr>
      <w:r w:rsidRPr="00FD231C">
        <w:rPr>
          <w:rFonts w:ascii="Artifex CF" w:hAnsi="Artifex CF" w:cs="Arial"/>
        </w:rPr>
        <w:t>De manera general no se observan investigaciones respecto a este tema.</w:t>
      </w:r>
    </w:p>
    <w:p w14:paraId="4C92B450" w14:textId="77777777" w:rsidR="003D155F" w:rsidRPr="00517A53" w:rsidRDefault="003D155F" w:rsidP="003D155F">
      <w:pPr>
        <w:spacing w:line="240" w:lineRule="auto"/>
        <w:jc w:val="both"/>
        <w:rPr>
          <w:rFonts w:ascii="Artifex CF" w:hAnsi="Artifex CF" w:cs="Arial"/>
          <w:b/>
          <w:bCs/>
        </w:rPr>
      </w:pPr>
      <w:r w:rsidRPr="00517A53">
        <w:rPr>
          <w:rFonts w:ascii="Artifex CF" w:hAnsi="Artifex CF" w:cs="Arial"/>
          <w:b/>
          <w:bCs/>
        </w:rPr>
        <w:t>4. ¿Existen investigaciones o pruebas que demuestren que los jueces están indebidamente motivados de forma que socava su independencia, o se percibe que están indebidamente motivados, por incentivos relacionados con sus perspectivas profesionales tras su jubilación o salida de la judicatura?</w:t>
      </w:r>
    </w:p>
    <w:p w14:paraId="331C477E" w14:textId="7294B9F4" w:rsidR="003D155F" w:rsidRPr="00FD231C" w:rsidRDefault="003D155F" w:rsidP="003D155F">
      <w:pPr>
        <w:pStyle w:val="ListParagraph"/>
        <w:spacing w:line="240" w:lineRule="auto"/>
        <w:ind w:left="0"/>
        <w:jc w:val="both"/>
        <w:rPr>
          <w:rFonts w:ascii="Artifex CF" w:eastAsiaTheme="minorEastAsia" w:hAnsi="Artifex CF" w:cs="Arial"/>
        </w:rPr>
      </w:pPr>
      <w:r w:rsidRPr="00FD231C">
        <w:rPr>
          <w:rFonts w:ascii="Artifex CF" w:eastAsiaTheme="minorEastAsia" w:hAnsi="Artifex CF" w:cs="Arial"/>
        </w:rPr>
        <w:t xml:space="preserve">Como señalamos anteriormente, se han realizado ingentes esfuerzos por mejorar las condiciones laborales de jueces y fiscales, mantener y atraer a las carreras judiciales a profesionales cualificados y enfocados al servicio judicial, sin </w:t>
      </w:r>
      <w:r w:rsidR="007201AE" w:rsidRPr="00FD231C">
        <w:rPr>
          <w:rFonts w:ascii="Artifex CF" w:eastAsiaTheme="minorEastAsia" w:hAnsi="Artifex CF" w:cs="Arial"/>
        </w:rPr>
        <w:t>embargo,</w:t>
      </w:r>
      <w:r w:rsidRPr="00FD231C">
        <w:rPr>
          <w:rFonts w:ascii="Artifex CF" w:eastAsiaTheme="minorEastAsia" w:hAnsi="Artifex CF" w:cs="Arial"/>
        </w:rPr>
        <w:t xml:space="preserve"> existen aspectos de mejora, inclusive entre jueces y fiscales existen diferencias respecto a los aspectos salariales, condiciones laborales y beneficios marginales.</w:t>
      </w:r>
    </w:p>
    <w:p w14:paraId="5EEF6BDD" w14:textId="77777777" w:rsidR="003D155F" w:rsidRPr="00FD231C" w:rsidRDefault="003D155F" w:rsidP="003D155F">
      <w:pPr>
        <w:pStyle w:val="ListParagraph"/>
        <w:spacing w:line="240" w:lineRule="auto"/>
        <w:ind w:left="0"/>
        <w:jc w:val="both"/>
        <w:rPr>
          <w:rFonts w:ascii="Artifex CF" w:eastAsiaTheme="minorEastAsia" w:hAnsi="Artifex CF" w:cs="Arial"/>
        </w:rPr>
      </w:pPr>
    </w:p>
    <w:p w14:paraId="2209D4E1" w14:textId="77777777" w:rsidR="003D155F" w:rsidRPr="00FD231C" w:rsidRDefault="003D155F" w:rsidP="003D155F">
      <w:pPr>
        <w:pStyle w:val="ListParagraph"/>
        <w:spacing w:line="240" w:lineRule="auto"/>
        <w:ind w:left="0"/>
        <w:jc w:val="both"/>
        <w:rPr>
          <w:rFonts w:ascii="Artifex CF" w:eastAsiaTheme="minorEastAsia" w:hAnsi="Artifex CF" w:cs="Arial"/>
        </w:rPr>
      </w:pPr>
      <w:r w:rsidRPr="00FD231C">
        <w:rPr>
          <w:rFonts w:ascii="Artifex CF" w:eastAsiaTheme="minorEastAsia" w:hAnsi="Artifex CF" w:cs="Arial"/>
        </w:rPr>
        <w:t xml:space="preserve">Sin embargo, referirse a los temas de perspectiva y bienestar profesional de estos funcionarios judiciales, se relaciona de manera directa a temas presupuestarios, y que en el caso de la República </w:t>
      </w:r>
      <w:r w:rsidRPr="00FD231C">
        <w:rPr>
          <w:rFonts w:ascii="Artifex CF" w:eastAsiaTheme="minorEastAsia" w:hAnsi="Artifex CF" w:cs="Arial"/>
        </w:rPr>
        <w:lastRenderedPageBreak/>
        <w:t>Dominicana, si bien se cuenta con la Ley No.: 194-04</w:t>
      </w:r>
      <w:r w:rsidRPr="00FD231C">
        <w:rPr>
          <w:rFonts w:ascii="Artifex CF" w:eastAsiaTheme="minorEastAsia" w:hAnsi="Artifex CF" w:cs="Arial"/>
        </w:rPr>
        <w:footnoteReference w:id="1"/>
      </w:r>
      <w:r w:rsidRPr="00FD231C">
        <w:rPr>
          <w:rFonts w:ascii="Artifex CF" w:eastAsiaTheme="minorEastAsia" w:hAnsi="Artifex CF" w:cs="Arial"/>
        </w:rPr>
        <w:t xml:space="preserve"> que dispone que la Procuraduría General de la República, el Ministerio Público y la Cámara de Cuentas de la República Dominicana, gozarán de autonomía presupuestaria y administrativa, en la realidad, no se cumple a cabalidad, limitando  las posibilidades de mejora de las condiciones laborales y previsionales de jueces y fiscales.</w:t>
      </w:r>
    </w:p>
    <w:p w14:paraId="6E387C2D" w14:textId="77777777" w:rsidR="003D155F" w:rsidRPr="00FD231C" w:rsidRDefault="003D155F" w:rsidP="003D155F">
      <w:pPr>
        <w:spacing w:line="240" w:lineRule="auto"/>
        <w:jc w:val="both"/>
        <w:rPr>
          <w:rFonts w:ascii="Artifex CF" w:hAnsi="Artifex CF" w:cs="Arial"/>
        </w:rPr>
      </w:pPr>
      <w:r w:rsidRPr="00FD231C">
        <w:rPr>
          <w:rFonts w:ascii="Artifex CF" w:hAnsi="Artifex CF" w:cs="Arial"/>
        </w:rPr>
        <w:t xml:space="preserve">Acorde con lo establecido en la referida Ley No. 194-07, en su artículo 3: </w:t>
      </w:r>
    </w:p>
    <w:p w14:paraId="0800AC48" w14:textId="77777777" w:rsidR="003D155F" w:rsidRPr="00FD231C" w:rsidRDefault="003D155F" w:rsidP="003D155F">
      <w:pPr>
        <w:spacing w:line="240" w:lineRule="auto"/>
        <w:jc w:val="both"/>
        <w:rPr>
          <w:rFonts w:ascii="Artifex CF" w:hAnsi="Artifex CF" w:cs="Arial"/>
        </w:rPr>
      </w:pPr>
      <w:r w:rsidRPr="00FD231C">
        <w:rPr>
          <w:rFonts w:ascii="Artifex CF" w:hAnsi="Artifex CF" w:cs="Arial"/>
        </w:rPr>
        <w:t xml:space="preserve"> El Presupuesto del Poder Judicial (Suprema Corte de Justicia) y del Ministerio Público (Procuraduría General de la República), serán de por lo menos un cuatro punto diez por ciento (4.10%) de los ingresos internos, incluyendo los ingresos adicionales y los recargos establecidos en el Presupuesto de Ingresos y Ley de Gastos Públicos, y se distribuyen de la manera siguiente: Un sesenta y cinco por ciento (65%) del cuatro punto diez por ciento (4.10%) corresponderá a la Suprema Corte de Justicia y un treinta y cinco por ciento (35%) del cuatro punto diez por ciento (4.10%) corresponderá al Ministerio Público.</w:t>
      </w:r>
    </w:p>
    <w:p w14:paraId="1CDE0938" w14:textId="51FB9B2C" w:rsidR="003D155F" w:rsidRPr="00FD231C" w:rsidRDefault="003D155F" w:rsidP="003D155F">
      <w:pPr>
        <w:spacing w:line="240" w:lineRule="auto"/>
        <w:jc w:val="both"/>
        <w:rPr>
          <w:rFonts w:ascii="Artifex CF" w:hAnsi="Artifex CF" w:cs="Arial"/>
        </w:rPr>
      </w:pPr>
      <w:r w:rsidRPr="00FD231C">
        <w:rPr>
          <w:rFonts w:ascii="Artifex CF" w:hAnsi="Artifex CF" w:cs="Arial"/>
        </w:rPr>
        <w:t xml:space="preserve">Respecto a los Planes de Pensiones y Jubilaciones de jueces y Fiscales, la </w:t>
      </w:r>
      <w:r w:rsidR="005A0EDC" w:rsidRPr="00FD231C">
        <w:rPr>
          <w:rFonts w:ascii="Artifex CF" w:hAnsi="Artifex CF" w:cs="Arial"/>
        </w:rPr>
        <w:t>Rep</w:t>
      </w:r>
      <w:r w:rsidR="005A0EDC">
        <w:rPr>
          <w:rFonts w:ascii="Artifex CF" w:hAnsi="Artifex CF" w:cs="Arial"/>
        </w:rPr>
        <w:t>ú</w:t>
      </w:r>
      <w:r w:rsidR="005A0EDC" w:rsidRPr="00FD231C">
        <w:rPr>
          <w:rFonts w:ascii="Artifex CF" w:hAnsi="Artifex CF" w:cs="Arial"/>
        </w:rPr>
        <w:t>blica</w:t>
      </w:r>
      <w:r w:rsidRPr="00FD231C">
        <w:rPr>
          <w:rFonts w:ascii="Artifex CF" w:hAnsi="Artifex CF" w:cs="Arial"/>
        </w:rPr>
        <w:t xml:space="preserve"> Dominicana tiene la Ley No. 87-01 que crea el Sistema Dominicano de Seguridad Social, la cual organiza la seguridad social del país, y estableciendo un sistema de pensiones para todas las personas, que es el que rige actualmente en el país, con la particularidad de que las pensiones se rigen a través de la cuenta de capitalización individual, con 60 </w:t>
      </w:r>
      <w:r w:rsidR="0036778D" w:rsidRPr="00FD231C">
        <w:rPr>
          <w:rFonts w:ascii="Artifex CF" w:hAnsi="Artifex CF" w:cs="Arial"/>
        </w:rPr>
        <w:t>años</w:t>
      </w:r>
      <w:r w:rsidRPr="00FD231C">
        <w:rPr>
          <w:rFonts w:ascii="Artifex CF" w:hAnsi="Artifex CF" w:cs="Arial"/>
        </w:rPr>
        <w:t xml:space="preserve"> o más y con</w:t>
      </w:r>
      <w:r w:rsidRPr="00FD231C">
        <w:rPr>
          <w:rFonts w:ascii="Cambria" w:hAnsi="Cambria" w:cs="Cambria"/>
        </w:rPr>
        <w:t> </w:t>
      </w:r>
      <w:r w:rsidRPr="00FD231C">
        <w:rPr>
          <w:rFonts w:ascii="Artifex CF" w:hAnsi="Artifex CF" w:cs="Arial"/>
        </w:rPr>
        <w:t>un m</w:t>
      </w:r>
      <w:r w:rsidRPr="00FD231C">
        <w:rPr>
          <w:rFonts w:ascii="Artifex CF" w:hAnsi="Artifex CF" w:cs="Artifex CF"/>
        </w:rPr>
        <w:t>í</w:t>
      </w:r>
      <w:r w:rsidRPr="00FD231C">
        <w:rPr>
          <w:rFonts w:ascii="Artifex CF" w:hAnsi="Artifex CF" w:cs="Arial"/>
        </w:rPr>
        <w:t>nimo de 360 meses cotizados.</w:t>
      </w:r>
    </w:p>
    <w:p w14:paraId="7A9A952E" w14:textId="128A262C" w:rsidR="00E878B1" w:rsidRDefault="003D155F" w:rsidP="008843E5">
      <w:pPr>
        <w:spacing w:after="0" w:line="240" w:lineRule="auto"/>
        <w:jc w:val="both"/>
        <w:rPr>
          <w:rFonts w:ascii="Artifex CF" w:hAnsi="Artifex CF" w:cs="Arial"/>
        </w:rPr>
      </w:pPr>
      <w:r w:rsidRPr="00FD231C">
        <w:rPr>
          <w:rFonts w:ascii="Artifex CF" w:hAnsi="Artifex CF" w:cs="Arial"/>
        </w:rPr>
        <w:t>En el caso de los Fiscales, la ley 133-</w:t>
      </w:r>
      <w:r w:rsidR="00517A53" w:rsidRPr="00FD231C">
        <w:rPr>
          <w:rFonts w:ascii="Artifex CF" w:hAnsi="Artifex CF" w:cs="Arial"/>
        </w:rPr>
        <w:t>11, en</w:t>
      </w:r>
      <w:r w:rsidRPr="00FD231C">
        <w:rPr>
          <w:rFonts w:ascii="Artifex CF" w:hAnsi="Artifex CF" w:cs="Arial"/>
        </w:rPr>
        <w:t xml:space="preserve"> su artículo 106: “Fondo de Retiro. Se crea el Fondo de Retiro de los miembros del Ministerio Público, como incentivo para promover la permanencia en el cargo y el retiro en condiciones de dignidad. La administración del fondo, así como las condiciones y el procedimiento para otorgar este beneficio serán regulados en el reglamento que al efecto adopte el Consejo Superior del Ministerio Público”, sin embargo a la fecha no se ha realizado, si existen diligencias enfocadas hacia ese punto como la creación de una Comisión para el estudio de la viabilidad creación del Fondo de Pensiones de los miembros del Ministerio Público, mediante la resolución cuatro (4) de febrero del año dos mil veinte y uno (2021)</w:t>
      </w:r>
      <w:r w:rsidRPr="00FD231C">
        <w:rPr>
          <w:rFonts w:ascii="Artifex CF" w:hAnsi="Artifex CF" w:cs="Arial"/>
        </w:rPr>
        <w:footnoteReference w:id="2"/>
      </w:r>
      <w:r w:rsidRPr="00FD231C">
        <w:rPr>
          <w:rFonts w:ascii="Artifex CF" w:hAnsi="Artifex CF" w:cs="Arial"/>
        </w:rPr>
        <w:t xml:space="preserve">, de la cual surgió una propuesta de reglamento para el Fondo de Pensiones y Jubilaciones del Ministerio Público, pendiente de revisión. Sin </w:t>
      </w:r>
      <w:r w:rsidR="009162DE" w:rsidRPr="00FD231C">
        <w:rPr>
          <w:rFonts w:ascii="Artifex CF" w:hAnsi="Artifex CF" w:cs="Arial"/>
        </w:rPr>
        <w:t>embargo,</w:t>
      </w:r>
      <w:r w:rsidRPr="00FD231C">
        <w:rPr>
          <w:rFonts w:ascii="Artifex CF" w:hAnsi="Artifex CF" w:cs="Arial"/>
        </w:rPr>
        <w:t xml:space="preserve"> se requiere ampliar los esfuerzos en este sentido, para garantizar la permanencia y estabilidad en las funciones de los fiscales, esta propuesta asume el modelo implementado por el Poder Judicial y el Tribunal Constitucional Dominicano para dar respuesta.</w:t>
      </w:r>
    </w:p>
    <w:p w14:paraId="795E0C64" w14:textId="77777777" w:rsidR="00E75E54" w:rsidRPr="00FD231C" w:rsidRDefault="00E75E54" w:rsidP="008843E5">
      <w:pPr>
        <w:spacing w:after="0" w:line="240" w:lineRule="auto"/>
        <w:jc w:val="both"/>
        <w:rPr>
          <w:rFonts w:ascii="Artifex CF" w:hAnsi="Artifex CF" w:cs="Arial"/>
        </w:rPr>
      </w:pPr>
    </w:p>
    <w:p w14:paraId="574CAD5D" w14:textId="248FAFF0" w:rsidR="00E878B1" w:rsidRPr="00517A53" w:rsidRDefault="008843E5" w:rsidP="00E878B1">
      <w:pPr>
        <w:widowControl w:val="0"/>
        <w:tabs>
          <w:tab w:val="left" w:pos="1195"/>
        </w:tabs>
        <w:autoSpaceDE w:val="0"/>
        <w:autoSpaceDN w:val="0"/>
        <w:spacing w:before="133" w:after="0" w:line="268" w:lineRule="auto"/>
        <w:ind w:right="636"/>
        <w:jc w:val="both"/>
        <w:rPr>
          <w:rFonts w:ascii="Artifex CF" w:hAnsi="Artifex CF" w:cs="Arial"/>
          <w:b/>
          <w:bCs/>
        </w:rPr>
      </w:pPr>
      <w:r w:rsidRPr="00517A53">
        <w:rPr>
          <w:rFonts w:ascii="Artifex CF" w:hAnsi="Artifex CF" w:cs="Arial"/>
          <w:b/>
          <w:bCs/>
        </w:rPr>
        <w:t>5.</w:t>
      </w:r>
      <w:r w:rsidR="003D155F" w:rsidRPr="00517A53">
        <w:rPr>
          <w:rFonts w:ascii="Artifex CF" w:hAnsi="Artifex CF" w:cs="Arial"/>
          <w:b/>
          <w:bCs/>
        </w:rPr>
        <w:t xml:space="preserve"> </w:t>
      </w:r>
      <w:r w:rsidR="00E878B1" w:rsidRPr="00517A53">
        <w:rPr>
          <w:rFonts w:ascii="Artifex CF" w:hAnsi="Artifex CF" w:cs="Arial"/>
          <w:b/>
          <w:bCs/>
        </w:rPr>
        <w:t>¿Se relacionan con frecuencia los jueces con empresas, grupos de interés económico o personas adineradas de una forma en la cual se corre el riesgo de socavar la independencia judicial, por ejemplo, en retiros privados de donantes o clubes de miembros en los que los actores privados adinerados tienen una oportunidad especial de mezclarse con los jueces?</w:t>
      </w:r>
    </w:p>
    <w:p w14:paraId="2C0F32D8" w14:textId="0C4BE225" w:rsidR="00E878B1" w:rsidRPr="00B3261E" w:rsidRDefault="00E878B1" w:rsidP="00B3261E">
      <w:pPr>
        <w:widowControl w:val="0"/>
        <w:tabs>
          <w:tab w:val="left" w:pos="1195"/>
        </w:tabs>
        <w:autoSpaceDE w:val="0"/>
        <w:autoSpaceDN w:val="0"/>
        <w:spacing w:before="133" w:after="0" w:line="268" w:lineRule="auto"/>
        <w:ind w:right="636"/>
        <w:jc w:val="both"/>
        <w:rPr>
          <w:rFonts w:ascii="Artifex CF" w:hAnsi="Artifex CF" w:cs="Arial"/>
        </w:rPr>
      </w:pPr>
      <w:r w:rsidRPr="00E878B1">
        <w:rPr>
          <w:rFonts w:ascii="Artifex CF" w:hAnsi="Artifex CF" w:cs="Arial"/>
        </w:rPr>
        <w:t xml:space="preserve">El Código de Comportamiento Ético del Poder Judicial, el cual establece las relaciones institucionales entre jueces y servidores administrativos judiciales, con los usuarios y con otros sectores, contiene múltiples prohibiciones a las que los jueces/juezas deben acatarse para mantener una imagen intachable compatible con el decoro y el orden público. Algunas de estas </w:t>
      </w:r>
      <w:r w:rsidRPr="00E878B1">
        <w:rPr>
          <w:rFonts w:ascii="Artifex CF" w:hAnsi="Artifex CF" w:cs="Arial"/>
        </w:rPr>
        <w:lastRenderedPageBreak/>
        <w:t>prohibiciones son:</w:t>
      </w:r>
    </w:p>
    <w:p w14:paraId="5E1E556B" w14:textId="77777777" w:rsidR="00E878B1" w:rsidRPr="00E878B1" w:rsidRDefault="00E878B1" w:rsidP="00E878B1">
      <w:pPr>
        <w:pStyle w:val="ListParagraph"/>
        <w:widowControl w:val="0"/>
        <w:tabs>
          <w:tab w:val="left" w:pos="1195"/>
        </w:tabs>
        <w:autoSpaceDE w:val="0"/>
        <w:autoSpaceDN w:val="0"/>
        <w:spacing w:before="133" w:after="0" w:line="268" w:lineRule="auto"/>
        <w:ind w:left="1196" w:right="636"/>
        <w:jc w:val="both"/>
        <w:rPr>
          <w:rFonts w:ascii="Artifex CF" w:eastAsiaTheme="minorEastAsia" w:hAnsi="Artifex CF" w:cs="Arial"/>
        </w:rPr>
      </w:pPr>
      <w:r w:rsidRPr="00E878B1">
        <w:rPr>
          <w:rFonts w:ascii="Artifex CF" w:eastAsiaTheme="minorEastAsia" w:hAnsi="Artifex CF" w:cs="Arial"/>
        </w:rPr>
        <w:t xml:space="preserve"> -Tener participación, por sí o por interpuesta persona, en firmas o sociedades que tengan relaciones económicas, cuando estén vinculadas directamente a asuntos de su competencia o decisión.  </w:t>
      </w:r>
    </w:p>
    <w:p w14:paraId="4CBFD89D" w14:textId="77777777" w:rsidR="00E878B1" w:rsidRPr="00E878B1" w:rsidRDefault="00E878B1" w:rsidP="00E878B1">
      <w:pPr>
        <w:pStyle w:val="ListParagraph"/>
        <w:widowControl w:val="0"/>
        <w:tabs>
          <w:tab w:val="left" w:pos="1195"/>
        </w:tabs>
        <w:autoSpaceDE w:val="0"/>
        <w:autoSpaceDN w:val="0"/>
        <w:spacing w:before="133" w:after="0" w:line="268" w:lineRule="auto"/>
        <w:ind w:left="1196" w:right="636"/>
        <w:jc w:val="both"/>
        <w:rPr>
          <w:rFonts w:ascii="Artifex CF" w:eastAsiaTheme="minorEastAsia" w:hAnsi="Artifex CF" w:cs="Arial"/>
        </w:rPr>
      </w:pPr>
      <w:r w:rsidRPr="00E878B1">
        <w:rPr>
          <w:rFonts w:ascii="Artifex CF" w:eastAsiaTheme="minorEastAsia" w:hAnsi="Artifex CF" w:cs="Arial"/>
        </w:rPr>
        <w:t>-Solicitar, aceptar o recibir, directamente o por intermedio de otras personas, comisiones en dinero o en especie.</w:t>
      </w:r>
    </w:p>
    <w:p w14:paraId="76E5EAB4" w14:textId="77777777" w:rsidR="00E878B1" w:rsidRPr="00E878B1" w:rsidRDefault="00E878B1" w:rsidP="00E878B1">
      <w:pPr>
        <w:pStyle w:val="ListParagraph"/>
        <w:widowControl w:val="0"/>
        <w:tabs>
          <w:tab w:val="left" w:pos="1195"/>
        </w:tabs>
        <w:autoSpaceDE w:val="0"/>
        <w:autoSpaceDN w:val="0"/>
        <w:spacing w:before="133" w:after="0" w:line="268" w:lineRule="auto"/>
        <w:ind w:left="1196" w:right="636"/>
        <w:jc w:val="both"/>
        <w:rPr>
          <w:rFonts w:ascii="Artifex CF" w:eastAsiaTheme="minorEastAsia" w:hAnsi="Artifex CF" w:cs="Arial"/>
        </w:rPr>
      </w:pPr>
      <w:r w:rsidRPr="00E878B1">
        <w:rPr>
          <w:rFonts w:ascii="Artifex CF" w:eastAsiaTheme="minorEastAsia" w:hAnsi="Artifex CF" w:cs="Arial"/>
        </w:rPr>
        <w:t>-Realizar actividades partidistas, o participar en actividades de grupos de presión social, así como solicitar o recibir dinero y otros bienes para fines políticos.</w:t>
      </w:r>
    </w:p>
    <w:p w14:paraId="6D69FC44" w14:textId="77777777" w:rsidR="00E878B1" w:rsidRPr="00E878B1" w:rsidRDefault="00E878B1" w:rsidP="00E878B1">
      <w:pPr>
        <w:pStyle w:val="ListParagraph"/>
        <w:widowControl w:val="0"/>
        <w:tabs>
          <w:tab w:val="left" w:pos="1195"/>
        </w:tabs>
        <w:autoSpaceDE w:val="0"/>
        <w:autoSpaceDN w:val="0"/>
        <w:spacing w:before="133" w:after="0" w:line="268" w:lineRule="auto"/>
        <w:ind w:left="1196" w:right="636"/>
        <w:jc w:val="both"/>
        <w:rPr>
          <w:rFonts w:ascii="Artifex CF" w:eastAsiaTheme="minorEastAsia" w:hAnsi="Artifex CF" w:cs="Arial"/>
        </w:rPr>
      </w:pPr>
      <w:r w:rsidRPr="00E878B1">
        <w:rPr>
          <w:rFonts w:ascii="Artifex CF" w:eastAsiaTheme="minorEastAsia" w:hAnsi="Artifex CF" w:cs="Arial"/>
        </w:rPr>
        <w:t>-Participar en actos o espectáculos, o concurrir a lugares, o reunirse con personas, que puedan afectar la credibilidad y el respeto propio de la función judicial y administrativa.</w:t>
      </w:r>
    </w:p>
    <w:p w14:paraId="4C57BB65" w14:textId="7D2DB6D0" w:rsidR="004670C3" w:rsidRDefault="00E878B1" w:rsidP="0036778D">
      <w:pPr>
        <w:widowControl w:val="0"/>
        <w:tabs>
          <w:tab w:val="left" w:pos="1195"/>
        </w:tabs>
        <w:autoSpaceDE w:val="0"/>
        <w:autoSpaceDN w:val="0"/>
        <w:spacing w:before="133" w:after="0" w:line="268" w:lineRule="auto"/>
        <w:ind w:left="1195" w:right="636"/>
        <w:jc w:val="both"/>
        <w:rPr>
          <w:rFonts w:ascii="Artifex CF" w:hAnsi="Artifex CF" w:cs="Arial"/>
        </w:rPr>
      </w:pPr>
      <w:r w:rsidRPr="00E878B1">
        <w:rPr>
          <w:rFonts w:ascii="Artifex CF" w:hAnsi="Artifex CF" w:cs="Arial"/>
        </w:rPr>
        <w:t xml:space="preserve">A eso se le agrega que entre los principios que se encuentran enmarcados en este código están la independencia, la imparcialidad administrativa y judicial. En ese sentido, se busca proteger a los jueces de correr riesgo de ser sobornados y que la independencia judicial se pueda mantener como hasta ahora lo he hecho. </w:t>
      </w:r>
    </w:p>
    <w:p w14:paraId="0BAC0850" w14:textId="73097198" w:rsidR="00E878B1" w:rsidRPr="004670C3" w:rsidRDefault="00B3261E" w:rsidP="00E878B1">
      <w:pPr>
        <w:widowControl w:val="0"/>
        <w:tabs>
          <w:tab w:val="left" w:pos="1195"/>
        </w:tabs>
        <w:autoSpaceDE w:val="0"/>
        <w:autoSpaceDN w:val="0"/>
        <w:spacing w:before="133" w:after="0" w:line="268" w:lineRule="auto"/>
        <w:ind w:right="636"/>
        <w:jc w:val="both"/>
        <w:rPr>
          <w:rFonts w:ascii="Artifex CF" w:hAnsi="Artifex CF" w:cs="Arial"/>
          <w:b/>
          <w:bCs/>
        </w:rPr>
      </w:pPr>
      <w:r w:rsidRPr="004670C3">
        <w:rPr>
          <w:rFonts w:ascii="Artifex CF" w:hAnsi="Artifex CF" w:cs="Arial"/>
          <w:b/>
          <w:bCs/>
        </w:rPr>
        <w:t xml:space="preserve">6. </w:t>
      </w:r>
      <w:r w:rsidR="00E878B1" w:rsidRPr="004670C3">
        <w:rPr>
          <w:rFonts w:ascii="Artifex CF" w:hAnsi="Artifex CF" w:cs="Arial"/>
          <w:b/>
          <w:bCs/>
        </w:rPr>
        <w:t>¿Están representadas las personas de comunidades desfavorecidas o marginadas en todos los niveles de la judicatura? En caso negativo, ¿se enfrentan estas comunidades a obstáculos para su nombramiento o promoción, por ejemplo, la falta de acceso a determinadas universidades, redes sociales u oportunidades profesionales? ¿Existen pruebas o investigaciones de que el estatus socioeconómico de los jueces y su formación profesional o educativa influyen en la percepción pública del poder judicial como una institución inclusiva, independiente, imparcial y justa?</w:t>
      </w:r>
    </w:p>
    <w:p w14:paraId="61C79743" w14:textId="00765833" w:rsidR="00E878B1" w:rsidRPr="004670C3" w:rsidRDefault="00E878B1" w:rsidP="004670C3">
      <w:pPr>
        <w:jc w:val="both"/>
        <w:rPr>
          <w:rFonts w:ascii="Artifex CF" w:hAnsi="Artifex CF" w:cs="Arial"/>
        </w:rPr>
      </w:pPr>
      <w:r w:rsidRPr="004670C3">
        <w:rPr>
          <w:rFonts w:ascii="Artifex CF" w:hAnsi="Artifex CF" w:cs="Arial"/>
        </w:rPr>
        <w:t xml:space="preserve">La legislación dominicana es clara con los requisitos para ser juez/jueza y ninguno de estos contempla la discriminación de ninguna comunidad desfavorecida. En el caso de la elección de jueces del Poder Judicial, estos son electos por concurso mediante la Escuela Nacional de la Judicatura. </w:t>
      </w:r>
    </w:p>
    <w:p w14:paraId="23DDD2EE" w14:textId="77777777" w:rsidR="00896E56" w:rsidRPr="004670C3" w:rsidRDefault="00896E56" w:rsidP="00896E56">
      <w:pPr>
        <w:spacing w:line="240" w:lineRule="auto"/>
        <w:jc w:val="both"/>
        <w:rPr>
          <w:rFonts w:ascii="Artifex CF" w:hAnsi="Artifex CF" w:cs="Arial"/>
          <w:b/>
          <w:bCs/>
        </w:rPr>
      </w:pPr>
      <w:r w:rsidRPr="004670C3">
        <w:rPr>
          <w:rFonts w:ascii="Artifex CF" w:hAnsi="Artifex CF" w:cs="Arial"/>
          <w:b/>
          <w:bCs/>
        </w:rPr>
        <w:t>7. ¿Qué medidas recomienda para salvaguardar a los jueces de la captura económica, o de la percepción de captura económica? ¿Son adecuadas para la tarea las declaraciones de información financiera, patrimonial y empresarial? ¿Cuál es el papel de los códigos éticos y las normas relativas a la recusación y el conflicto de intereses en la prevención de esta forma de captura?</w:t>
      </w:r>
    </w:p>
    <w:p w14:paraId="0FF1BFB1" w14:textId="2DC1D788" w:rsidR="00896E56" w:rsidRPr="00FD231C" w:rsidRDefault="00896E56" w:rsidP="00896E56">
      <w:pPr>
        <w:spacing w:line="240" w:lineRule="auto"/>
        <w:jc w:val="both"/>
        <w:rPr>
          <w:rFonts w:ascii="Artifex CF" w:hAnsi="Artifex CF" w:cs="Arial"/>
        </w:rPr>
      </w:pPr>
      <w:r w:rsidRPr="00FD231C">
        <w:rPr>
          <w:rFonts w:ascii="Artifex CF" w:hAnsi="Artifex CF" w:cs="Arial"/>
        </w:rPr>
        <w:t xml:space="preserve">Las medidas a </w:t>
      </w:r>
      <w:r w:rsidR="00517A53" w:rsidRPr="00FD231C">
        <w:rPr>
          <w:rFonts w:ascii="Artifex CF" w:hAnsi="Artifex CF" w:cs="Arial"/>
        </w:rPr>
        <w:t>realizar</w:t>
      </w:r>
      <w:r w:rsidRPr="00FD231C">
        <w:rPr>
          <w:rFonts w:ascii="Artifex CF" w:hAnsi="Artifex CF" w:cs="Arial"/>
        </w:rPr>
        <w:t xml:space="preserve"> deben enfocarse en mejorar las condiciones salariales y de beneficios destinados a las funciones de jueces y fiscales, brindarles estabilidad y seguridad económica </w:t>
      </w:r>
      <w:r w:rsidR="004670C3" w:rsidRPr="00FD231C">
        <w:rPr>
          <w:rFonts w:ascii="Artifex CF" w:hAnsi="Artifex CF" w:cs="Arial"/>
        </w:rPr>
        <w:t>y laboral</w:t>
      </w:r>
      <w:r w:rsidRPr="00FD231C">
        <w:rPr>
          <w:rFonts w:ascii="Artifex CF" w:hAnsi="Artifex CF" w:cs="Arial"/>
        </w:rPr>
        <w:t xml:space="preserve">, a través de salarios competitivos, así como también enfocarse en la implementación </w:t>
      </w:r>
      <w:r w:rsidR="00517A53" w:rsidRPr="00FD231C">
        <w:rPr>
          <w:rFonts w:ascii="Artifex CF" w:hAnsi="Artifex CF" w:cs="Arial"/>
        </w:rPr>
        <w:t>de políticas</w:t>
      </w:r>
      <w:r w:rsidRPr="00FD231C">
        <w:rPr>
          <w:rFonts w:ascii="Artifex CF" w:hAnsi="Artifex CF" w:cs="Arial"/>
        </w:rPr>
        <w:t xml:space="preserve"> de bienestar institucional. Establecer sistemas de selección y ascensos basados en méritos, garantizando la inamovilidad de los funcionarios, transparencia y mejora presupuestaria de la justicia, fomentar políticas de revisión y reajustes salariales de manera continua, fomentar la concientización hacia la ciudadanía responsable y ética.</w:t>
      </w:r>
    </w:p>
    <w:p w14:paraId="4853AADD" w14:textId="77777777" w:rsidR="00896E56" w:rsidRPr="00FD231C" w:rsidRDefault="00896E56" w:rsidP="00896E56">
      <w:pPr>
        <w:spacing w:line="240" w:lineRule="auto"/>
        <w:jc w:val="both"/>
        <w:rPr>
          <w:rFonts w:ascii="Artifex CF" w:hAnsi="Artifex CF" w:cs="Arial"/>
        </w:rPr>
      </w:pPr>
      <w:r w:rsidRPr="00FD231C">
        <w:rPr>
          <w:rFonts w:ascii="Artifex CF" w:hAnsi="Artifex CF" w:cs="Arial"/>
        </w:rPr>
        <w:lastRenderedPageBreak/>
        <w:t>En lo concerniente a las declaraciones de información financiera, patrimonial y empresarial, son un medio de control, pero únicamente se vinculan al funcionario público, se deben también asumir procesos de supervisión del patrimonio de empresas y núcleos económicos.</w:t>
      </w:r>
    </w:p>
    <w:p w14:paraId="09ADD36D" w14:textId="5DCB5201" w:rsidR="004670C3" w:rsidRPr="00FD231C" w:rsidRDefault="00896E56" w:rsidP="00896E56">
      <w:pPr>
        <w:spacing w:line="240" w:lineRule="auto"/>
        <w:jc w:val="both"/>
        <w:rPr>
          <w:rFonts w:ascii="Artifex CF" w:hAnsi="Artifex CF" w:cs="Arial"/>
        </w:rPr>
      </w:pPr>
      <w:r w:rsidRPr="00FD231C">
        <w:rPr>
          <w:rFonts w:ascii="Artifex CF" w:hAnsi="Artifex CF" w:cs="Arial"/>
        </w:rPr>
        <w:t>En cuanto a los códigos éticos, estos proporcionan un conjunto claro de principios y estándares de conducta para los funcionarios públicos y empleados, forman la base ética de la institución para la realización de las funciones con un comportamiento aceptable y lo que no, ayudando a crear una cultura organizacional basada en la ética y la integridad, fomentando en los funcionarios judiciales por un lado las expectativas éticas de la organización, así como la importancia de actuar con integridad, aumentando la conciencia sobre las prácticas corruptas y las consecuencias de involucrarse en ellas</w:t>
      </w:r>
    </w:p>
    <w:p w14:paraId="0A5AA99C" w14:textId="77777777" w:rsidR="00896E56" w:rsidRPr="004670C3" w:rsidRDefault="00896E56" w:rsidP="00896E56">
      <w:pPr>
        <w:spacing w:line="240" w:lineRule="auto"/>
        <w:jc w:val="both"/>
        <w:rPr>
          <w:rFonts w:ascii="Artifex CF" w:hAnsi="Artifex CF" w:cs="Arial"/>
          <w:b/>
          <w:bCs/>
        </w:rPr>
      </w:pPr>
      <w:r w:rsidRPr="004670C3">
        <w:rPr>
          <w:rFonts w:ascii="Artifex CF" w:hAnsi="Artifex CF" w:cs="Arial"/>
          <w:b/>
          <w:bCs/>
        </w:rPr>
        <w:t>8. ¿Conoce el uso de SLAPPs por parte de actores privados para reprimir la defensa de asuntos de interés público? ¿Qué medidas pueden tomarse para disuadir las SLAPPS o limitar su impacto perjudicial? ¿Están los intereses económicos distorsionando los sistemas judiciales de otras maneras, como por ejemplo a través de la financiación de litigios?</w:t>
      </w:r>
    </w:p>
    <w:p w14:paraId="15FF24B8" w14:textId="158BDB9A" w:rsidR="00896E56" w:rsidRPr="00FD231C" w:rsidRDefault="00896E56" w:rsidP="00896E56">
      <w:pPr>
        <w:spacing w:line="240" w:lineRule="auto"/>
        <w:jc w:val="both"/>
        <w:rPr>
          <w:rFonts w:ascii="Artifex CF" w:hAnsi="Artifex CF" w:cs="Arial"/>
        </w:rPr>
      </w:pPr>
      <w:r w:rsidRPr="00FD231C">
        <w:rPr>
          <w:rFonts w:ascii="Artifex CF" w:hAnsi="Artifex CF" w:cs="Arial"/>
        </w:rPr>
        <w:t>No tenemos información al respecto.</w:t>
      </w:r>
    </w:p>
    <w:p w14:paraId="78307058" w14:textId="77777777" w:rsidR="00896E56" w:rsidRPr="004670C3" w:rsidRDefault="00896E56" w:rsidP="00896E56">
      <w:pPr>
        <w:spacing w:line="240" w:lineRule="auto"/>
        <w:jc w:val="both"/>
        <w:rPr>
          <w:rFonts w:ascii="Artifex CF" w:hAnsi="Artifex CF" w:cs="Arial"/>
          <w:b/>
          <w:bCs/>
        </w:rPr>
      </w:pPr>
      <w:r w:rsidRPr="004670C3">
        <w:rPr>
          <w:rFonts w:ascii="Artifex CF" w:hAnsi="Artifex CF" w:cs="Arial"/>
          <w:b/>
          <w:bCs/>
        </w:rPr>
        <w:t>9. ¿Conoce ejemplos de actores empresariales transnacionales y sus asesores jurídicos que hayan impulsado la creación de nuevos procesos de resolución de conflictos o marcos de acceso a reparación que socaven la protección de los derechos humanos? Por ejemplo, la creación de mecanismos de reclamación para megaproyectos que desvían las demandas de los tribunales nacionales a procesos de recurso privatizados.</w:t>
      </w:r>
    </w:p>
    <w:p w14:paraId="08859D1E" w14:textId="1CA85EFC" w:rsidR="00896E56" w:rsidRPr="00FD231C" w:rsidRDefault="00896E56" w:rsidP="00896E56">
      <w:pPr>
        <w:spacing w:line="240" w:lineRule="auto"/>
        <w:jc w:val="both"/>
        <w:rPr>
          <w:rFonts w:ascii="Artifex CF" w:hAnsi="Artifex CF" w:cs="Arial"/>
        </w:rPr>
      </w:pPr>
      <w:r w:rsidRPr="00FD231C">
        <w:rPr>
          <w:rFonts w:ascii="Artifex CF" w:hAnsi="Artifex CF" w:cs="Arial"/>
        </w:rPr>
        <w:t>No tenemos información al respecto.</w:t>
      </w:r>
    </w:p>
    <w:p w14:paraId="08E92AE5" w14:textId="77777777" w:rsidR="00896E56" w:rsidRPr="00FD231C" w:rsidRDefault="00896E56" w:rsidP="00896E56">
      <w:pPr>
        <w:spacing w:line="240" w:lineRule="auto"/>
        <w:jc w:val="both"/>
        <w:rPr>
          <w:rFonts w:ascii="Artifex CF" w:hAnsi="Artifex CF" w:cs="Arial"/>
        </w:rPr>
      </w:pPr>
      <w:r w:rsidRPr="004670C3">
        <w:rPr>
          <w:rFonts w:ascii="Artifex CF" w:hAnsi="Artifex CF" w:cs="Arial"/>
          <w:b/>
          <w:bCs/>
        </w:rPr>
        <w:t>10. ¿Existen investigaciones o pruebas que demuestren que los agentes económicos promueven y controlan los sistemas de arbitraje, negando a las personas y a los Estados el acceso a tribunales independientes para determinar sus</w:t>
      </w:r>
      <w:r w:rsidRPr="00FD231C">
        <w:rPr>
          <w:rFonts w:ascii="Artifex CF" w:hAnsi="Artifex CF" w:cs="Arial"/>
        </w:rPr>
        <w:t xml:space="preserve"> derechos y obligaciones?</w:t>
      </w:r>
    </w:p>
    <w:p w14:paraId="1C6735BA" w14:textId="6F654F84" w:rsidR="00940D03" w:rsidRPr="00FD231C" w:rsidRDefault="00896E56" w:rsidP="00896E56">
      <w:pPr>
        <w:spacing w:line="240" w:lineRule="auto"/>
        <w:jc w:val="both"/>
        <w:rPr>
          <w:rFonts w:ascii="Artifex CF" w:hAnsi="Artifex CF" w:cs="Arial"/>
        </w:rPr>
      </w:pPr>
      <w:r w:rsidRPr="00FD231C">
        <w:rPr>
          <w:rFonts w:ascii="Artifex CF" w:hAnsi="Artifex CF" w:cs="Arial"/>
        </w:rPr>
        <w:t>No tenemos información al respecto.</w:t>
      </w:r>
    </w:p>
    <w:p w14:paraId="53A977F1" w14:textId="77777777" w:rsidR="00896E56" w:rsidRPr="004670C3" w:rsidRDefault="00896E56" w:rsidP="00896E56">
      <w:pPr>
        <w:spacing w:line="240" w:lineRule="auto"/>
        <w:jc w:val="both"/>
        <w:rPr>
          <w:rFonts w:ascii="Artifex CF" w:hAnsi="Artifex CF" w:cs="Arial"/>
          <w:b/>
          <w:bCs/>
        </w:rPr>
      </w:pPr>
      <w:r w:rsidRPr="004670C3">
        <w:rPr>
          <w:rFonts w:ascii="Artifex CF" w:hAnsi="Artifex CF" w:cs="Arial"/>
          <w:b/>
          <w:bCs/>
        </w:rPr>
        <w:t>11. ¿Hay alguna cuestión adicional que desee plantear a la Relatora Especial en este contexto?</w:t>
      </w:r>
    </w:p>
    <w:p w14:paraId="276B32D7" w14:textId="753B768C" w:rsidR="00896E56" w:rsidRPr="00FD231C" w:rsidRDefault="00896E56" w:rsidP="00896E56">
      <w:pPr>
        <w:spacing w:line="240" w:lineRule="auto"/>
        <w:jc w:val="both"/>
        <w:rPr>
          <w:rFonts w:ascii="Artifex CF" w:hAnsi="Artifex CF" w:cs="Arial"/>
        </w:rPr>
      </w:pPr>
      <w:r w:rsidRPr="00FD231C">
        <w:rPr>
          <w:rFonts w:ascii="Artifex CF" w:hAnsi="Artifex CF" w:cs="Arial"/>
        </w:rPr>
        <w:t xml:space="preserve">La principal consideración que podemos aportar es </w:t>
      </w:r>
      <w:r w:rsidR="00940D03" w:rsidRPr="00FD231C">
        <w:rPr>
          <w:rFonts w:ascii="Artifex CF" w:hAnsi="Artifex CF" w:cs="Arial"/>
        </w:rPr>
        <w:t>que,</w:t>
      </w:r>
      <w:r w:rsidRPr="00FD231C">
        <w:rPr>
          <w:rFonts w:ascii="Artifex CF" w:hAnsi="Artifex CF" w:cs="Arial"/>
        </w:rPr>
        <w:t xml:space="preserve"> al momento de verificarse la situación de los funcionarios judiciales, se incluyan de manera formal los miembros del Ministerio Público, como bien se ha hecho referencia en otros documentos vinculados al tema.</w:t>
      </w:r>
    </w:p>
    <w:p w14:paraId="4C63B535" w14:textId="77777777" w:rsidR="00E878B1" w:rsidRDefault="00E878B1" w:rsidP="00423C62">
      <w:pPr>
        <w:jc w:val="both"/>
        <w:rPr>
          <w:rFonts w:ascii="Artifex CF" w:hAnsi="Artifex CF" w:cs="Arial"/>
        </w:rPr>
      </w:pPr>
    </w:p>
    <w:p w14:paraId="4E7A7FA9" w14:textId="540E5335" w:rsidR="00683D47" w:rsidRPr="00E878B1" w:rsidRDefault="00683D47" w:rsidP="00683D47">
      <w:pPr>
        <w:jc w:val="both"/>
        <w:rPr>
          <w:rFonts w:ascii="Artifex CF" w:hAnsi="Artifex CF" w:cs="Arial"/>
        </w:rPr>
      </w:pPr>
    </w:p>
    <w:p w14:paraId="78E0A93E" w14:textId="69B564DD" w:rsidR="00E32CA5" w:rsidRPr="00E878B1" w:rsidRDefault="00E32CA5" w:rsidP="00434C22">
      <w:pPr>
        <w:spacing w:line="276" w:lineRule="auto"/>
        <w:jc w:val="both"/>
        <w:rPr>
          <w:rFonts w:ascii="Artifex CF" w:hAnsi="Artifex CF" w:cs="Arial"/>
        </w:rPr>
      </w:pPr>
    </w:p>
    <w:sectPr w:rsidR="00E32CA5" w:rsidRPr="00E878B1" w:rsidSect="006857ED">
      <w:headerReference w:type="default" r:id="rId8"/>
      <w:footerReference w:type="default" r:id="rId9"/>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C078" w14:textId="77777777" w:rsidR="009B42F2" w:rsidRDefault="009B42F2" w:rsidP="009B4748">
      <w:pPr>
        <w:spacing w:after="0" w:line="240" w:lineRule="auto"/>
      </w:pPr>
      <w:r>
        <w:separator/>
      </w:r>
    </w:p>
  </w:endnote>
  <w:endnote w:type="continuationSeparator" w:id="0">
    <w:p w14:paraId="4EB61FEA" w14:textId="77777777" w:rsidR="009B42F2" w:rsidRDefault="009B42F2" w:rsidP="009B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tifex CF">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14506"/>
      <w:docPartObj>
        <w:docPartGallery w:val="Page Numbers (Bottom of Page)"/>
        <w:docPartUnique/>
      </w:docPartObj>
    </w:sdtPr>
    <w:sdtEndPr/>
    <w:sdtContent>
      <w:p w14:paraId="59FF5D6C" w14:textId="48F7347B" w:rsidR="002B28CA" w:rsidRDefault="002B28CA">
        <w:pPr>
          <w:pStyle w:val="Footer"/>
        </w:pPr>
        <w:r>
          <w:fldChar w:fldCharType="begin"/>
        </w:r>
        <w:r>
          <w:instrText>PAGE   \* MERGEFORMAT</w:instrText>
        </w:r>
        <w:r>
          <w:fldChar w:fldCharType="separate"/>
        </w:r>
        <w:r>
          <w:rPr>
            <w:lang w:val="es-ES"/>
          </w:rPr>
          <w:t>2</w:t>
        </w:r>
        <w:r>
          <w:fldChar w:fldCharType="end"/>
        </w:r>
      </w:p>
    </w:sdtContent>
  </w:sdt>
  <w:p w14:paraId="23CB5A03" w14:textId="114332C5" w:rsidR="00C84059" w:rsidRDefault="00C8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6BF4" w14:textId="77777777" w:rsidR="009B42F2" w:rsidRDefault="009B42F2" w:rsidP="009B4748">
      <w:pPr>
        <w:spacing w:after="0" w:line="240" w:lineRule="auto"/>
      </w:pPr>
      <w:r>
        <w:separator/>
      </w:r>
    </w:p>
  </w:footnote>
  <w:footnote w:type="continuationSeparator" w:id="0">
    <w:p w14:paraId="3E6A3BB7" w14:textId="77777777" w:rsidR="009B42F2" w:rsidRDefault="009B42F2" w:rsidP="009B4748">
      <w:pPr>
        <w:spacing w:after="0" w:line="240" w:lineRule="auto"/>
      </w:pPr>
      <w:r>
        <w:continuationSeparator/>
      </w:r>
    </w:p>
  </w:footnote>
  <w:footnote w:id="1">
    <w:p w14:paraId="3B616485" w14:textId="31BB3FF7" w:rsidR="003D155F" w:rsidRDefault="003D155F" w:rsidP="003D155F">
      <w:pPr>
        <w:pStyle w:val="FootnoteText"/>
      </w:pPr>
      <w:r>
        <w:rPr>
          <w:rStyle w:val="FootnoteReference"/>
        </w:rPr>
        <w:footnoteRef/>
      </w:r>
      <w:r>
        <w:t xml:space="preserve"> </w:t>
      </w:r>
      <w:hyperlink r:id="rId1" w:history="1">
        <w:r w:rsidR="009162DE" w:rsidRPr="00D6099A">
          <w:rPr>
            <w:rStyle w:val="Hyperlink"/>
          </w:rPr>
          <w:t>https://poderjudicial.gob.do/wp-content/uploads/2021/06/LEY_194_04.pdf</w:t>
        </w:r>
      </w:hyperlink>
      <w:r w:rsidR="009162DE">
        <w:t xml:space="preserve"> </w:t>
      </w:r>
    </w:p>
  </w:footnote>
  <w:footnote w:id="2">
    <w:p w14:paraId="77EB25B3" w14:textId="08F4322C" w:rsidR="003D155F" w:rsidRDefault="003D155F" w:rsidP="003D155F">
      <w:pPr>
        <w:pStyle w:val="FootnoteText"/>
      </w:pPr>
      <w:r>
        <w:rPr>
          <w:rStyle w:val="FootnoteReference"/>
        </w:rPr>
        <w:footnoteRef/>
      </w:r>
      <w:r>
        <w:t xml:space="preserve"> </w:t>
      </w:r>
      <w:hyperlink r:id="rId2" w:history="1">
        <w:r w:rsidR="009162DE" w:rsidRPr="00D6099A">
          <w:rPr>
            <w:rStyle w:val="Hyperlink"/>
          </w:rPr>
          <w:t>https://transparencia.pgr.gob.do/Inicio/Pdf?documentoId=30391</w:t>
        </w:r>
      </w:hyperlink>
      <w:r w:rsidR="009162D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15F0" w14:textId="4056FAEC" w:rsidR="009B4748" w:rsidRDefault="008C4A1C" w:rsidP="008C4A1C">
    <w:pPr>
      <w:pStyle w:val="Header"/>
      <w:tabs>
        <w:tab w:val="clear" w:pos="4680"/>
        <w:tab w:val="clear" w:pos="9360"/>
        <w:tab w:val="left" w:pos="1200"/>
      </w:tabs>
    </w:pPr>
    <w:r>
      <w:rPr>
        <w:noProof/>
        <w:lang w:eastAsia="es-DO"/>
      </w:rPr>
      <w:drawing>
        <wp:anchor distT="0" distB="0" distL="114300" distR="114300" simplePos="0" relativeHeight="251657216" behindDoc="1" locked="0" layoutInCell="1" allowOverlap="1" wp14:anchorId="63E4F63D" wp14:editId="143D756F">
          <wp:simplePos x="0" y="0"/>
          <wp:positionH relativeFrom="column">
            <wp:posOffset>-943276</wp:posOffset>
          </wp:positionH>
          <wp:positionV relativeFrom="paragraph">
            <wp:posOffset>-563078</wp:posOffset>
          </wp:positionV>
          <wp:extent cx="7895978" cy="175466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95978" cy="175466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D90"/>
    <w:multiLevelType w:val="hybridMultilevel"/>
    <w:tmpl w:val="15D621F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C8A452B"/>
    <w:multiLevelType w:val="hybridMultilevel"/>
    <w:tmpl w:val="9996A8C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F5024CB"/>
    <w:multiLevelType w:val="hybridMultilevel"/>
    <w:tmpl w:val="DD9E8536"/>
    <w:lvl w:ilvl="0" w:tplc="B71055C6">
      <w:start w:val="1"/>
      <w:numFmt w:val="decimal"/>
      <w:lvlText w:val="%1."/>
      <w:lvlJc w:val="left"/>
      <w:pPr>
        <w:ind w:left="720" w:hanging="360"/>
      </w:pPr>
      <w:rPr>
        <w:rFonts w:ascii="Times New Roman" w:eastAsia="Times New Roman" w:hAnsi="Times New Roman" w:cs="Times New Roman"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1A057C0"/>
    <w:multiLevelType w:val="hybridMultilevel"/>
    <w:tmpl w:val="F2729A8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8537D3"/>
    <w:multiLevelType w:val="hybridMultilevel"/>
    <w:tmpl w:val="228E26F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17B534CA"/>
    <w:multiLevelType w:val="hybridMultilevel"/>
    <w:tmpl w:val="D25A658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9E357E9"/>
    <w:multiLevelType w:val="hybridMultilevel"/>
    <w:tmpl w:val="ABF454F0"/>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FF24A1D"/>
    <w:multiLevelType w:val="hybridMultilevel"/>
    <w:tmpl w:val="12EAEAF8"/>
    <w:lvl w:ilvl="0" w:tplc="3A866E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894EA7"/>
    <w:multiLevelType w:val="hybridMultilevel"/>
    <w:tmpl w:val="9AE4B9BC"/>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3AD4DF9"/>
    <w:multiLevelType w:val="hybridMultilevel"/>
    <w:tmpl w:val="2A78C49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2471350D"/>
    <w:multiLevelType w:val="hybridMultilevel"/>
    <w:tmpl w:val="D1ECD4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D547F6"/>
    <w:multiLevelType w:val="hybridMultilevel"/>
    <w:tmpl w:val="CADE6376"/>
    <w:lvl w:ilvl="0" w:tplc="1C0A000B">
      <w:start w:val="1"/>
      <w:numFmt w:val="bullet"/>
      <w:lvlText w:val=""/>
      <w:lvlJc w:val="left"/>
      <w:pPr>
        <w:ind w:left="740" w:hanging="360"/>
      </w:pPr>
      <w:rPr>
        <w:rFonts w:ascii="Wingdings" w:hAnsi="Wingdings" w:hint="default"/>
      </w:rPr>
    </w:lvl>
    <w:lvl w:ilvl="1" w:tplc="1C0A0003" w:tentative="1">
      <w:start w:val="1"/>
      <w:numFmt w:val="bullet"/>
      <w:lvlText w:val="o"/>
      <w:lvlJc w:val="left"/>
      <w:pPr>
        <w:ind w:left="1460" w:hanging="360"/>
      </w:pPr>
      <w:rPr>
        <w:rFonts w:ascii="Courier New" w:hAnsi="Courier New" w:cs="Courier New" w:hint="default"/>
      </w:rPr>
    </w:lvl>
    <w:lvl w:ilvl="2" w:tplc="1C0A0005" w:tentative="1">
      <w:start w:val="1"/>
      <w:numFmt w:val="bullet"/>
      <w:lvlText w:val=""/>
      <w:lvlJc w:val="left"/>
      <w:pPr>
        <w:ind w:left="2180" w:hanging="360"/>
      </w:pPr>
      <w:rPr>
        <w:rFonts w:ascii="Wingdings" w:hAnsi="Wingdings" w:hint="default"/>
      </w:rPr>
    </w:lvl>
    <w:lvl w:ilvl="3" w:tplc="1C0A0001" w:tentative="1">
      <w:start w:val="1"/>
      <w:numFmt w:val="bullet"/>
      <w:lvlText w:val=""/>
      <w:lvlJc w:val="left"/>
      <w:pPr>
        <w:ind w:left="2900" w:hanging="360"/>
      </w:pPr>
      <w:rPr>
        <w:rFonts w:ascii="Symbol" w:hAnsi="Symbol" w:hint="default"/>
      </w:rPr>
    </w:lvl>
    <w:lvl w:ilvl="4" w:tplc="1C0A0003" w:tentative="1">
      <w:start w:val="1"/>
      <w:numFmt w:val="bullet"/>
      <w:lvlText w:val="o"/>
      <w:lvlJc w:val="left"/>
      <w:pPr>
        <w:ind w:left="3620" w:hanging="360"/>
      </w:pPr>
      <w:rPr>
        <w:rFonts w:ascii="Courier New" w:hAnsi="Courier New" w:cs="Courier New" w:hint="default"/>
      </w:rPr>
    </w:lvl>
    <w:lvl w:ilvl="5" w:tplc="1C0A0005" w:tentative="1">
      <w:start w:val="1"/>
      <w:numFmt w:val="bullet"/>
      <w:lvlText w:val=""/>
      <w:lvlJc w:val="left"/>
      <w:pPr>
        <w:ind w:left="4340" w:hanging="360"/>
      </w:pPr>
      <w:rPr>
        <w:rFonts w:ascii="Wingdings" w:hAnsi="Wingdings" w:hint="default"/>
      </w:rPr>
    </w:lvl>
    <w:lvl w:ilvl="6" w:tplc="1C0A0001" w:tentative="1">
      <w:start w:val="1"/>
      <w:numFmt w:val="bullet"/>
      <w:lvlText w:val=""/>
      <w:lvlJc w:val="left"/>
      <w:pPr>
        <w:ind w:left="5060" w:hanging="360"/>
      </w:pPr>
      <w:rPr>
        <w:rFonts w:ascii="Symbol" w:hAnsi="Symbol" w:hint="default"/>
      </w:rPr>
    </w:lvl>
    <w:lvl w:ilvl="7" w:tplc="1C0A0003" w:tentative="1">
      <w:start w:val="1"/>
      <w:numFmt w:val="bullet"/>
      <w:lvlText w:val="o"/>
      <w:lvlJc w:val="left"/>
      <w:pPr>
        <w:ind w:left="5780" w:hanging="360"/>
      </w:pPr>
      <w:rPr>
        <w:rFonts w:ascii="Courier New" w:hAnsi="Courier New" w:cs="Courier New" w:hint="default"/>
      </w:rPr>
    </w:lvl>
    <w:lvl w:ilvl="8" w:tplc="1C0A0005" w:tentative="1">
      <w:start w:val="1"/>
      <w:numFmt w:val="bullet"/>
      <w:lvlText w:val=""/>
      <w:lvlJc w:val="left"/>
      <w:pPr>
        <w:ind w:left="6500" w:hanging="360"/>
      </w:pPr>
      <w:rPr>
        <w:rFonts w:ascii="Wingdings" w:hAnsi="Wingdings" w:hint="default"/>
      </w:rPr>
    </w:lvl>
  </w:abstractNum>
  <w:abstractNum w:abstractNumId="12" w15:restartNumberingAfterBreak="0">
    <w:nsid w:val="2D986233"/>
    <w:multiLevelType w:val="hybridMultilevel"/>
    <w:tmpl w:val="F6BC12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F8123ED"/>
    <w:multiLevelType w:val="hybridMultilevel"/>
    <w:tmpl w:val="FF2E131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0C07D0C"/>
    <w:multiLevelType w:val="hybridMultilevel"/>
    <w:tmpl w:val="85CEC8F8"/>
    <w:lvl w:ilvl="0" w:tplc="2B7EC6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1816996"/>
    <w:multiLevelType w:val="hybridMultilevel"/>
    <w:tmpl w:val="C922C5BA"/>
    <w:lvl w:ilvl="0" w:tplc="AF56205A">
      <w:start w:val="1"/>
      <w:numFmt w:val="decimal"/>
      <w:lvlText w:val="%1."/>
      <w:lvlJc w:val="left"/>
      <w:pPr>
        <w:ind w:left="1196" w:hanging="299"/>
      </w:pPr>
      <w:rPr>
        <w:rFonts w:ascii="Times New Roman" w:eastAsia="Times New Roman" w:hAnsi="Times New Roman" w:cs="Times New Roman" w:hint="default"/>
        <w:w w:val="91"/>
        <w:sz w:val="21"/>
        <w:szCs w:val="21"/>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E31912"/>
    <w:multiLevelType w:val="hybridMultilevel"/>
    <w:tmpl w:val="298AE236"/>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29410A8"/>
    <w:multiLevelType w:val="hybridMultilevel"/>
    <w:tmpl w:val="356E3B68"/>
    <w:lvl w:ilvl="0" w:tplc="A49A37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3E523E1"/>
    <w:multiLevelType w:val="hybridMultilevel"/>
    <w:tmpl w:val="27C61DCE"/>
    <w:lvl w:ilvl="0" w:tplc="C2F49C46">
      <w:start w:val="1"/>
      <w:numFmt w:val="decimal"/>
      <w:lvlText w:val="%1-"/>
      <w:lvlJc w:val="left"/>
      <w:pPr>
        <w:ind w:left="780" w:hanging="360"/>
      </w:pPr>
      <w:rPr>
        <w:rFonts w:ascii="Times New Roman" w:eastAsiaTheme="minorHAnsi" w:hAnsi="Times New Roman" w:cs="Times New Roman"/>
      </w:rPr>
    </w:lvl>
    <w:lvl w:ilvl="1" w:tplc="1C0A0003">
      <w:start w:val="1"/>
      <w:numFmt w:val="bullet"/>
      <w:lvlText w:val="o"/>
      <w:lvlJc w:val="left"/>
      <w:pPr>
        <w:ind w:left="1500" w:hanging="360"/>
      </w:pPr>
      <w:rPr>
        <w:rFonts w:ascii="Courier New" w:hAnsi="Courier New" w:cs="Courier New" w:hint="default"/>
      </w:rPr>
    </w:lvl>
    <w:lvl w:ilvl="2" w:tplc="1C0A0005">
      <w:start w:val="1"/>
      <w:numFmt w:val="bullet"/>
      <w:lvlText w:val=""/>
      <w:lvlJc w:val="left"/>
      <w:pPr>
        <w:ind w:left="2220" w:hanging="360"/>
      </w:pPr>
      <w:rPr>
        <w:rFonts w:ascii="Wingdings" w:hAnsi="Wingdings" w:hint="default"/>
      </w:rPr>
    </w:lvl>
    <w:lvl w:ilvl="3" w:tplc="1C0A0001">
      <w:start w:val="1"/>
      <w:numFmt w:val="bullet"/>
      <w:lvlText w:val=""/>
      <w:lvlJc w:val="left"/>
      <w:pPr>
        <w:ind w:left="2940" w:hanging="360"/>
      </w:pPr>
      <w:rPr>
        <w:rFonts w:ascii="Symbol" w:hAnsi="Symbol" w:hint="default"/>
      </w:rPr>
    </w:lvl>
    <w:lvl w:ilvl="4" w:tplc="1C0A0003">
      <w:start w:val="1"/>
      <w:numFmt w:val="bullet"/>
      <w:lvlText w:val="o"/>
      <w:lvlJc w:val="left"/>
      <w:pPr>
        <w:ind w:left="3660" w:hanging="360"/>
      </w:pPr>
      <w:rPr>
        <w:rFonts w:ascii="Courier New" w:hAnsi="Courier New" w:cs="Courier New" w:hint="default"/>
      </w:rPr>
    </w:lvl>
    <w:lvl w:ilvl="5" w:tplc="1C0A0005">
      <w:start w:val="1"/>
      <w:numFmt w:val="bullet"/>
      <w:lvlText w:val=""/>
      <w:lvlJc w:val="left"/>
      <w:pPr>
        <w:ind w:left="4380" w:hanging="360"/>
      </w:pPr>
      <w:rPr>
        <w:rFonts w:ascii="Wingdings" w:hAnsi="Wingdings" w:hint="default"/>
      </w:rPr>
    </w:lvl>
    <w:lvl w:ilvl="6" w:tplc="1C0A0001">
      <w:start w:val="1"/>
      <w:numFmt w:val="bullet"/>
      <w:lvlText w:val=""/>
      <w:lvlJc w:val="left"/>
      <w:pPr>
        <w:ind w:left="5100" w:hanging="360"/>
      </w:pPr>
      <w:rPr>
        <w:rFonts w:ascii="Symbol" w:hAnsi="Symbol" w:hint="default"/>
      </w:rPr>
    </w:lvl>
    <w:lvl w:ilvl="7" w:tplc="1C0A0003">
      <w:start w:val="1"/>
      <w:numFmt w:val="bullet"/>
      <w:lvlText w:val="o"/>
      <w:lvlJc w:val="left"/>
      <w:pPr>
        <w:ind w:left="5820" w:hanging="360"/>
      </w:pPr>
      <w:rPr>
        <w:rFonts w:ascii="Courier New" w:hAnsi="Courier New" w:cs="Courier New" w:hint="default"/>
      </w:rPr>
    </w:lvl>
    <w:lvl w:ilvl="8" w:tplc="1C0A0005">
      <w:start w:val="1"/>
      <w:numFmt w:val="bullet"/>
      <w:lvlText w:val=""/>
      <w:lvlJc w:val="left"/>
      <w:pPr>
        <w:ind w:left="6540" w:hanging="360"/>
      </w:pPr>
      <w:rPr>
        <w:rFonts w:ascii="Wingdings" w:hAnsi="Wingdings" w:hint="default"/>
      </w:rPr>
    </w:lvl>
  </w:abstractNum>
  <w:abstractNum w:abstractNumId="19" w15:restartNumberingAfterBreak="0">
    <w:nsid w:val="34B00BC5"/>
    <w:multiLevelType w:val="multilevel"/>
    <w:tmpl w:val="614866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8205FF"/>
    <w:multiLevelType w:val="hybridMultilevel"/>
    <w:tmpl w:val="7ECCE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D5497F"/>
    <w:multiLevelType w:val="hybridMultilevel"/>
    <w:tmpl w:val="9210D594"/>
    <w:lvl w:ilvl="0" w:tplc="3E6C10A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21730C1"/>
    <w:multiLevelType w:val="hybridMultilevel"/>
    <w:tmpl w:val="4D006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F9296B"/>
    <w:multiLevelType w:val="hybridMultilevel"/>
    <w:tmpl w:val="1FCC389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9B1264"/>
    <w:multiLevelType w:val="hybridMultilevel"/>
    <w:tmpl w:val="0D2A4E5A"/>
    <w:lvl w:ilvl="0" w:tplc="85BE43F8">
      <w:start w:val="1"/>
      <w:numFmt w:val="decimal"/>
      <w:lvlText w:val="%1."/>
      <w:lvlJc w:val="left"/>
      <w:pPr>
        <w:ind w:left="720" w:hanging="360"/>
      </w:pPr>
      <w:rPr>
        <w:rFonts w:ascii="Times New Roman" w:eastAsia="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0D752E"/>
    <w:multiLevelType w:val="hybridMultilevel"/>
    <w:tmpl w:val="57CA57D2"/>
    <w:lvl w:ilvl="0" w:tplc="1C0A000B">
      <w:start w:val="1"/>
      <w:numFmt w:val="bullet"/>
      <w:lvlText w:val=""/>
      <w:lvlJc w:val="left"/>
      <w:pPr>
        <w:ind w:left="740" w:hanging="360"/>
      </w:pPr>
      <w:rPr>
        <w:rFonts w:ascii="Wingdings" w:hAnsi="Wingdings" w:hint="default"/>
      </w:rPr>
    </w:lvl>
    <w:lvl w:ilvl="1" w:tplc="1C0A0003" w:tentative="1">
      <w:start w:val="1"/>
      <w:numFmt w:val="bullet"/>
      <w:lvlText w:val="o"/>
      <w:lvlJc w:val="left"/>
      <w:pPr>
        <w:ind w:left="1460" w:hanging="360"/>
      </w:pPr>
      <w:rPr>
        <w:rFonts w:ascii="Courier New" w:hAnsi="Courier New" w:cs="Courier New" w:hint="default"/>
      </w:rPr>
    </w:lvl>
    <w:lvl w:ilvl="2" w:tplc="1C0A0005" w:tentative="1">
      <w:start w:val="1"/>
      <w:numFmt w:val="bullet"/>
      <w:lvlText w:val=""/>
      <w:lvlJc w:val="left"/>
      <w:pPr>
        <w:ind w:left="2180" w:hanging="360"/>
      </w:pPr>
      <w:rPr>
        <w:rFonts w:ascii="Wingdings" w:hAnsi="Wingdings" w:hint="default"/>
      </w:rPr>
    </w:lvl>
    <w:lvl w:ilvl="3" w:tplc="1C0A0001" w:tentative="1">
      <w:start w:val="1"/>
      <w:numFmt w:val="bullet"/>
      <w:lvlText w:val=""/>
      <w:lvlJc w:val="left"/>
      <w:pPr>
        <w:ind w:left="2900" w:hanging="360"/>
      </w:pPr>
      <w:rPr>
        <w:rFonts w:ascii="Symbol" w:hAnsi="Symbol" w:hint="default"/>
      </w:rPr>
    </w:lvl>
    <w:lvl w:ilvl="4" w:tplc="1C0A0003" w:tentative="1">
      <w:start w:val="1"/>
      <w:numFmt w:val="bullet"/>
      <w:lvlText w:val="o"/>
      <w:lvlJc w:val="left"/>
      <w:pPr>
        <w:ind w:left="3620" w:hanging="360"/>
      </w:pPr>
      <w:rPr>
        <w:rFonts w:ascii="Courier New" w:hAnsi="Courier New" w:cs="Courier New" w:hint="default"/>
      </w:rPr>
    </w:lvl>
    <w:lvl w:ilvl="5" w:tplc="1C0A0005" w:tentative="1">
      <w:start w:val="1"/>
      <w:numFmt w:val="bullet"/>
      <w:lvlText w:val=""/>
      <w:lvlJc w:val="left"/>
      <w:pPr>
        <w:ind w:left="4340" w:hanging="360"/>
      </w:pPr>
      <w:rPr>
        <w:rFonts w:ascii="Wingdings" w:hAnsi="Wingdings" w:hint="default"/>
      </w:rPr>
    </w:lvl>
    <w:lvl w:ilvl="6" w:tplc="1C0A0001" w:tentative="1">
      <w:start w:val="1"/>
      <w:numFmt w:val="bullet"/>
      <w:lvlText w:val=""/>
      <w:lvlJc w:val="left"/>
      <w:pPr>
        <w:ind w:left="5060" w:hanging="360"/>
      </w:pPr>
      <w:rPr>
        <w:rFonts w:ascii="Symbol" w:hAnsi="Symbol" w:hint="default"/>
      </w:rPr>
    </w:lvl>
    <w:lvl w:ilvl="7" w:tplc="1C0A0003" w:tentative="1">
      <w:start w:val="1"/>
      <w:numFmt w:val="bullet"/>
      <w:lvlText w:val="o"/>
      <w:lvlJc w:val="left"/>
      <w:pPr>
        <w:ind w:left="5780" w:hanging="360"/>
      </w:pPr>
      <w:rPr>
        <w:rFonts w:ascii="Courier New" w:hAnsi="Courier New" w:cs="Courier New" w:hint="default"/>
      </w:rPr>
    </w:lvl>
    <w:lvl w:ilvl="8" w:tplc="1C0A0005" w:tentative="1">
      <w:start w:val="1"/>
      <w:numFmt w:val="bullet"/>
      <w:lvlText w:val=""/>
      <w:lvlJc w:val="left"/>
      <w:pPr>
        <w:ind w:left="6500" w:hanging="360"/>
      </w:pPr>
      <w:rPr>
        <w:rFonts w:ascii="Wingdings" w:hAnsi="Wingdings" w:hint="default"/>
      </w:rPr>
    </w:lvl>
  </w:abstractNum>
  <w:abstractNum w:abstractNumId="26" w15:restartNumberingAfterBreak="0">
    <w:nsid w:val="4B5B30AF"/>
    <w:multiLevelType w:val="hybridMultilevel"/>
    <w:tmpl w:val="9F4E19BC"/>
    <w:lvl w:ilvl="0" w:tplc="1C0A0001">
      <w:start w:val="1"/>
      <w:numFmt w:val="bullet"/>
      <w:lvlText w:val=""/>
      <w:lvlJc w:val="left"/>
      <w:pPr>
        <w:ind w:left="776" w:hanging="360"/>
      </w:pPr>
      <w:rPr>
        <w:rFonts w:ascii="Symbol" w:hAnsi="Symbol" w:hint="default"/>
      </w:rPr>
    </w:lvl>
    <w:lvl w:ilvl="1" w:tplc="1C0A0003" w:tentative="1">
      <w:start w:val="1"/>
      <w:numFmt w:val="bullet"/>
      <w:lvlText w:val="o"/>
      <w:lvlJc w:val="left"/>
      <w:pPr>
        <w:ind w:left="1496" w:hanging="360"/>
      </w:pPr>
      <w:rPr>
        <w:rFonts w:ascii="Courier New" w:hAnsi="Courier New" w:cs="Courier New" w:hint="default"/>
      </w:rPr>
    </w:lvl>
    <w:lvl w:ilvl="2" w:tplc="1C0A0005" w:tentative="1">
      <w:start w:val="1"/>
      <w:numFmt w:val="bullet"/>
      <w:lvlText w:val=""/>
      <w:lvlJc w:val="left"/>
      <w:pPr>
        <w:ind w:left="2216" w:hanging="360"/>
      </w:pPr>
      <w:rPr>
        <w:rFonts w:ascii="Wingdings" w:hAnsi="Wingdings" w:hint="default"/>
      </w:rPr>
    </w:lvl>
    <w:lvl w:ilvl="3" w:tplc="1C0A0001" w:tentative="1">
      <w:start w:val="1"/>
      <w:numFmt w:val="bullet"/>
      <w:lvlText w:val=""/>
      <w:lvlJc w:val="left"/>
      <w:pPr>
        <w:ind w:left="2936" w:hanging="360"/>
      </w:pPr>
      <w:rPr>
        <w:rFonts w:ascii="Symbol" w:hAnsi="Symbol" w:hint="default"/>
      </w:rPr>
    </w:lvl>
    <w:lvl w:ilvl="4" w:tplc="1C0A0003" w:tentative="1">
      <w:start w:val="1"/>
      <w:numFmt w:val="bullet"/>
      <w:lvlText w:val="o"/>
      <w:lvlJc w:val="left"/>
      <w:pPr>
        <w:ind w:left="3656" w:hanging="360"/>
      </w:pPr>
      <w:rPr>
        <w:rFonts w:ascii="Courier New" w:hAnsi="Courier New" w:cs="Courier New" w:hint="default"/>
      </w:rPr>
    </w:lvl>
    <w:lvl w:ilvl="5" w:tplc="1C0A0005" w:tentative="1">
      <w:start w:val="1"/>
      <w:numFmt w:val="bullet"/>
      <w:lvlText w:val=""/>
      <w:lvlJc w:val="left"/>
      <w:pPr>
        <w:ind w:left="4376" w:hanging="360"/>
      </w:pPr>
      <w:rPr>
        <w:rFonts w:ascii="Wingdings" w:hAnsi="Wingdings" w:hint="default"/>
      </w:rPr>
    </w:lvl>
    <w:lvl w:ilvl="6" w:tplc="1C0A0001" w:tentative="1">
      <w:start w:val="1"/>
      <w:numFmt w:val="bullet"/>
      <w:lvlText w:val=""/>
      <w:lvlJc w:val="left"/>
      <w:pPr>
        <w:ind w:left="5096" w:hanging="360"/>
      </w:pPr>
      <w:rPr>
        <w:rFonts w:ascii="Symbol" w:hAnsi="Symbol" w:hint="default"/>
      </w:rPr>
    </w:lvl>
    <w:lvl w:ilvl="7" w:tplc="1C0A0003" w:tentative="1">
      <w:start w:val="1"/>
      <w:numFmt w:val="bullet"/>
      <w:lvlText w:val="o"/>
      <w:lvlJc w:val="left"/>
      <w:pPr>
        <w:ind w:left="5816" w:hanging="360"/>
      </w:pPr>
      <w:rPr>
        <w:rFonts w:ascii="Courier New" w:hAnsi="Courier New" w:cs="Courier New" w:hint="default"/>
      </w:rPr>
    </w:lvl>
    <w:lvl w:ilvl="8" w:tplc="1C0A0005" w:tentative="1">
      <w:start w:val="1"/>
      <w:numFmt w:val="bullet"/>
      <w:lvlText w:val=""/>
      <w:lvlJc w:val="left"/>
      <w:pPr>
        <w:ind w:left="6536" w:hanging="360"/>
      </w:pPr>
      <w:rPr>
        <w:rFonts w:ascii="Wingdings" w:hAnsi="Wingdings" w:hint="default"/>
      </w:rPr>
    </w:lvl>
  </w:abstractNum>
  <w:abstractNum w:abstractNumId="27" w15:restartNumberingAfterBreak="0">
    <w:nsid w:val="4EDE51A2"/>
    <w:multiLevelType w:val="hybridMultilevel"/>
    <w:tmpl w:val="691CCE92"/>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50743446"/>
    <w:multiLevelType w:val="hybridMultilevel"/>
    <w:tmpl w:val="D3E204DA"/>
    <w:lvl w:ilvl="0" w:tplc="1B305DE0">
      <w:start w:val="1"/>
      <w:numFmt w:val="bullet"/>
      <w:lvlText w:val=""/>
      <w:lvlJc w:val="left"/>
      <w:pPr>
        <w:ind w:left="720" w:hanging="360"/>
      </w:pPr>
      <w:rPr>
        <w:rFonts w:ascii="Symbol" w:eastAsia="Times New Roman" w:hAnsi="Symbo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538B4C0B"/>
    <w:multiLevelType w:val="hybridMultilevel"/>
    <w:tmpl w:val="9AE4B9BC"/>
    <w:lvl w:ilvl="0" w:tplc="25CEAD1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55F73AC6"/>
    <w:multiLevelType w:val="hybridMultilevel"/>
    <w:tmpl w:val="D5248262"/>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64B4A62"/>
    <w:multiLevelType w:val="hybridMultilevel"/>
    <w:tmpl w:val="B5228C28"/>
    <w:lvl w:ilvl="0" w:tplc="0409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58B4475E"/>
    <w:multiLevelType w:val="hybridMultilevel"/>
    <w:tmpl w:val="426C8A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59FD07CB"/>
    <w:multiLevelType w:val="hybridMultilevel"/>
    <w:tmpl w:val="1458D4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5D1E0941"/>
    <w:multiLevelType w:val="multilevel"/>
    <w:tmpl w:val="56B6F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3AC01BD"/>
    <w:multiLevelType w:val="hybridMultilevel"/>
    <w:tmpl w:val="AE08EC88"/>
    <w:lvl w:ilvl="0" w:tplc="1C0A000B">
      <w:start w:val="1"/>
      <w:numFmt w:val="bullet"/>
      <w:lvlText w:val=""/>
      <w:lvlJc w:val="left"/>
      <w:pPr>
        <w:ind w:left="740" w:hanging="360"/>
      </w:pPr>
      <w:rPr>
        <w:rFonts w:ascii="Wingdings" w:hAnsi="Wingdings" w:hint="default"/>
      </w:rPr>
    </w:lvl>
    <w:lvl w:ilvl="1" w:tplc="1C0A0003" w:tentative="1">
      <w:start w:val="1"/>
      <w:numFmt w:val="bullet"/>
      <w:lvlText w:val="o"/>
      <w:lvlJc w:val="left"/>
      <w:pPr>
        <w:ind w:left="1460" w:hanging="360"/>
      </w:pPr>
      <w:rPr>
        <w:rFonts w:ascii="Courier New" w:hAnsi="Courier New" w:cs="Courier New" w:hint="default"/>
      </w:rPr>
    </w:lvl>
    <w:lvl w:ilvl="2" w:tplc="1C0A0005" w:tentative="1">
      <w:start w:val="1"/>
      <w:numFmt w:val="bullet"/>
      <w:lvlText w:val=""/>
      <w:lvlJc w:val="left"/>
      <w:pPr>
        <w:ind w:left="2180" w:hanging="360"/>
      </w:pPr>
      <w:rPr>
        <w:rFonts w:ascii="Wingdings" w:hAnsi="Wingdings" w:hint="default"/>
      </w:rPr>
    </w:lvl>
    <w:lvl w:ilvl="3" w:tplc="1C0A0001" w:tentative="1">
      <w:start w:val="1"/>
      <w:numFmt w:val="bullet"/>
      <w:lvlText w:val=""/>
      <w:lvlJc w:val="left"/>
      <w:pPr>
        <w:ind w:left="2900" w:hanging="360"/>
      </w:pPr>
      <w:rPr>
        <w:rFonts w:ascii="Symbol" w:hAnsi="Symbol" w:hint="default"/>
      </w:rPr>
    </w:lvl>
    <w:lvl w:ilvl="4" w:tplc="1C0A0003" w:tentative="1">
      <w:start w:val="1"/>
      <w:numFmt w:val="bullet"/>
      <w:lvlText w:val="o"/>
      <w:lvlJc w:val="left"/>
      <w:pPr>
        <w:ind w:left="3620" w:hanging="360"/>
      </w:pPr>
      <w:rPr>
        <w:rFonts w:ascii="Courier New" w:hAnsi="Courier New" w:cs="Courier New" w:hint="default"/>
      </w:rPr>
    </w:lvl>
    <w:lvl w:ilvl="5" w:tplc="1C0A0005" w:tentative="1">
      <w:start w:val="1"/>
      <w:numFmt w:val="bullet"/>
      <w:lvlText w:val=""/>
      <w:lvlJc w:val="left"/>
      <w:pPr>
        <w:ind w:left="4340" w:hanging="360"/>
      </w:pPr>
      <w:rPr>
        <w:rFonts w:ascii="Wingdings" w:hAnsi="Wingdings" w:hint="default"/>
      </w:rPr>
    </w:lvl>
    <w:lvl w:ilvl="6" w:tplc="1C0A0001" w:tentative="1">
      <w:start w:val="1"/>
      <w:numFmt w:val="bullet"/>
      <w:lvlText w:val=""/>
      <w:lvlJc w:val="left"/>
      <w:pPr>
        <w:ind w:left="5060" w:hanging="360"/>
      </w:pPr>
      <w:rPr>
        <w:rFonts w:ascii="Symbol" w:hAnsi="Symbol" w:hint="default"/>
      </w:rPr>
    </w:lvl>
    <w:lvl w:ilvl="7" w:tplc="1C0A0003" w:tentative="1">
      <w:start w:val="1"/>
      <w:numFmt w:val="bullet"/>
      <w:lvlText w:val="o"/>
      <w:lvlJc w:val="left"/>
      <w:pPr>
        <w:ind w:left="5780" w:hanging="360"/>
      </w:pPr>
      <w:rPr>
        <w:rFonts w:ascii="Courier New" w:hAnsi="Courier New" w:cs="Courier New" w:hint="default"/>
      </w:rPr>
    </w:lvl>
    <w:lvl w:ilvl="8" w:tplc="1C0A0005" w:tentative="1">
      <w:start w:val="1"/>
      <w:numFmt w:val="bullet"/>
      <w:lvlText w:val=""/>
      <w:lvlJc w:val="left"/>
      <w:pPr>
        <w:ind w:left="6500" w:hanging="360"/>
      </w:pPr>
      <w:rPr>
        <w:rFonts w:ascii="Wingdings" w:hAnsi="Wingdings" w:hint="default"/>
      </w:rPr>
    </w:lvl>
  </w:abstractNum>
  <w:abstractNum w:abstractNumId="36" w15:restartNumberingAfterBreak="0">
    <w:nsid w:val="6E174921"/>
    <w:multiLevelType w:val="hybridMultilevel"/>
    <w:tmpl w:val="8C7A91F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7" w15:restartNumberingAfterBreak="0">
    <w:nsid w:val="6F945E5D"/>
    <w:multiLevelType w:val="hybridMultilevel"/>
    <w:tmpl w:val="0E84488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40063CC"/>
    <w:multiLevelType w:val="hybridMultilevel"/>
    <w:tmpl w:val="9642CA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FC694A"/>
    <w:multiLevelType w:val="hybridMultilevel"/>
    <w:tmpl w:val="87543B3E"/>
    <w:lvl w:ilvl="0" w:tplc="1C0A000F">
      <w:start w:val="1"/>
      <w:numFmt w:val="decimal"/>
      <w:lvlText w:val="%1."/>
      <w:lvlJc w:val="left"/>
      <w:pPr>
        <w:ind w:left="360" w:hanging="360"/>
      </w:pPr>
    </w:lvl>
    <w:lvl w:ilvl="1" w:tplc="1C0A0019">
      <w:start w:val="1"/>
      <w:numFmt w:val="lowerLetter"/>
      <w:lvlText w:val="%2."/>
      <w:lvlJc w:val="left"/>
      <w:pPr>
        <w:ind w:left="1080" w:hanging="360"/>
      </w:pPr>
    </w:lvl>
    <w:lvl w:ilvl="2" w:tplc="2670055E">
      <w:start w:val="2"/>
      <w:numFmt w:val="upperLetter"/>
      <w:lvlText w:val="%3)"/>
      <w:lvlJc w:val="left"/>
      <w:pPr>
        <w:ind w:left="1980" w:hanging="360"/>
      </w:pPr>
      <w:rPr>
        <w:rFonts w:hint="default"/>
      </w:r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0" w15:restartNumberingAfterBreak="0">
    <w:nsid w:val="7F4F4120"/>
    <w:multiLevelType w:val="hybridMultilevel"/>
    <w:tmpl w:val="3630228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648514360">
    <w:abstractNumId w:val="1"/>
  </w:num>
  <w:num w:numId="2" w16cid:durableId="573513262">
    <w:abstractNumId w:val="28"/>
  </w:num>
  <w:num w:numId="3" w16cid:durableId="986586712">
    <w:abstractNumId w:val="31"/>
  </w:num>
  <w:num w:numId="4" w16cid:durableId="490095957">
    <w:abstractNumId w:val="6"/>
  </w:num>
  <w:num w:numId="5" w16cid:durableId="838428821">
    <w:abstractNumId w:val="3"/>
  </w:num>
  <w:num w:numId="6" w16cid:durableId="83261754">
    <w:abstractNumId w:val="39"/>
  </w:num>
  <w:num w:numId="7" w16cid:durableId="1047996498">
    <w:abstractNumId w:val="40"/>
  </w:num>
  <w:num w:numId="8" w16cid:durableId="1387218143">
    <w:abstractNumId w:val="37"/>
  </w:num>
  <w:num w:numId="9" w16cid:durableId="328673551">
    <w:abstractNumId w:val="32"/>
  </w:num>
  <w:num w:numId="10" w16cid:durableId="1518883728">
    <w:abstractNumId w:val="16"/>
  </w:num>
  <w:num w:numId="11" w16cid:durableId="1933859680">
    <w:abstractNumId w:val="27"/>
  </w:num>
  <w:num w:numId="12" w16cid:durableId="931661939">
    <w:abstractNumId w:val="26"/>
  </w:num>
  <w:num w:numId="13" w16cid:durableId="675689622">
    <w:abstractNumId w:val="5"/>
  </w:num>
  <w:num w:numId="14" w16cid:durableId="1582330377">
    <w:abstractNumId w:val="0"/>
  </w:num>
  <w:num w:numId="15" w16cid:durableId="1974554227">
    <w:abstractNumId w:val="33"/>
  </w:num>
  <w:num w:numId="16" w16cid:durableId="1705717733">
    <w:abstractNumId w:val="13"/>
  </w:num>
  <w:num w:numId="17" w16cid:durableId="1592931949">
    <w:abstractNumId w:val="11"/>
  </w:num>
  <w:num w:numId="18" w16cid:durableId="727193543">
    <w:abstractNumId w:val="35"/>
  </w:num>
  <w:num w:numId="19" w16cid:durableId="545218894">
    <w:abstractNumId w:val="12"/>
  </w:num>
  <w:num w:numId="20" w16cid:durableId="1168324172">
    <w:abstractNumId w:val="25"/>
  </w:num>
  <w:num w:numId="21" w16cid:durableId="1060860610">
    <w:abstractNumId w:val="2"/>
  </w:num>
  <w:num w:numId="22" w16cid:durableId="596212262">
    <w:abstractNumId w:val="38"/>
  </w:num>
  <w:num w:numId="23" w16cid:durableId="1319652477">
    <w:abstractNumId w:val="14"/>
  </w:num>
  <w:num w:numId="24" w16cid:durableId="2105152888">
    <w:abstractNumId w:val="17"/>
  </w:num>
  <w:num w:numId="25" w16cid:durableId="1286931176">
    <w:abstractNumId w:val="21"/>
  </w:num>
  <w:num w:numId="26" w16cid:durableId="1107891771">
    <w:abstractNumId w:val="7"/>
  </w:num>
  <w:num w:numId="27" w16cid:durableId="2087527543">
    <w:abstractNumId w:val="29"/>
  </w:num>
  <w:num w:numId="28" w16cid:durableId="441266892">
    <w:abstractNumId w:val="8"/>
  </w:num>
  <w:num w:numId="29" w16cid:durableId="494995076">
    <w:abstractNumId w:val="19"/>
  </w:num>
  <w:num w:numId="30" w16cid:durableId="824050639">
    <w:abstractNumId w:val="34"/>
  </w:num>
  <w:num w:numId="31" w16cid:durableId="79721234">
    <w:abstractNumId w:val="22"/>
  </w:num>
  <w:num w:numId="32" w16cid:durableId="1399353709">
    <w:abstractNumId w:val="20"/>
  </w:num>
  <w:num w:numId="33" w16cid:durableId="1730417202">
    <w:abstractNumId w:val="24"/>
  </w:num>
  <w:num w:numId="34" w16cid:durableId="1937130150">
    <w:abstractNumId w:val="10"/>
  </w:num>
  <w:num w:numId="35" w16cid:durableId="1646739031">
    <w:abstractNumId w:val="18"/>
    <w:lvlOverride w:ilvl="0">
      <w:startOverride w:val="1"/>
    </w:lvlOverride>
    <w:lvlOverride w:ilvl="1"/>
    <w:lvlOverride w:ilvl="2"/>
    <w:lvlOverride w:ilvl="3"/>
    <w:lvlOverride w:ilvl="4"/>
    <w:lvlOverride w:ilvl="5"/>
    <w:lvlOverride w:ilvl="6"/>
    <w:lvlOverride w:ilvl="7"/>
    <w:lvlOverride w:ilvl="8"/>
  </w:num>
  <w:num w:numId="36" w16cid:durableId="187449240">
    <w:abstractNumId w:val="4"/>
  </w:num>
  <w:num w:numId="37" w16cid:durableId="43260941">
    <w:abstractNumId w:val="9"/>
  </w:num>
  <w:num w:numId="38" w16cid:durableId="770391996">
    <w:abstractNumId w:val="36"/>
  </w:num>
  <w:num w:numId="39" w16cid:durableId="757091774">
    <w:abstractNumId w:val="15"/>
  </w:num>
  <w:num w:numId="40" w16cid:durableId="215120046">
    <w:abstractNumId w:val="30"/>
  </w:num>
  <w:num w:numId="41" w16cid:durableId="14047966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748"/>
    <w:rsid w:val="00013314"/>
    <w:rsid w:val="00020FBD"/>
    <w:rsid w:val="00054AD0"/>
    <w:rsid w:val="00060FC5"/>
    <w:rsid w:val="00063853"/>
    <w:rsid w:val="00065DD1"/>
    <w:rsid w:val="00092619"/>
    <w:rsid w:val="00093ED1"/>
    <w:rsid w:val="000C2C1E"/>
    <w:rsid w:val="000D0520"/>
    <w:rsid w:val="000E4603"/>
    <w:rsid w:val="00101D54"/>
    <w:rsid w:val="00126D2A"/>
    <w:rsid w:val="00133967"/>
    <w:rsid w:val="001350AB"/>
    <w:rsid w:val="00140EE1"/>
    <w:rsid w:val="0015575E"/>
    <w:rsid w:val="00160164"/>
    <w:rsid w:val="00173BF7"/>
    <w:rsid w:val="00174BE5"/>
    <w:rsid w:val="00197A4D"/>
    <w:rsid w:val="001A372C"/>
    <w:rsid w:val="001A627B"/>
    <w:rsid w:val="001C224D"/>
    <w:rsid w:val="001C41D7"/>
    <w:rsid w:val="001D1BD4"/>
    <w:rsid w:val="00214C44"/>
    <w:rsid w:val="002318C0"/>
    <w:rsid w:val="00234AE1"/>
    <w:rsid w:val="00246AB1"/>
    <w:rsid w:val="00246C09"/>
    <w:rsid w:val="002515FE"/>
    <w:rsid w:val="002541C1"/>
    <w:rsid w:val="00274D5D"/>
    <w:rsid w:val="002750EF"/>
    <w:rsid w:val="002A34C4"/>
    <w:rsid w:val="002A61F5"/>
    <w:rsid w:val="002A6AF4"/>
    <w:rsid w:val="002B28CA"/>
    <w:rsid w:val="002C23B9"/>
    <w:rsid w:val="002D088E"/>
    <w:rsid w:val="002D0AAC"/>
    <w:rsid w:val="002D6DFD"/>
    <w:rsid w:val="002E2CC3"/>
    <w:rsid w:val="002E6380"/>
    <w:rsid w:val="002F2F9D"/>
    <w:rsid w:val="00316C3F"/>
    <w:rsid w:val="0033792B"/>
    <w:rsid w:val="00342224"/>
    <w:rsid w:val="00346077"/>
    <w:rsid w:val="00352014"/>
    <w:rsid w:val="003601F3"/>
    <w:rsid w:val="0036778D"/>
    <w:rsid w:val="00382AF7"/>
    <w:rsid w:val="003914D0"/>
    <w:rsid w:val="003918DA"/>
    <w:rsid w:val="003A3026"/>
    <w:rsid w:val="003A5143"/>
    <w:rsid w:val="003D155F"/>
    <w:rsid w:val="003E0CF4"/>
    <w:rsid w:val="003E5EBC"/>
    <w:rsid w:val="003F37CD"/>
    <w:rsid w:val="003F6F04"/>
    <w:rsid w:val="00406AF7"/>
    <w:rsid w:val="00423C62"/>
    <w:rsid w:val="00434C22"/>
    <w:rsid w:val="0044141F"/>
    <w:rsid w:val="00444F90"/>
    <w:rsid w:val="004549F1"/>
    <w:rsid w:val="00464FBF"/>
    <w:rsid w:val="004670C3"/>
    <w:rsid w:val="0048758A"/>
    <w:rsid w:val="0049565A"/>
    <w:rsid w:val="0049698C"/>
    <w:rsid w:val="0049774B"/>
    <w:rsid w:val="004C3EA1"/>
    <w:rsid w:val="004D35FD"/>
    <w:rsid w:val="004E09A2"/>
    <w:rsid w:val="00502B95"/>
    <w:rsid w:val="00517A53"/>
    <w:rsid w:val="00527CDE"/>
    <w:rsid w:val="0053742D"/>
    <w:rsid w:val="005464AF"/>
    <w:rsid w:val="00565A95"/>
    <w:rsid w:val="00567374"/>
    <w:rsid w:val="0057123C"/>
    <w:rsid w:val="00582669"/>
    <w:rsid w:val="00583CD1"/>
    <w:rsid w:val="005A0EDC"/>
    <w:rsid w:val="005B4C9F"/>
    <w:rsid w:val="005D481C"/>
    <w:rsid w:val="005D7A01"/>
    <w:rsid w:val="005E57B4"/>
    <w:rsid w:val="005E6B88"/>
    <w:rsid w:val="005F38EB"/>
    <w:rsid w:val="005F41F0"/>
    <w:rsid w:val="00642E92"/>
    <w:rsid w:val="00653572"/>
    <w:rsid w:val="00674923"/>
    <w:rsid w:val="00683D47"/>
    <w:rsid w:val="006853D7"/>
    <w:rsid w:val="006857ED"/>
    <w:rsid w:val="00697095"/>
    <w:rsid w:val="006A07F0"/>
    <w:rsid w:val="006D4C52"/>
    <w:rsid w:val="006F09AA"/>
    <w:rsid w:val="006F463D"/>
    <w:rsid w:val="00700EBE"/>
    <w:rsid w:val="00713CF0"/>
    <w:rsid w:val="007201AE"/>
    <w:rsid w:val="00720FF1"/>
    <w:rsid w:val="00721074"/>
    <w:rsid w:val="00723AF0"/>
    <w:rsid w:val="00723DE8"/>
    <w:rsid w:val="00727142"/>
    <w:rsid w:val="007527D4"/>
    <w:rsid w:val="007856D8"/>
    <w:rsid w:val="00786085"/>
    <w:rsid w:val="007A2C23"/>
    <w:rsid w:val="007B5BD3"/>
    <w:rsid w:val="007D6FDF"/>
    <w:rsid w:val="007E5304"/>
    <w:rsid w:val="007F7B41"/>
    <w:rsid w:val="00802C52"/>
    <w:rsid w:val="00811C36"/>
    <w:rsid w:val="0081226F"/>
    <w:rsid w:val="00825138"/>
    <w:rsid w:val="00832497"/>
    <w:rsid w:val="0083411A"/>
    <w:rsid w:val="008511DC"/>
    <w:rsid w:val="00865A9B"/>
    <w:rsid w:val="0088373B"/>
    <w:rsid w:val="008843E5"/>
    <w:rsid w:val="00896E56"/>
    <w:rsid w:val="008A3EB1"/>
    <w:rsid w:val="008B65B6"/>
    <w:rsid w:val="008C4A1C"/>
    <w:rsid w:val="008C596B"/>
    <w:rsid w:val="008C6172"/>
    <w:rsid w:val="008F4B9B"/>
    <w:rsid w:val="00901D3F"/>
    <w:rsid w:val="00906F02"/>
    <w:rsid w:val="0090791C"/>
    <w:rsid w:val="009162DE"/>
    <w:rsid w:val="00920554"/>
    <w:rsid w:val="00927871"/>
    <w:rsid w:val="00931C35"/>
    <w:rsid w:val="00940D03"/>
    <w:rsid w:val="00952717"/>
    <w:rsid w:val="00952838"/>
    <w:rsid w:val="009900BB"/>
    <w:rsid w:val="00990D18"/>
    <w:rsid w:val="009B42F2"/>
    <w:rsid w:val="009B4748"/>
    <w:rsid w:val="009D0274"/>
    <w:rsid w:val="009D3005"/>
    <w:rsid w:val="009D723E"/>
    <w:rsid w:val="009E27C1"/>
    <w:rsid w:val="009E7508"/>
    <w:rsid w:val="00A054F6"/>
    <w:rsid w:val="00A15208"/>
    <w:rsid w:val="00A30AF0"/>
    <w:rsid w:val="00A42660"/>
    <w:rsid w:val="00A5696A"/>
    <w:rsid w:val="00A57582"/>
    <w:rsid w:val="00A6216E"/>
    <w:rsid w:val="00A656A0"/>
    <w:rsid w:val="00A72FE4"/>
    <w:rsid w:val="00A80484"/>
    <w:rsid w:val="00A913A9"/>
    <w:rsid w:val="00A93045"/>
    <w:rsid w:val="00A93E1F"/>
    <w:rsid w:val="00A97C3C"/>
    <w:rsid w:val="00AA59C9"/>
    <w:rsid w:val="00AB2A65"/>
    <w:rsid w:val="00AD6295"/>
    <w:rsid w:val="00AE6282"/>
    <w:rsid w:val="00B0615F"/>
    <w:rsid w:val="00B3261E"/>
    <w:rsid w:val="00B3425B"/>
    <w:rsid w:val="00B37E78"/>
    <w:rsid w:val="00B52010"/>
    <w:rsid w:val="00B52621"/>
    <w:rsid w:val="00B64D4F"/>
    <w:rsid w:val="00B83EB0"/>
    <w:rsid w:val="00B963CA"/>
    <w:rsid w:val="00BB1242"/>
    <w:rsid w:val="00BB49DE"/>
    <w:rsid w:val="00BB7A8E"/>
    <w:rsid w:val="00BC0517"/>
    <w:rsid w:val="00BD4325"/>
    <w:rsid w:val="00BF5FC8"/>
    <w:rsid w:val="00C01E72"/>
    <w:rsid w:val="00C14571"/>
    <w:rsid w:val="00C15257"/>
    <w:rsid w:val="00C371DF"/>
    <w:rsid w:val="00C60DC0"/>
    <w:rsid w:val="00C64CBF"/>
    <w:rsid w:val="00C65332"/>
    <w:rsid w:val="00C766CC"/>
    <w:rsid w:val="00C80E06"/>
    <w:rsid w:val="00C84059"/>
    <w:rsid w:val="00C97706"/>
    <w:rsid w:val="00C977AC"/>
    <w:rsid w:val="00C979A4"/>
    <w:rsid w:val="00CF540F"/>
    <w:rsid w:val="00D22B37"/>
    <w:rsid w:val="00D34354"/>
    <w:rsid w:val="00D401F5"/>
    <w:rsid w:val="00D75FE1"/>
    <w:rsid w:val="00D955E6"/>
    <w:rsid w:val="00DF0D2E"/>
    <w:rsid w:val="00E10684"/>
    <w:rsid w:val="00E26693"/>
    <w:rsid w:val="00E31463"/>
    <w:rsid w:val="00E32CA5"/>
    <w:rsid w:val="00E343E0"/>
    <w:rsid w:val="00E37375"/>
    <w:rsid w:val="00E40FC5"/>
    <w:rsid w:val="00E70B74"/>
    <w:rsid w:val="00E71EC1"/>
    <w:rsid w:val="00E75E54"/>
    <w:rsid w:val="00E77EBC"/>
    <w:rsid w:val="00E878B1"/>
    <w:rsid w:val="00E95F3A"/>
    <w:rsid w:val="00E97819"/>
    <w:rsid w:val="00EA4EEE"/>
    <w:rsid w:val="00EE1FD6"/>
    <w:rsid w:val="00F10588"/>
    <w:rsid w:val="00F11F17"/>
    <w:rsid w:val="00F20529"/>
    <w:rsid w:val="00F21C13"/>
    <w:rsid w:val="00F24A49"/>
    <w:rsid w:val="00F266FA"/>
    <w:rsid w:val="00F27C5C"/>
    <w:rsid w:val="00F434A9"/>
    <w:rsid w:val="00F6579F"/>
    <w:rsid w:val="00FA731A"/>
    <w:rsid w:val="00FB2D3F"/>
    <w:rsid w:val="00FD231C"/>
    <w:rsid w:val="00FE4B41"/>
    <w:rsid w:val="00FF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A355458"/>
  <w15:docId w15:val="{98857EC0-B458-4ED1-B82F-CDEC5F2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48"/>
    <w:rPr>
      <w:lang w:val="es-DO"/>
    </w:rPr>
  </w:style>
  <w:style w:type="paragraph" w:styleId="Footer">
    <w:name w:val="footer"/>
    <w:basedOn w:val="Normal"/>
    <w:link w:val="FooterChar"/>
    <w:uiPriority w:val="99"/>
    <w:unhideWhenUsed/>
    <w:rsid w:val="009B4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48"/>
    <w:rPr>
      <w:lang w:val="es-DO"/>
    </w:rPr>
  </w:style>
  <w:style w:type="paragraph" w:styleId="NoSpacing">
    <w:name w:val="No Spacing"/>
    <w:uiPriority w:val="1"/>
    <w:qFormat/>
    <w:rsid w:val="002D0AA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3B9"/>
    <w:rPr>
      <w:rFonts w:ascii="Segoe UI" w:eastAsiaTheme="minorEastAsia" w:hAnsi="Segoe UI" w:cs="Segoe UI"/>
      <w:sz w:val="18"/>
      <w:szCs w:val="18"/>
      <w:lang w:val="es-DO"/>
    </w:rPr>
  </w:style>
  <w:style w:type="paragraph" w:styleId="ListParagraph">
    <w:name w:val="List Paragraph"/>
    <w:basedOn w:val="Normal"/>
    <w:uiPriority w:val="34"/>
    <w:qFormat/>
    <w:rsid w:val="009E27C1"/>
    <w:pPr>
      <w:ind w:left="720"/>
      <w:contextualSpacing/>
    </w:pPr>
    <w:rPr>
      <w:rFonts w:eastAsiaTheme="minorHAnsi"/>
    </w:rPr>
  </w:style>
  <w:style w:type="paragraph" w:styleId="NormalWeb">
    <w:name w:val="Normal (Web)"/>
    <w:basedOn w:val="Normal"/>
    <w:uiPriority w:val="99"/>
    <w:unhideWhenUsed/>
    <w:rsid w:val="00811C36"/>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FootnoteText">
    <w:name w:val="footnote text"/>
    <w:basedOn w:val="Normal"/>
    <w:link w:val="FootnoteTextChar"/>
    <w:uiPriority w:val="99"/>
    <w:semiHidden/>
    <w:unhideWhenUsed/>
    <w:rsid w:val="00811C36"/>
    <w:pPr>
      <w:spacing w:after="0" w:line="240" w:lineRule="auto"/>
    </w:pPr>
    <w:rPr>
      <w:rFonts w:eastAsia="MS Mincho"/>
      <w:kern w:val="2"/>
      <w:sz w:val="20"/>
      <w:szCs w:val="20"/>
      <w14:ligatures w14:val="standardContextual"/>
    </w:rPr>
  </w:style>
  <w:style w:type="character" w:customStyle="1" w:styleId="FootnoteTextChar">
    <w:name w:val="Footnote Text Char"/>
    <w:basedOn w:val="DefaultParagraphFont"/>
    <w:link w:val="FootnoteText"/>
    <w:uiPriority w:val="99"/>
    <w:semiHidden/>
    <w:rsid w:val="00811C36"/>
    <w:rPr>
      <w:rFonts w:eastAsia="MS Mincho"/>
      <w:kern w:val="2"/>
      <w:sz w:val="20"/>
      <w:szCs w:val="20"/>
      <w:lang w:val="es-DO"/>
      <w14:ligatures w14:val="standardContextual"/>
    </w:rPr>
  </w:style>
  <w:style w:type="character" w:styleId="FootnoteReference">
    <w:name w:val="footnote reference"/>
    <w:basedOn w:val="DefaultParagraphFont"/>
    <w:uiPriority w:val="99"/>
    <w:semiHidden/>
    <w:unhideWhenUsed/>
    <w:rsid w:val="00811C36"/>
    <w:rPr>
      <w:vertAlign w:val="superscript"/>
    </w:rPr>
  </w:style>
  <w:style w:type="character" w:styleId="Hyperlink">
    <w:name w:val="Hyperlink"/>
    <w:basedOn w:val="DefaultParagraphFont"/>
    <w:uiPriority w:val="99"/>
    <w:unhideWhenUsed/>
    <w:rsid w:val="00811C36"/>
    <w:rPr>
      <w:color w:val="0563C1" w:themeColor="hyperlink"/>
      <w:u w:val="single"/>
    </w:rPr>
  </w:style>
  <w:style w:type="character" w:styleId="UnresolvedMention">
    <w:name w:val="Unresolved Mention"/>
    <w:basedOn w:val="DefaultParagraphFont"/>
    <w:uiPriority w:val="99"/>
    <w:semiHidden/>
    <w:unhideWhenUsed/>
    <w:rsid w:val="00F11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5913">
      <w:bodyDiv w:val="1"/>
      <w:marLeft w:val="0"/>
      <w:marRight w:val="0"/>
      <w:marTop w:val="0"/>
      <w:marBottom w:val="0"/>
      <w:divBdr>
        <w:top w:val="none" w:sz="0" w:space="0" w:color="auto"/>
        <w:left w:val="none" w:sz="0" w:space="0" w:color="auto"/>
        <w:bottom w:val="none" w:sz="0" w:space="0" w:color="auto"/>
        <w:right w:val="none" w:sz="0" w:space="0" w:color="auto"/>
      </w:divBdr>
    </w:div>
    <w:div w:id="724136699">
      <w:bodyDiv w:val="1"/>
      <w:marLeft w:val="0"/>
      <w:marRight w:val="0"/>
      <w:marTop w:val="0"/>
      <w:marBottom w:val="0"/>
      <w:divBdr>
        <w:top w:val="none" w:sz="0" w:space="0" w:color="auto"/>
        <w:left w:val="none" w:sz="0" w:space="0" w:color="auto"/>
        <w:bottom w:val="none" w:sz="0" w:space="0" w:color="auto"/>
        <w:right w:val="none" w:sz="0" w:space="0" w:color="auto"/>
      </w:divBdr>
    </w:div>
    <w:div w:id="1134257553">
      <w:bodyDiv w:val="1"/>
      <w:marLeft w:val="0"/>
      <w:marRight w:val="0"/>
      <w:marTop w:val="0"/>
      <w:marBottom w:val="0"/>
      <w:divBdr>
        <w:top w:val="none" w:sz="0" w:space="0" w:color="auto"/>
        <w:left w:val="none" w:sz="0" w:space="0" w:color="auto"/>
        <w:bottom w:val="none" w:sz="0" w:space="0" w:color="auto"/>
        <w:right w:val="none" w:sz="0" w:space="0" w:color="auto"/>
      </w:divBdr>
    </w:div>
    <w:div w:id="137333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transparencia.pgr.gob.do/Inicio/Pdf?documentoId=30391" TargetMode="External"/><Relationship Id="rId1" Type="http://schemas.openxmlformats.org/officeDocument/2006/relationships/hyperlink" Target="https://poderjudicial.gob.do/wp-content/uploads/2021/06/LEY_194_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República Dominicana</Contributor>
  </documentManagement>
</p:properties>
</file>

<file path=customXml/itemProps1.xml><?xml version="1.0" encoding="utf-8"?>
<ds:datastoreItem xmlns:ds="http://schemas.openxmlformats.org/officeDocument/2006/customXml" ds:itemID="{51D6B811-5326-4AA3-A291-8ADB932DBFB9}">
  <ds:schemaRefs>
    <ds:schemaRef ds:uri="http://schemas.openxmlformats.org/officeDocument/2006/bibliography"/>
  </ds:schemaRefs>
</ds:datastoreItem>
</file>

<file path=customXml/itemProps2.xml><?xml version="1.0" encoding="utf-8"?>
<ds:datastoreItem xmlns:ds="http://schemas.openxmlformats.org/officeDocument/2006/customXml" ds:itemID="{39D88749-13C7-46F2-AA3E-5BD72B0EDE35}"/>
</file>

<file path=customXml/itemProps3.xml><?xml version="1.0" encoding="utf-8"?>
<ds:datastoreItem xmlns:ds="http://schemas.openxmlformats.org/officeDocument/2006/customXml" ds:itemID="{65F01C52-6387-49E4-B973-2F0543DE7F81}"/>
</file>

<file path=customXml/itemProps4.xml><?xml version="1.0" encoding="utf-8"?>
<ds:datastoreItem xmlns:ds="http://schemas.openxmlformats.org/officeDocument/2006/customXml" ds:itemID="{4D490BC6-99BB-4AD3-9BEB-D8101EA78494}"/>
</file>

<file path=docProps/app.xml><?xml version="1.0" encoding="utf-8"?>
<Properties xmlns="http://schemas.openxmlformats.org/officeDocument/2006/extended-properties" xmlns:vt="http://schemas.openxmlformats.org/officeDocument/2006/docPropsVTypes">
  <Template>Normal.dotm</Template>
  <TotalTime>0</TotalTime>
  <Pages>5</Pages>
  <Words>2169</Words>
  <Characters>12365</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Metivier Mena</dc:creator>
  <cp:keywords/>
  <dc:description/>
  <cp:lastModifiedBy>Melanie Santizo Sandoval</cp:lastModifiedBy>
  <cp:revision>2</cp:revision>
  <cp:lastPrinted>2021-03-24T16:08:00Z</cp:lastPrinted>
  <dcterms:created xsi:type="dcterms:W3CDTF">2024-06-18T08:08:00Z</dcterms:created>
  <dcterms:modified xsi:type="dcterms:W3CDTF">2024-06-18T08:08:00Z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