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3F698" w14:textId="77777777" w:rsidR="00A83B64" w:rsidRDefault="00A83B64" w:rsidP="00A83B64">
      <w:pPr>
        <w:jc w:val="center"/>
        <w:rPr>
          <w:rtl/>
          <w:lang w:bidi="ar-EG"/>
        </w:rPr>
      </w:pPr>
    </w:p>
    <w:p w14:paraId="79680606" w14:textId="77777777" w:rsidR="00A83B64" w:rsidRPr="00737659" w:rsidRDefault="00A83B64" w:rsidP="00A83B64">
      <w:pPr>
        <w:spacing w:after="160" w:line="259" w:lineRule="auto"/>
        <w:jc w:val="center"/>
        <w:rPr>
          <w:rFonts w:eastAsia="Calibri"/>
          <w:b/>
          <w:sz w:val="28"/>
          <w:szCs w:val="22"/>
          <w:lang w:val="en-US"/>
        </w:rPr>
      </w:pPr>
      <w:r w:rsidRPr="00737659">
        <w:rPr>
          <w:rFonts w:eastAsia="Calibri"/>
          <w:b/>
          <w:sz w:val="28"/>
          <w:szCs w:val="22"/>
          <w:lang w:val="en-US"/>
        </w:rPr>
        <w:t xml:space="preserve">A place to live in dignity for all: Making housing affordable </w:t>
      </w:r>
    </w:p>
    <w:p w14:paraId="26BC0818" w14:textId="77777777" w:rsidR="00A83B64" w:rsidRPr="00737659" w:rsidRDefault="00A83B64" w:rsidP="00A83B64">
      <w:pPr>
        <w:spacing w:after="160" w:line="259" w:lineRule="auto"/>
        <w:jc w:val="center"/>
        <w:rPr>
          <w:rFonts w:eastAsia="Calibri"/>
          <w:b/>
          <w:sz w:val="22"/>
          <w:szCs w:val="22"/>
          <w:lang w:val="en-US"/>
        </w:rPr>
      </w:pPr>
      <w:r w:rsidRPr="00737659">
        <w:rPr>
          <w:rFonts w:eastAsia="Calibri"/>
          <w:b/>
          <w:sz w:val="22"/>
          <w:szCs w:val="22"/>
          <w:lang w:val="en-US"/>
        </w:rPr>
        <w:t xml:space="preserve">Report of the Special Rapporteur on the right to adequate housing to the </w:t>
      </w:r>
      <w:r w:rsidRPr="00737659">
        <w:rPr>
          <w:rFonts w:eastAsia="Calibri"/>
          <w:b/>
          <w:sz w:val="22"/>
          <w:szCs w:val="22"/>
          <w:lang w:val="en-US"/>
        </w:rPr>
        <w:br/>
        <w:t xml:space="preserve">78th session of the UN General Assembly </w:t>
      </w:r>
    </w:p>
    <w:p w14:paraId="168F5A90" w14:textId="77777777" w:rsidR="00A83B64" w:rsidRPr="00737659" w:rsidRDefault="00A83B64" w:rsidP="00A83B64">
      <w:pPr>
        <w:spacing w:after="160" w:line="259" w:lineRule="auto"/>
        <w:jc w:val="center"/>
        <w:rPr>
          <w:rFonts w:eastAsia="Calibri"/>
          <w:b/>
          <w:bCs/>
          <w:sz w:val="32"/>
          <w:szCs w:val="22"/>
        </w:rPr>
      </w:pPr>
      <w:r w:rsidRPr="00737659">
        <w:rPr>
          <w:rFonts w:eastAsia="Calibri"/>
          <w:b/>
          <w:bCs/>
          <w:sz w:val="32"/>
          <w:szCs w:val="22"/>
        </w:rPr>
        <w:t>Questionnaire</w:t>
      </w:r>
    </w:p>
    <w:p w14:paraId="1491F1A0" w14:textId="77777777" w:rsidR="00A83B64" w:rsidRPr="00737659" w:rsidRDefault="00A83B64" w:rsidP="00A83B64">
      <w:pPr>
        <w:spacing w:after="160" w:line="259" w:lineRule="auto"/>
        <w:jc w:val="both"/>
        <w:rPr>
          <w:rFonts w:eastAsia="Calibri"/>
          <w:sz w:val="22"/>
          <w:szCs w:val="22"/>
        </w:rPr>
      </w:pPr>
    </w:p>
    <w:p w14:paraId="3DEF3A27" w14:textId="77777777" w:rsidR="00A83B64" w:rsidRPr="00737659" w:rsidRDefault="00A83B64" w:rsidP="00A83B64">
      <w:pPr>
        <w:spacing w:after="160" w:line="259" w:lineRule="auto"/>
        <w:jc w:val="both"/>
        <w:rPr>
          <w:rFonts w:eastAsia="Calibri"/>
          <w:sz w:val="22"/>
          <w:szCs w:val="22"/>
        </w:rPr>
      </w:pPr>
      <w:r w:rsidRPr="00737659">
        <w:rPr>
          <w:rFonts w:eastAsia="Calibri"/>
          <w:sz w:val="22"/>
          <w:szCs w:val="22"/>
        </w:rPr>
        <w:t>For States: please share this questionnaire as well with your National Statistical Office and relevant Ministries to assist completing statistical sections relating to housing affordability.</w:t>
      </w:r>
    </w:p>
    <w:p w14:paraId="3A2CC672" w14:textId="1D282682" w:rsidR="00A83B64" w:rsidRPr="00737659" w:rsidRDefault="00A83B64" w:rsidP="003C3653">
      <w:pPr>
        <w:spacing w:after="160" w:line="259" w:lineRule="auto"/>
        <w:jc w:val="both"/>
        <w:rPr>
          <w:rFonts w:eastAsia="Calibri"/>
          <w:sz w:val="22"/>
          <w:szCs w:val="22"/>
        </w:rPr>
      </w:pPr>
      <w:r w:rsidRPr="00737659">
        <w:rPr>
          <w:rFonts w:eastAsia="Calibri"/>
          <w:sz w:val="22"/>
          <w:szCs w:val="22"/>
        </w:rPr>
        <w:t xml:space="preserve">Name of submitting entity, organization or individual: </w:t>
      </w:r>
      <w:r w:rsidR="003C3653">
        <w:rPr>
          <w:rFonts w:eastAsia="Calibri"/>
          <w:sz w:val="22"/>
          <w:szCs w:val="22"/>
        </w:rPr>
        <w:t xml:space="preserve">The Shift </w:t>
      </w:r>
      <w:bookmarkStart w:id="0" w:name="_GoBack"/>
      <w:bookmarkEnd w:id="0"/>
    </w:p>
    <w:p w14:paraId="62C5CF64" w14:textId="77777777" w:rsidR="00A83B64" w:rsidRPr="00737659" w:rsidRDefault="00A83B64" w:rsidP="00A83B64">
      <w:pPr>
        <w:spacing w:after="160" w:line="259" w:lineRule="auto"/>
        <w:jc w:val="both"/>
        <w:rPr>
          <w:rFonts w:eastAsia="Calibri"/>
          <w:sz w:val="22"/>
          <w:szCs w:val="22"/>
        </w:rPr>
      </w:pPr>
    </w:p>
    <w:p w14:paraId="59B21036" w14:textId="77777777" w:rsidR="00A83B64" w:rsidRPr="00737659" w:rsidRDefault="00A83B64" w:rsidP="00A83B64">
      <w:pPr>
        <w:spacing w:after="160" w:line="259" w:lineRule="auto"/>
        <w:jc w:val="both"/>
        <w:rPr>
          <w:rFonts w:eastAsia="Calibri"/>
          <w:b/>
          <w:sz w:val="22"/>
          <w:szCs w:val="22"/>
        </w:rPr>
      </w:pPr>
      <w:r w:rsidRPr="00737659">
        <w:rPr>
          <w:rFonts w:eastAsia="Calibri"/>
          <w:b/>
          <w:sz w:val="22"/>
          <w:szCs w:val="22"/>
        </w:rPr>
        <w:t xml:space="preserve">National law, policies and jurisprudence relating to affordable housing </w:t>
      </w:r>
    </w:p>
    <w:p w14:paraId="1F24BC23" w14:textId="77777777" w:rsidR="00A83B64" w:rsidRDefault="00A83B64" w:rsidP="00A83B64">
      <w:pPr>
        <w:numPr>
          <w:ilvl w:val="0"/>
          <w:numId w:val="1"/>
        </w:numPr>
        <w:spacing w:after="160" w:line="259" w:lineRule="auto"/>
        <w:contextualSpacing/>
        <w:jc w:val="both"/>
        <w:rPr>
          <w:rFonts w:eastAsia="Calibri"/>
          <w:sz w:val="22"/>
          <w:szCs w:val="22"/>
        </w:rPr>
      </w:pPr>
      <w:r w:rsidRPr="00064E7B">
        <w:rPr>
          <w:rFonts w:eastAsia="Calibri"/>
          <w:sz w:val="22"/>
          <w:szCs w:val="22"/>
        </w:rPr>
        <w:t>Does your country’s national law, including constitutional, housing or social protection law, refer to affordability of housing or provide any other guarantees to ensure a minimum standard of living? Or in its absence, are there national policies that refer to affordable housing or minimum standard of living?  Please provide references and links to the respective key laws or constitutional provisions as well as policies.</w:t>
      </w:r>
    </w:p>
    <w:p w14:paraId="37F23C1A" w14:textId="77777777" w:rsidR="009D0983" w:rsidRDefault="009D0983" w:rsidP="009D0983">
      <w:pPr>
        <w:spacing w:after="160" w:line="259" w:lineRule="auto"/>
        <w:contextualSpacing/>
        <w:jc w:val="both"/>
        <w:rPr>
          <w:rFonts w:eastAsia="Calibri"/>
          <w:sz w:val="22"/>
          <w:szCs w:val="22"/>
        </w:rPr>
      </w:pPr>
    </w:p>
    <w:p w14:paraId="219B1A1F" w14:textId="5645E902" w:rsidR="004556A1" w:rsidRPr="00635083" w:rsidRDefault="004556A1" w:rsidP="009D0983">
      <w:pPr>
        <w:spacing w:after="160" w:line="259" w:lineRule="auto"/>
        <w:ind w:left="720"/>
        <w:contextualSpacing/>
        <w:jc w:val="both"/>
        <w:rPr>
          <w:rFonts w:eastAsia="Calibri"/>
          <w:b/>
          <w:bCs/>
          <w:sz w:val="22"/>
          <w:szCs w:val="22"/>
          <w:highlight w:val="yellow"/>
        </w:rPr>
      </w:pPr>
      <w:r w:rsidRPr="00635083">
        <w:rPr>
          <w:rFonts w:eastAsia="Calibri"/>
          <w:b/>
          <w:bCs/>
          <w:sz w:val="22"/>
          <w:szCs w:val="22"/>
          <w:highlight w:val="yellow"/>
        </w:rPr>
        <w:t>Affordability Threshold</w:t>
      </w:r>
    </w:p>
    <w:p w14:paraId="737772FD" w14:textId="6AE9ACE7" w:rsidR="009D0983" w:rsidRPr="00635083" w:rsidRDefault="009D0983" w:rsidP="009D0983">
      <w:pPr>
        <w:spacing w:after="160" w:line="259" w:lineRule="auto"/>
        <w:ind w:left="720"/>
        <w:contextualSpacing/>
        <w:jc w:val="both"/>
        <w:rPr>
          <w:rFonts w:eastAsia="Calibri"/>
          <w:sz w:val="22"/>
          <w:szCs w:val="22"/>
          <w:highlight w:val="yellow"/>
        </w:rPr>
      </w:pPr>
      <w:r w:rsidRPr="00635083">
        <w:rPr>
          <w:rFonts w:eastAsia="Calibri"/>
          <w:sz w:val="22"/>
          <w:szCs w:val="22"/>
          <w:highlight w:val="yellow"/>
        </w:rPr>
        <w:lastRenderedPageBreak/>
        <w:t xml:space="preserve">There are no explicit definitions of housing affordability. There is only a legal threshold for </w:t>
      </w:r>
      <w:r w:rsidR="004556A1" w:rsidRPr="00635083">
        <w:rPr>
          <w:rFonts w:eastAsia="Calibri"/>
          <w:sz w:val="22"/>
          <w:szCs w:val="22"/>
          <w:highlight w:val="yellow"/>
        </w:rPr>
        <w:t xml:space="preserve">low-income </w:t>
      </w:r>
      <w:r w:rsidRPr="00635083">
        <w:rPr>
          <w:rFonts w:eastAsia="Calibri"/>
          <w:sz w:val="22"/>
          <w:szCs w:val="22"/>
          <w:highlight w:val="yellow"/>
        </w:rPr>
        <w:t xml:space="preserve">mortgage payments – should not exceed 50% of </w:t>
      </w:r>
      <w:r w:rsidR="004556A1" w:rsidRPr="00635083">
        <w:rPr>
          <w:rFonts w:eastAsia="Calibri"/>
          <w:sz w:val="22"/>
          <w:szCs w:val="22"/>
          <w:highlight w:val="yellow"/>
        </w:rPr>
        <w:t xml:space="preserve">monthly </w:t>
      </w:r>
      <w:r w:rsidRPr="00635083">
        <w:rPr>
          <w:rFonts w:eastAsia="Calibri"/>
          <w:sz w:val="22"/>
          <w:szCs w:val="22"/>
          <w:highlight w:val="yellow"/>
        </w:rPr>
        <w:t>household income,</w:t>
      </w:r>
      <w:r w:rsidR="004556A1" w:rsidRPr="00635083">
        <w:rPr>
          <w:rStyle w:val="FootnoteReference"/>
          <w:rFonts w:eastAsia="Calibri"/>
          <w:sz w:val="22"/>
          <w:szCs w:val="22"/>
          <w:highlight w:val="yellow"/>
        </w:rPr>
        <w:footnoteReference w:id="1"/>
      </w:r>
      <w:r w:rsidRPr="00635083">
        <w:rPr>
          <w:rFonts w:eastAsia="Calibri"/>
          <w:sz w:val="22"/>
          <w:szCs w:val="22"/>
          <w:highlight w:val="yellow"/>
        </w:rPr>
        <w:t xml:space="preserve"> which is too high as will be explained below.</w:t>
      </w:r>
    </w:p>
    <w:p w14:paraId="238C3FB5" w14:textId="77777777" w:rsidR="009D0983" w:rsidRPr="00635083" w:rsidRDefault="009D0983" w:rsidP="009D0983">
      <w:pPr>
        <w:spacing w:after="160" w:line="259" w:lineRule="auto"/>
        <w:ind w:left="720"/>
        <w:contextualSpacing/>
        <w:jc w:val="both"/>
        <w:rPr>
          <w:rFonts w:eastAsia="Calibri"/>
          <w:sz w:val="22"/>
          <w:szCs w:val="22"/>
          <w:highlight w:val="yellow"/>
        </w:rPr>
      </w:pPr>
    </w:p>
    <w:p w14:paraId="5831EA94" w14:textId="7E514900" w:rsidR="009D0983" w:rsidRPr="00635083" w:rsidRDefault="009D0983" w:rsidP="009D0983">
      <w:pPr>
        <w:spacing w:after="160" w:line="259" w:lineRule="auto"/>
        <w:ind w:left="720"/>
        <w:contextualSpacing/>
        <w:jc w:val="both"/>
        <w:rPr>
          <w:rFonts w:eastAsia="Calibri"/>
          <w:sz w:val="22"/>
          <w:szCs w:val="22"/>
          <w:highlight w:val="yellow"/>
        </w:rPr>
      </w:pPr>
      <w:r w:rsidRPr="00635083">
        <w:rPr>
          <w:rFonts w:eastAsia="Calibri"/>
          <w:sz w:val="22"/>
          <w:szCs w:val="22"/>
          <w:highlight w:val="yellow"/>
        </w:rPr>
        <w:t xml:space="preserve">Overall, there are local stipulations for the </w:t>
      </w:r>
      <w:r w:rsidR="009B691E" w:rsidRPr="00635083">
        <w:rPr>
          <w:rFonts w:eastAsia="Calibri"/>
          <w:sz w:val="22"/>
          <w:szCs w:val="22"/>
          <w:highlight w:val="yellow"/>
        </w:rPr>
        <w:t xml:space="preserve">guarantee and/or </w:t>
      </w:r>
      <w:r w:rsidRPr="00635083">
        <w:rPr>
          <w:rFonts w:eastAsia="Calibri"/>
          <w:sz w:val="22"/>
          <w:szCs w:val="22"/>
          <w:highlight w:val="yellow"/>
        </w:rPr>
        <w:t>provision of housing as follows:</w:t>
      </w:r>
    </w:p>
    <w:p w14:paraId="36381928" w14:textId="4A095951" w:rsidR="009B691E" w:rsidRPr="00635083" w:rsidRDefault="00220A6D" w:rsidP="009B691E">
      <w:pPr>
        <w:spacing w:after="160" w:line="259" w:lineRule="auto"/>
        <w:ind w:left="720"/>
        <w:contextualSpacing/>
        <w:jc w:val="both"/>
        <w:rPr>
          <w:rFonts w:eastAsia="Calibri"/>
          <w:b/>
          <w:bCs/>
          <w:sz w:val="22"/>
          <w:szCs w:val="22"/>
          <w:highlight w:val="yellow"/>
          <w:u w:val="single"/>
          <w:lang w:val="en-US"/>
        </w:rPr>
      </w:pPr>
      <w:hyperlink r:id="rId8" w:history="1">
        <w:r w:rsidR="009B691E" w:rsidRPr="00635083">
          <w:rPr>
            <w:rStyle w:val="Hyperlink"/>
            <w:rFonts w:eastAsia="Calibri"/>
            <w:b/>
            <w:bCs/>
            <w:sz w:val="22"/>
            <w:szCs w:val="22"/>
            <w:highlight w:val="yellow"/>
            <w:lang w:val="en-US"/>
          </w:rPr>
          <w:t>The Constitution of Egypt (2014), Article 78</w:t>
        </w:r>
      </w:hyperlink>
    </w:p>
    <w:p w14:paraId="531DEB68" w14:textId="2609E272" w:rsidR="009B691E" w:rsidRPr="00635083" w:rsidRDefault="009B691E" w:rsidP="009B691E">
      <w:pPr>
        <w:spacing w:after="160" w:line="259" w:lineRule="auto"/>
        <w:ind w:left="720"/>
        <w:contextualSpacing/>
        <w:jc w:val="both"/>
        <w:rPr>
          <w:rFonts w:eastAsia="Calibri"/>
          <w:sz w:val="22"/>
          <w:szCs w:val="22"/>
          <w:highlight w:val="yellow"/>
          <w:lang w:val="en-US"/>
        </w:rPr>
      </w:pPr>
      <w:r w:rsidRPr="00635083">
        <w:rPr>
          <w:rFonts w:eastAsia="Calibri"/>
          <w:sz w:val="22"/>
          <w:szCs w:val="22"/>
          <w:highlight w:val="yellow"/>
          <w:lang w:val="en-US"/>
        </w:rPr>
        <w:t xml:space="preserve">“The state </w:t>
      </w:r>
      <w:r w:rsidRPr="00635083">
        <w:rPr>
          <w:rFonts w:eastAsia="Calibri"/>
          <w:b/>
          <w:bCs/>
          <w:sz w:val="22"/>
          <w:szCs w:val="22"/>
          <w:highlight w:val="yellow"/>
          <w:lang w:val="en-US"/>
        </w:rPr>
        <w:t>guarantees citizens the right to adequate, safe and healthy housing</w:t>
      </w:r>
      <w:r w:rsidRPr="00635083">
        <w:rPr>
          <w:rFonts w:eastAsia="Calibri"/>
          <w:sz w:val="22"/>
          <w:szCs w:val="22"/>
          <w:highlight w:val="yellow"/>
          <w:lang w:val="en-US"/>
        </w:rPr>
        <w:t xml:space="preserve">, in a manner that preserves human dignity and achieves social justice. The state is committed to developing a </w:t>
      </w:r>
      <w:r w:rsidRPr="00635083">
        <w:rPr>
          <w:rFonts w:eastAsia="Calibri"/>
          <w:b/>
          <w:bCs/>
          <w:sz w:val="22"/>
          <w:szCs w:val="22"/>
          <w:highlight w:val="yellow"/>
          <w:lang w:val="en-US"/>
        </w:rPr>
        <w:t>national housing</w:t>
      </w:r>
      <w:r w:rsidRPr="00635083">
        <w:rPr>
          <w:rFonts w:eastAsia="Calibri"/>
          <w:sz w:val="22"/>
          <w:szCs w:val="22"/>
          <w:highlight w:val="yellow"/>
          <w:lang w:val="en-US"/>
        </w:rPr>
        <w:t xml:space="preserve"> </w:t>
      </w:r>
      <w:r w:rsidRPr="00635083">
        <w:rPr>
          <w:rFonts w:eastAsia="Calibri"/>
          <w:b/>
          <w:bCs/>
          <w:sz w:val="22"/>
          <w:szCs w:val="22"/>
          <w:highlight w:val="yellow"/>
          <w:lang w:val="en-US"/>
        </w:rPr>
        <w:t>plan</w:t>
      </w:r>
      <w:r w:rsidRPr="00635083">
        <w:rPr>
          <w:rFonts w:eastAsia="Calibri"/>
          <w:sz w:val="22"/>
          <w:szCs w:val="22"/>
          <w:highlight w:val="yellow"/>
          <w:lang w:val="en-US"/>
        </w:rPr>
        <w:t xml:space="preserve"> that takes into account environmental particularity, ensuring the contribution of self and cooperative initiatives in its implementation, </w:t>
      </w:r>
      <w:r w:rsidRPr="00635083">
        <w:rPr>
          <w:rFonts w:eastAsia="Calibri"/>
          <w:b/>
          <w:bCs/>
          <w:sz w:val="22"/>
          <w:szCs w:val="22"/>
          <w:highlight w:val="yellow"/>
          <w:lang w:val="en-US"/>
        </w:rPr>
        <w:t>organizing the use of state lands and providing them with basic facilities</w:t>
      </w:r>
      <w:r w:rsidRPr="00635083">
        <w:rPr>
          <w:rFonts w:eastAsia="Calibri"/>
          <w:sz w:val="22"/>
          <w:szCs w:val="22"/>
          <w:highlight w:val="yellow"/>
          <w:lang w:val="en-US"/>
        </w:rPr>
        <w:t xml:space="preserve"> within the framework of comprehensive urban planning for cities, villages and a strategy for population distribution. All in order to achieve public interest and improve the quality of life for citizens and preserve the rights of future generations. The state is also committed to developing a </w:t>
      </w:r>
      <w:r w:rsidRPr="00635083">
        <w:rPr>
          <w:rFonts w:eastAsia="Calibri"/>
          <w:b/>
          <w:bCs/>
          <w:sz w:val="22"/>
          <w:szCs w:val="22"/>
          <w:highlight w:val="yellow"/>
          <w:lang w:val="en-US"/>
        </w:rPr>
        <w:t>comprehensive national plan to address the problem of slums</w:t>
      </w:r>
      <w:r w:rsidRPr="00635083">
        <w:rPr>
          <w:rFonts w:eastAsia="Calibri"/>
          <w:sz w:val="22"/>
          <w:szCs w:val="22"/>
          <w:highlight w:val="yellow"/>
          <w:lang w:val="en-US"/>
        </w:rPr>
        <w:t>, which includes re-planning, providing infrastructure and facilities, improving the quality of life and public health, and ensuring that the resources necessary for implementation are provided within a specified time period”</w:t>
      </w:r>
    </w:p>
    <w:p w14:paraId="3DDCC4A8" w14:textId="77777777" w:rsidR="009B691E" w:rsidRPr="00635083" w:rsidRDefault="009B691E" w:rsidP="009B691E">
      <w:pPr>
        <w:spacing w:after="160" w:line="259" w:lineRule="auto"/>
        <w:ind w:left="720"/>
        <w:contextualSpacing/>
        <w:jc w:val="both"/>
        <w:rPr>
          <w:rFonts w:eastAsia="Calibri"/>
          <w:sz w:val="22"/>
          <w:szCs w:val="22"/>
          <w:highlight w:val="yellow"/>
          <w:lang w:val="en-US"/>
        </w:rPr>
      </w:pPr>
    </w:p>
    <w:p w14:paraId="507B63AD" w14:textId="316DB93C" w:rsidR="009B691E" w:rsidRPr="00635083" w:rsidRDefault="00220A6D" w:rsidP="00474CF9">
      <w:pPr>
        <w:spacing w:after="160" w:line="259" w:lineRule="auto"/>
        <w:ind w:left="720"/>
        <w:contextualSpacing/>
        <w:jc w:val="both"/>
        <w:rPr>
          <w:rFonts w:eastAsia="Calibri"/>
          <w:b/>
          <w:bCs/>
          <w:sz w:val="22"/>
          <w:szCs w:val="22"/>
          <w:highlight w:val="yellow"/>
          <w:u w:val="single"/>
          <w:lang w:val="en-US"/>
        </w:rPr>
      </w:pPr>
      <w:hyperlink r:id="rId9" w:history="1">
        <w:r w:rsidR="009B691E" w:rsidRPr="00635083">
          <w:rPr>
            <w:rStyle w:val="Hyperlink"/>
            <w:rFonts w:eastAsia="Calibri"/>
            <w:b/>
            <w:bCs/>
            <w:sz w:val="22"/>
            <w:szCs w:val="22"/>
            <w:highlight w:val="yellow"/>
            <w:lang w:val="en-US"/>
          </w:rPr>
          <w:t>The National Human Rights Strategy 2021-2026</w:t>
        </w:r>
        <w:r w:rsidR="00474CF9" w:rsidRPr="00635083">
          <w:rPr>
            <w:rStyle w:val="Hyperlink"/>
            <w:rFonts w:eastAsia="Calibri"/>
            <w:b/>
            <w:bCs/>
            <w:sz w:val="22"/>
            <w:szCs w:val="22"/>
            <w:highlight w:val="yellow"/>
            <w:lang w:val="en-US"/>
          </w:rPr>
          <w:t>, VII. Right to Adequate Housing</w:t>
        </w:r>
      </w:hyperlink>
    </w:p>
    <w:p w14:paraId="3D1F7E9E" w14:textId="059A6F58" w:rsidR="00474CF9" w:rsidRPr="00635083" w:rsidRDefault="00474CF9" w:rsidP="00474CF9">
      <w:pPr>
        <w:spacing w:after="160" w:line="259" w:lineRule="auto"/>
        <w:ind w:left="720"/>
        <w:contextualSpacing/>
        <w:jc w:val="both"/>
        <w:rPr>
          <w:rFonts w:eastAsia="Calibri"/>
          <w:sz w:val="22"/>
          <w:szCs w:val="22"/>
          <w:highlight w:val="yellow"/>
          <w:lang w:val="en-US"/>
        </w:rPr>
      </w:pPr>
      <w:r w:rsidRPr="00635083">
        <w:rPr>
          <w:rFonts w:eastAsia="Calibri"/>
          <w:sz w:val="22"/>
          <w:szCs w:val="22"/>
          <w:highlight w:val="yellow"/>
          <w:lang w:val="en-US"/>
        </w:rPr>
        <w:t>Outlines existing local obligations and official efforts made to provide adequate housing</w:t>
      </w:r>
      <w:r w:rsidR="00451EFD" w:rsidRPr="00635083">
        <w:rPr>
          <w:rFonts w:eastAsia="Calibri"/>
          <w:sz w:val="22"/>
          <w:szCs w:val="22"/>
          <w:highlight w:val="yellow"/>
          <w:lang w:val="en-US"/>
        </w:rPr>
        <w:t>.</w:t>
      </w:r>
    </w:p>
    <w:p w14:paraId="5F68C26B" w14:textId="77777777" w:rsidR="00474CF9" w:rsidRPr="00635083" w:rsidRDefault="00474CF9" w:rsidP="00474CF9">
      <w:pPr>
        <w:spacing w:after="160" w:line="259" w:lineRule="auto"/>
        <w:ind w:left="720"/>
        <w:contextualSpacing/>
        <w:jc w:val="both"/>
        <w:rPr>
          <w:rFonts w:eastAsia="Calibri"/>
          <w:sz w:val="22"/>
          <w:szCs w:val="22"/>
          <w:highlight w:val="yellow"/>
          <w:u w:val="single"/>
          <w:lang w:val="en-US"/>
        </w:rPr>
      </w:pPr>
    </w:p>
    <w:p w14:paraId="65CA2741" w14:textId="77777777" w:rsidR="009B691E" w:rsidRPr="00635083" w:rsidRDefault="009B691E" w:rsidP="009B691E">
      <w:pPr>
        <w:spacing w:after="160" w:line="259" w:lineRule="auto"/>
        <w:ind w:left="720"/>
        <w:contextualSpacing/>
        <w:jc w:val="both"/>
        <w:rPr>
          <w:rFonts w:eastAsia="Calibri"/>
          <w:sz w:val="22"/>
          <w:szCs w:val="22"/>
          <w:highlight w:val="yellow"/>
          <w:lang w:val="en-US"/>
        </w:rPr>
      </w:pPr>
    </w:p>
    <w:p w14:paraId="1750D1BE" w14:textId="3166F5EF" w:rsidR="009B691E" w:rsidRPr="00635083" w:rsidRDefault="003D6E69" w:rsidP="00451EFD">
      <w:pPr>
        <w:spacing w:after="160" w:line="259" w:lineRule="auto"/>
        <w:ind w:left="720"/>
        <w:contextualSpacing/>
        <w:jc w:val="both"/>
        <w:rPr>
          <w:rStyle w:val="Hyperlink"/>
          <w:rFonts w:eastAsia="Calibri"/>
          <w:b/>
          <w:bCs/>
          <w:sz w:val="22"/>
          <w:szCs w:val="22"/>
          <w:highlight w:val="yellow"/>
          <w:lang w:val="en-US"/>
        </w:rPr>
      </w:pPr>
      <w:r w:rsidRPr="00635083">
        <w:rPr>
          <w:rFonts w:eastAsia="Calibri"/>
          <w:b/>
          <w:bCs/>
          <w:sz w:val="22"/>
          <w:szCs w:val="22"/>
          <w:highlight w:val="yellow"/>
          <w:lang w:val="en-US"/>
        </w:rPr>
        <w:fldChar w:fldCharType="begin"/>
      </w:r>
      <w:r w:rsidRPr="00635083">
        <w:rPr>
          <w:rFonts w:eastAsia="Calibri"/>
          <w:b/>
          <w:bCs/>
          <w:sz w:val="22"/>
          <w:szCs w:val="22"/>
          <w:highlight w:val="yellow"/>
          <w:lang w:val="en-US"/>
        </w:rPr>
        <w:instrText xml:space="preserve"> HYPERLINK "https://andp.unescwa.org/plans/1134" </w:instrText>
      </w:r>
      <w:r w:rsidRPr="00635083">
        <w:rPr>
          <w:rFonts w:eastAsia="Calibri"/>
          <w:b/>
          <w:bCs/>
          <w:sz w:val="22"/>
          <w:szCs w:val="22"/>
          <w:highlight w:val="yellow"/>
          <w:lang w:val="en-US"/>
        </w:rPr>
        <w:fldChar w:fldCharType="separate"/>
      </w:r>
      <w:r w:rsidR="009B691E" w:rsidRPr="00635083">
        <w:rPr>
          <w:rStyle w:val="Hyperlink"/>
          <w:rFonts w:eastAsia="Calibri"/>
          <w:b/>
          <w:bCs/>
          <w:sz w:val="22"/>
          <w:szCs w:val="22"/>
          <w:highlight w:val="yellow"/>
          <w:lang w:val="en-US"/>
        </w:rPr>
        <w:t>Egypt Sustainable Development Strategy (SDS) 2030</w:t>
      </w:r>
      <w:r w:rsidR="00451EFD" w:rsidRPr="00635083">
        <w:rPr>
          <w:rStyle w:val="Hyperlink"/>
          <w:rFonts w:eastAsia="Calibri"/>
          <w:b/>
          <w:bCs/>
          <w:sz w:val="22"/>
          <w:szCs w:val="22"/>
          <w:highlight w:val="yellow"/>
          <w:lang w:val="en-US"/>
        </w:rPr>
        <w:t xml:space="preserve">, </w:t>
      </w:r>
      <w:r w:rsidR="00451EFD" w:rsidRPr="00635083">
        <w:rPr>
          <w:rStyle w:val="Hyperlink"/>
          <w:rFonts w:eastAsia="Calibri"/>
          <w:b/>
          <w:bCs/>
          <w:sz w:val="22"/>
          <w:szCs w:val="22"/>
          <w:highlight w:val="yellow"/>
        </w:rPr>
        <w:t>Pillar: Urban development</w:t>
      </w:r>
      <w:r w:rsidR="003208F9" w:rsidRPr="00635083">
        <w:rPr>
          <w:rStyle w:val="Hyperlink"/>
          <w:rFonts w:eastAsia="Calibri"/>
          <w:b/>
          <w:bCs/>
          <w:sz w:val="22"/>
          <w:szCs w:val="22"/>
          <w:highlight w:val="yellow"/>
        </w:rPr>
        <w:t>, p257-</w:t>
      </w:r>
      <w:r w:rsidRPr="00635083">
        <w:rPr>
          <w:rStyle w:val="Hyperlink"/>
          <w:rFonts w:eastAsia="Calibri"/>
          <w:b/>
          <w:bCs/>
          <w:sz w:val="22"/>
          <w:szCs w:val="22"/>
          <w:highlight w:val="yellow"/>
        </w:rPr>
        <w:t>275</w:t>
      </w:r>
    </w:p>
    <w:p w14:paraId="128B136F" w14:textId="18838876" w:rsidR="009B691E" w:rsidRPr="00635083" w:rsidRDefault="003D6E69" w:rsidP="007A7686">
      <w:pPr>
        <w:spacing w:after="160" w:line="259" w:lineRule="auto"/>
        <w:ind w:left="720"/>
        <w:contextualSpacing/>
        <w:jc w:val="both"/>
        <w:rPr>
          <w:rFonts w:eastAsia="Calibri"/>
          <w:sz w:val="22"/>
          <w:szCs w:val="22"/>
          <w:highlight w:val="yellow"/>
          <w:lang w:val="en-US"/>
        </w:rPr>
      </w:pPr>
      <w:r w:rsidRPr="00635083">
        <w:rPr>
          <w:rFonts w:eastAsia="Calibri"/>
          <w:b/>
          <w:bCs/>
          <w:sz w:val="22"/>
          <w:szCs w:val="22"/>
          <w:highlight w:val="yellow"/>
          <w:lang w:val="en-US"/>
        </w:rPr>
        <w:lastRenderedPageBreak/>
        <w:fldChar w:fldCharType="end"/>
      </w:r>
      <w:r w:rsidR="00451EFD" w:rsidRPr="00635083">
        <w:rPr>
          <w:rFonts w:eastAsia="Calibri"/>
          <w:sz w:val="22"/>
          <w:szCs w:val="22"/>
          <w:highlight w:val="yellow"/>
          <w:lang w:val="en-US"/>
        </w:rPr>
        <w:t xml:space="preserve">The national economic development strategy that is currently underway. In its Urban Development Pillar, it states </w:t>
      </w:r>
      <w:r w:rsidRPr="00635083">
        <w:rPr>
          <w:rFonts w:eastAsia="Calibri"/>
          <w:sz w:val="22"/>
          <w:szCs w:val="22"/>
          <w:highlight w:val="yellow"/>
          <w:lang w:val="en-US"/>
        </w:rPr>
        <w:t xml:space="preserve">a </w:t>
      </w:r>
      <w:r w:rsidR="007A7686" w:rsidRPr="00635083">
        <w:rPr>
          <w:rFonts w:eastAsia="Calibri"/>
          <w:sz w:val="22"/>
          <w:szCs w:val="22"/>
          <w:highlight w:val="yellow"/>
          <w:lang w:val="en-US"/>
        </w:rPr>
        <w:t xml:space="preserve">deficiency in low-income housing of </w:t>
      </w:r>
      <w:r w:rsidR="007A7686" w:rsidRPr="00635083">
        <w:rPr>
          <w:rFonts w:eastAsia="Calibri"/>
          <w:b/>
          <w:bCs/>
          <w:sz w:val="22"/>
          <w:szCs w:val="22"/>
          <w:highlight w:val="yellow"/>
          <w:lang w:val="en-US"/>
        </w:rPr>
        <w:t xml:space="preserve">2.5 million </w:t>
      </w:r>
      <w:r w:rsidR="007A7686" w:rsidRPr="00635083">
        <w:rPr>
          <w:rFonts w:eastAsia="Calibri"/>
          <w:sz w:val="22"/>
          <w:szCs w:val="22"/>
          <w:highlight w:val="yellow"/>
          <w:lang w:val="en-US"/>
        </w:rPr>
        <w:t>residential units representing 12% of the population, with targets of decreasing this to 8% by 2020, and below 5% by 2030</w:t>
      </w:r>
      <w:r w:rsidR="00D12CF8" w:rsidRPr="00635083">
        <w:rPr>
          <w:rFonts w:eastAsia="Calibri"/>
          <w:sz w:val="22"/>
          <w:szCs w:val="22"/>
          <w:highlight w:val="yellow"/>
          <w:lang w:val="en-US"/>
        </w:rPr>
        <w:t xml:space="preserve"> (p259)</w:t>
      </w:r>
      <w:r w:rsidR="007A7686" w:rsidRPr="00635083">
        <w:rPr>
          <w:rFonts w:eastAsia="Calibri"/>
          <w:sz w:val="22"/>
          <w:szCs w:val="22"/>
          <w:highlight w:val="yellow"/>
          <w:lang w:val="en-US"/>
        </w:rPr>
        <w:t xml:space="preserve">. However, it does not provide explanations on how this estimate was reached – a definition of affordability, nor how it will be covered. There has also been no follow-up on the achievement of these targets. </w:t>
      </w:r>
    </w:p>
    <w:p w14:paraId="334BC93E" w14:textId="77777777" w:rsidR="007A7686" w:rsidRPr="00635083" w:rsidRDefault="007A7686" w:rsidP="007A7686">
      <w:pPr>
        <w:spacing w:after="160" w:line="259" w:lineRule="auto"/>
        <w:ind w:left="720"/>
        <w:contextualSpacing/>
        <w:jc w:val="both"/>
        <w:rPr>
          <w:rFonts w:eastAsia="Calibri"/>
          <w:sz w:val="22"/>
          <w:szCs w:val="22"/>
          <w:highlight w:val="yellow"/>
          <w:lang w:val="en-US"/>
        </w:rPr>
      </w:pPr>
    </w:p>
    <w:p w14:paraId="6DF01D98" w14:textId="72912E9D" w:rsidR="00E66AF4" w:rsidRPr="00635083" w:rsidRDefault="00E66AF4" w:rsidP="00E66AF4">
      <w:pPr>
        <w:spacing w:after="160" w:line="259" w:lineRule="auto"/>
        <w:ind w:left="720"/>
        <w:contextualSpacing/>
        <w:jc w:val="both"/>
        <w:rPr>
          <w:rStyle w:val="Hyperlink"/>
          <w:rFonts w:eastAsia="Calibri"/>
          <w:b/>
          <w:bCs/>
          <w:sz w:val="22"/>
          <w:szCs w:val="22"/>
          <w:highlight w:val="yellow"/>
          <w:lang w:val="en-US"/>
        </w:rPr>
      </w:pPr>
      <w:r w:rsidRPr="00635083">
        <w:rPr>
          <w:rFonts w:eastAsia="Calibri"/>
          <w:b/>
          <w:bCs/>
          <w:sz w:val="22"/>
          <w:szCs w:val="22"/>
          <w:highlight w:val="yellow"/>
          <w:lang w:val="en-US"/>
        </w:rPr>
        <w:fldChar w:fldCharType="begin"/>
      </w:r>
      <w:r w:rsidRPr="00635083">
        <w:rPr>
          <w:rFonts w:eastAsia="Calibri"/>
          <w:b/>
          <w:bCs/>
          <w:sz w:val="22"/>
          <w:szCs w:val="22"/>
          <w:highlight w:val="yellow"/>
          <w:lang w:val="en-US"/>
        </w:rPr>
        <w:instrText xml:space="preserve"> HYPERLINK "https://unhabitat.org/egypt-housing-strategy" </w:instrText>
      </w:r>
      <w:r w:rsidRPr="00635083">
        <w:rPr>
          <w:rFonts w:eastAsia="Calibri"/>
          <w:b/>
          <w:bCs/>
          <w:sz w:val="22"/>
          <w:szCs w:val="22"/>
          <w:highlight w:val="yellow"/>
          <w:lang w:val="en-US"/>
        </w:rPr>
        <w:fldChar w:fldCharType="separate"/>
      </w:r>
      <w:r w:rsidR="009B691E" w:rsidRPr="00635083">
        <w:rPr>
          <w:rStyle w:val="Hyperlink"/>
          <w:rFonts w:eastAsia="Calibri"/>
          <w:b/>
          <w:bCs/>
          <w:sz w:val="22"/>
          <w:szCs w:val="22"/>
          <w:highlight w:val="yellow"/>
          <w:lang w:val="en-US"/>
        </w:rPr>
        <w:t>Egypt Housing Strategy</w:t>
      </w:r>
      <w:r w:rsidRPr="00635083">
        <w:rPr>
          <w:rStyle w:val="Hyperlink"/>
          <w:rFonts w:eastAsia="Calibri"/>
          <w:b/>
          <w:bCs/>
          <w:sz w:val="22"/>
          <w:szCs w:val="22"/>
          <w:highlight w:val="yellow"/>
          <w:lang w:val="en-US"/>
        </w:rPr>
        <w:t xml:space="preserve"> 2020, 3.3.3 Housing policies addressing low-income housing</w:t>
      </w:r>
    </w:p>
    <w:p w14:paraId="7C753FA5" w14:textId="54DBE26A" w:rsidR="009B691E" w:rsidRDefault="00E66AF4" w:rsidP="009B691E">
      <w:pPr>
        <w:spacing w:after="160" w:line="259" w:lineRule="auto"/>
        <w:ind w:left="720"/>
        <w:contextualSpacing/>
        <w:jc w:val="both"/>
        <w:rPr>
          <w:rFonts w:eastAsia="Calibri"/>
          <w:sz w:val="22"/>
          <w:szCs w:val="22"/>
          <w:lang w:val="en-US"/>
        </w:rPr>
      </w:pPr>
      <w:r w:rsidRPr="00635083">
        <w:rPr>
          <w:rFonts w:eastAsia="Calibri"/>
          <w:b/>
          <w:bCs/>
          <w:sz w:val="22"/>
          <w:szCs w:val="22"/>
          <w:highlight w:val="yellow"/>
          <w:lang w:val="en-US"/>
        </w:rPr>
        <w:fldChar w:fldCharType="end"/>
      </w:r>
      <w:r w:rsidRPr="00635083">
        <w:rPr>
          <w:rFonts w:eastAsia="Calibri"/>
          <w:sz w:val="22"/>
          <w:szCs w:val="22"/>
          <w:highlight w:val="yellow"/>
          <w:lang w:val="en-US"/>
        </w:rPr>
        <w:t>The national housing plan prepared by the Ministry of Housing, Utilities and Urban Communities. It defines low-income households as those in the income groups up to the 60</w:t>
      </w:r>
      <w:r w:rsidRPr="00635083">
        <w:rPr>
          <w:rFonts w:eastAsia="Calibri"/>
          <w:sz w:val="22"/>
          <w:szCs w:val="22"/>
          <w:highlight w:val="yellow"/>
          <w:vertAlign w:val="superscript"/>
          <w:lang w:val="en-US"/>
        </w:rPr>
        <w:t>th</w:t>
      </w:r>
      <w:r w:rsidRPr="00635083">
        <w:rPr>
          <w:rFonts w:eastAsia="Calibri"/>
          <w:sz w:val="22"/>
          <w:szCs w:val="22"/>
          <w:highlight w:val="yellow"/>
          <w:lang w:val="en-US"/>
        </w:rPr>
        <w:t xml:space="preserve"> percentile</w:t>
      </w:r>
      <w:r w:rsidR="00457514" w:rsidRPr="00635083">
        <w:rPr>
          <w:rFonts w:eastAsia="Calibri"/>
          <w:sz w:val="22"/>
          <w:szCs w:val="22"/>
          <w:highlight w:val="yellow"/>
          <w:lang w:val="en-US"/>
        </w:rPr>
        <w:t xml:space="preserve"> (p28), and recommends a number of actions to improve </w:t>
      </w:r>
      <w:r w:rsidR="00B236AB" w:rsidRPr="00635083">
        <w:rPr>
          <w:rFonts w:eastAsia="Calibri"/>
          <w:sz w:val="22"/>
          <w:szCs w:val="22"/>
          <w:highlight w:val="yellow"/>
          <w:lang w:val="en-US"/>
        </w:rPr>
        <w:t>the existing</w:t>
      </w:r>
      <w:r w:rsidR="00457514" w:rsidRPr="00635083">
        <w:rPr>
          <w:rFonts w:eastAsia="Calibri"/>
          <w:sz w:val="22"/>
          <w:szCs w:val="22"/>
          <w:highlight w:val="yellow"/>
          <w:lang w:val="en-US"/>
        </w:rPr>
        <w:t xml:space="preserve"> supply of affordable housing. It however, does not define an affordability threshold, nor </w:t>
      </w:r>
      <w:r w:rsidR="004556A1" w:rsidRPr="00635083">
        <w:rPr>
          <w:rFonts w:eastAsia="Calibri"/>
          <w:sz w:val="22"/>
          <w:szCs w:val="22"/>
          <w:highlight w:val="yellow"/>
          <w:lang w:val="en-US"/>
        </w:rPr>
        <w:t>states particular dates for achieving the set targets, or their evaluation.</w:t>
      </w:r>
      <w:r w:rsidR="00457514">
        <w:rPr>
          <w:rFonts w:eastAsia="Calibri"/>
          <w:sz w:val="22"/>
          <w:szCs w:val="22"/>
          <w:lang w:val="en-US"/>
        </w:rPr>
        <w:t xml:space="preserve"> </w:t>
      </w:r>
    </w:p>
    <w:p w14:paraId="11FC17E4" w14:textId="77777777" w:rsidR="00504C5C" w:rsidRDefault="00504C5C" w:rsidP="009B691E">
      <w:pPr>
        <w:spacing w:after="160" w:line="259" w:lineRule="auto"/>
        <w:ind w:left="720"/>
        <w:contextualSpacing/>
        <w:jc w:val="both"/>
        <w:rPr>
          <w:rFonts w:eastAsia="Calibri"/>
          <w:sz w:val="22"/>
          <w:szCs w:val="22"/>
          <w:lang w:val="en-US"/>
        </w:rPr>
      </w:pPr>
    </w:p>
    <w:p w14:paraId="4CDF4902" w14:textId="617353FE" w:rsidR="00504C5C" w:rsidRPr="005E1E94" w:rsidRDefault="00504C5C" w:rsidP="00504C5C">
      <w:pPr>
        <w:spacing w:after="160" w:line="259" w:lineRule="auto"/>
        <w:ind w:left="720"/>
        <w:contextualSpacing/>
        <w:jc w:val="both"/>
        <w:rPr>
          <w:rFonts w:eastAsia="Calibri"/>
          <w:b/>
          <w:bCs/>
          <w:sz w:val="22"/>
          <w:szCs w:val="22"/>
          <w:highlight w:val="yellow"/>
          <w:lang w:val="en-US"/>
        </w:rPr>
      </w:pPr>
      <w:r w:rsidRPr="005E1E94">
        <w:rPr>
          <w:rFonts w:eastAsia="Calibri"/>
          <w:b/>
          <w:bCs/>
          <w:sz w:val="22"/>
          <w:szCs w:val="22"/>
          <w:highlight w:val="yellow"/>
          <w:lang w:val="en-US"/>
        </w:rPr>
        <w:t>Laws and regulations on housing</w:t>
      </w:r>
    </w:p>
    <w:p w14:paraId="56A883BD" w14:textId="0C591868" w:rsidR="00504C5C" w:rsidRPr="009B691E" w:rsidRDefault="00504C5C" w:rsidP="00504C5C">
      <w:pPr>
        <w:spacing w:after="160" w:line="259" w:lineRule="auto"/>
        <w:ind w:left="720"/>
        <w:contextualSpacing/>
        <w:jc w:val="both"/>
        <w:rPr>
          <w:rFonts w:eastAsia="Calibri"/>
          <w:sz w:val="22"/>
          <w:szCs w:val="22"/>
          <w:lang w:val="en-US"/>
        </w:rPr>
      </w:pPr>
      <w:r w:rsidRPr="005E1E94">
        <w:rPr>
          <w:rFonts w:eastAsia="Calibri"/>
          <w:sz w:val="22"/>
          <w:szCs w:val="22"/>
          <w:highlight w:val="yellow"/>
          <w:lang w:val="en-US"/>
        </w:rPr>
        <w:t>There is a large number of such laws, several covering important aspects of the right to adequate housing, such as</w:t>
      </w:r>
      <w:r w:rsidR="009C5B08" w:rsidRPr="005E1E94">
        <w:rPr>
          <w:rFonts w:eastAsia="Calibri"/>
          <w:sz w:val="22"/>
          <w:szCs w:val="22"/>
          <w:highlight w:val="yellow"/>
          <w:lang w:val="en-US"/>
        </w:rPr>
        <w:t xml:space="preserve"> </w:t>
      </w:r>
      <w:r w:rsidRPr="005E1E94">
        <w:rPr>
          <w:rFonts w:eastAsia="Calibri"/>
          <w:sz w:val="22"/>
          <w:szCs w:val="22"/>
          <w:highlight w:val="yellow"/>
          <w:lang w:val="en-US"/>
        </w:rPr>
        <w:t>Law 33/2014 on social housing, and Law 10/1990 on Expropriation for Public Bene</w:t>
      </w:r>
      <w:r w:rsidR="009C5B08" w:rsidRPr="005E1E94">
        <w:rPr>
          <w:rFonts w:eastAsia="Calibri"/>
          <w:sz w:val="22"/>
          <w:szCs w:val="22"/>
          <w:highlight w:val="yellow"/>
          <w:lang w:val="en-US"/>
        </w:rPr>
        <w:t>fit.</w:t>
      </w:r>
      <w:r w:rsidRPr="005E1E94">
        <w:rPr>
          <w:rFonts w:eastAsia="Calibri"/>
          <w:sz w:val="22"/>
          <w:szCs w:val="22"/>
          <w:highlight w:val="yellow"/>
          <w:lang w:val="en-US"/>
        </w:rPr>
        <w:t xml:space="preserve"> However, most laws and regulations on housing predate the adoption of the Constitution of 2014</w:t>
      </w:r>
      <w:r w:rsidR="009C5B08" w:rsidRPr="005E1E94">
        <w:rPr>
          <w:rFonts w:eastAsia="Calibri"/>
          <w:sz w:val="22"/>
          <w:szCs w:val="22"/>
          <w:highlight w:val="yellow"/>
          <w:lang w:val="en-US"/>
        </w:rPr>
        <w:t>, and have</w:t>
      </w:r>
      <w:r w:rsidRPr="005E1E94">
        <w:rPr>
          <w:rFonts w:eastAsia="Calibri"/>
          <w:sz w:val="22"/>
          <w:szCs w:val="22"/>
          <w:highlight w:val="yellow"/>
          <w:lang w:val="en-US"/>
        </w:rPr>
        <w:t xml:space="preserve"> not been reviewed and amended, if required, to ensure that they are in full conformity with the Constitution and with international law on the right to adequate housing as specified in article 11 of the International Covenant on Economic, Social and Cultural Rights and outlined in the Committee on Economic, Social and Cultural Rights general comment No. 4 (1991) on the right to adequate housing and general comment No. 7 (1997) on forced evictions.</w:t>
      </w:r>
      <w:r w:rsidR="009C5B08" w:rsidRPr="005E1E94">
        <w:rPr>
          <w:rStyle w:val="FootnoteReference"/>
          <w:rFonts w:eastAsia="Calibri"/>
          <w:sz w:val="22"/>
          <w:szCs w:val="22"/>
          <w:highlight w:val="yellow"/>
          <w:lang w:val="en-US"/>
        </w:rPr>
        <w:footnoteReference w:id="2"/>
      </w:r>
      <w:r w:rsidRPr="005E1E94">
        <w:rPr>
          <w:rFonts w:eastAsia="Calibri"/>
          <w:sz w:val="22"/>
          <w:szCs w:val="22"/>
          <w:highlight w:val="yellow"/>
          <w:lang w:val="en-US"/>
        </w:rPr>
        <w:t xml:space="preserve"> </w:t>
      </w:r>
      <w:r w:rsidR="009C5B08" w:rsidRPr="005E1E94">
        <w:rPr>
          <w:rFonts w:eastAsia="Calibri"/>
          <w:sz w:val="22"/>
          <w:szCs w:val="22"/>
          <w:highlight w:val="yellow"/>
          <w:lang w:val="en-US"/>
        </w:rPr>
        <w:t>A</w:t>
      </w:r>
      <w:r w:rsidRPr="005E1E94">
        <w:rPr>
          <w:rFonts w:eastAsia="Calibri"/>
          <w:sz w:val="22"/>
          <w:szCs w:val="22"/>
          <w:highlight w:val="yellow"/>
          <w:lang w:val="en-US"/>
        </w:rPr>
        <w:t xml:space="preserve">ccording to article 93 of the Constitution of 2014, international human rights </w:t>
      </w:r>
      <w:r w:rsidRPr="005E1E94">
        <w:rPr>
          <w:rFonts w:eastAsia="Calibri"/>
          <w:sz w:val="22"/>
          <w:szCs w:val="22"/>
          <w:highlight w:val="yellow"/>
          <w:lang w:val="en-US"/>
        </w:rPr>
        <w:lastRenderedPageBreak/>
        <w:t>treaties ratified by Egypt enjoy the same status as national laws and can thus be relied on by national courts in legal disputes.</w:t>
      </w:r>
    </w:p>
    <w:p w14:paraId="5F52605B" w14:textId="77777777" w:rsidR="00A83B64" w:rsidRPr="00737659" w:rsidRDefault="00A83B64" w:rsidP="007E0A66">
      <w:pPr>
        <w:spacing w:after="160" w:line="259" w:lineRule="auto"/>
        <w:jc w:val="both"/>
        <w:rPr>
          <w:rFonts w:eastAsia="Calibri"/>
          <w:sz w:val="22"/>
          <w:szCs w:val="22"/>
        </w:rPr>
      </w:pPr>
    </w:p>
    <w:p w14:paraId="389E53BD" w14:textId="77777777" w:rsidR="009F2B1C"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Please explain if there is any official definition or criteria to assess whether a household faces housing costs above the level of affordability in your country.</w:t>
      </w:r>
    </w:p>
    <w:p w14:paraId="568171B8" w14:textId="77777777" w:rsidR="009F2B1C" w:rsidRDefault="009F2B1C" w:rsidP="009F2B1C">
      <w:pPr>
        <w:spacing w:after="160" w:line="259" w:lineRule="auto"/>
        <w:ind w:left="720"/>
        <w:contextualSpacing/>
        <w:jc w:val="both"/>
        <w:rPr>
          <w:rFonts w:eastAsia="Calibri"/>
          <w:sz w:val="22"/>
          <w:szCs w:val="22"/>
        </w:rPr>
      </w:pPr>
    </w:p>
    <w:p w14:paraId="3480CABB" w14:textId="77777777" w:rsidR="00FB03D9" w:rsidRPr="00635083" w:rsidRDefault="00FB03D9" w:rsidP="009F2B1C">
      <w:pPr>
        <w:spacing w:after="160" w:line="259" w:lineRule="auto"/>
        <w:ind w:left="720"/>
        <w:contextualSpacing/>
        <w:jc w:val="both"/>
        <w:rPr>
          <w:rFonts w:eastAsia="Calibri"/>
          <w:b/>
          <w:bCs/>
          <w:sz w:val="22"/>
          <w:szCs w:val="22"/>
          <w:highlight w:val="yellow"/>
        </w:rPr>
      </w:pPr>
      <w:r w:rsidRPr="00635083">
        <w:rPr>
          <w:rFonts w:eastAsia="Calibri"/>
          <w:b/>
          <w:bCs/>
          <w:sz w:val="22"/>
          <w:szCs w:val="22"/>
          <w:highlight w:val="yellow"/>
        </w:rPr>
        <w:t>Actual Expenses</w:t>
      </w:r>
    </w:p>
    <w:p w14:paraId="241A4145" w14:textId="77777777" w:rsidR="005F2191" w:rsidRDefault="009F2B1C" w:rsidP="00A21ABA">
      <w:pPr>
        <w:spacing w:after="160" w:line="259" w:lineRule="auto"/>
        <w:ind w:left="720"/>
        <w:contextualSpacing/>
        <w:jc w:val="both"/>
        <w:rPr>
          <w:rFonts w:eastAsia="Calibri"/>
          <w:sz w:val="22"/>
          <w:szCs w:val="22"/>
          <w:highlight w:val="yellow"/>
        </w:rPr>
      </w:pPr>
      <w:r w:rsidRPr="00635083">
        <w:rPr>
          <w:rFonts w:eastAsia="Calibri"/>
          <w:sz w:val="22"/>
          <w:szCs w:val="22"/>
          <w:highlight w:val="yellow"/>
        </w:rPr>
        <w:t xml:space="preserve">With an absence of a definition of affordability, there is no criteria to assess whether a housing affordability threshold has been breached or not. The closest </w:t>
      </w:r>
      <w:r w:rsidR="00B330CD" w:rsidRPr="00635083">
        <w:rPr>
          <w:rFonts w:eastAsia="Calibri"/>
          <w:sz w:val="22"/>
          <w:szCs w:val="22"/>
          <w:highlight w:val="yellow"/>
        </w:rPr>
        <w:t>measure that may be applied are actual housing costs.</w:t>
      </w:r>
    </w:p>
    <w:p w14:paraId="1787F1D1" w14:textId="77777777" w:rsidR="005F2191" w:rsidRDefault="005F2191" w:rsidP="00A21ABA">
      <w:pPr>
        <w:spacing w:after="160" w:line="259" w:lineRule="auto"/>
        <w:ind w:left="720"/>
        <w:contextualSpacing/>
        <w:jc w:val="both"/>
        <w:rPr>
          <w:rFonts w:eastAsia="Calibri"/>
          <w:sz w:val="22"/>
          <w:szCs w:val="22"/>
          <w:highlight w:val="yellow"/>
        </w:rPr>
      </w:pPr>
    </w:p>
    <w:p w14:paraId="043E2454" w14:textId="1B902B69" w:rsidR="00C734EA" w:rsidRPr="00C734EA" w:rsidRDefault="00C734EA" w:rsidP="00C734EA">
      <w:pPr>
        <w:spacing w:after="160" w:line="259" w:lineRule="auto"/>
        <w:ind w:left="720"/>
        <w:contextualSpacing/>
        <w:jc w:val="both"/>
        <w:rPr>
          <w:rFonts w:eastAsia="Calibri"/>
          <w:sz w:val="22"/>
          <w:szCs w:val="22"/>
          <w:highlight w:val="yellow"/>
        </w:rPr>
      </w:pPr>
      <w:r w:rsidRPr="00C734EA">
        <w:rPr>
          <w:rFonts w:eastAsia="Calibri"/>
          <w:sz w:val="22"/>
          <w:szCs w:val="22"/>
          <w:highlight w:val="yellow"/>
        </w:rPr>
        <w:t xml:space="preserve">In </w:t>
      </w:r>
      <w:r>
        <w:rPr>
          <w:rFonts w:eastAsia="Calibri"/>
          <w:sz w:val="22"/>
          <w:szCs w:val="22"/>
          <w:highlight w:val="yellow"/>
        </w:rPr>
        <w:t>a</w:t>
      </w:r>
      <w:r w:rsidRPr="00C734EA">
        <w:rPr>
          <w:rFonts w:eastAsia="Calibri"/>
          <w:sz w:val="22"/>
          <w:szCs w:val="22"/>
          <w:highlight w:val="yellow"/>
        </w:rPr>
        <w:t xml:space="preserve"> recent </w:t>
      </w:r>
      <w:r>
        <w:rPr>
          <w:rFonts w:eastAsia="Calibri"/>
          <w:sz w:val="22"/>
          <w:szCs w:val="22"/>
          <w:highlight w:val="yellow"/>
        </w:rPr>
        <w:t xml:space="preserve">one-off survey in 2019 conducted by the </w:t>
      </w:r>
      <w:r w:rsidRPr="00C734EA">
        <w:rPr>
          <w:rFonts w:eastAsia="Calibri"/>
          <w:sz w:val="22"/>
          <w:szCs w:val="22"/>
          <w:highlight w:val="yellow"/>
        </w:rPr>
        <w:t>Central Agency for Public Mobilization and Statistics (official statistics agency, CAPMAS</w:t>
      </w:r>
      <w:r>
        <w:rPr>
          <w:rFonts w:eastAsia="Calibri"/>
          <w:sz w:val="22"/>
          <w:szCs w:val="22"/>
          <w:highlight w:val="yellow"/>
        </w:rPr>
        <w:t xml:space="preserve">) in </w:t>
      </w:r>
      <w:r w:rsidRPr="00C734EA">
        <w:rPr>
          <w:rFonts w:eastAsia="Calibri"/>
          <w:sz w:val="22"/>
          <w:szCs w:val="22"/>
          <w:highlight w:val="yellow"/>
        </w:rPr>
        <w:t>collaboration with the World Bank, actual market rents (New Rent) were found to represent an average of 22.5% of income across Egypt, rising to 25.7% for Cairo.</w:t>
      </w:r>
      <w:r w:rsidRPr="00C734EA">
        <w:rPr>
          <w:rFonts w:eastAsia="Calibri"/>
          <w:sz w:val="22"/>
          <w:szCs w:val="22"/>
          <w:highlight w:val="yellow"/>
          <w:vertAlign w:val="superscript"/>
        </w:rPr>
        <w:footnoteReference w:id="3"/>
      </w:r>
      <w:r w:rsidRPr="00C734EA">
        <w:rPr>
          <w:rFonts w:eastAsia="Calibri"/>
          <w:sz w:val="22"/>
          <w:szCs w:val="22"/>
          <w:highlight w:val="yellow"/>
        </w:rPr>
        <w:t xml:space="preserve"> In comparison, rent control (Old Rent) was 3.3% and 4% respectively.</w:t>
      </w:r>
      <w:r>
        <w:rPr>
          <w:rFonts w:eastAsia="Calibri"/>
          <w:sz w:val="22"/>
          <w:szCs w:val="22"/>
          <w:highlight w:val="yellow"/>
        </w:rPr>
        <w:t xml:space="preserve"> Overall, </w:t>
      </w:r>
      <w:r w:rsidR="00F75EE2">
        <w:rPr>
          <w:rFonts w:eastAsia="Calibri"/>
          <w:sz w:val="22"/>
          <w:szCs w:val="22"/>
          <w:highlight w:val="yellow"/>
        </w:rPr>
        <w:t xml:space="preserve">28% of </w:t>
      </w:r>
      <w:r>
        <w:rPr>
          <w:rFonts w:eastAsia="Calibri"/>
          <w:sz w:val="22"/>
          <w:szCs w:val="22"/>
          <w:highlight w:val="yellow"/>
        </w:rPr>
        <w:t>surve</w:t>
      </w:r>
      <w:r w:rsidR="00F75EE2">
        <w:rPr>
          <w:rFonts w:eastAsia="Calibri"/>
          <w:sz w:val="22"/>
          <w:szCs w:val="22"/>
          <w:highlight w:val="yellow"/>
        </w:rPr>
        <w:t>yed</w:t>
      </w:r>
      <w:r>
        <w:rPr>
          <w:rFonts w:eastAsia="Calibri"/>
          <w:sz w:val="22"/>
          <w:szCs w:val="22"/>
          <w:highlight w:val="yellow"/>
        </w:rPr>
        <w:t xml:space="preserve"> families</w:t>
      </w:r>
      <w:r w:rsidR="00F75EE2">
        <w:rPr>
          <w:rFonts w:eastAsia="Calibri"/>
          <w:sz w:val="22"/>
          <w:szCs w:val="22"/>
          <w:highlight w:val="yellow"/>
        </w:rPr>
        <w:t xml:space="preserve"> did not want to pay more than 20% of their income on rent, while 52% expected to pay between 20% - 30 %. This means that for two fifths of the population, market rents are already higher than their accepted threshold. </w:t>
      </w:r>
      <w:r>
        <w:rPr>
          <w:rFonts w:eastAsia="Calibri"/>
          <w:sz w:val="22"/>
          <w:szCs w:val="22"/>
          <w:highlight w:val="yellow"/>
        </w:rPr>
        <w:t xml:space="preserve"> </w:t>
      </w:r>
    </w:p>
    <w:p w14:paraId="2B86884D" w14:textId="77777777" w:rsidR="005F2191" w:rsidRDefault="005F2191" w:rsidP="00A21ABA">
      <w:pPr>
        <w:spacing w:after="160" w:line="259" w:lineRule="auto"/>
        <w:ind w:left="720"/>
        <w:contextualSpacing/>
        <w:jc w:val="both"/>
        <w:rPr>
          <w:rFonts w:eastAsia="Calibri"/>
          <w:sz w:val="22"/>
          <w:szCs w:val="22"/>
          <w:highlight w:val="yellow"/>
        </w:rPr>
      </w:pPr>
    </w:p>
    <w:p w14:paraId="60196F84" w14:textId="75672B9F" w:rsidR="00177D17" w:rsidRPr="00635083" w:rsidRDefault="00F75EE2" w:rsidP="00A21ABA">
      <w:pPr>
        <w:spacing w:after="160" w:line="259" w:lineRule="auto"/>
        <w:ind w:left="720"/>
        <w:contextualSpacing/>
        <w:jc w:val="both"/>
        <w:rPr>
          <w:rFonts w:eastAsia="Calibri"/>
          <w:sz w:val="22"/>
          <w:szCs w:val="22"/>
          <w:highlight w:val="yellow"/>
        </w:rPr>
      </w:pPr>
      <w:r>
        <w:rPr>
          <w:rFonts w:eastAsia="Calibri"/>
          <w:sz w:val="22"/>
          <w:szCs w:val="22"/>
          <w:highlight w:val="yellow"/>
        </w:rPr>
        <w:t>Other studies that corroborate this are the CAPMAS</w:t>
      </w:r>
      <w:r w:rsidR="00B330CD" w:rsidRPr="00635083">
        <w:rPr>
          <w:rFonts w:eastAsia="Calibri"/>
          <w:sz w:val="22"/>
          <w:szCs w:val="22"/>
          <w:highlight w:val="yellow"/>
        </w:rPr>
        <w:t xml:space="preserve"> Household Income and Expenditure Survey</w:t>
      </w:r>
      <w:r>
        <w:rPr>
          <w:rFonts w:eastAsia="Calibri"/>
          <w:sz w:val="22"/>
          <w:szCs w:val="22"/>
          <w:highlight w:val="yellow"/>
        </w:rPr>
        <w:t>, conducted roughly every two years. The latest one of 2019/2020, that falls at the time of the aforementioned demand study,</w:t>
      </w:r>
      <w:r w:rsidR="00B330CD" w:rsidRPr="00635083">
        <w:rPr>
          <w:rFonts w:eastAsia="Calibri"/>
          <w:sz w:val="22"/>
          <w:szCs w:val="22"/>
          <w:highlight w:val="yellow"/>
        </w:rPr>
        <w:t xml:space="preserve"> shows that housing expense</w:t>
      </w:r>
      <w:r w:rsidR="00E113C4" w:rsidRPr="00635083">
        <w:rPr>
          <w:rFonts w:eastAsia="Calibri"/>
          <w:sz w:val="22"/>
          <w:szCs w:val="22"/>
          <w:highlight w:val="yellow"/>
        </w:rPr>
        <w:t>s</w:t>
      </w:r>
      <w:r w:rsidR="00B330CD" w:rsidRPr="00635083">
        <w:rPr>
          <w:rFonts w:eastAsia="Calibri"/>
          <w:sz w:val="22"/>
          <w:szCs w:val="22"/>
          <w:highlight w:val="yellow"/>
        </w:rPr>
        <w:t xml:space="preserve"> (rents, utilities and maintenance) account for an average of 19.2% of total expenses</w:t>
      </w:r>
      <w:r w:rsidR="00EB6406" w:rsidRPr="00635083">
        <w:rPr>
          <w:rFonts w:eastAsia="Calibri"/>
          <w:sz w:val="22"/>
          <w:szCs w:val="22"/>
          <w:highlight w:val="yellow"/>
        </w:rPr>
        <w:t>, which is higher in urban areas (20.4%) than in rural areas (17.9%)</w:t>
      </w:r>
      <w:r w:rsidR="00A21ABA" w:rsidRPr="00635083">
        <w:rPr>
          <w:rFonts w:eastAsia="Calibri"/>
          <w:sz w:val="22"/>
          <w:szCs w:val="22"/>
          <w:highlight w:val="yellow"/>
        </w:rPr>
        <w:t xml:space="preserve"> (</w:t>
      </w:r>
      <w:r w:rsidR="00A21ABA" w:rsidRPr="00635083">
        <w:rPr>
          <w:rFonts w:eastAsia="Calibri"/>
          <w:sz w:val="22"/>
          <w:szCs w:val="22"/>
          <w:highlight w:val="yellow"/>
        </w:rPr>
        <w:fldChar w:fldCharType="begin"/>
      </w:r>
      <w:r w:rsidR="00A21ABA" w:rsidRPr="00635083">
        <w:rPr>
          <w:rFonts w:eastAsia="Calibri"/>
          <w:sz w:val="22"/>
          <w:szCs w:val="22"/>
          <w:highlight w:val="yellow"/>
        </w:rPr>
        <w:instrText xml:space="preserve"> REF _Ref133315191 \h </w:instrText>
      </w:r>
      <w:r w:rsidR="00635083">
        <w:rPr>
          <w:rFonts w:eastAsia="Calibri"/>
          <w:sz w:val="22"/>
          <w:szCs w:val="22"/>
          <w:highlight w:val="yellow"/>
        </w:rPr>
        <w:instrText xml:space="preserve"> \* MERGEFORMAT </w:instrText>
      </w:r>
      <w:r w:rsidR="00A21ABA" w:rsidRPr="00635083">
        <w:rPr>
          <w:rFonts w:eastAsia="Calibri"/>
          <w:sz w:val="22"/>
          <w:szCs w:val="22"/>
          <w:highlight w:val="yellow"/>
        </w:rPr>
      </w:r>
      <w:r w:rsidR="00A21ABA" w:rsidRPr="00635083">
        <w:rPr>
          <w:rFonts w:eastAsia="Calibri"/>
          <w:sz w:val="22"/>
          <w:szCs w:val="22"/>
          <w:highlight w:val="yellow"/>
        </w:rPr>
        <w:fldChar w:fldCharType="separate"/>
      </w:r>
      <w:r w:rsidR="00A21ABA" w:rsidRPr="00635083">
        <w:rPr>
          <w:rFonts w:eastAsia="Calibri"/>
          <w:sz w:val="22"/>
          <w:szCs w:val="22"/>
          <w:highlight w:val="yellow"/>
        </w:rPr>
        <w:t>Table 1</w:t>
      </w:r>
      <w:r w:rsidR="00A21ABA" w:rsidRPr="00635083">
        <w:rPr>
          <w:rFonts w:eastAsia="Calibri"/>
          <w:sz w:val="22"/>
          <w:szCs w:val="22"/>
          <w:highlight w:val="yellow"/>
        </w:rPr>
        <w:fldChar w:fldCharType="end"/>
      </w:r>
      <w:r w:rsidR="00A21ABA" w:rsidRPr="00635083">
        <w:rPr>
          <w:rFonts w:eastAsia="Calibri"/>
          <w:sz w:val="22"/>
          <w:szCs w:val="22"/>
          <w:highlight w:val="yellow"/>
        </w:rPr>
        <w:t>)</w:t>
      </w:r>
      <w:r w:rsidR="00EB6406" w:rsidRPr="00635083">
        <w:rPr>
          <w:rFonts w:eastAsia="Calibri"/>
          <w:sz w:val="22"/>
          <w:szCs w:val="22"/>
          <w:highlight w:val="yellow"/>
        </w:rPr>
        <w:t>.</w:t>
      </w:r>
      <w:r w:rsidR="00177D17" w:rsidRPr="00635083">
        <w:rPr>
          <w:rFonts w:eastAsia="Calibri"/>
          <w:sz w:val="22"/>
          <w:szCs w:val="22"/>
          <w:highlight w:val="yellow"/>
        </w:rPr>
        <w:t xml:space="preserve"> </w:t>
      </w:r>
      <w:r w:rsidR="00EB6406" w:rsidRPr="00635083">
        <w:rPr>
          <w:rFonts w:eastAsia="Calibri"/>
          <w:sz w:val="22"/>
          <w:szCs w:val="22"/>
          <w:highlight w:val="yellow"/>
        </w:rPr>
        <w:t>Poorer households bear a higher burden, with the lowest 10% paying 23.1% of their income on housing expenses</w:t>
      </w:r>
      <w:r w:rsidR="00177D17" w:rsidRPr="00635083">
        <w:rPr>
          <w:rFonts w:eastAsia="Calibri"/>
          <w:sz w:val="22"/>
          <w:szCs w:val="22"/>
          <w:highlight w:val="yellow"/>
        </w:rPr>
        <w:t xml:space="preserve"> (</w:t>
      </w:r>
      <w:r w:rsidR="00177D17" w:rsidRPr="00635083">
        <w:rPr>
          <w:rFonts w:eastAsia="Calibri"/>
          <w:sz w:val="22"/>
          <w:szCs w:val="22"/>
          <w:highlight w:val="yellow"/>
        </w:rPr>
        <w:fldChar w:fldCharType="begin"/>
      </w:r>
      <w:r w:rsidR="00177D17" w:rsidRPr="00635083">
        <w:rPr>
          <w:rFonts w:eastAsia="Calibri"/>
          <w:sz w:val="22"/>
          <w:szCs w:val="22"/>
          <w:highlight w:val="yellow"/>
        </w:rPr>
        <w:instrText xml:space="preserve"> REF _Ref133315191 \h </w:instrText>
      </w:r>
      <w:r w:rsidR="00635083">
        <w:rPr>
          <w:rFonts w:eastAsia="Calibri"/>
          <w:sz w:val="22"/>
          <w:szCs w:val="22"/>
          <w:highlight w:val="yellow"/>
        </w:rPr>
        <w:instrText xml:space="preserve"> \* MERGEFORMAT </w:instrText>
      </w:r>
      <w:r w:rsidR="00177D17" w:rsidRPr="00635083">
        <w:rPr>
          <w:rFonts w:eastAsia="Calibri"/>
          <w:sz w:val="22"/>
          <w:szCs w:val="22"/>
          <w:highlight w:val="yellow"/>
        </w:rPr>
      </w:r>
      <w:r w:rsidR="00177D17" w:rsidRPr="00635083">
        <w:rPr>
          <w:rFonts w:eastAsia="Calibri"/>
          <w:sz w:val="22"/>
          <w:szCs w:val="22"/>
          <w:highlight w:val="yellow"/>
        </w:rPr>
        <w:fldChar w:fldCharType="separate"/>
      </w:r>
      <w:r w:rsidR="00177D17" w:rsidRPr="00635083">
        <w:rPr>
          <w:highlight w:val="yellow"/>
        </w:rPr>
        <w:t xml:space="preserve">Table </w:t>
      </w:r>
      <w:r w:rsidR="00177D17" w:rsidRPr="00635083">
        <w:rPr>
          <w:noProof/>
          <w:highlight w:val="yellow"/>
        </w:rPr>
        <w:t>1</w:t>
      </w:r>
      <w:r w:rsidR="00177D17" w:rsidRPr="00635083">
        <w:rPr>
          <w:rFonts w:eastAsia="Calibri"/>
          <w:sz w:val="22"/>
          <w:szCs w:val="22"/>
          <w:highlight w:val="yellow"/>
        </w:rPr>
        <w:fldChar w:fldCharType="end"/>
      </w:r>
      <w:r w:rsidR="00177D17" w:rsidRPr="00635083">
        <w:rPr>
          <w:rFonts w:eastAsia="Calibri"/>
          <w:sz w:val="22"/>
          <w:szCs w:val="22"/>
          <w:highlight w:val="yellow"/>
        </w:rPr>
        <w:t>)</w:t>
      </w:r>
      <w:r w:rsidR="00EB6406" w:rsidRPr="00635083">
        <w:rPr>
          <w:rFonts w:eastAsia="Calibri"/>
          <w:sz w:val="22"/>
          <w:szCs w:val="22"/>
          <w:highlight w:val="yellow"/>
        </w:rPr>
        <w:t>.</w:t>
      </w:r>
      <w:r w:rsidR="00FB03D9" w:rsidRPr="00635083">
        <w:rPr>
          <w:rFonts w:eastAsia="Calibri"/>
          <w:sz w:val="22"/>
          <w:szCs w:val="22"/>
          <w:highlight w:val="yellow"/>
        </w:rPr>
        <w:t xml:space="preserve"> </w:t>
      </w:r>
    </w:p>
    <w:p w14:paraId="599A8422" w14:textId="77777777" w:rsidR="00177D17" w:rsidRPr="00635083" w:rsidRDefault="00177D17" w:rsidP="009F2B1C">
      <w:pPr>
        <w:spacing w:after="160" w:line="259" w:lineRule="auto"/>
        <w:ind w:left="720"/>
        <w:contextualSpacing/>
        <w:jc w:val="both"/>
        <w:rPr>
          <w:rFonts w:eastAsia="Calibri"/>
          <w:sz w:val="22"/>
          <w:szCs w:val="22"/>
          <w:highlight w:val="yellow"/>
        </w:rPr>
      </w:pPr>
    </w:p>
    <w:p w14:paraId="5A633056" w14:textId="3AF1640C" w:rsidR="00177D17" w:rsidRPr="00635083" w:rsidRDefault="00177D17" w:rsidP="00177D17">
      <w:pPr>
        <w:pStyle w:val="Caption"/>
        <w:keepNext/>
        <w:rPr>
          <w:highlight w:val="yellow"/>
        </w:rPr>
      </w:pPr>
      <w:bookmarkStart w:id="1" w:name="_Ref133315191"/>
      <w:r w:rsidRPr="00635083">
        <w:rPr>
          <w:highlight w:val="yellow"/>
        </w:rPr>
        <w:t xml:space="preserve">Table </w:t>
      </w:r>
      <w:r w:rsidRPr="00635083">
        <w:rPr>
          <w:highlight w:val="yellow"/>
        </w:rPr>
        <w:fldChar w:fldCharType="begin"/>
      </w:r>
      <w:r w:rsidRPr="00635083">
        <w:rPr>
          <w:highlight w:val="yellow"/>
        </w:rPr>
        <w:instrText xml:space="preserve"> SEQ Table \* ARABIC </w:instrText>
      </w:r>
      <w:r w:rsidRPr="00635083">
        <w:rPr>
          <w:highlight w:val="yellow"/>
        </w:rPr>
        <w:fldChar w:fldCharType="separate"/>
      </w:r>
      <w:r w:rsidR="00591B1B">
        <w:rPr>
          <w:noProof/>
          <w:highlight w:val="yellow"/>
        </w:rPr>
        <w:t>1</w:t>
      </w:r>
      <w:r w:rsidRPr="00635083">
        <w:rPr>
          <w:noProof/>
          <w:highlight w:val="yellow"/>
        </w:rPr>
        <w:fldChar w:fldCharType="end"/>
      </w:r>
      <w:bookmarkEnd w:id="1"/>
      <w:r w:rsidRPr="00635083">
        <w:rPr>
          <w:highlight w:val="yellow"/>
          <w:lang w:val="en-US"/>
        </w:rPr>
        <w:t>: Share of household expenses by item and household location in 2019/2020.</w:t>
      </w:r>
      <w:r w:rsidRPr="00635083">
        <w:rPr>
          <w:highlight w:val="yellow"/>
          <w:vertAlign w:val="superscript"/>
        </w:rPr>
        <w:footnoteReference w:id="4"/>
      </w:r>
    </w:p>
    <w:tbl>
      <w:tblPr>
        <w:tblW w:w="8772" w:type="dxa"/>
        <w:tblLook w:val="04A0" w:firstRow="1" w:lastRow="0" w:firstColumn="1" w:lastColumn="0" w:noHBand="0" w:noVBand="1"/>
      </w:tblPr>
      <w:tblGrid>
        <w:gridCol w:w="3172"/>
        <w:gridCol w:w="1054"/>
        <w:gridCol w:w="1341"/>
        <w:gridCol w:w="913"/>
        <w:gridCol w:w="1146"/>
        <w:gridCol w:w="1146"/>
      </w:tblGrid>
      <w:tr w:rsidR="00177D17" w:rsidRPr="00EC78B0" w14:paraId="76539F8C" w14:textId="77777777" w:rsidTr="00EC78B0">
        <w:trPr>
          <w:trHeight w:val="742"/>
        </w:trPr>
        <w:tc>
          <w:tcPr>
            <w:tcW w:w="3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ED12C" w14:textId="77777777" w:rsidR="00177D17" w:rsidRPr="00EC78B0" w:rsidRDefault="00177D17" w:rsidP="00177D17">
            <w:pPr>
              <w:jc w:val="center"/>
              <w:rPr>
                <w:b/>
                <w:bCs/>
                <w:color w:val="000000"/>
                <w:highlight w:val="yellow"/>
                <w:lang w:val="en-US"/>
              </w:rPr>
            </w:pPr>
            <w:r w:rsidRPr="00EC78B0">
              <w:rPr>
                <w:b/>
                <w:bCs/>
                <w:color w:val="000000"/>
                <w:highlight w:val="yellow"/>
                <w:lang w:val="en-US"/>
              </w:rPr>
              <w:t>Expenses</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180B7FCB" w14:textId="77777777" w:rsidR="00177D17" w:rsidRPr="00EC78B0" w:rsidRDefault="00177D17" w:rsidP="00177D17">
            <w:pPr>
              <w:jc w:val="center"/>
              <w:rPr>
                <w:b/>
                <w:bCs/>
                <w:color w:val="000000"/>
                <w:highlight w:val="yellow"/>
                <w:lang w:val="en-US"/>
              </w:rPr>
            </w:pPr>
            <w:r w:rsidRPr="00EC78B0">
              <w:rPr>
                <w:b/>
                <w:bCs/>
                <w:color w:val="000000"/>
                <w:highlight w:val="yellow"/>
                <w:lang w:val="en-US"/>
              </w:rPr>
              <w:t>Egypt</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0C325D80" w14:textId="77777777" w:rsidR="00177D17" w:rsidRPr="00EC78B0" w:rsidRDefault="00177D17" w:rsidP="00177D17">
            <w:pPr>
              <w:jc w:val="center"/>
              <w:rPr>
                <w:b/>
                <w:bCs/>
                <w:color w:val="000000"/>
                <w:highlight w:val="yellow"/>
                <w:lang w:val="en-US"/>
              </w:rPr>
            </w:pPr>
            <w:r w:rsidRPr="00EC78B0">
              <w:rPr>
                <w:b/>
                <w:bCs/>
                <w:color w:val="000000"/>
                <w:highlight w:val="yellow"/>
                <w:lang w:val="en-US"/>
              </w:rPr>
              <w:t>Urban</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0339A74F" w14:textId="77777777" w:rsidR="00177D17" w:rsidRPr="00EC78B0" w:rsidRDefault="00177D17" w:rsidP="00177D17">
            <w:pPr>
              <w:jc w:val="center"/>
              <w:rPr>
                <w:b/>
                <w:bCs/>
                <w:color w:val="000000"/>
                <w:highlight w:val="yellow"/>
                <w:lang w:val="en-US"/>
              </w:rPr>
            </w:pPr>
            <w:r w:rsidRPr="00EC78B0">
              <w:rPr>
                <w:b/>
                <w:bCs/>
                <w:color w:val="000000"/>
                <w:highlight w:val="yellow"/>
                <w:lang w:val="en-US"/>
              </w:rPr>
              <w:t>Rural</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55D430D4" w14:textId="77777777" w:rsidR="00177D17" w:rsidRPr="00EC78B0" w:rsidRDefault="00177D17" w:rsidP="00177D17">
            <w:pPr>
              <w:jc w:val="center"/>
              <w:rPr>
                <w:b/>
                <w:bCs/>
                <w:color w:val="000000"/>
                <w:highlight w:val="yellow"/>
                <w:lang w:val="en-US"/>
              </w:rPr>
            </w:pPr>
            <w:r w:rsidRPr="00EC78B0">
              <w:rPr>
                <w:b/>
                <w:bCs/>
                <w:color w:val="000000"/>
                <w:highlight w:val="yellow"/>
                <w:lang w:val="en-US"/>
              </w:rPr>
              <w:t>10th percentile Urban</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48621886" w14:textId="77777777" w:rsidR="00177D17" w:rsidRPr="00EC78B0" w:rsidRDefault="00177D17" w:rsidP="00177D17">
            <w:pPr>
              <w:jc w:val="center"/>
              <w:rPr>
                <w:b/>
                <w:bCs/>
                <w:color w:val="000000"/>
                <w:highlight w:val="yellow"/>
                <w:lang w:val="en-US"/>
              </w:rPr>
            </w:pPr>
            <w:r w:rsidRPr="00EC78B0">
              <w:rPr>
                <w:b/>
                <w:bCs/>
                <w:color w:val="000000"/>
                <w:highlight w:val="yellow"/>
                <w:lang w:val="en-US"/>
              </w:rPr>
              <w:t>10th percentile Rural</w:t>
            </w:r>
          </w:p>
        </w:tc>
      </w:tr>
      <w:tr w:rsidR="00177D17" w:rsidRPr="00EC78B0" w14:paraId="6B032145" w14:textId="77777777" w:rsidTr="00EC78B0">
        <w:trPr>
          <w:trHeight w:val="214"/>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14:paraId="011CBA05" w14:textId="77777777" w:rsidR="00177D17" w:rsidRPr="00EC78B0" w:rsidRDefault="00177D17" w:rsidP="00177D17">
            <w:pPr>
              <w:rPr>
                <w:highlight w:val="yellow"/>
                <w:lang w:val="en-US"/>
              </w:rPr>
            </w:pPr>
            <w:r w:rsidRPr="00EC78B0">
              <w:rPr>
                <w:highlight w:val="yellow"/>
                <w:lang w:val="en-US"/>
              </w:rPr>
              <w:t>Food and Non-Alcoholic Beverages</w:t>
            </w:r>
          </w:p>
        </w:tc>
        <w:tc>
          <w:tcPr>
            <w:tcW w:w="1054" w:type="dxa"/>
            <w:tcBorders>
              <w:top w:val="nil"/>
              <w:left w:val="nil"/>
              <w:bottom w:val="single" w:sz="4" w:space="0" w:color="auto"/>
              <w:right w:val="single" w:sz="4" w:space="0" w:color="auto"/>
            </w:tcBorders>
            <w:shd w:val="clear" w:color="auto" w:fill="auto"/>
            <w:noWrap/>
            <w:vAlign w:val="bottom"/>
            <w:hideMark/>
          </w:tcPr>
          <w:p w14:paraId="4619048B" w14:textId="77777777" w:rsidR="00177D17" w:rsidRPr="00EC78B0" w:rsidRDefault="00177D17" w:rsidP="00177D17">
            <w:pPr>
              <w:jc w:val="center"/>
              <w:rPr>
                <w:color w:val="000000"/>
                <w:highlight w:val="yellow"/>
                <w:lang w:val="en-US"/>
              </w:rPr>
            </w:pPr>
            <w:r w:rsidRPr="00EC78B0">
              <w:rPr>
                <w:color w:val="000000"/>
                <w:highlight w:val="yellow"/>
                <w:lang w:val="en-US"/>
              </w:rPr>
              <w:t>31.1</w:t>
            </w:r>
          </w:p>
        </w:tc>
        <w:tc>
          <w:tcPr>
            <w:tcW w:w="1341" w:type="dxa"/>
            <w:tcBorders>
              <w:top w:val="nil"/>
              <w:left w:val="nil"/>
              <w:bottom w:val="single" w:sz="4" w:space="0" w:color="auto"/>
              <w:right w:val="single" w:sz="4" w:space="0" w:color="auto"/>
            </w:tcBorders>
            <w:shd w:val="clear" w:color="auto" w:fill="auto"/>
            <w:noWrap/>
            <w:vAlign w:val="bottom"/>
            <w:hideMark/>
          </w:tcPr>
          <w:p w14:paraId="48D02136" w14:textId="77777777" w:rsidR="00177D17" w:rsidRPr="00EC78B0" w:rsidRDefault="00177D17" w:rsidP="00177D17">
            <w:pPr>
              <w:jc w:val="center"/>
              <w:rPr>
                <w:color w:val="000000"/>
                <w:highlight w:val="yellow"/>
                <w:lang w:val="en-US"/>
              </w:rPr>
            </w:pPr>
            <w:r w:rsidRPr="00EC78B0">
              <w:rPr>
                <w:color w:val="000000"/>
                <w:highlight w:val="yellow"/>
                <w:lang w:val="en-US"/>
              </w:rPr>
              <w:t>27.7</w:t>
            </w:r>
          </w:p>
        </w:tc>
        <w:tc>
          <w:tcPr>
            <w:tcW w:w="913" w:type="dxa"/>
            <w:tcBorders>
              <w:top w:val="nil"/>
              <w:left w:val="nil"/>
              <w:bottom w:val="single" w:sz="4" w:space="0" w:color="auto"/>
              <w:right w:val="single" w:sz="4" w:space="0" w:color="auto"/>
            </w:tcBorders>
            <w:shd w:val="clear" w:color="auto" w:fill="auto"/>
            <w:noWrap/>
            <w:vAlign w:val="bottom"/>
            <w:hideMark/>
          </w:tcPr>
          <w:p w14:paraId="7396FC51" w14:textId="77777777" w:rsidR="00177D17" w:rsidRPr="00EC78B0" w:rsidRDefault="00177D17" w:rsidP="00177D17">
            <w:pPr>
              <w:jc w:val="center"/>
              <w:rPr>
                <w:color w:val="000000"/>
                <w:highlight w:val="yellow"/>
                <w:lang w:val="en-US"/>
              </w:rPr>
            </w:pPr>
            <w:r w:rsidRPr="00EC78B0">
              <w:rPr>
                <w:color w:val="000000"/>
                <w:highlight w:val="yellow"/>
                <w:lang w:val="en-US"/>
              </w:rPr>
              <w:t>34.6</w:t>
            </w:r>
          </w:p>
        </w:tc>
        <w:tc>
          <w:tcPr>
            <w:tcW w:w="1146" w:type="dxa"/>
            <w:tcBorders>
              <w:top w:val="nil"/>
              <w:left w:val="nil"/>
              <w:bottom w:val="single" w:sz="4" w:space="0" w:color="auto"/>
              <w:right w:val="single" w:sz="4" w:space="0" w:color="auto"/>
            </w:tcBorders>
            <w:shd w:val="clear" w:color="auto" w:fill="auto"/>
            <w:noWrap/>
            <w:vAlign w:val="bottom"/>
            <w:hideMark/>
          </w:tcPr>
          <w:p w14:paraId="025A9841" w14:textId="77777777" w:rsidR="00177D17" w:rsidRPr="00EC78B0" w:rsidRDefault="00177D17" w:rsidP="00177D17">
            <w:pPr>
              <w:jc w:val="right"/>
              <w:rPr>
                <w:color w:val="000000"/>
                <w:highlight w:val="yellow"/>
                <w:lang w:val="en-US"/>
              </w:rPr>
            </w:pPr>
            <w:r w:rsidRPr="00EC78B0">
              <w:rPr>
                <w:color w:val="000000"/>
                <w:highlight w:val="yellow"/>
                <w:lang w:val="en-US"/>
              </w:rPr>
              <w:t>42</w:t>
            </w:r>
          </w:p>
        </w:tc>
        <w:tc>
          <w:tcPr>
            <w:tcW w:w="1146" w:type="dxa"/>
            <w:tcBorders>
              <w:top w:val="nil"/>
              <w:left w:val="nil"/>
              <w:bottom w:val="single" w:sz="4" w:space="0" w:color="auto"/>
              <w:right w:val="single" w:sz="4" w:space="0" w:color="auto"/>
            </w:tcBorders>
            <w:shd w:val="clear" w:color="auto" w:fill="auto"/>
            <w:noWrap/>
            <w:vAlign w:val="bottom"/>
            <w:hideMark/>
          </w:tcPr>
          <w:p w14:paraId="688FAD95" w14:textId="77777777" w:rsidR="00177D17" w:rsidRPr="00EC78B0" w:rsidRDefault="00177D17" w:rsidP="00177D17">
            <w:pPr>
              <w:jc w:val="right"/>
              <w:rPr>
                <w:color w:val="000000"/>
                <w:highlight w:val="yellow"/>
                <w:lang w:val="en-US"/>
              </w:rPr>
            </w:pPr>
            <w:r w:rsidRPr="00EC78B0">
              <w:rPr>
                <w:color w:val="000000"/>
                <w:highlight w:val="yellow"/>
                <w:lang w:val="en-US"/>
              </w:rPr>
              <w:t>46.7</w:t>
            </w:r>
          </w:p>
        </w:tc>
      </w:tr>
      <w:tr w:rsidR="00177D17" w:rsidRPr="00EC78B0" w14:paraId="2BE47A55" w14:textId="77777777" w:rsidTr="00EC78B0">
        <w:trPr>
          <w:trHeight w:val="214"/>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14:paraId="7220335F" w14:textId="77777777" w:rsidR="00177D17" w:rsidRPr="00EC78B0" w:rsidRDefault="00177D17" w:rsidP="00177D17">
            <w:pPr>
              <w:rPr>
                <w:b/>
                <w:bCs/>
                <w:highlight w:val="yellow"/>
                <w:lang w:val="en-US"/>
              </w:rPr>
            </w:pPr>
            <w:r w:rsidRPr="00EC78B0">
              <w:rPr>
                <w:b/>
                <w:bCs/>
                <w:highlight w:val="yellow"/>
                <w:lang w:val="en-US"/>
              </w:rPr>
              <w:t>Housing Utilities</w:t>
            </w:r>
          </w:p>
        </w:tc>
        <w:tc>
          <w:tcPr>
            <w:tcW w:w="1054" w:type="dxa"/>
            <w:tcBorders>
              <w:top w:val="nil"/>
              <w:left w:val="nil"/>
              <w:bottom w:val="single" w:sz="4" w:space="0" w:color="auto"/>
              <w:right w:val="single" w:sz="4" w:space="0" w:color="auto"/>
            </w:tcBorders>
            <w:shd w:val="clear" w:color="auto" w:fill="auto"/>
            <w:noWrap/>
            <w:vAlign w:val="bottom"/>
            <w:hideMark/>
          </w:tcPr>
          <w:p w14:paraId="585FC583" w14:textId="77777777" w:rsidR="00177D17" w:rsidRPr="00EC78B0" w:rsidRDefault="00177D17" w:rsidP="00177D17">
            <w:pPr>
              <w:jc w:val="center"/>
              <w:rPr>
                <w:b/>
                <w:bCs/>
                <w:color w:val="000000"/>
                <w:highlight w:val="yellow"/>
                <w:lang w:val="en-US"/>
              </w:rPr>
            </w:pPr>
            <w:r w:rsidRPr="00EC78B0">
              <w:rPr>
                <w:b/>
                <w:bCs/>
                <w:color w:val="000000"/>
                <w:highlight w:val="yellow"/>
                <w:lang w:val="en-US"/>
              </w:rPr>
              <w:t>19.2</w:t>
            </w:r>
          </w:p>
        </w:tc>
        <w:tc>
          <w:tcPr>
            <w:tcW w:w="1341" w:type="dxa"/>
            <w:tcBorders>
              <w:top w:val="nil"/>
              <w:left w:val="nil"/>
              <w:bottom w:val="single" w:sz="4" w:space="0" w:color="auto"/>
              <w:right w:val="single" w:sz="4" w:space="0" w:color="auto"/>
            </w:tcBorders>
            <w:shd w:val="clear" w:color="auto" w:fill="auto"/>
            <w:noWrap/>
            <w:vAlign w:val="bottom"/>
            <w:hideMark/>
          </w:tcPr>
          <w:p w14:paraId="6D29121F" w14:textId="77777777" w:rsidR="00177D17" w:rsidRPr="00EC78B0" w:rsidRDefault="00177D17" w:rsidP="00177D17">
            <w:pPr>
              <w:jc w:val="center"/>
              <w:rPr>
                <w:b/>
                <w:bCs/>
                <w:color w:val="000000"/>
                <w:highlight w:val="yellow"/>
                <w:lang w:val="en-US"/>
              </w:rPr>
            </w:pPr>
            <w:r w:rsidRPr="00EC78B0">
              <w:rPr>
                <w:b/>
                <w:bCs/>
                <w:color w:val="000000"/>
                <w:highlight w:val="yellow"/>
                <w:lang w:val="en-US"/>
              </w:rPr>
              <w:t>20.4</w:t>
            </w:r>
          </w:p>
        </w:tc>
        <w:tc>
          <w:tcPr>
            <w:tcW w:w="913" w:type="dxa"/>
            <w:tcBorders>
              <w:top w:val="nil"/>
              <w:left w:val="nil"/>
              <w:bottom w:val="single" w:sz="4" w:space="0" w:color="auto"/>
              <w:right w:val="single" w:sz="4" w:space="0" w:color="auto"/>
            </w:tcBorders>
            <w:shd w:val="clear" w:color="auto" w:fill="auto"/>
            <w:noWrap/>
            <w:vAlign w:val="bottom"/>
            <w:hideMark/>
          </w:tcPr>
          <w:p w14:paraId="5BA91FCD" w14:textId="77777777" w:rsidR="00177D17" w:rsidRPr="00EC78B0" w:rsidRDefault="00177D17" w:rsidP="00177D17">
            <w:pPr>
              <w:jc w:val="center"/>
              <w:rPr>
                <w:b/>
                <w:bCs/>
                <w:color w:val="000000"/>
                <w:highlight w:val="yellow"/>
                <w:lang w:val="en-US"/>
              </w:rPr>
            </w:pPr>
            <w:r w:rsidRPr="00EC78B0">
              <w:rPr>
                <w:b/>
                <w:bCs/>
                <w:color w:val="000000"/>
                <w:highlight w:val="yellow"/>
                <w:lang w:val="en-US"/>
              </w:rPr>
              <w:t>17.9</w:t>
            </w:r>
          </w:p>
        </w:tc>
        <w:tc>
          <w:tcPr>
            <w:tcW w:w="1146" w:type="dxa"/>
            <w:tcBorders>
              <w:top w:val="nil"/>
              <w:left w:val="nil"/>
              <w:bottom w:val="single" w:sz="4" w:space="0" w:color="auto"/>
              <w:right w:val="single" w:sz="4" w:space="0" w:color="auto"/>
            </w:tcBorders>
            <w:shd w:val="clear" w:color="auto" w:fill="auto"/>
            <w:noWrap/>
            <w:vAlign w:val="bottom"/>
            <w:hideMark/>
          </w:tcPr>
          <w:p w14:paraId="0235F516" w14:textId="77777777" w:rsidR="00177D17" w:rsidRPr="00EC78B0" w:rsidRDefault="00177D17" w:rsidP="00177D17">
            <w:pPr>
              <w:jc w:val="right"/>
              <w:rPr>
                <w:b/>
                <w:bCs/>
                <w:color w:val="000000"/>
                <w:highlight w:val="yellow"/>
                <w:lang w:val="en-US"/>
              </w:rPr>
            </w:pPr>
            <w:r w:rsidRPr="00EC78B0">
              <w:rPr>
                <w:b/>
                <w:bCs/>
                <w:color w:val="000000"/>
                <w:highlight w:val="yellow"/>
                <w:lang w:val="en-US"/>
              </w:rPr>
              <w:t>23.1</w:t>
            </w:r>
          </w:p>
        </w:tc>
        <w:tc>
          <w:tcPr>
            <w:tcW w:w="1146" w:type="dxa"/>
            <w:tcBorders>
              <w:top w:val="nil"/>
              <w:left w:val="nil"/>
              <w:bottom w:val="single" w:sz="4" w:space="0" w:color="auto"/>
              <w:right w:val="single" w:sz="4" w:space="0" w:color="auto"/>
            </w:tcBorders>
            <w:shd w:val="clear" w:color="auto" w:fill="auto"/>
            <w:noWrap/>
            <w:vAlign w:val="bottom"/>
            <w:hideMark/>
          </w:tcPr>
          <w:p w14:paraId="6B07F8E6" w14:textId="77777777" w:rsidR="00177D17" w:rsidRPr="00EC78B0" w:rsidRDefault="00177D17" w:rsidP="00177D17">
            <w:pPr>
              <w:jc w:val="right"/>
              <w:rPr>
                <w:b/>
                <w:bCs/>
                <w:color w:val="000000"/>
                <w:highlight w:val="yellow"/>
                <w:lang w:val="en-US"/>
              </w:rPr>
            </w:pPr>
            <w:r w:rsidRPr="00EC78B0">
              <w:rPr>
                <w:b/>
                <w:bCs/>
                <w:color w:val="000000"/>
                <w:highlight w:val="yellow"/>
                <w:lang w:val="en-US"/>
              </w:rPr>
              <w:t>23.1</w:t>
            </w:r>
          </w:p>
        </w:tc>
      </w:tr>
      <w:tr w:rsidR="00177D17" w:rsidRPr="00EC78B0" w14:paraId="3AADDB79" w14:textId="77777777" w:rsidTr="00EC78B0">
        <w:trPr>
          <w:trHeight w:val="214"/>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14:paraId="7735D323" w14:textId="77777777" w:rsidR="00177D17" w:rsidRPr="00EC78B0" w:rsidRDefault="00177D17" w:rsidP="00177D17">
            <w:pPr>
              <w:rPr>
                <w:highlight w:val="yellow"/>
                <w:lang w:val="en-US"/>
              </w:rPr>
            </w:pPr>
            <w:r w:rsidRPr="00EC78B0">
              <w:rPr>
                <w:highlight w:val="yellow"/>
                <w:lang w:val="en-US"/>
              </w:rPr>
              <w:t>Health</w:t>
            </w:r>
          </w:p>
        </w:tc>
        <w:tc>
          <w:tcPr>
            <w:tcW w:w="1054" w:type="dxa"/>
            <w:tcBorders>
              <w:top w:val="nil"/>
              <w:left w:val="nil"/>
              <w:bottom w:val="single" w:sz="4" w:space="0" w:color="auto"/>
              <w:right w:val="single" w:sz="4" w:space="0" w:color="auto"/>
            </w:tcBorders>
            <w:shd w:val="clear" w:color="auto" w:fill="auto"/>
            <w:noWrap/>
            <w:vAlign w:val="bottom"/>
            <w:hideMark/>
          </w:tcPr>
          <w:p w14:paraId="66F1D1C2" w14:textId="77777777" w:rsidR="00177D17" w:rsidRPr="00EC78B0" w:rsidRDefault="00177D17" w:rsidP="00177D17">
            <w:pPr>
              <w:jc w:val="center"/>
              <w:rPr>
                <w:color w:val="000000"/>
                <w:highlight w:val="yellow"/>
                <w:lang w:val="en-US"/>
              </w:rPr>
            </w:pPr>
            <w:r w:rsidRPr="00EC78B0">
              <w:rPr>
                <w:color w:val="000000"/>
                <w:highlight w:val="yellow"/>
                <w:lang w:val="en-US"/>
              </w:rPr>
              <w:t>10.4</w:t>
            </w:r>
          </w:p>
        </w:tc>
        <w:tc>
          <w:tcPr>
            <w:tcW w:w="1341" w:type="dxa"/>
            <w:tcBorders>
              <w:top w:val="nil"/>
              <w:left w:val="nil"/>
              <w:bottom w:val="single" w:sz="4" w:space="0" w:color="auto"/>
              <w:right w:val="single" w:sz="4" w:space="0" w:color="auto"/>
            </w:tcBorders>
            <w:shd w:val="clear" w:color="auto" w:fill="auto"/>
            <w:noWrap/>
            <w:vAlign w:val="bottom"/>
            <w:hideMark/>
          </w:tcPr>
          <w:p w14:paraId="6608FCFB" w14:textId="77777777" w:rsidR="00177D17" w:rsidRPr="00EC78B0" w:rsidRDefault="00177D17" w:rsidP="00177D17">
            <w:pPr>
              <w:jc w:val="center"/>
              <w:rPr>
                <w:color w:val="000000"/>
                <w:highlight w:val="yellow"/>
                <w:lang w:val="en-US"/>
              </w:rPr>
            </w:pPr>
            <w:r w:rsidRPr="00EC78B0">
              <w:rPr>
                <w:color w:val="000000"/>
                <w:highlight w:val="yellow"/>
                <w:lang w:val="en-US"/>
              </w:rPr>
              <w:t>9.5</w:t>
            </w:r>
          </w:p>
        </w:tc>
        <w:tc>
          <w:tcPr>
            <w:tcW w:w="913" w:type="dxa"/>
            <w:tcBorders>
              <w:top w:val="nil"/>
              <w:left w:val="nil"/>
              <w:bottom w:val="single" w:sz="4" w:space="0" w:color="auto"/>
              <w:right w:val="single" w:sz="4" w:space="0" w:color="auto"/>
            </w:tcBorders>
            <w:shd w:val="clear" w:color="auto" w:fill="auto"/>
            <w:noWrap/>
            <w:vAlign w:val="bottom"/>
            <w:hideMark/>
          </w:tcPr>
          <w:p w14:paraId="01DE0C8B" w14:textId="77777777" w:rsidR="00177D17" w:rsidRPr="00EC78B0" w:rsidRDefault="00177D17" w:rsidP="00177D17">
            <w:pPr>
              <w:jc w:val="center"/>
              <w:rPr>
                <w:color w:val="000000"/>
                <w:highlight w:val="yellow"/>
                <w:lang w:val="en-US"/>
              </w:rPr>
            </w:pPr>
            <w:r w:rsidRPr="00EC78B0">
              <w:rPr>
                <w:color w:val="000000"/>
                <w:highlight w:val="yellow"/>
                <w:lang w:val="en-US"/>
              </w:rPr>
              <w:t>11.2</w:t>
            </w:r>
          </w:p>
        </w:tc>
        <w:tc>
          <w:tcPr>
            <w:tcW w:w="1146" w:type="dxa"/>
            <w:tcBorders>
              <w:top w:val="nil"/>
              <w:left w:val="nil"/>
              <w:bottom w:val="single" w:sz="4" w:space="0" w:color="auto"/>
              <w:right w:val="single" w:sz="4" w:space="0" w:color="auto"/>
            </w:tcBorders>
            <w:shd w:val="clear" w:color="auto" w:fill="auto"/>
            <w:noWrap/>
            <w:vAlign w:val="bottom"/>
            <w:hideMark/>
          </w:tcPr>
          <w:p w14:paraId="3E93DE6D" w14:textId="77777777" w:rsidR="00177D17" w:rsidRPr="00EC78B0" w:rsidRDefault="00177D17" w:rsidP="00177D17">
            <w:pPr>
              <w:jc w:val="right"/>
              <w:rPr>
                <w:color w:val="000000"/>
                <w:highlight w:val="yellow"/>
                <w:lang w:val="en-US"/>
              </w:rPr>
            </w:pPr>
            <w:r w:rsidRPr="00EC78B0">
              <w:rPr>
                <w:color w:val="000000"/>
                <w:highlight w:val="yellow"/>
                <w:lang w:val="en-US"/>
              </w:rPr>
              <w:t>8.1</w:t>
            </w:r>
          </w:p>
        </w:tc>
        <w:tc>
          <w:tcPr>
            <w:tcW w:w="1146" w:type="dxa"/>
            <w:tcBorders>
              <w:top w:val="nil"/>
              <w:left w:val="nil"/>
              <w:bottom w:val="single" w:sz="4" w:space="0" w:color="auto"/>
              <w:right w:val="single" w:sz="4" w:space="0" w:color="auto"/>
            </w:tcBorders>
            <w:shd w:val="clear" w:color="auto" w:fill="auto"/>
            <w:noWrap/>
            <w:vAlign w:val="bottom"/>
            <w:hideMark/>
          </w:tcPr>
          <w:p w14:paraId="49C8E2B3" w14:textId="77777777" w:rsidR="00177D17" w:rsidRPr="00EC78B0" w:rsidRDefault="00177D17" w:rsidP="00177D17">
            <w:pPr>
              <w:jc w:val="right"/>
              <w:rPr>
                <w:color w:val="000000"/>
                <w:highlight w:val="yellow"/>
                <w:lang w:val="en-US"/>
              </w:rPr>
            </w:pPr>
            <w:r w:rsidRPr="00EC78B0">
              <w:rPr>
                <w:color w:val="000000"/>
                <w:highlight w:val="yellow"/>
                <w:lang w:val="en-US"/>
              </w:rPr>
              <w:t>8.3</w:t>
            </w:r>
          </w:p>
        </w:tc>
      </w:tr>
      <w:tr w:rsidR="00177D17" w:rsidRPr="00EC78B0" w14:paraId="6966C178" w14:textId="77777777" w:rsidTr="00EC78B0">
        <w:trPr>
          <w:trHeight w:val="214"/>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14:paraId="3AC980C2" w14:textId="77777777" w:rsidR="00177D17" w:rsidRPr="00EC78B0" w:rsidRDefault="00177D17" w:rsidP="00177D17">
            <w:pPr>
              <w:rPr>
                <w:color w:val="000000"/>
                <w:highlight w:val="yellow"/>
                <w:lang w:val="en-US"/>
              </w:rPr>
            </w:pPr>
            <w:r w:rsidRPr="00EC78B0">
              <w:rPr>
                <w:color w:val="000000"/>
                <w:highlight w:val="yellow"/>
                <w:lang w:val="en-US"/>
              </w:rPr>
              <w:t>Clothing and textiles</w:t>
            </w:r>
          </w:p>
        </w:tc>
        <w:tc>
          <w:tcPr>
            <w:tcW w:w="1054" w:type="dxa"/>
            <w:tcBorders>
              <w:top w:val="nil"/>
              <w:left w:val="nil"/>
              <w:bottom w:val="single" w:sz="4" w:space="0" w:color="auto"/>
              <w:right w:val="single" w:sz="4" w:space="0" w:color="auto"/>
            </w:tcBorders>
            <w:shd w:val="clear" w:color="auto" w:fill="auto"/>
            <w:noWrap/>
            <w:vAlign w:val="bottom"/>
            <w:hideMark/>
          </w:tcPr>
          <w:p w14:paraId="5F5D571C" w14:textId="77777777" w:rsidR="00177D17" w:rsidRPr="00EC78B0" w:rsidRDefault="00177D17" w:rsidP="00177D17">
            <w:pPr>
              <w:jc w:val="center"/>
              <w:rPr>
                <w:color w:val="000000"/>
                <w:highlight w:val="yellow"/>
                <w:lang w:val="en-US"/>
              </w:rPr>
            </w:pPr>
            <w:r w:rsidRPr="00EC78B0">
              <w:rPr>
                <w:color w:val="000000"/>
                <w:highlight w:val="yellow"/>
                <w:lang w:val="en-US"/>
              </w:rPr>
              <w:t>5.6</w:t>
            </w:r>
          </w:p>
        </w:tc>
        <w:tc>
          <w:tcPr>
            <w:tcW w:w="1341" w:type="dxa"/>
            <w:tcBorders>
              <w:top w:val="nil"/>
              <w:left w:val="nil"/>
              <w:bottom w:val="single" w:sz="4" w:space="0" w:color="auto"/>
              <w:right w:val="single" w:sz="4" w:space="0" w:color="auto"/>
            </w:tcBorders>
            <w:shd w:val="clear" w:color="auto" w:fill="auto"/>
            <w:noWrap/>
            <w:vAlign w:val="bottom"/>
            <w:hideMark/>
          </w:tcPr>
          <w:p w14:paraId="1AE3B5B3" w14:textId="77777777" w:rsidR="00177D17" w:rsidRPr="00EC78B0" w:rsidRDefault="00177D17" w:rsidP="00177D17">
            <w:pPr>
              <w:jc w:val="center"/>
              <w:rPr>
                <w:color w:val="000000"/>
                <w:highlight w:val="yellow"/>
                <w:lang w:val="en-US"/>
              </w:rPr>
            </w:pPr>
            <w:r w:rsidRPr="00EC78B0">
              <w:rPr>
                <w:color w:val="000000"/>
                <w:highlight w:val="yellow"/>
                <w:lang w:val="en-US"/>
              </w:rPr>
              <w:t>5.3</w:t>
            </w:r>
          </w:p>
        </w:tc>
        <w:tc>
          <w:tcPr>
            <w:tcW w:w="913" w:type="dxa"/>
            <w:tcBorders>
              <w:top w:val="nil"/>
              <w:left w:val="nil"/>
              <w:bottom w:val="single" w:sz="4" w:space="0" w:color="auto"/>
              <w:right w:val="single" w:sz="4" w:space="0" w:color="auto"/>
            </w:tcBorders>
            <w:shd w:val="clear" w:color="auto" w:fill="auto"/>
            <w:noWrap/>
            <w:vAlign w:val="bottom"/>
            <w:hideMark/>
          </w:tcPr>
          <w:p w14:paraId="2CBE566A" w14:textId="77777777" w:rsidR="00177D17" w:rsidRPr="00EC78B0" w:rsidRDefault="00177D17" w:rsidP="00177D17">
            <w:pPr>
              <w:jc w:val="center"/>
              <w:rPr>
                <w:color w:val="000000"/>
                <w:highlight w:val="yellow"/>
                <w:lang w:val="en-US"/>
              </w:rPr>
            </w:pPr>
            <w:r w:rsidRPr="00EC78B0">
              <w:rPr>
                <w:color w:val="000000"/>
                <w:highlight w:val="yellow"/>
                <w:lang w:val="en-US"/>
              </w:rPr>
              <w:t>5.9</w:t>
            </w:r>
          </w:p>
        </w:tc>
        <w:tc>
          <w:tcPr>
            <w:tcW w:w="1146" w:type="dxa"/>
            <w:tcBorders>
              <w:top w:val="nil"/>
              <w:left w:val="nil"/>
              <w:bottom w:val="single" w:sz="4" w:space="0" w:color="auto"/>
              <w:right w:val="single" w:sz="4" w:space="0" w:color="auto"/>
            </w:tcBorders>
            <w:shd w:val="clear" w:color="auto" w:fill="auto"/>
            <w:noWrap/>
            <w:vAlign w:val="bottom"/>
            <w:hideMark/>
          </w:tcPr>
          <w:p w14:paraId="1D05F7CD" w14:textId="77777777" w:rsidR="00177D17" w:rsidRPr="00EC78B0" w:rsidRDefault="00177D17" w:rsidP="00177D17">
            <w:pPr>
              <w:jc w:val="right"/>
              <w:rPr>
                <w:color w:val="000000"/>
                <w:highlight w:val="yellow"/>
                <w:lang w:val="en-US"/>
              </w:rPr>
            </w:pPr>
            <w:r w:rsidRPr="00EC78B0">
              <w:rPr>
                <w:color w:val="000000"/>
                <w:highlight w:val="yellow"/>
                <w:lang w:val="en-US"/>
              </w:rPr>
              <w:t>5.6</w:t>
            </w:r>
          </w:p>
        </w:tc>
        <w:tc>
          <w:tcPr>
            <w:tcW w:w="1146" w:type="dxa"/>
            <w:tcBorders>
              <w:top w:val="nil"/>
              <w:left w:val="nil"/>
              <w:bottom w:val="single" w:sz="4" w:space="0" w:color="auto"/>
              <w:right w:val="single" w:sz="4" w:space="0" w:color="auto"/>
            </w:tcBorders>
            <w:shd w:val="clear" w:color="auto" w:fill="auto"/>
            <w:noWrap/>
            <w:vAlign w:val="bottom"/>
            <w:hideMark/>
          </w:tcPr>
          <w:p w14:paraId="09003E68" w14:textId="77777777" w:rsidR="00177D17" w:rsidRPr="00EC78B0" w:rsidRDefault="00177D17" w:rsidP="00177D17">
            <w:pPr>
              <w:jc w:val="right"/>
              <w:rPr>
                <w:color w:val="000000"/>
                <w:highlight w:val="yellow"/>
                <w:lang w:val="en-US"/>
              </w:rPr>
            </w:pPr>
            <w:r w:rsidRPr="00EC78B0">
              <w:rPr>
                <w:color w:val="000000"/>
                <w:highlight w:val="yellow"/>
                <w:lang w:val="en-US"/>
              </w:rPr>
              <w:t>5.7</w:t>
            </w:r>
          </w:p>
        </w:tc>
      </w:tr>
      <w:tr w:rsidR="00177D17" w:rsidRPr="00EC78B0" w14:paraId="79105058" w14:textId="77777777" w:rsidTr="00EC78B0">
        <w:trPr>
          <w:trHeight w:val="214"/>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14:paraId="26190072" w14:textId="77777777" w:rsidR="00177D17" w:rsidRPr="00EC78B0" w:rsidRDefault="00177D17" w:rsidP="00177D17">
            <w:pPr>
              <w:rPr>
                <w:highlight w:val="yellow"/>
                <w:lang w:val="en-US"/>
              </w:rPr>
            </w:pPr>
            <w:r w:rsidRPr="00EC78B0">
              <w:rPr>
                <w:highlight w:val="yellow"/>
                <w:lang w:val="en-US"/>
              </w:rPr>
              <w:t>Other commodities and services</w:t>
            </w:r>
          </w:p>
        </w:tc>
        <w:tc>
          <w:tcPr>
            <w:tcW w:w="1054" w:type="dxa"/>
            <w:tcBorders>
              <w:top w:val="nil"/>
              <w:left w:val="nil"/>
              <w:bottom w:val="single" w:sz="4" w:space="0" w:color="auto"/>
              <w:right w:val="single" w:sz="4" w:space="0" w:color="auto"/>
            </w:tcBorders>
            <w:shd w:val="clear" w:color="auto" w:fill="auto"/>
            <w:noWrap/>
            <w:vAlign w:val="bottom"/>
            <w:hideMark/>
          </w:tcPr>
          <w:p w14:paraId="2832E5D0" w14:textId="77777777" w:rsidR="00177D17" w:rsidRPr="00EC78B0" w:rsidRDefault="00177D17" w:rsidP="00177D17">
            <w:pPr>
              <w:jc w:val="center"/>
              <w:rPr>
                <w:color w:val="000000"/>
                <w:highlight w:val="yellow"/>
                <w:lang w:val="en-US"/>
              </w:rPr>
            </w:pPr>
            <w:r w:rsidRPr="00EC78B0">
              <w:rPr>
                <w:color w:val="000000"/>
                <w:highlight w:val="yellow"/>
                <w:lang w:val="en-US"/>
              </w:rPr>
              <w:t>4.4</w:t>
            </w:r>
          </w:p>
        </w:tc>
        <w:tc>
          <w:tcPr>
            <w:tcW w:w="1341" w:type="dxa"/>
            <w:tcBorders>
              <w:top w:val="nil"/>
              <w:left w:val="nil"/>
              <w:bottom w:val="single" w:sz="4" w:space="0" w:color="auto"/>
              <w:right w:val="single" w:sz="4" w:space="0" w:color="auto"/>
            </w:tcBorders>
            <w:shd w:val="clear" w:color="auto" w:fill="auto"/>
            <w:noWrap/>
            <w:vAlign w:val="bottom"/>
            <w:hideMark/>
          </w:tcPr>
          <w:p w14:paraId="43A73295" w14:textId="77777777" w:rsidR="00177D17" w:rsidRPr="00EC78B0" w:rsidRDefault="00177D17" w:rsidP="00177D17">
            <w:pPr>
              <w:jc w:val="center"/>
              <w:rPr>
                <w:color w:val="000000"/>
                <w:highlight w:val="yellow"/>
                <w:lang w:val="en-US"/>
              </w:rPr>
            </w:pPr>
            <w:r w:rsidRPr="00EC78B0">
              <w:rPr>
                <w:color w:val="000000"/>
                <w:highlight w:val="yellow"/>
                <w:lang w:val="en-US"/>
              </w:rPr>
              <w:t>4.2</w:t>
            </w:r>
          </w:p>
        </w:tc>
        <w:tc>
          <w:tcPr>
            <w:tcW w:w="913" w:type="dxa"/>
            <w:tcBorders>
              <w:top w:val="nil"/>
              <w:left w:val="nil"/>
              <w:bottom w:val="single" w:sz="4" w:space="0" w:color="auto"/>
              <w:right w:val="single" w:sz="4" w:space="0" w:color="auto"/>
            </w:tcBorders>
            <w:shd w:val="clear" w:color="auto" w:fill="auto"/>
            <w:noWrap/>
            <w:vAlign w:val="bottom"/>
            <w:hideMark/>
          </w:tcPr>
          <w:p w14:paraId="004C45B1" w14:textId="77777777" w:rsidR="00177D17" w:rsidRPr="00EC78B0" w:rsidRDefault="00177D17" w:rsidP="00177D17">
            <w:pPr>
              <w:jc w:val="center"/>
              <w:rPr>
                <w:color w:val="000000"/>
                <w:highlight w:val="yellow"/>
                <w:lang w:val="en-US"/>
              </w:rPr>
            </w:pPr>
            <w:r w:rsidRPr="00EC78B0">
              <w:rPr>
                <w:color w:val="000000"/>
                <w:highlight w:val="yellow"/>
                <w:lang w:val="en-US"/>
              </w:rPr>
              <w:t>4.5</w:t>
            </w:r>
          </w:p>
        </w:tc>
        <w:tc>
          <w:tcPr>
            <w:tcW w:w="1146" w:type="dxa"/>
            <w:tcBorders>
              <w:top w:val="nil"/>
              <w:left w:val="nil"/>
              <w:bottom w:val="single" w:sz="4" w:space="0" w:color="auto"/>
              <w:right w:val="single" w:sz="4" w:space="0" w:color="auto"/>
            </w:tcBorders>
            <w:shd w:val="clear" w:color="auto" w:fill="auto"/>
            <w:noWrap/>
            <w:vAlign w:val="bottom"/>
            <w:hideMark/>
          </w:tcPr>
          <w:p w14:paraId="091A3653" w14:textId="77777777" w:rsidR="00177D17" w:rsidRPr="00EC78B0" w:rsidRDefault="00177D17" w:rsidP="00177D17">
            <w:pPr>
              <w:jc w:val="right"/>
              <w:rPr>
                <w:color w:val="000000"/>
                <w:highlight w:val="yellow"/>
                <w:lang w:val="en-US"/>
              </w:rPr>
            </w:pPr>
            <w:r w:rsidRPr="00EC78B0">
              <w:rPr>
                <w:color w:val="000000"/>
                <w:highlight w:val="yellow"/>
                <w:lang w:val="en-US"/>
              </w:rPr>
              <w:t>4.9</w:t>
            </w:r>
          </w:p>
        </w:tc>
        <w:tc>
          <w:tcPr>
            <w:tcW w:w="1146" w:type="dxa"/>
            <w:tcBorders>
              <w:top w:val="nil"/>
              <w:left w:val="nil"/>
              <w:bottom w:val="single" w:sz="4" w:space="0" w:color="auto"/>
              <w:right w:val="single" w:sz="4" w:space="0" w:color="auto"/>
            </w:tcBorders>
            <w:shd w:val="clear" w:color="auto" w:fill="auto"/>
            <w:noWrap/>
            <w:vAlign w:val="bottom"/>
            <w:hideMark/>
          </w:tcPr>
          <w:p w14:paraId="4DA2C946" w14:textId="77777777" w:rsidR="00177D17" w:rsidRPr="00EC78B0" w:rsidRDefault="00177D17" w:rsidP="00177D17">
            <w:pPr>
              <w:jc w:val="right"/>
              <w:rPr>
                <w:color w:val="000000"/>
                <w:highlight w:val="yellow"/>
                <w:lang w:val="en-US"/>
              </w:rPr>
            </w:pPr>
            <w:r w:rsidRPr="00EC78B0">
              <w:rPr>
                <w:color w:val="000000"/>
                <w:highlight w:val="yellow"/>
                <w:lang w:val="en-US"/>
              </w:rPr>
              <w:t>5.1</w:t>
            </w:r>
          </w:p>
        </w:tc>
      </w:tr>
      <w:tr w:rsidR="00177D17" w:rsidRPr="00EC78B0" w14:paraId="3AE556ED" w14:textId="77777777" w:rsidTr="00EC78B0">
        <w:trPr>
          <w:trHeight w:val="214"/>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14:paraId="01E72D4B" w14:textId="77777777" w:rsidR="00177D17" w:rsidRPr="00EC78B0" w:rsidRDefault="00177D17" w:rsidP="00177D17">
            <w:pPr>
              <w:rPr>
                <w:color w:val="000000"/>
                <w:highlight w:val="yellow"/>
                <w:lang w:val="en-US"/>
              </w:rPr>
            </w:pPr>
            <w:r w:rsidRPr="00EC78B0">
              <w:rPr>
                <w:color w:val="000000"/>
                <w:highlight w:val="yellow"/>
                <w:lang w:val="en-US"/>
              </w:rPr>
              <w:t>Furnishings and maintenance</w:t>
            </w:r>
          </w:p>
        </w:tc>
        <w:tc>
          <w:tcPr>
            <w:tcW w:w="1054" w:type="dxa"/>
            <w:tcBorders>
              <w:top w:val="nil"/>
              <w:left w:val="nil"/>
              <w:bottom w:val="single" w:sz="4" w:space="0" w:color="auto"/>
              <w:right w:val="single" w:sz="4" w:space="0" w:color="auto"/>
            </w:tcBorders>
            <w:shd w:val="clear" w:color="auto" w:fill="auto"/>
            <w:noWrap/>
            <w:vAlign w:val="bottom"/>
            <w:hideMark/>
          </w:tcPr>
          <w:p w14:paraId="1CC14A53" w14:textId="77777777" w:rsidR="00177D17" w:rsidRPr="00EC78B0" w:rsidRDefault="00177D17" w:rsidP="00177D17">
            <w:pPr>
              <w:jc w:val="center"/>
              <w:rPr>
                <w:color w:val="000000"/>
                <w:highlight w:val="yellow"/>
                <w:lang w:val="en-US"/>
              </w:rPr>
            </w:pPr>
            <w:r w:rsidRPr="00EC78B0">
              <w:rPr>
                <w:color w:val="000000"/>
                <w:highlight w:val="yellow"/>
                <w:lang w:val="en-US"/>
              </w:rPr>
              <w:t>4.3</w:t>
            </w:r>
          </w:p>
        </w:tc>
        <w:tc>
          <w:tcPr>
            <w:tcW w:w="1341" w:type="dxa"/>
            <w:tcBorders>
              <w:top w:val="nil"/>
              <w:left w:val="nil"/>
              <w:bottom w:val="single" w:sz="4" w:space="0" w:color="auto"/>
              <w:right w:val="single" w:sz="4" w:space="0" w:color="auto"/>
            </w:tcBorders>
            <w:shd w:val="clear" w:color="auto" w:fill="auto"/>
            <w:noWrap/>
            <w:vAlign w:val="bottom"/>
            <w:hideMark/>
          </w:tcPr>
          <w:p w14:paraId="3E4D0ED9" w14:textId="77777777" w:rsidR="00177D17" w:rsidRPr="00EC78B0" w:rsidRDefault="00177D17" w:rsidP="00177D17">
            <w:pPr>
              <w:jc w:val="center"/>
              <w:rPr>
                <w:color w:val="000000"/>
                <w:highlight w:val="yellow"/>
                <w:lang w:val="en-US"/>
              </w:rPr>
            </w:pPr>
            <w:r w:rsidRPr="00EC78B0">
              <w:rPr>
                <w:color w:val="000000"/>
                <w:highlight w:val="yellow"/>
                <w:lang w:val="en-US"/>
              </w:rPr>
              <w:t>4.0</w:t>
            </w:r>
          </w:p>
        </w:tc>
        <w:tc>
          <w:tcPr>
            <w:tcW w:w="913" w:type="dxa"/>
            <w:tcBorders>
              <w:top w:val="nil"/>
              <w:left w:val="nil"/>
              <w:bottom w:val="single" w:sz="4" w:space="0" w:color="auto"/>
              <w:right w:val="single" w:sz="4" w:space="0" w:color="auto"/>
            </w:tcBorders>
            <w:shd w:val="clear" w:color="auto" w:fill="auto"/>
            <w:noWrap/>
            <w:vAlign w:val="bottom"/>
            <w:hideMark/>
          </w:tcPr>
          <w:p w14:paraId="2D3F6A42" w14:textId="77777777" w:rsidR="00177D17" w:rsidRPr="00EC78B0" w:rsidRDefault="00177D17" w:rsidP="00177D17">
            <w:pPr>
              <w:jc w:val="center"/>
              <w:rPr>
                <w:color w:val="000000"/>
                <w:highlight w:val="yellow"/>
                <w:lang w:val="en-US"/>
              </w:rPr>
            </w:pPr>
            <w:r w:rsidRPr="00EC78B0">
              <w:rPr>
                <w:color w:val="000000"/>
                <w:highlight w:val="yellow"/>
                <w:lang w:val="en-US"/>
              </w:rPr>
              <w:t>4.7</w:t>
            </w:r>
          </w:p>
        </w:tc>
        <w:tc>
          <w:tcPr>
            <w:tcW w:w="1146" w:type="dxa"/>
            <w:tcBorders>
              <w:top w:val="nil"/>
              <w:left w:val="nil"/>
              <w:bottom w:val="single" w:sz="4" w:space="0" w:color="auto"/>
              <w:right w:val="single" w:sz="4" w:space="0" w:color="auto"/>
            </w:tcBorders>
            <w:shd w:val="clear" w:color="auto" w:fill="auto"/>
            <w:noWrap/>
            <w:vAlign w:val="bottom"/>
            <w:hideMark/>
          </w:tcPr>
          <w:p w14:paraId="74DC2E21" w14:textId="77777777" w:rsidR="00177D17" w:rsidRPr="00EC78B0" w:rsidRDefault="00177D17" w:rsidP="00177D17">
            <w:pPr>
              <w:jc w:val="right"/>
              <w:rPr>
                <w:color w:val="000000"/>
                <w:highlight w:val="yellow"/>
                <w:lang w:val="en-US"/>
              </w:rPr>
            </w:pPr>
            <w:r w:rsidRPr="00EC78B0">
              <w:rPr>
                <w:color w:val="000000"/>
                <w:highlight w:val="yellow"/>
                <w:lang w:val="en-US"/>
              </w:rPr>
              <w:t>4.2</w:t>
            </w:r>
          </w:p>
        </w:tc>
        <w:tc>
          <w:tcPr>
            <w:tcW w:w="1146" w:type="dxa"/>
            <w:tcBorders>
              <w:top w:val="nil"/>
              <w:left w:val="nil"/>
              <w:bottom w:val="single" w:sz="4" w:space="0" w:color="auto"/>
              <w:right w:val="single" w:sz="4" w:space="0" w:color="auto"/>
            </w:tcBorders>
            <w:shd w:val="clear" w:color="auto" w:fill="auto"/>
            <w:noWrap/>
            <w:vAlign w:val="bottom"/>
            <w:hideMark/>
          </w:tcPr>
          <w:p w14:paraId="3DE2A51E" w14:textId="77777777" w:rsidR="00177D17" w:rsidRPr="00EC78B0" w:rsidRDefault="00177D17" w:rsidP="00177D17">
            <w:pPr>
              <w:jc w:val="right"/>
              <w:rPr>
                <w:color w:val="000000"/>
                <w:highlight w:val="yellow"/>
                <w:lang w:val="en-US"/>
              </w:rPr>
            </w:pPr>
            <w:r w:rsidRPr="00EC78B0">
              <w:rPr>
                <w:color w:val="000000"/>
                <w:highlight w:val="yellow"/>
                <w:lang w:val="en-US"/>
              </w:rPr>
              <w:t>4.7</w:t>
            </w:r>
          </w:p>
        </w:tc>
      </w:tr>
      <w:tr w:rsidR="00177D17" w:rsidRPr="00EC78B0" w14:paraId="2EC76F61" w14:textId="77777777" w:rsidTr="00EC78B0">
        <w:trPr>
          <w:trHeight w:val="214"/>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14:paraId="0B449293" w14:textId="77777777" w:rsidR="00177D17" w:rsidRPr="00EC78B0" w:rsidRDefault="00177D17" w:rsidP="00177D17">
            <w:pPr>
              <w:rPr>
                <w:color w:val="000000"/>
                <w:highlight w:val="yellow"/>
                <w:lang w:val="en-US"/>
              </w:rPr>
            </w:pPr>
            <w:r w:rsidRPr="00EC78B0">
              <w:rPr>
                <w:color w:val="000000"/>
                <w:highlight w:val="yellow"/>
                <w:lang w:val="en-US"/>
              </w:rPr>
              <w:t>Alcoholic beverages and tobacco</w:t>
            </w:r>
          </w:p>
        </w:tc>
        <w:tc>
          <w:tcPr>
            <w:tcW w:w="1054" w:type="dxa"/>
            <w:tcBorders>
              <w:top w:val="nil"/>
              <w:left w:val="nil"/>
              <w:bottom w:val="single" w:sz="4" w:space="0" w:color="auto"/>
              <w:right w:val="single" w:sz="4" w:space="0" w:color="auto"/>
            </w:tcBorders>
            <w:shd w:val="clear" w:color="auto" w:fill="auto"/>
            <w:noWrap/>
            <w:vAlign w:val="bottom"/>
            <w:hideMark/>
          </w:tcPr>
          <w:p w14:paraId="60B7C806" w14:textId="77777777" w:rsidR="00177D17" w:rsidRPr="00EC78B0" w:rsidRDefault="00177D17" w:rsidP="00177D17">
            <w:pPr>
              <w:jc w:val="center"/>
              <w:rPr>
                <w:color w:val="000000"/>
                <w:highlight w:val="yellow"/>
                <w:lang w:val="en-US"/>
              </w:rPr>
            </w:pPr>
            <w:r w:rsidRPr="00EC78B0">
              <w:rPr>
                <w:color w:val="000000"/>
                <w:highlight w:val="yellow"/>
                <w:lang w:val="en-US"/>
              </w:rPr>
              <w:t>4.2</w:t>
            </w:r>
          </w:p>
        </w:tc>
        <w:tc>
          <w:tcPr>
            <w:tcW w:w="1341" w:type="dxa"/>
            <w:tcBorders>
              <w:top w:val="nil"/>
              <w:left w:val="nil"/>
              <w:bottom w:val="single" w:sz="4" w:space="0" w:color="auto"/>
              <w:right w:val="single" w:sz="4" w:space="0" w:color="auto"/>
            </w:tcBorders>
            <w:shd w:val="clear" w:color="auto" w:fill="auto"/>
            <w:noWrap/>
            <w:vAlign w:val="bottom"/>
            <w:hideMark/>
          </w:tcPr>
          <w:p w14:paraId="058177FB" w14:textId="77777777" w:rsidR="00177D17" w:rsidRPr="00EC78B0" w:rsidRDefault="00177D17" w:rsidP="00177D17">
            <w:pPr>
              <w:jc w:val="center"/>
              <w:rPr>
                <w:color w:val="000000"/>
                <w:highlight w:val="yellow"/>
                <w:lang w:val="en-US"/>
              </w:rPr>
            </w:pPr>
            <w:r w:rsidRPr="00EC78B0">
              <w:rPr>
                <w:color w:val="000000"/>
                <w:highlight w:val="yellow"/>
                <w:lang w:val="en-US"/>
              </w:rPr>
              <w:t>3.9</w:t>
            </w:r>
          </w:p>
        </w:tc>
        <w:tc>
          <w:tcPr>
            <w:tcW w:w="913" w:type="dxa"/>
            <w:tcBorders>
              <w:top w:val="nil"/>
              <w:left w:val="nil"/>
              <w:bottom w:val="single" w:sz="4" w:space="0" w:color="auto"/>
              <w:right w:val="single" w:sz="4" w:space="0" w:color="auto"/>
            </w:tcBorders>
            <w:shd w:val="clear" w:color="auto" w:fill="auto"/>
            <w:noWrap/>
            <w:vAlign w:val="bottom"/>
            <w:hideMark/>
          </w:tcPr>
          <w:p w14:paraId="52E49DF1" w14:textId="77777777" w:rsidR="00177D17" w:rsidRPr="00EC78B0" w:rsidRDefault="00177D17" w:rsidP="00177D17">
            <w:pPr>
              <w:jc w:val="center"/>
              <w:rPr>
                <w:color w:val="000000"/>
                <w:highlight w:val="yellow"/>
                <w:lang w:val="en-US"/>
              </w:rPr>
            </w:pPr>
            <w:r w:rsidRPr="00EC78B0">
              <w:rPr>
                <w:color w:val="000000"/>
                <w:highlight w:val="yellow"/>
                <w:lang w:val="en-US"/>
              </w:rPr>
              <w:t>3.9</w:t>
            </w:r>
          </w:p>
        </w:tc>
        <w:tc>
          <w:tcPr>
            <w:tcW w:w="1146" w:type="dxa"/>
            <w:tcBorders>
              <w:top w:val="nil"/>
              <w:left w:val="nil"/>
              <w:bottom w:val="single" w:sz="4" w:space="0" w:color="auto"/>
              <w:right w:val="single" w:sz="4" w:space="0" w:color="auto"/>
            </w:tcBorders>
            <w:shd w:val="clear" w:color="auto" w:fill="auto"/>
            <w:noWrap/>
            <w:vAlign w:val="bottom"/>
            <w:hideMark/>
          </w:tcPr>
          <w:p w14:paraId="278C0483" w14:textId="77777777" w:rsidR="00177D17" w:rsidRPr="00EC78B0" w:rsidRDefault="00177D17" w:rsidP="00177D17">
            <w:pPr>
              <w:jc w:val="right"/>
              <w:rPr>
                <w:color w:val="000000"/>
                <w:highlight w:val="yellow"/>
                <w:lang w:val="en-US"/>
              </w:rPr>
            </w:pPr>
            <w:r w:rsidRPr="00EC78B0">
              <w:rPr>
                <w:color w:val="000000"/>
                <w:highlight w:val="yellow"/>
                <w:lang w:val="en-US"/>
              </w:rPr>
              <w:t>5.2</w:t>
            </w:r>
          </w:p>
        </w:tc>
        <w:tc>
          <w:tcPr>
            <w:tcW w:w="1146" w:type="dxa"/>
            <w:tcBorders>
              <w:top w:val="nil"/>
              <w:left w:val="nil"/>
              <w:bottom w:val="single" w:sz="4" w:space="0" w:color="auto"/>
              <w:right w:val="single" w:sz="4" w:space="0" w:color="auto"/>
            </w:tcBorders>
            <w:shd w:val="clear" w:color="auto" w:fill="auto"/>
            <w:noWrap/>
            <w:vAlign w:val="bottom"/>
            <w:hideMark/>
          </w:tcPr>
          <w:p w14:paraId="4195E6E3" w14:textId="77777777" w:rsidR="00177D17" w:rsidRPr="00EC78B0" w:rsidRDefault="00177D17" w:rsidP="00177D17">
            <w:pPr>
              <w:jc w:val="right"/>
              <w:rPr>
                <w:color w:val="000000"/>
                <w:highlight w:val="yellow"/>
                <w:lang w:val="en-US"/>
              </w:rPr>
            </w:pPr>
            <w:r w:rsidRPr="00EC78B0">
              <w:rPr>
                <w:color w:val="000000"/>
                <w:highlight w:val="yellow"/>
                <w:lang w:val="en-US"/>
              </w:rPr>
              <w:t>4.6</w:t>
            </w:r>
          </w:p>
        </w:tc>
      </w:tr>
      <w:tr w:rsidR="00177D17" w:rsidRPr="00EC78B0" w14:paraId="6762BAD2" w14:textId="77777777" w:rsidTr="00EC78B0">
        <w:trPr>
          <w:trHeight w:val="214"/>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14:paraId="340898B5" w14:textId="77777777" w:rsidR="00177D17" w:rsidRPr="00EC78B0" w:rsidRDefault="00177D17" w:rsidP="00177D17">
            <w:pPr>
              <w:rPr>
                <w:highlight w:val="yellow"/>
                <w:lang w:val="en-US"/>
              </w:rPr>
            </w:pPr>
            <w:r w:rsidRPr="00EC78B0">
              <w:rPr>
                <w:highlight w:val="yellow"/>
                <w:lang w:val="en-US"/>
              </w:rPr>
              <w:t>Restaurants and hotels</w:t>
            </w:r>
          </w:p>
        </w:tc>
        <w:tc>
          <w:tcPr>
            <w:tcW w:w="1054" w:type="dxa"/>
            <w:tcBorders>
              <w:top w:val="nil"/>
              <w:left w:val="nil"/>
              <w:bottom w:val="single" w:sz="4" w:space="0" w:color="auto"/>
              <w:right w:val="single" w:sz="4" w:space="0" w:color="auto"/>
            </w:tcBorders>
            <w:shd w:val="clear" w:color="auto" w:fill="auto"/>
            <w:noWrap/>
            <w:vAlign w:val="bottom"/>
            <w:hideMark/>
          </w:tcPr>
          <w:p w14:paraId="48D721A2" w14:textId="77777777" w:rsidR="00177D17" w:rsidRPr="00EC78B0" w:rsidRDefault="00177D17" w:rsidP="00177D17">
            <w:pPr>
              <w:jc w:val="center"/>
              <w:rPr>
                <w:color w:val="000000"/>
                <w:highlight w:val="yellow"/>
                <w:lang w:val="en-US"/>
              </w:rPr>
            </w:pPr>
            <w:r w:rsidRPr="00EC78B0">
              <w:rPr>
                <w:color w:val="000000"/>
                <w:highlight w:val="yellow"/>
                <w:lang w:val="en-US"/>
              </w:rPr>
              <w:t>4.8</w:t>
            </w:r>
          </w:p>
        </w:tc>
        <w:tc>
          <w:tcPr>
            <w:tcW w:w="1341" w:type="dxa"/>
            <w:tcBorders>
              <w:top w:val="nil"/>
              <w:left w:val="nil"/>
              <w:bottom w:val="single" w:sz="4" w:space="0" w:color="auto"/>
              <w:right w:val="single" w:sz="4" w:space="0" w:color="auto"/>
            </w:tcBorders>
            <w:shd w:val="clear" w:color="auto" w:fill="auto"/>
            <w:noWrap/>
            <w:vAlign w:val="bottom"/>
            <w:hideMark/>
          </w:tcPr>
          <w:p w14:paraId="00322171" w14:textId="77777777" w:rsidR="00177D17" w:rsidRPr="00EC78B0" w:rsidRDefault="00177D17" w:rsidP="00177D17">
            <w:pPr>
              <w:jc w:val="center"/>
              <w:rPr>
                <w:color w:val="000000"/>
                <w:highlight w:val="yellow"/>
                <w:lang w:val="en-US"/>
              </w:rPr>
            </w:pPr>
            <w:r w:rsidRPr="00EC78B0">
              <w:rPr>
                <w:color w:val="000000"/>
                <w:highlight w:val="yellow"/>
                <w:lang w:val="en-US"/>
              </w:rPr>
              <w:t>5.3</w:t>
            </w:r>
          </w:p>
        </w:tc>
        <w:tc>
          <w:tcPr>
            <w:tcW w:w="913" w:type="dxa"/>
            <w:tcBorders>
              <w:top w:val="nil"/>
              <w:left w:val="nil"/>
              <w:bottom w:val="single" w:sz="4" w:space="0" w:color="auto"/>
              <w:right w:val="single" w:sz="4" w:space="0" w:color="auto"/>
            </w:tcBorders>
            <w:shd w:val="clear" w:color="auto" w:fill="auto"/>
            <w:noWrap/>
            <w:vAlign w:val="bottom"/>
            <w:hideMark/>
          </w:tcPr>
          <w:p w14:paraId="1E399A82" w14:textId="77777777" w:rsidR="00177D17" w:rsidRPr="00EC78B0" w:rsidRDefault="00177D17" w:rsidP="00177D17">
            <w:pPr>
              <w:jc w:val="center"/>
              <w:rPr>
                <w:color w:val="000000"/>
                <w:highlight w:val="yellow"/>
                <w:lang w:val="en-US"/>
              </w:rPr>
            </w:pPr>
            <w:r w:rsidRPr="00EC78B0">
              <w:rPr>
                <w:color w:val="000000"/>
                <w:highlight w:val="yellow"/>
                <w:lang w:val="en-US"/>
              </w:rPr>
              <w:t>4.2</w:t>
            </w:r>
          </w:p>
        </w:tc>
        <w:tc>
          <w:tcPr>
            <w:tcW w:w="1146" w:type="dxa"/>
            <w:tcBorders>
              <w:top w:val="nil"/>
              <w:left w:val="nil"/>
              <w:bottom w:val="single" w:sz="4" w:space="0" w:color="auto"/>
              <w:right w:val="single" w:sz="4" w:space="0" w:color="auto"/>
            </w:tcBorders>
            <w:shd w:val="clear" w:color="auto" w:fill="auto"/>
            <w:noWrap/>
            <w:vAlign w:val="bottom"/>
            <w:hideMark/>
          </w:tcPr>
          <w:p w14:paraId="22E93862" w14:textId="77777777" w:rsidR="00177D17" w:rsidRPr="00EC78B0" w:rsidRDefault="00177D17" w:rsidP="00177D17">
            <w:pPr>
              <w:jc w:val="right"/>
              <w:rPr>
                <w:color w:val="000000"/>
                <w:highlight w:val="yellow"/>
                <w:lang w:val="en-US"/>
              </w:rPr>
            </w:pPr>
            <w:r w:rsidRPr="00EC78B0">
              <w:rPr>
                <w:color w:val="000000"/>
                <w:highlight w:val="yellow"/>
                <w:lang w:val="en-US"/>
              </w:rPr>
              <w:t>5.7</w:t>
            </w:r>
          </w:p>
        </w:tc>
        <w:tc>
          <w:tcPr>
            <w:tcW w:w="1146" w:type="dxa"/>
            <w:tcBorders>
              <w:top w:val="nil"/>
              <w:left w:val="nil"/>
              <w:bottom w:val="single" w:sz="4" w:space="0" w:color="auto"/>
              <w:right w:val="single" w:sz="4" w:space="0" w:color="auto"/>
            </w:tcBorders>
            <w:shd w:val="clear" w:color="auto" w:fill="auto"/>
            <w:noWrap/>
            <w:vAlign w:val="bottom"/>
            <w:hideMark/>
          </w:tcPr>
          <w:p w14:paraId="6824D094" w14:textId="77777777" w:rsidR="00177D17" w:rsidRPr="00EC78B0" w:rsidRDefault="00177D17" w:rsidP="00177D17">
            <w:pPr>
              <w:jc w:val="right"/>
              <w:rPr>
                <w:color w:val="000000"/>
                <w:highlight w:val="yellow"/>
                <w:lang w:val="en-US"/>
              </w:rPr>
            </w:pPr>
            <w:r w:rsidRPr="00EC78B0">
              <w:rPr>
                <w:color w:val="000000"/>
                <w:highlight w:val="yellow"/>
                <w:lang w:val="en-US"/>
              </w:rPr>
              <w:t>4.5</w:t>
            </w:r>
          </w:p>
        </w:tc>
      </w:tr>
      <w:tr w:rsidR="00177D17" w:rsidRPr="00EC78B0" w14:paraId="3116EBFB" w14:textId="77777777" w:rsidTr="00EC78B0">
        <w:trPr>
          <w:trHeight w:val="214"/>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14:paraId="51A5EA32" w14:textId="77777777" w:rsidR="00177D17" w:rsidRPr="00EC78B0" w:rsidRDefault="00177D17" w:rsidP="00177D17">
            <w:pPr>
              <w:rPr>
                <w:highlight w:val="yellow"/>
                <w:lang w:val="en-US"/>
              </w:rPr>
            </w:pPr>
            <w:r w:rsidRPr="00EC78B0">
              <w:rPr>
                <w:highlight w:val="yellow"/>
                <w:lang w:val="en-US"/>
              </w:rPr>
              <w:t>Transport</w:t>
            </w:r>
          </w:p>
        </w:tc>
        <w:tc>
          <w:tcPr>
            <w:tcW w:w="1054" w:type="dxa"/>
            <w:tcBorders>
              <w:top w:val="nil"/>
              <w:left w:val="nil"/>
              <w:bottom w:val="single" w:sz="4" w:space="0" w:color="auto"/>
              <w:right w:val="single" w:sz="4" w:space="0" w:color="auto"/>
            </w:tcBorders>
            <w:shd w:val="clear" w:color="auto" w:fill="auto"/>
            <w:noWrap/>
            <w:vAlign w:val="bottom"/>
            <w:hideMark/>
          </w:tcPr>
          <w:p w14:paraId="65166D2F" w14:textId="77777777" w:rsidR="00177D17" w:rsidRPr="00EC78B0" w:rsidRDefault="00177D17" w:rsidP="00177D17">
            <w:pPr>
              <w:jc w:val="center"/>
              <w:rPr>
                <w:color w:val="000000"/>
                <w:highlight w:val="yellow"/>
                <w:lang w:val="en-US"/>
              </w:rPr>
            </w:pPr>
            <w:r w:rsidRPr="00EC78B0">
              <w:rPr>
                <w:color w:val="000000"/>
                <w:highlight w:val="yellow"/>
                <w:lang w:val="en-US"/>
              </w:rPr>
              <w:t>6.7</w:t>
            </w:r>
          </w:p>
        </w:tc>
        <w:tc>
          <w:tcPr>
            <w:tcW w:w="1341" w:type="dxa"/>
            <w:tcBorders>
              <w:top w:val="nil"/>
              <w:left w:val="nil"/>
              <w:bottom w:val="single" w:sz="4" w:space="0" w:color="auto"/>
              <w:right w:val="single" w:sz="4" w:space="0" w:color="auto"/>
            </w:tcBorders>
            <w:shd w:val="clear" w:color="auto" w:fill="auto"/>
            <w:noWrap/>
            <w:vAlign w:val="bottom"/>
            <w:hideMark/>
          </w:tcPr>
          <w:p w14:paraId="286788EE" w14:textId="77777777" w:rsidR="00177D17" w:rsidRPr="00EC78B0" w:rsidRDefault="00177D17" w:rsidP="00177D17">
            <w:pPr>
              <w:jc w:val="center"/>
              <w:rPr>
                <w:color w:val="000000"/>
                <w:highlight w:val="yellow"/>
                <w:lang w:val="en-US"/>
              </w:rPr>
            </w:pPr>
            <w:r w:rsidRPr="00EC78B0">
              <w:rPr>
                <w:color w:val="000000"/>
                <w:highlight w:val="yellow"/>
                <w:lang w:val="en-US"/>
              </w:rPr>
              <w:t>7.7</w:t>
            </w:r>
          </w:p>
        </w:tc>
        <w:tc>
          <w:tcPr>
            <w:tcW w:w="913" w:type="dxa"/>
            <w:tcBorders>
              <w:top w:val="nil"/>
              <w:left w:val="nil"/>
              <w:bottom w:val="single" w:sz="4" w:space="0" w:color="auto"/>
              <w:right w:val="single" w:sz="4" w:space="0" w:color="auto"/>
            </w:tcBorders>
            <w:shd w:val="clear" w:color="auto" w:fill="auto"/>
            <w:noWrap/>
            <w:vAlign w:val="bottom"/>
            <w:hideMark/>
          </w:tcPr>
          <w:p w14:paraId="26FCD8AC" w14:textId="77777777" w:rsidR="00177D17" w:rsidRPr="00EC78B0" w:rsidRDefault="00177D17" w:rsidP="00177D17">
            <w:pPr>
              <w:jc w:val="center"/>
              <w:rPr>
                <w:color w:val="000000"/>
                <w:highlight w:val="yellow"/>
                <w:lang w:val="en-US"/>
              </w:rPr>
            </w:pPr>
            <w:r w:rsidRPr="00EC78B0">
              <w:rPr>
                <w:color w:val="000000"/>
                <w:highlight w:val="yellow"/>
                <w:lang w:val="en-US"/>
              </w:rPr>
              <w:t>5.7</w:t>
            </w:r>
          </w:p>
        </w:tc>
        <w:tc>
          <w:tcPr>
            <w:tcW w:w="1146" w:type="dxa"/>
            <w:tcBorders>
              <w:top w:val="nil"/>
              <w:left w:val="nil"/>
              <w:bottom w:val="single" w:sz="4" w:space="0" w:color="auto"/>
              <w:right w:val="single" w:sz="4" w:space="0" w:color="auto"/>
            </w:tcBorders>
            <w:shd w:val="clear" w:color="auto" w:fill="auto"/>
            <w:noWrap/>
            <w:vAlign w:val="bottom"/>
            <w:hideMark/>
          </w:tcPr>
          <w:p w14:paraId="4D10F987" w14:textId="77777777" w:rsidR="00177D17" w:rsidRPr="00EC78B0" w:rsidRDefault="00177D17" w:rsidP="00177D17">
            <w:pPr>
              <w:jc w:val="right"/>
              <w:rPr>
                <w:color w:val="000000"/>
                <w:highlight w:val="yellow"/>
                <w:lang w:val="en-US"/>
              </w:rPr>
            </w:pPr>
            <w:r w:rsidRPr="00EC78B0">
              <w:rPr>
                <w:color w:val="000000"/>
                <w:highlight w:val="yellow"/>
                <w:lang w:val="en-US"/>
              </w:rPr>
              <w:t>4.9</w:t>
            </w:r>
          </w:p>
        </w:tc>
        <w:tc>
          <w:tcPr>
            <w:tcW w:w="1146" w:type="dxa"/>
            <w:tcBorders>
              <w:top w:val="nil"/>
              <w:left w:val="nil"/>
              <w:bottom w:val="single" w:sz="4" w:space="0" w:color="auto"/>
              <w:right w:val="single" w:sz="4" w:space="0" w:color="auto"/>
            </w:tcBorders>
            <w:shd w:val="clear" w:color="auto" w:fill="auto"/>
            <w:noWrap/>
            <w:vAlign w:val="bottom"/>
            <w:hideMark/>
          </w:tcPr>
          <w:p w14:paraId="1F418EFB" w14:textId="77777777" w:rsidR="00177D17" w:rsidRPr="00EC78B0" w:rsidRDefault="00177D17" w:rsidP="00177D17">
            <w:pPr>
              <w:jc w:val="right"/>
              <w:rPr>
                <w:color w:val="000000"/>
                <w:highlight w:val="yellow"/>
                <w:lang w:val="en-US"/>
              </w:rPr>
            </w:pPr>
            <w:r w:rsidRPr="00EC78B0">
              <w:rPr>
                <w:color w:val="000000"/>
                <w:highlight w:val="yellow"/>
                <w:lang w:val="en-US"/>
              </w:rPr>
              <w:t>3.8</w:t>
            </w:r>
          </w:p>
        </w:tc>
      </w:tr>
      <w:tr w:rsidR="00177D17" w:rsidRPr="00EC78B0" w14:paraId="28D835D0" w14:textId="77777777" w:rsidTr="00EC78B0">
        <w:trPr>
          <w:trHeight w:val="214"/>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14:paraId="5767C9E2" w14:textId="77777777" w:rsidR="00177D17" w:rsidRPr="00EC78B0" w:rsidRDefault="00177D17" w:rsidP="00177D17">
            <w:pPr>
              <w:rPr>
                <w:highlight w:val="yellow"/>
                <w:lang w:val="en-US"/>
              </w:rPr>
            </w:pPr>
            <w:r w:rsidRPr="00EC78B0">
              <w:rPr>
                <w:highlight w:val="yellow"/>
                <w:lang w:val="en-US"/>
              </w:rPr>
              <w:t>Education</w:t>
            </w:r>
          </w:p>
        </w:tc>
        <w:tc>
          <w:tcPr>
            <w:tcW w:w="1054" w:type="dxa"/>
            <w:tcBorders>
              <w:top w:val="nil"/>
              <w:left w:val="nil"/>
              <w:bottom w:val="single" w:sz="4" w:space="0" w:color="auto"/>
              <w:right w:val="single" w:sz="4" w:space="0" w:color="auto"/>
            </w:tcBorders>
            <w:shd w:val="clear" w:color="auto" w:fill="auto"/>
            <w:noWrap/>
            <w:vAlign w:val="bottom"/>
            <w:hideMark/>
          </w:tcPr>
          <w:p w14:paraId="43B8CACD" w14:textId="77777777" w:rsidR="00177D17" w:rsidRPr="00EC78B0" w:rsidRDefault="00177D17" w:rsidP="00177D17">
            <w:pPr>
              <w:jc w:val="center"/>
              <w:rPr>
                <w:color w:val="000000"/>
                <w:highlight w:val="yellow"/>
                <w:lang w:val="en-US"/>
              </w:rPr>
            </w:pPr>
            <w:r w:rsidRPr="00EC78B0">
              <w:rPr>
                <w:color w:val="000000"/>
                <w:highlight w:val="yellow"/>
                <w:lang w:val="en-US"/>
              </w:rPr>
              <w:t>5.7</w:t>
            </w:r>
          </w:p>
        </w:tc>
        <w:tc>
          <w:tcPr>
            <w:tcW w:w="1341" w:type="dxa"/>
            <w:tcBorders>
              <w:top w:val="nil"/>
              <w:left w:val="nil"/>
              <w:bottom w:val="single" w:sz="4" w:space="0" w:color="auto"/>
              <w:right w:val="single" w:sz="4" w:space="0" w:color="auto"/>
            </w:tcBorders>
            <w:shd w:val="clear" w:color="auto" w:fill="auto"/>
            <w:noWrap/>
            <w:vAlign w:val="bottom"/>
            <w:hideMark/>
          </w:tcPr>
          <w:p w14:paraId="2349034D" w14:textId="77777777" w:rsidR="00177D17" w:rsidRPr="00EC78B0" w:rsidRDefault="00177D17" w:rsidP="00177D17">
            <w:pPr>
              <w:jc w:val="center"/>
              <w:rPr>
                <w:color w:val="000000"/>
                <w:highlight w:val="yellow"/>
                <w:lang w:val="en-US"/>
              </w:rPr>
            </w:pPr>
            <w:r w:rsidRPr="00EC78B0">
              <w:rPr>
                <w:color w:val="000000"/>
                <w:highlight w:val="yellow"/>
                <w:lang w:val="en-US"/>
              </w:rPr>
              <w:t>7.6</w:t>
            </w:r>
          </w:p>
        </w:tc>
        <w:tc>
          <w:tcPr>
            <w:tcW w:w="913" w:type="dxa"/>
            <w:tcBorders>
              <w:top w:val="nil"/>
              <w:left w:val="nil"/>
              <w:bottom w:val="single" w:sz="4" w:space="0" w:color="auto"/>
              <w:right w:val="single" w:sz="4" w:space="0" w:color="auto"/>
            </w:tcBorders>
            <w:shd w:val="clear" w:color="auto" w:fill="auto"/>
            <w:noWrap/>
            <w:vAlign w:val="bottom"/>
            <w:hideMark/>
          </w:tcPr>
          <w:p w14:paraId="431058DF" w14:textId="77777777" w:rsidR="00177D17" w:rsidRPr="00EC78B0" w:rsidRDefault="00177D17" w:rsidP="00177D17">
            <w:pPr>
              <w:jc w:val="center"/>
              <w:rPr>
                <w:color w:val="000000"/>
                <w:highlight w:val="yellow"/>
                <w:lang w:val="en-US"/>
              </w:rPr>
            </w:pPr>
            <w:r w:rsidRPr="00EC78B0">
              <w:rPr>
                <w:color w:val="000000"/>
                <w:highlight w:val="yellow"/>
                <w:lang w:val="en-US"/>
              </w:rPr>
              <w:t>3.7</w:t>
            </w:r>
          </w:p>
        </w:tc>
        <w:tc>
          <w:tcPr>
            <w:tcW w:w="1146" w:type="dxa"/>
            <w:tcBorders>
              <w:top w:val="nil"/>
              <w:left w:val="nil"/>
              <w:bottom w:val="single" w:sz="4" w:space="0" w:color="auto"/>
              <w:right w:val="single" w:sz="4" w:space="0" w:color="auto"/>
            </w:tcBorders>
            <w:shd w:val="clear" w:color="auto" w:fill="auto"/>
            <w:noWrap/>
            <w:vAlign w:val="bottom"/>
            <w:hideMark/>
          </w:tcPr>
          <w:p w14:paraId="652E29D1" w14:textId="77777777" w:rsidR="00177D17" w:rsidRPr="00EC78B0" w:rsidRDefault="00177D17" w:rsidP="00177D17">
            <w:pPr>
              <w:jc w:val="right"/>
              <w:rPr>
                <w:color w:val="000000"/>
                <w:highlight w:val="yellow"/>
                <w:lang w:val="en-US"/>
              </w:rPr>
            </w:pPr>
            <w:r w:rsidRPr="00EC78B0">
              <w:rPr>
                <w:color w:val="000000"/>
                <w:highlight w:val="yellow"/>
                <w:lang w:val="en-US"/>
              </w:rPr>
              <w:t>3.3</w:t>
            </w:r>
          </w:p>
        </w:tc>
        <w:tc>
          <w:tcPr>
            <w:tcW w:w="1146" w:type="dxa"/>
            <w:tcBorders>
              <w:top w:val="nil"/>
              <w:left w:val="nil"/>
              <w:bottom w:val="single" w:sz="4" w:space="0" w:color="auto"/>
              <w:right w:val="single" w:sz="4" w:space="0" w:color="auto"/>
            </w:tcBorders>
            <w:shd w:val="clear" w:color="auto" w:fill="auto"/>
            <w:noWrap/>
            <w:vAlign w:val="bottom"/>
            <w:hideMark/>
          </w:tcPr>
          <w:p w14:paraId="370729B7" w14:textId="77777777" w:rsidR="00177D17" w:rsidRPr="00EC78B0" w:rsidRDefault="00177D17" w:rsidP="00177D17">
            <w:pPr>
              <w:jc w:val="right"/>
              <w:rPr>
                <w:color w:val="000000"/>
                <w:highlight w:val="yellow"/>
                <w:lang w:val="en-US"/>
              </w:rPr>
            </w:pPr>
            <w:r w:rsidRPr="00EC78B0">
              <w:rPr>
                <w:color w:val="000000"/>
                <w:highlight w:val="yellow"/>
                <w:lang w:val="en-US"/>
              </w:rPr>
              <w:t>2.1</w:t>
            </w:r>
          </w:p>
        </w:tc>
      </w:tr>
      <w:tr w:rsidR="00177D17" w:rsidRPr="00EC78B0" w14:paraId="409C9A5E" w14:textId="77777777" w:rsidTr="00EC78B0">
        <w:trPr>
          <w:trHeight w:val="214"/>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14:paraId="0995285C" w14:textId="77777777" w:rsidR="00177D17" w:rsidRPr="00EC78B0" w:rsidRDefault="00177D17" w:rsidP="00177D17">
            <w:pPr>
              <w:rPr>
                <w:highlight w:val="yellow"/>
                <w:lang w:val="en-US"/>
              </w:rPr>
            </w:pPr>
            <w:proofErr w:type="spellStart"/>
            <w:r w:rsidRPr="00EC78B0">
              <w:rPr>
                <w:highlight w:val="yellow"/>
                <w:lang w:val="en-US"/>
              </w:rPr>
              <w:t>Communitcation</w:t>
            </w:r>
            <w:proofErr w:type="spellEnd"/>
          </w:p>
        </w:tc>
        <w:tc>
          <w:tcPr>
            <w:tcW w:w="1054" w:type="dxa"/>
            <w:tcBorders>
              <w:top w:val="nil"/>
              <w:left w:val="nil"/>
              <w:bottom w:val="single" w:sz="4" w:space="0" w:color="auto"/>
              <w:right w:val="single" w:sz="4" w:space="0" w:color="auto"/>
            </w:tcBorders>
            <w:shd w:val="clear" w:color="auto" w:fill="auto"/>
            <w:noWrap/>
            <w:vAlign w:val="bottom"/>
            <w:hideMark/>
          </w:tcPr>
          <w:p w14:paraId="3A3A02F3" w14:textId="77777777" w:rsidR="00177D17" w:rsidRPr="00EC78B0" w:rsidRDefault="00177D17" w:rsidP="00177D17">
            <w:pPr>
              <w:jc w:val="center"/>
              <w:rPr>
                <w:color w:val="000000"/>
                <w:highlight w:val="yellow"/>
                <w:lang w:val="en-US"/>
              </w:rPr>
            </w:pPr>
            <w:r w:rsidRPr="00EC78B0">
              <w:rPr>
                <w:color w:val="000000"/>
                <w:highlight w:val="yellow"/>
                <w:lang w:val="en-US"/>
              </w:rPr>
              <w:t>2.5</w:t>
            </w:r>
          </w:p>
        </w:tc>
        <w:tc>
          <w:tcPr>
            <w:tcW w:w="1341" w:type="dxa"/>
            <w:tcBorders>
              <w:top w:val="nil"/>
              <w:left w:val="nil"/>
              <w:bottom w:val="single" w:sz="4" w:space="0" w:color="auto"/>
              <w:right w:val="single" w:sz="4" w:space="0" w:color="auto"/>
            </w:tcBorders>
            <w:shd w:val="clear" w:color="auto" w:fill="auto"/>
            <w:noWrap/>
            <w:vAlign w:val="bottom"/>
            <w:hideMark/>
          </w:tcPr>
          <w:p w14:paraId="5E900096" w14:textId="77777777" w:rsidR="00177D17" w:rsidRPr="00EC78B0" w:rsidRDefault="00177D17" w:rsidP="00177D17">
            <w:pPr>
              <w:jc w:val="center"/>
              <w:rPr>
                <w:color w:val="000000"/>
                <w:highlight w:val="yellow"/>
                <w:lang w:val="en-US"/>
              </w:rPr>
            </w:pPr>
            <w:r w:rsidRPr="00EC78B0">
              <w:rPr>
                <w:color w:val="000000"/>
                <w:highlight w:val="yellow"/>
                <w:lang w:val="en-US"/>
              </w:rPr>
              <w:t>2.7</w:t>
            </w:r>
          </w:p>
        </w:tc>
        <w:tc>
          <w:tcPr>
            <w:tcW w:w="913" w:type="dxa"/>
            <w:tcBorders>
              <w:top w:val="nil"/>
              <w:left w:val="nil"/>
              <w:bottom w:val="single" w:sz="4" w:space="0" w:color="auto"/>
              <w:right w:val="single" w:sz="4" w:space="0" w:color="auto"/>
            </w:tcBorders>
            <w:shd w:val="clear" w:color="auto" w:fill="auto"/>
            <w:noWrap/>
            <w:vAlign w:val="bottom"/>
            <w:hideMark/>
          </w:tcPr>
          <w:p w14:paraId="5573724D" w14:textId="77777777" w:rsidR="00177D17" w:rsidRPr="00EC78B0" w:rsidRDefault="00177D17" w:rsidP="00177D17">
            <w:pPr>
              <w:jc w:val="center"/>
              <w:rPr>
                <w:color w:val="000000"/>
                <w:highlight w:val="yellow"/>
                <w:lang w:val="en-US"/>
              </w:rPr>
            </w:pPr>
            <w:r w:rsidRPr="00EC78B0">
              <w:rPr>
                <w:color w:val="000000"/>
                <w:highlight w:val="yellow"/>
                <w:lang w:val="en-US"/>
              </w:rPr>
              <w:t>2.3</w:t>
            </w:r>
          </w:p>
        </w:tc>
        <w:tc>
          <w:tcPr>
            <w:tcW w:w="1146" w:type="dxa"/>
            <w:tcBorders>
              <w:top w:val="nil"/>
              <w:left w:val="nil"/>
              <w:bottom w:val="single" w:sz="4" w:space="0" w:color="auto"/>
              <w:right w:val="single" w:sz="4" w:space="0" w:color="auto"/>
            </w:tcBorders>
            <w:shd w:val="clear" w:color="auto" w:fill="auto"/>
            <w:noWrap/>
            <w:vAlign w:val="bottom"/>
            <w:hideMark/>
          </w:tcPr>
          <w:p w14:paraId="48F4DED2" w14:textId="77777777" w:rsidR="00177D17" w:rsidRPr="00EC78B0" w:rsidRDefault="00177D17" w:rsidP="00177D17">
            <w:pPr>
              <w:jc w:val="right"/>
              <w:rPr>
                <w:color w:val="000000"/>
                <w:highlight w:val="yellow"/>
                <w:lang w:val="en-US"/>
              </w:rPr>
            </w:pPr>
            <w:r w:rsidRPr="00EC78B0">
              <w:rPr>
                <w:color w:val="000000"/>
                <w:highlight w:val="yellow"/>
                <w:lang w:val="en-US"/>
              </w:rPr>
              <w:t>2.1</w:t>
            </w:r>
          </w:p>
        </w:tc>
        <w:tc>
          <w:tcPr>
            <w:tcW w:w="1146" w:type="dxa"/>
            <w:tcBorders>
              <w:top w:val="nil"/>
              <w:left w:val="nil"/>
              <w:bottom w:val="single" w:sz="4" w:space="0" w:color="auto"/>
              <w:right w:val="single" w:sz="4" w:space="0" w:color="auto"/>
            </w:tcBorders>
            <w:shd w:val="clear" w:color="auto" w:fill="auto"/>
            <w:noWrap/>
            <w:vAlign w:val="bottom"/>
            <w:hideMark/>
          </w:tcPr>
          <w:p w14:paraId="7514F8E0" w14:textId="77777777" w:rsidR="00177D17" w:rsidRPr="00EC78B0" w:rsidRDefault="00177D17" w:rsidP="00177D17">
            <w:pPr>
              <w:jc w:val="right"/>
              <w:rPr>
                <w:color w:val="000000"/>
                <w:highlight w:val="yellow"/>
                <w:lang w:val="en-US"/>
              </w:rPr>
            </w:pPr>
            <w:r w:rsidRPr="00EC78B0">
              <w:rPr>
                <w:color w:val="000000"/>
                <w:highlight w:val="yellow"/>
                <w:lang w:val="en-US"/>
              </w:rPr>
              <w:t>1.7</w:t>
            </w:r>
          </w:p>
        </w:tc>
      </w:tr>
      <w:tr w:rsidR="00177D17" w:rsidRPr="00EC78B0" w14:paraId="77B0A327" w14:textId="77777777" w:rsidTr="00EC78B0">
        <w:trPr>
          <w:trHeight w:val="214"/>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14:paraId="52DADEB1" w14:textId="77777777" w:rsidR="00177D17" w:rsidRPr="00EC78B0" w:rsidRDefault="00177D17" w:rsidP="00177D17">
            <w:pPr>
              <w:rPr>
                <w:highlight w:val="yellow"/>
                <w:lang w:val="en-US"/>
              </w:rPr>
            </w:pPr>
            <w:proofErr w:type="spellStart"/>
            <w:r w:rsidRPr="00EC78B0">
              <w:rPr>
                <w:highlight w:val="yellow"/>
                <w:lang w:val="en-US"/>
              </w:rPr>
              <w:t>Curlture</w:t>
            </w:r>
            <w:proofErr w:type="spellEnd"/>
            <w:r w:rsidRPr="00EC78B0">
              <w:rPr>
                <w:highlight w:val="yellow"/>
                <w:lang w:val="en-US"/>
              </w:rPr>
              <w:t xml:space="preserve"> and Leisure</w:t>
            </w:r>
          </w:p>
        </w:tc>
        <w:tc>
          <w:tcPr>
            <w:tcW w:w="1054" w:type="dxa"/>
            <w:tcBorders>
              <w:top w:val="nil"/>
              <w:left w:val="nil"/>
              <w:bottom w:val="single" w:sz="4" w:space="0" w:color="auto"/>
              <w:right w:val="single" w:sz="4" w:space="0" w:color="auto"/>
            </w:tcBorders>
            <w:shd w:val="clear" w:color="auto" w:fill="auto"/>
            <w:noWrap/>
            <w:vAlign w:val="bottom"/>
            <w:hideMark/>
          </w:tcPr>
          <w:p w14:paraId="319DFE46" w14:textId="77777777" w:rsidR="00177D17" w:rsidRPr="00EC78B0" w:rsidRDefault="00177D17" w:rsidP="00177D17">
            <w:pPr>
              <w:jc w:val="center"/>
              <w:rPr>
                <w:color w:val="000000"/>
                <w:highlight w:val="yellow"/>
                <w:lang w:val="en-US"/>
              </w:rPr>
            </w:pPr>
            <w:r w:rsidRPr="00EC78B0">
              <w:rPr>
                <w:color w:val="000000"/>
                <w:highlight w:val="yellow"/>
                <w:lang w:val="en-US"/>
              </w:rPr>
              <w:t>2.3</w:t>
            </w:r>
          </w:p>
        </w:tc>
        <w:tc>
          <w:tcPr>
            <w:tcW w:w="1341" w:type="dxa"/>
            <w:tcBorders>
              <w:top w:val="nil"/>
              <w:left w:val="nil"/>
              <w:bottom w:val="single" w:sz="4" w:space="0" w:color="auto"/>
              <w:right w:val="single" w:sz="4" w:space="0" w:color="auto"/>
            </w:tcBorders>
            <w:shd w:val="clear" w:color="auto" w:fill="auto"/>
            <w:noWrap/>
            <w:vAlign w:val="bottom"/>
            <w:hideMark/>
          </w:tcPr>
          <w:p w14:paraId="15309255" w14:textId="77777777" w:rsidR="00177D17" w:rsidRPr="00EC78B0" w:rsidRDefault="00177D17" w:rsidP="00177D17">
            <w:pPr>
              <w:jc w:val="center"/>
              <w:rPr>
                <w:color w:val="000000"/>
                <w:highlight w:val="yellow"/>
                <w:lang w:val="en-US"/>
              </w:rPr>
            </w:pPr>
            <w:r w:rsidRPr="00EC78B0">
              <w:rPr>
                <w:color w:val="000000"/>
                <w:highlight w:val="yellow"/>
                <w:lang w:val="en-US"/>
              </w:rPr>
              <w:t>2.5</w:t>
            </w:r>
          </w:p>
        </w:tc>
        <w:tc>
          <w:tcPr>
            <w:tcW w:w="913" w:type="dxa"/>
            <w:tcBorders>
              <w:top w:val="nil"/>
              <w:left w:val="nil"/>
              <w:bottom w:val="single" w:sz="4" w:space="0" w:color="auto"/>
              <w:right w:val="single" w:sz="4" w:space="0" w:color="auto"/>
            </w:tcBorders>
            <w:shd w:val="clear" w:color="auto" w:fill="auto"/>
            <w:noWrap/>
            <w:vAlign w:val="bottom"/>
            <w:hideMark/>
          </w:tcPr>
          <w:p w14:paraId="036A84A0" w14:textId="77777777" w:rsidR="00177D17" w:rsidRPr="00EC78B0" w:rsidRDefault="00177D17" w:rsidP="00177D17">
            <w:pPr>
              <w:jc w:val="center"/>
              <w:rPr>
                <w:color w:val="000000"/>
                <w:highlight w:val="yellow"/>
                <w:lang w:val="en-US"/>
              </w:rPr>
            </w:pPr>
            <w:r w:rsidRPr="00EC78B0">
              <w:rPr>
                <w:color w:val="000000"/>
                <w:highlight w:val="yellow"/>
                <w:lang w:val="en-US"/>
              </w:rPr>
              <w:t>2.2</w:t>
            </w:r>
          </w:p>
        </w:tc>
        <w:tc>
          <w:tcPr>
            <w:tcW w:w="1146" w:type="dxa"/>
            <w:tcBorders>
              <w:top w:val="nil"/>
              <w:left w:val="nil"/>
              <w:bottom w:val="single" w:sz="4" w:space="0" w:color="auto"/>
              <w:right w:val="single" w:sz="4" w:space="0" w:color="auto"/>
            </w:tcBorders>
            <w:shd w:val="clear" w:color="auto" w:fill="auto"/>
            <w:noWrap/>
            <w:vAlign w:val="bottom"/>
            <w:hideMark/>
          </w:tcPr>
          <w:p w14:paraId="286E9504" w14:textId="77777777" w:rsidR="00177D17" w:rsidRPr="00EC78B0" w:rsidRDefault="00177D17" w:rsidP="00177D17">
            <w:pPr>
              <w:jc w:val="right"/>
              <w:rPr>
                <w:color w:val="000000"/>
                <w:highlight w:val="yellow"/>
                <w:lang w:val="en-US"/>
              </w:rPr>
            </w:pPr>
            <w:r w:rsidRPr="00EC78B0">
              <w:rPr>
                <w:color w:val="000000"/>
                <w:highlight w:val="yellow"/>
                <w:lang w:val="en-US"/>
              </w:rPr>
              <w:t>1.5</w:t>
            </w:r>
          </w:p>
        </w:tc>
        <w:tc>
          <w:tcPr>
            <w:tcW w:w="1146" w:type="dxa"/>
            <w:tcBorders>
              <w:top w:val="nil"/>
              <w:left w:val="nil"/>
              <w:bottom w:val="single" w:sz="4" w:space="0" w:color="auto"/>
              <w:right w:val="single" w:sz="4" w:space="0" w:color="auto"/>
            </w:tcBorders>
            <w:shd w:val="clear" w:color="auto" w:fill="auto"/>
            <w:noWrap/>
            <w:vAlign w:val="bottom"/>
            <w:hideMark/>
          </w:tcPr>
          <w:p w14:paraId="35577858" w14:textId="77777777" w:rsidR="00177D17" w:rsidRPr="00EC78B0" w:rsidRDefault="00177D17" w:rsidP="00177D17">
            <w:pPr>
              <w:jc w:val="right"/>
              <w:rPr>
                <w:color w:val="000000"/>
                <w:highlight w:val="yellow"/>
                <w:lang w:val="en-US"/>
              </w:rPr>
            </w:pPr>
            <w:r w:rsidRPr="00EC78B0">
              <w:rPr>
                <w:color w:val="000000"/>
                <w:highlight w:val="yellow"/>
                <w:lang w:val="en-US"/>
              </w:rPr>
              <w:t>1.1</w:t>
            </w:r>
          </w:p>
        </w:tc>
      </w:tr>
    </w:tbl>
    <w:p w14:paraId="3BA52BE7" w14:textId="77777777" w:rsidR="00177D17" w:rsidRPr="00635083" w:rsidRDefault="00177D17" w:rsidP="009F2B1C">
      <w:pPr>
        <w:spacing w:after="160" w:line="259" w:lineRule="auto"/>
        <w:ind w:left="720"/>
        <w:contextualSpacing/>
        <w:jc w:val="both"/>
        <w:rPr>
          <w:rFonts w:eastAsia="Calibri"/>
          <w:sz w:val="22"/>
          <w:szCs w:val="22"/>
          <w:highlight w:val="yellow"/>
        </w:rPr>
      </w:pPr>
    </w:p>
    <w:p w14:paraId="05B20750" w14:textId="77777777" w:rsidR="00177D17" w:rsidRPr="00635083" w:rsidRDefault="00177D17" w:rsidP="009F2B1C">
      <w:pPr>
        <w:spacing w:after="160" w:line="259" w:lineRule="auto"/>
        <w:ind w:left="720"/>
        <w:contextualSpacing/>
        <w:jc w:val="both"/>
        <w:rPr>
          <w:rFonts w:eastAsia="Calibri"/>
          <w:sz w:val="22"/>
          <w:szCs w:val="22"/>
          <w:highlight w:val="yellow"/>
        </w:rPr>
      </w:pPr>
    </w:p>
    <w:p w14:paraId="7490A0AB" w14:textId="4E20C542" w:rsidR="00F65968" w:rsidRPr="00F65968" w:rsidRDefault="00F65968" w:rsidP="00F65968">
      <w:pPr>
        <w:spacing w:after="160" w:line="259" w:lineRule="auto"/>
        <w:ind w:left="720"/>
        <w:contextualSpacing/>
        <w:jc w:val="both"/>
        <w:rPr>
          <w:rFonts w:eastAsia="Calibri"/>
          <w:sz w:val="22"/>
          <w:szCs w:val="22"/>
          <w:highlight w:val="yellow"/>
        </w:rPr>
      </w:pPr>
      <w:r>
        <w:rPr>
          <w:rFonts w:eastAsia="Calibri"/>
          <w:sz w:val="22"/>
          <w:szCs w:val="22"/>
          <w:highlight w:val="yellow"/>
        </w:rPr>
        <w:t>It is important to note that h</w:t>
      </w:r>
      <w:r w:rsidR="00E113C4" w:rsidRPr="00635083">
        <w:rPr>
          <w:rFonts w:eastAsia="Calibri"/>
          <w:sz w:val="22"/>
          <w:szCs w:val="22"/>
          <w:highlight w:val="yellow"/>
        </w:rPr>
        <w:t>ousing</w:t>
      </w:r>
      <w:r w:rsidR="00FB03D9" w:rsidRPr="00635083">
        <w:rPr>
          <w:rFonts w:eastAsia="Calibri"/>
          <w:sz w:val="22"/>
          <w:szCs w:val="22"/>
          <w:highlight w:val="yellow"/>
        </w:rPr>
        <w:t xml:space="preserve"> expenses</w:t>
      </w:r>
      <w:r w:rsidR="00E113C4" w:rsidRPr="00635083">
        <w:rPr>
          <w:rFonts w:eastAsia="Calibri"/>
          <w:sz w:val="22"/>
          <w:szCs w:val="22"/>
          <w:highlight w:val="yellow"/>
        </w:rPr>
        <w:t xml:space="preserve"> </w:t>
      </w:r>
      <w:r>
        <w:rPr>
          <w:rFonts w:eastAsia="Calibri"/>
          <w:sz w:val="22"/>
          <w:szCs w:val="22"/>
          <w:highlight w:val="yellow"/>
        </w:rPr>
        <w:t>include a rage of expenses, not just rent (</w:t>
      </w:r>
      <w:r>
        <w:rPr>
          <w:rFonts w:eastAsia="Calibri"/>
          <w:sz w:val="22"/>
          <w:szCs w:val="22"/>
          <w:highlight w:val="yellow"/>
        </w:rPr>
        <w:fldChar w:fldCharType="begin"/>
      </w:r>
      <w:r>
        <w:rPr>
          <w:rFonts w:eastAsia="Calibri"/>
          <w:sz w:val="22"/>
          <w:szCs w:val="22"/>
          <w:highlight w:val="yellow"/>
        </w:rPr>
        <w:instrText xml:space="preserve"> REF _Ref133315201 \h </w:instrText>
      </w:r>
      <w:r>
        <w:rPr>
          <w:rFonts w:eastAsia="Calibri"/>
          <w:sz w:val="22"/>
          <w:szCs w:val="22"/>
          <w:highlight w:val="yellow"/>
        </w:rPr>
      </w:r>
      <w:r>
        <w:rPr>
          <w:rFonts w:eastAsia="Calibri"/>
          <w:sz w:val="22"/>
          <w:szCs w:val="22"/>
          <w:highlight w:val="yellow"/>
        </w:rPr>
        <w:fldChar w:fldCharType="separate"/>
      </w:r>
      <w:r w:rsidRPr="00635083">
        <w:rPr>
          <w:highlight w:val="yellow"/>
        </w:rPr>
        <w:t xml:space="preserve">Table </w:t>
      </w:r>
      <w:r w:rsidRPr="00635083">
        <w:rPr>
          <w:noProof/>
          <w:highlight w:val="yellow"/>
        </w:rPr>
        <w:t>2</w:t>
      </w:r>
      <w:r>
        <w:rPr>
          <w:rFonts w:eastAsia="Calibri"/>
          <w:sz w:val="22"/>
          <w:szCs w:val="22"/>
          <w:highlight w:val="yellow"/>
        </w:rPr>
        <w:fldChar w:fldCharType="end"/>
      </w:r>
      <w:r>
        <w:rPr>
          <w:rFonts w:eastAsia="Calibri"/>
          <w:sz w:val="22"/>
          <w:szCs w:val="22"/>
          <w:highlight w:val="yellow"/>
        </w:rPr>
        <w:t>).</w:t>
      </w:r>
      <w:r w:rsidRPr="00F65968">
        <w:rPr>
          <w:rFonts w:eastAsia="Calibri"/>
          <w:sz w:val="22"/>
          <w:szCs w:val="22"/>
          <w:highlight w:val="yellow"/>
          <w:vertAlign w:val="superscript"/>
        </w:rPr>
        <w:footnoteReference w:id="5"/>
      </w:r>
      <w:r>
        <w:rPr>
          <w:rFonts w:eastAsia="Calibri"/>
          <w:sz w:val="22"/>
          <w:szCs w:val="22"/>
          <w:highlight w:val="yellow"/>
        </w:rPr>
        <w:t xml:space="preserve"> As we can see the breakdown does not include mortgage instalments (rare, limited mostly to Social Housing), home buying </w:t>
      </w:r>
      <w:r w:rsidR="005B647C">
        <w:rPr>
          <w:rFonts w:eastAsia="Calibri"/>
          <w:sz w:val="22"/>
          <w:szCs w:val="22"/>
          <w:highlight w:val="yellow"/>
        </w:rPr>
        <w:t>instalments</w:t>
      </w:r>
      <w:r>
        <w:rPr>
          <w:rFonts w:eastAsia="Calibri"/>
          <w:sz w:val="22"/>
          <w:szCs w:val="22"/>
          <w:highlight w:val="yellow"/>
        </w:rPr>
        <w:t xml:space="preserve">, or other housing related debt which </w:t>
      </w:r>
      <w:r w:rsidR="005B647C">
        <w:rPr>
          <w:rFonts w:eastAsia="Calibri"/>
          <w:sz w:val="22"/>
          <w:szCs w:val="22"/>
          <w:highlight w:val="yellow"/>
        </w:rPr>
        <w:t>can be informal.</w:t>
      </w:r>
      <w:r w:rsidRPr="00F65968">
        <w:rPr>
          <w:rFonts w:eastAsia="Calibri"/>
          <w:sz w:val="22"/>
          <w:szCs w:val="22"/>
          <w:highlight w:val="yellow"/>
        </w:rPr>
        <w:t xml:space="preserve"> </w:t>
      </w:r>
      <w:r w:rsidR="005B647C">
        <w:rPr>
          <w:rFonts w:eastAsia="Calibri"/>
          <w:sz w:val="22"/>
          <w:szCs w:val="22"/>
          <w:highlight w:val="yellow"/>
        </w:rPr>
        <w:t xml:space="preserve">Plus, a large portion of the population incrementally build their homes, meaning that costs are spread over a long amount of time, and are spent before moving in. Therefore, the surveyed expenses underrepresent housing costs, as </w:t>
      </w:r>
      <w:r w:rsidRPr="00F65968">
        <w:rPr>
          <w:rFonts w:eastAsia="Calibri"/>
          <w:sz w:val="22"/>
          <w:szCs w:val="22"/>
          <w:highlight w:val="yellow"/>
        </w:rPr>
        <w:t xml:space="preserve">rents are either very low rent control values, or, estimated current market values </w:t>
      </w:r>
      <w:r w:rsidR="005B647C">
        <w:rPr>
          <w:rFonts w:eastAsia="Calibri"/>
          <w:sz w:val="22"/>
          <w:szCs w:val="22"/>
          <w:highlight w:val="yellow"/>
        </w:rPr>
        <w:t>that are averaged out to cover Old Renters (</w:t>
      </w:r>
      <w:r w:rsidR="00592C09">
        <w:rPr>
          <w:rFonts w:eastAsia="Calibri"/>
          <w:sz w:val="22"/>
          <w:szCs w:val="22"/>
          <w:highlight w:val="yellow"/>
        </w:rPr>
        <w:t>6.7% of the survey</w:t>
      </w:r>
      <w:r w:rsidR="005B647C">
        <w:rPr>
          <w:rFonts w:eastAsia="Calibri"/>
          <w:sz w:val="22"/>
          <w:szCs w:val="22"/>
          <w:highlight w:val="yellow"/>
        </w:rPr>
        <w:t>), New Renters</w:t>
      </w:r>
      <w:r w:rsidR="00592C09">
        <w:rPr>
          <w:rFonts w:eastAsia="Calibri"/>
          <w:sz w:val="22"/>
          <w:szCs w:val="22"/>
          <w:highlight w:val="yellow"/>
        </w:rPr>
        <w:t xml:space="preserve"> (9.8%)</w:t>
      </w:r>
      <w:r w:rsidR="005B647C">
        <w:rPr>
          <w:rFonts w:eastAsia="Calibri"/>
          <w:sz w:val="22"/>
          <w:szCs w:val="22"/>
          <w:highlight w:val="yellow"/>
        </w:rPr>
        <w:t xml:space="preserve">, and </w:t>
      </w:r>
      <w:r w:rsidR="00BA0B7D">
        <w:rPr>
          <w:rFonts w:eastAsia="Calibri"/>
          <w:sz w:val="22"/>
          <w:szCs w:val="22"/>
          <w:highlight w:val="yellow"/>
        </w:rPr>
        <w:t>homeowners</w:t>
      </w:r>
      <w:r w:rsidR="005B647C">
        <w:rPr>
          <w:rFonts w:eastAsia="Calibri"/>
          <w:sz w:val="22"/>
          <w:szCs w:val="22"/>
          <w:highlight w:val="yellow"/>
        </w:rPr>
        <w:t xml:space="preserve"> (</w:t>
      </w:r>
      <w:r w:rsidR="00592C09">
        <w:rPr>
          <w:rFonts w:eastAsia="Calibri"/>
          <w:sz w:val="22"/>
          <w:szCs w:val="22"/>
          <w:highlight w:val="yellow"/>
        </w:rPr>
        <w:t>83.8%</w:t>
      </w:r>
      <w:r w:rsidR="005B647C">
        <w:rPr>
          <w:rFonts w:eastAsia="Calibri"/>
          <w:sz w:val="22"/>
          <w:szCs w:val="22"/>
          <w:highlight w:val="yellow"/>
        </w:rPr>
        <w:t>)</w:t>
      </w:r>
      <w:r w:rsidRPr="00F65968">
        <w:rPr>
          <w:rFonts w:eastAsia="Calibri"/>
          <w:sz w:val="22"/>
          <w:szCs w:val="22"/>
          <w:highlight w:val="yellow"/>
        </w:rPr>
        <w:t>.</w:t>
      </w:r>
      <w:r w:rsidR="00BA0B7D">
        <w:rPr>
          <w:rStyle w:val="FootnoteReference"/>
          <w:rFonts w:eastAsia="Calibri"/>
          <w:sz w:val="22"/>
          <w:szCs w:val="22"/>
          <w:highlight w:val="yellow"/>
        </w:rPr>
        <w:footnoteReference w:id="6"/>
      </w:r>
    </w:p>
    <w:p w14:paraId="7647747F" w14:textId="6B70C6B1" w:rsidR="00A83B64" w:rsidRPr="00635083" w:rsidRDefault="00A83B64" w:rsidP="009F2B1C">
      <w:pPr>
        <w:spacing w:after="160" w:line="259" w:lineRule="auto"/>
        <w:ind w:left="720"/>
        <w:contextualSpacing/>
        <w:jc w:val="both"/>
        <w:rPr>
          <w:rFonts w:eastAsia="Calibri"/>
          <w:sz w:val="22"/>
          <w:szCs w:val="22"/>
          <w:highlight w:val="yellow"/>
        </w:rPr>
      </w:pPr>
    </w:p>
    <w:p w14:paraId="2F4A8E05" w14:textId="77777777" w:rsidR="00FB03D9" w:rsidRPr="00635083" w:rsidRDefault="00FB03D9" w:rsidP="009F2B1C">
      <w:pPr>
        <w:spacing w:after="160" w:line="259" w:lineRule="auto"/>
        <w:ind w:left="720"/>
        <w:contextualSpacing/>
        <w:jc w:val="both"/>
        <w:rPr>
          <w:rFonts w:eastAsia="Calibri"/>
          <w:sz w:val="22"/>
          <w:szCs w:val="22"/>
          <w:highlight w:val="yellow"/>
        </w:rPr>
      </w:pPr>
    </w:p>
    <w:p w14:paraId="0B3DD810" w14:textId="71BDB75E" w:rsidR="009E1046" w:rsidRPr="00635083" w:rsidRDefault="009E1046" w:rsidP="009E1046">
      <w:pPr>
        <w:pStyle w:val="Caption"/>
        <w:keepNext/>
        <w:rPr>
          <w:highlight w:val="yellow"/>
        </w:rPr>
      </w:pPr>
      <w:bookmarkStart w:id="3" w:name="_Ref133315201"/>
      <w:r w:rsidRPr="00635083">
        <w:rPr>
          <w:highlight w:val="yellow"/>
        </w:rPr>
        <w:t xml:space="preserve">Table </w:t>
      </w:r>
      <w:r w:rsidRPr="00635083">
        <w:rPr>
          <w:highlight w:val="yellow"/>
        </w:rPr>
        <w:fldChar w:fldCharType="begin"/>
      </w:r>
      <w:r w:rsidRPr="00635083">
        <w:rPr>
          <w:highlight w:val="yellow"/>
        </w:rPr>
        <w:instrText xml:space="preserve"> SEQ Table \* ARABIC </w:instrText>
      </w:r>
      <w:r w:rsidRPr="00635083">
        <w:rPr>
          <w:highlight w:val="yellow"/>
        </w:rPr>
        <w:fldChar w:fldCharType="separate"/>
      </w:r>
      <w:r w:rsidR="00591B1B">
        <w:rPr>
          <w:noProof/>
          <w:highlight w:val="yellow"/>
        </w:rPr>
        <w:t>2</w:t>
      </w:r>
      <w:r w:rsidRPr="00635083">
        <w:rPr>
          <w:noProof/>
          <w:highlight w:val="yellow"/>
        </w:rPr>
        <w:fldChar w:fldCharType="end"/>
      </w:r>
      <w:bookmarkEnd w:id="3"/>
      <w:r w:rsidRPr="00635083">
        <w:rPr>
          <w:highlight w:val="yellow"/>
          <w:lang w:val="en-US"/>
        </w:rPr>
        <w:t>: Household Income and Expenditure survey 2019/2020 - Detail of housing expenses</w:t>
      </w:r>
    </w:p>
    <w:tbl>
      <w:tblPr>
        <w:tblW w:w="6470" w:type="dxa"/>
        <w:jc w:val="center"/>
        <w:tblLook w:val="04A0" w:firstRow="1" w:lastRow="0" w:firstColumn="1" w:lastColumn="0" w:noHBand="0" w:noVBand="1"/>
      </w:tblPr>
      <w:tblGrid>
        <w:gridCol w:w="2944"/>
        <w:gridCol w:w="781"/>
        <w:gridCol w:w="800"/>
        <w:gridCol w:w="781"/>
        <w:gridCol w:w="1164"/>
      </w:tblGrid>
      <w:tr w:rsidR="00CD79B3" w:rsidRPr="00BA0B7D" w14:paraId="621367B4" w14:textId="77777777" w:rsidTr="00BA0B7D">
        <w:trPr>
          <w:trHeight w:val="357"/>
          <w:jc w:val="center"/>
        </w:trPr>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C9326" w14:textId="77777777" w:rsidR="00CD79B3" w:rsidRPr="00BA0B7D" w:rsidRDefault="00CD79B3" w:rsidP="00BA0B7D">
            <w:pPr>
              <w:contextualSpacing/>
              <w:jc w:val="center"/>
              <w:rPr>
                <w:rFonts w:ascii="Calibri" w:hAnsi="Calibri" w:cs="Calibri"/>
                <w:b/>
                <w:bCs/>
                <w:color w:val="000000"/>
                <w:highlight w:val="yellow"/>
                <w:lang w:val="en-US"/>
              </w:rPr>
            </w:pPr>
            <w:r w:rsidRPr="00BA0B7D">
              <w:rPr>
                <w:rFonts w:ascii="Calibri" w:hAnsi="Calibri" w:cs="Calibri"/>
                <w:b/>
                <w:bCs/>
                <w:color w:val="000000"/>
                <w:highlight w:val="yellow"/>
                <w:lang w:val="en-US"/>
              </w:rPr>
              <w:t>Expenses</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2BA5DC2B" w14:textId="77777777" w:rsidR="00CD79B3" w:rsidRPr="00BA0B7D" w:rsidRDefault="00CD79B3" w:rsidP="00BA0B7D">
            <w:pPr>
              <w:contextualSpacing/>
              <w:jc w:val="center"/>
              <w:rPr>
                <w:rFonts w:ascii="Calibri" w:hAnsi="Calibri" w:cs="Calibri"/>
                <w:b/>
                <w:bCs/>
                <w:color w:val="000000"/>
                <w:highlight w:val="yellow"/>
                <w:lang w:val="en-US"/>
              </w:rPr>
            </w:pPr>
            <w:r w:rsidRPr="00BA0B7D">
              <w:rPr>
                <w:rFonts w:ascii="Calibri" w:hAnsi="Calibri" w:cs="Calibri"/>
                <w:b/>
                <w:bCs/>
                <w:color w:val="000000"/>
                <w:highlight w:val="yellow"/>
                <w:lang w:val="en-US"/>
              </w:rPr>
              <w:t>Egypt</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14FC1C6A" w14:textId="77777777" w:rsidR="00CD79B3" w:rsidRPr="00BA0B7D" w:rsidRDefault="00CD79B3" w:rsidP="00BA0B7D">
            <w:pPr>
              <w:contextualSpacing/>
              <w:jc w:val="center"/>
              <w:rPr>
                <w:rFonts w:ascii="Calibri" w:hAnsi="Calibri" w:cs="Calibri"/>
                <w:b/>
                <w:bCs/>
                <w:color w:val="000000"/>
                <w:highlight w:val="yellow"/>
                <w:lang w:val="en-US"/>
              </w:rPr>
            </w:pPr>
            <w:r w:rsidRPr="00BA0B7D">
              <w:rPr>
                <w:rFonts w:ascii="Calibri" w:hAnsi="Calibri" w:cs="Calibri"/>
                <w:b/>
                <w:bCs/>
                <w:color w:val="000000"/>
                <w:highlight w:val="yellow"/>
                <w:lang w:val="en-US"/>
              </w:rPr>
              <w:t>Urban</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26DACA3A" w14:textId="77777777" w:rsidR="00CD79B3" w:rsidRPr="00BA0B7D" w:rsidRDefault="00CD79B3" w:rsidP="00BA0B7D">
            <w:pPr>
              <w:contextualSpacing/>
              <w:jc w:val="center"/>
              <w:rPr>
                <w:rFonts w:ascii="Calibri" w:hAnsi="Calibri" w:cs="Calibri"/>
                <w:b/>
                <w:bCs/>
                <w:color w:val="000000"/>
                <w:highlight w:val="yellow"/>
                <w:lang w:val="en-US"/>
              </w:rPr>
            </w:pPr>
            <w:r w:rsidRPr="00BA0B7D">
              <w:rPr>
                <w:rFonts w:ascii="Calibri" w:hAnsi="Calibri" w:cs="Calibri"/>
                <w:b/>
                <w:bCs/>
                <w:color w:val="000000"/>
                <w:highlight w:val="yellow"/>
                <w:lang w:val="en-US"/>
              </w:rPr>
              <w:t>Rural</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328CE3FE" w14:textId="77777777" w:rsidR="00CD79B3" w:rsidRPr="00BA0B7D" w:rsidRDefault="00CD79B3" w:rsidP="00BA0B7D">
            <w:pPr>
              <w:contextualSpacing/>
              <w:jc w:val="center"/>
              <w:rPr>
                <w:rFonts w:ascii="Calibri" w:hAnsi="Calibri" w:cs="Calibri"/>
                <w:b/>
                <w:bCs/>
                <w:color w:val="000000"/>
                <w:highlight w:val="yellow"/>
                <w:lang w:val="en-US"/>
              </w:rPr>
            </w:pPr>
            <w:r w:rsidRPr="00BA0B7D">
              <w:rPr>
                <w:rFonts w:ascii="Calibri" w:hAnsi="Calibri" w:cs="Calibri"/>
                <w:b/>
                <w:bCs/>
                <w:color w:val="000000"/>
                <w:highlight w:val="yellow"/>
                <w:lang w:val="en-US"/>
              </w:rPr>
              <w:t>10th percentile</w:t>
            </w:r>
          </w:p>
        </w:tc>
      </w:tr>
      <w:tr w:rsidR="00CD79B3" w:rsidRPr="00BA0B7D" w14:paraId="5DD5018A" w14:textId="77777777" w:rsidTr="00BA0B7D">
        <w:trPr>
          <w:trHeight w:val="238"/>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1D7E5BD4" w14:textId="77777777" w:rsidR="00CD79B3" w:rsidRPr="00BA0B7D" w:rsidRDefault="00CD79B3" w:rsidP="00BA0B7D">
            <w:pPr>
              <w:contextualSpacing/>
              <w:rPr>
                <w:rFonts w:ascii="Calibri" w:hAnsi="Calibri" w:cs="Calibri"/>
                <w:color w:val="000000"/>
                <w:highlight w:val="yellow"/>
                <w:lang w:val="en-US"/>
              </w:rPr>
            </w:pPr>
            <w:r w:rsidRPr="00BA0B7D">
              <w:rPr>
                <w:rFonts w:ascii="Calibri" w:hAnsi="Calibri" w:cs="Calibri"/>
                <w:color w:val="000000"/>
                <w:highlight w:val="yellow"/>
                <w:lang w:val="en-US"/>
              </w:rPr>
              <w:t>Actual rents</w:t>
            </w:r>
          </w:p>
        </w:tc>
        <w:tc>
          <w:tcPr>
            <w:tcW w:w="781" w:type="dxa"/>
            <w:tcBorders>
              <w:top w:val="nil"/>
              <w:left w:val="nil"/>
              <w:bottom w:val="single" w:sz="4" w:space="0" w:color="auto"/>
              <w:right w:val="single" w:sz="4" w:space="0" w:color="auto"/>
            </w:tcBorders>
            <w:shd w:val="clear" w:color="auto" w:fill="auto"/>
            <w:noWrap/>
            <w:vAlign w:val="bottom"/>
            <w:hideMark/>
          </w:tcPr>
          <w:p w14:paraId="13959C06" w14:textId="77777777" w:rsidR="00CD79B3" w:rsidRPr="00BA0B7D" w:rsidRDefault="00CD79B3" w:rsidP="00BA0B7D">
            <w:pPr>
              <w:contextualSpacing/>
              <w:jc w:val="right"/>
              <w:rPr>
                <w:rFonts w:ascii="Calibri" w:hAnsi="Calibri" w:cs="Calibri"/>
                <w:color w:val="000000"/>
                <w:highlight w:val="yellow"/>
                <w:lang w:val="en-US"/>
              </w:rPr>
            </w:pPr>
            <w:r w:rsidRPr="00BA0B7D">
              <w:rPr>
                <w:rFonts w:ascii="Calibri" w:hAnsi="Calibri" w:cs="Calibri"/>
                <w:color w:val="000000"/>
                <w:highlight w:val="yellow"/>
                <w:lang w:val="en-US"/>
              </w:rPr>
              <w:t>7.6%</w:t>
            </w:r>
          </w:p>
        </w:tc>
        <w:tc>
          <w:tcPr>
            <w:tcW w:w="800" w:type="dxa"/>
            <w:tcBorders>
              <w:top w:val="nil"/>
              <w:left w:val="nil"/>
              <w:bottom w:val="single" w:sz="4" w:space="0" w:color="auto"/>
              <w:right w:val="single" w:sz="4" w:space="0" w:color="auto"/>
            </w:tcBorders>
            <w:shd w:val="clear" w:color="auto" w:fill="auto"/>
            <w:noWrap/>
            <w:vAlign w:val="bottom"/>
            <w:hideMark/>
          </w:tcPr>
          <w:p w14:paraId="6D8F5B02" w14:textId="77777777" w:rsidR="00CD79B3" w:rsidRPr="00BA0B7D" w:rsidRDefault="00CD79B3" w:rsidP="00BA0B7D">
            <w:pPr>
              <w:contextualSpacing/>
              <w:jc w:val="right"/>
              <w:rPr>
                <w:rFonts w:ascii="Calibri" w:hAnsi="Calibri" w:cs="Calibri"/>
                <w:color w:val="000000"/>
                <w:highlight w:val="yellow"/>
                <w:lang w:val="en-US"/>
              </w:rPr>
            </w:pPr>
            <w:r w:rsidRPr="00BA0B7D">
              <w:rPr>
                <w:rFonts w:ascii="Calibri" w:hAnsi="Calibri" w:cs="Calibri"/>
                <w:color w:val="000000"/>
                <w:highlight w:val="yellow"/>
                <w:lang w:val="en-US"/>
              </w:rPr>
              <w:t>12.4%</w:t>
            </w:r>
          </w:p>
        </w:tc>
        <w:tc>
          <w:tcPr>
            <w:tcW w:w="781" w:type="dxa"/>
            <w:tcBorders>
              <w:top w:val="nil"/>
              <w:left w:val="nil"/>
              <w:bottom w:val="single" w:sz="4" w:space="0" w:color="auto"/>
              <w:right w:val="single" w:sz="4" w:space="0" w:color="auto"/>
            </w:tcBorders>
            <w:shd w:val="clear" w:color="auto" w:fill="auto"/>
            <w:noWrap/>
            <w:vAlign w:val="bottom"/>
            <w:hideMark/>
          </w:tcPr>
          <w:p w14:paraId="2FA34AD9" w14:textId="77777777" w:rsidR="00CD79B3" w:rsidRPr="00BA0B7D" w:rsidRDefault="00CD79B3" w:rsidP="00BA0B7D">
            <w:pPr>
              <w:contextualSpacing/>
              <w:jc w:val="right"/>
              <w:rPr>
                <w:rFonts w:ascii="Calibri" w:hAnsi="Calibri" w:cs="Calibri"/>
                <w:color w:val="000000"/>
                <w:highlight w:val="yellow"/>
                <w:lang w:val="en-US"/>
              </w:rPr>
            </w:pPr>
            <w:r w:rsidRPr="00BA0B7D">
              <w:rPr>
                <w:rFonts w:ascii="Calibri" w:hAnsi="Calibri" w:cs="Calibri"/>
                <w:color w:val="000000"/>
                <w:highlight w:val="yellow"/>
                <w:lang w:val="en-US"/>
              </w:rPr>
              <w:t>2.0%</w:t>
            </w:r>
          </w:p>
        </w:tc>
        <w:tc>
          <w:tcPr>
            <w:tcW w:w="1164" w:type="dxa"/>
            <w:tcBorders>
              <w:top w:val="nil"/>
              <w:left w:val="nil"/>
              <w:bottom w:val="single" w:sz="4" w:space="0" w:color="auto"/>
              <w:right w:val="single" w:sz="4" w:space="0" w:color="auto"/>
            </w:tcBorders>
            <w:shd w:val="clear" w:color="auto" w:fill="auto"/>
            <w:noWrap/>
            <w:vAlign w:val="bottom"/>
            <w:hideMark/>
          </w:tcPr>
          <w:p w14:paraId="267B28B2" w14:textId="77777777" w:rsidR="00CD79B3" w:rsidRPr="00BA0B7D" w:rsidRDefault="00CD79B3" w:rsidP="00BA0B7D">
            <w:pPr>
              <w:contextualSpacing/>
              <w:jc w:val="right"/>
              <w:rPr>
                <w:rFonts w:ascii="Calibri" w:hAnsi="Calibri" w:cs="Calibri"/>
                <w:color w:val="000000"/>
                <w:highlight w:val="yellow"/>
                <w:lang w:val="en-US"/>
              </w:rPr>
            </w:pPr>
            <w:r w:rsidRPr="00BA0B7D">
              <w:rPr>
                <w:rFonts w:ascii="Calibri" w:hAnsi="Calibri" w:cs="Calibri"/>
                <w:color w:val="000000"/>
                <w:highlight w:val="yellow"/>
                <w:lang w:val="en-US"/>
              </w:rPr>
              <w:t>8.5%</w:t>
            </w:r>
          </w:p>
        </w:tc>
      </w:tr>
      <w:tr w:rsidR="00CD79B3" w:rsidRPr="00BA0B7D" w14:paraId="19696820" w14:textId="77777777" w:rsidTr="00BA0B7D">
        <w:trPr>
          <w:trHeight w:val="238"/>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4FA8F2E8" w14:textId="77777777" w:rsidR="00CD79B3" w:rsidRPr="00BA0B7D" w:rsidRDefault="00CD79B3" w:rsidP="00BA0B7D">
            <w:pPr>
              <w:contextualSpacing/>
              <w:rPr>
                <w:rFonts w:ascii="Calibri" w:hAnsi="Calibri" w:cs="Calibri"/>
                <w:color w:val="000000"/>
                <w:highlight w:val="yellow"/>
                <w:lang w:val="en-US"/>
              </w:rPr>
            </w:pPr>
            <w:r w:rsidRPr="00BA0B7D">
              <w:rPr>
                <w:rFonts w:ascii="Calibri" w:hAnsi="Calibri" w:cs="Calibri"/>
                <w:color w:val="000000"/>
                <w:highlight w:val="yellow"/>
                <w:lang w:val="en-US"/>
              </w:rPr>
              <w:t>Imputed rents</w:t>
            </w:r>
          </w:p>
        </w:tc>
        <w:tc>
          <w:tcPr>
            <w:tcW w:w="781" w:type="dxa"/>
            <w:tcBorders>
              <w:top w:val="nil"/>
              <w:left w:val="nil"/>
              <w:bottom w:val="single" w:sz="4" w:space="0" w:color="auto"/>
              <w:right w:val="single" w:sz="4" w:space="0" w:color="auto"/>
            </w:tcBorders>
            <w:shd w:val="clear" w:color="auto" w:fill="auto"/>
            <w:noWrap/>
            <w:vAlign w:val="bottom"/>
            <w:hideMark/>
          </w:tcPr>
          <w:p w14:paraId="1F7B9E14" w14:textId="77777777" w:rsidR="00CD79B3" w:rsidRPr="00BA0B7D" w:rsidRDefault="00CD79B3" w:rsidP="00BA0B7D">
            <w:pPr>
              <w:contextualSpacing/>
              <w:jc w:val="right"/>
              <w:rPr>
                <w:rFonts w:ascii="Calibri" w:hAnsi="Calibri" w:cs="Calibri"/>
                <w:color w:val="000000"/>
                <w:highlight w:val="yellow"/>
                <w:lang w:val="en-US"/>
              </w:rPr>
            </w:pPr>
            <w:r w:rsidRPr="00BA0B7D">
              <w:rPr>
                <w:rFonts w:ascii="Calibri" w:hAnsi="Calibri" w:cs="Calibri"/>
                <w:color w:val="000000"/>
                <w:highlight w:val="yellow"/>
                <w:lang w:val="en-US"/>
              </w:rPr>
              <w:t>55.4%</w:t>
            </w:r>
          </w:p>
        </w:tc>
        <w:tc>
          <w:tcPr>
            <w:tcW w:w="800" w:type="dxa"/>
            <w:tcBorders>
              <w:top w:val="nil"/>
              <w:left w:val="nil"/>
              <w:bottom w:val="single" w:sz="4" w:space="0" w:color="auto"/>
              <w:right w:val="single" w:sz="4" w:space="0" w:color="auto"/>
            </w:tcBorders>
            <w:shd w:val="clear" w:color="auto" w:fill="auto"/>
            <w:noWrap/>
            <w:vAlign w:val="bottom"/>
            <w:hideMark/>
          </w:tcPr>
          <w:p w14:paraId="646C190A" w14:textId="77777777" w:rsidR="00CD79B3" w:rsidRPr="00BA0B7D" w:rsidRDefault="00CD79B3" w:rsidP="00BA0B7D">
            <w:pPr>
              <w:contextualSpacing/>
              <w:jc w:val="right"/>
              <w:rPr>
                <w:rFonts w:ascii="Calibri" w:hAnsi="Calibri" w:cs="Calibri"/>
                <w:color w:val="000000"/>
                <w:highlight w:val="yellow"/>
                <w:lang w:val="en-US"/>
              </w:rPr>
            </w:pPr>
            <w:r w:rsidRPr="00BA0B7D">
              <w:rPr>
                <w:rFonts w:ascii="Calibri" w:hAnsi="Calibri" w:cs="Calibri"/>
                <w:color w:val="000000"/>
                <w:highlight w:val="yellow"/>
                <w:lang w:val="en-US"/>
              </w:rPr>
              <w:t>56.5%</w:t>
            </w:r>
          </w:p>
        </w:tc>
        <w:tc>
          <w:tcPr>
            <w:tcW w:w="781" w:type="dxa"/>
            <w:tcBorders>
              <w:top w:val="nil"/>
              <w:left w:val="nil"/>
              <w:bottom w:val="single" w:sz="4" w:space="0" w:color="auto"/>
              <w:right w:val="single" w:sz="4" w:space="0" w:color="auto"/>
            </w:tcBorders>
            <w:shd w:val="clear" w:color="auto" w:fill="auto"/>
            <w:noWrap/>
            <w:vAlign w:val="bottom"/>
            <w:hideMark/>
          </w:tcPr>
          <w:p w14:paraId="2209822E" w14:textId="77777777" w:rsidR="00CD79B3" w:rsidRPr="00BA0B7D" w:rsidRDefault="00CD79B3" w:rsidP="00BA0B7D">
            <w:pPr>
              <w:contextualSpacing/>
              <w:jc w:val="right"/>
              <w:rPr>
                <w:rFonts w:ascii="Calibri" w:hAnsi="Calibri" w:cs="Calibri"/>
                <w:color w:val="000000"/>
                <w:highlight w:val="yellow"/>
                <w:lang w:val="en-US"/>
              </w:rPr>
            </w:pPr>
            <w:r w:rsidRPr="00BA0B7D">
              <w:rPr>
                <w:rFonts w:ascii="Calibri" w:hAnsi="Calibri" w:cs="Calibri"/>
                <w:color w:val="000000"/>
                <w:highlight w:val="yellow"/>
                <w:lang w:val="en-US"/>
              </w:rPr>
              <w:t>54.1%</w:t>
            </w:r>
          </w:p>
        </w:tc>
        <w:tc>
          <w:tcPr>
            <w:tcW w:w="1164" w:type="dxa"/>
            <w:tcBorders>
              <w:top w:val="nil"/>
              <w:left w:val="nil"/>
              <w:bottom w:val="single" w:sz="4" w:space="0" w:color="auto"/>
              <w:right w:val="single" w:sz="4" w:space="0" w:color="auto"/>
            </w:tcBorders>
            <w:shd w:val="clear" w:color="auto" w:fill="auto"/>
            <w:noWrap/>
            <w:vAlign w:val="bottom"/>
            <w:hideMark/>
          </w:tcPr>
          <w:p w14:paraId="61D3E79D" w14:textId="77777777" w:rsidR="00CD79B3" w:rsidRPr="00BA0B7D" w:rsidRDefault="00CD79B3" w:rsidP="00BA0B7D">
            <w:pPr>
              <w:contextualSpacing/>
              <w:jc w:val="right"/>
              <w:rPr>
                <w:rFonts w:ascii="Calibri" w:hAnsi="Calibri" w:cs="Calibri"/>
                <w:color w:val="000000"/>
                <w:highlight w:val="yellow"/>
                <w:lang w:val="en-US"/>
              </w:rPr>
            </w:pPr>
            <w:r w:rsidRPr="00BA0B7D">
              <w:rPr>
                <w:rFonts w:ascii="Calibri" w:hAnsi="Calibri" w:cs="Calibri"/>
                <w:color w:val="000000"/>
                <w:highlight w:val="yellow"/>
                <w:lang w:val="en-US"/>
              </w:rPr>
              <w:t>49.3%</w:t>
            </w:r>
          </w:p>
        </w:tc>
      </w:tr>
      <w:tr w:rsidR="00CD79B3" w:rsidRPr="00BA0B7D" w14:paraId="684ECB92" w14:textId="77777777" w:rsidTr="00BA0B7D">
        <w:trPr>
          <w:trHeight w:val="357"/>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7BCC514A" w14:textId="77777777" w:rsidR="00CD79B3" w:rsidRPr="00BA0B7D" w:rsidRDefault="00CD79B3" w:rsidP="00BA0B7D">
            <w:pPr>
              <w:contextualSpacing/>
              <w:rPr>
                <w:rFonts w:ascii="Calibri" w:hAnsi="Calibri" w:cs="Calibri"/>
                <w:color w:val="000000"/>
                <w:highlight w:val="yellow"/>
                <w:lang w:val="en-US"/>
              </w:rPr>
            </w:pPr>
            <w:r w:rsidRPr="00BA0B7D">
              <w:rPr>
                <w:rFonts w:ascii="Calibri" w:hAnsi="Calibri" w:cs="Calibri"/>
                <w:color w:val="000000"/>
                <w:highlight w:val="yellow"/>
                <w:lang w:val="en-US"/>
              </w:rPr>
              <w:t>Maintenance</w:t>
            </w:r>
          </w:p>
        </w:tc>
        <w:tc>
          <w:tcPr>
            <w:tcW w:w="781" w:type="dxa"/>
            <w:tcBorders>
              <w:top w:val="nil"/>
              <w:left w:val="nil"/>
              <w:bottom w:val="single" w:sz="4" w:space="0" w:color="auto"/>
              <w:right w:val="single" w:sz="4" w:space="0" w:color="auto"/>
            </w:tcBorders>
            <w:shd w:val="clear" w:color="auto" w:fill="auto"/>
            <w:noWrap/>
            <w:vAlign w:val="bottom"/>
            <w:hideMark/>
          </w:tcPr>
          <w:p w14:paraId="68577087" w14:textId="77777777" w:rsidR="00CD79B3" w:rsidRPr="00BA0B7D" w:rsidRDefault="00CD79B3" w:rsidP="00BA0B7D">
            <w:pPr>
              <w:contextualSpacing/>
              <w:jc w:val="right"/>
              <w:rPr>
                <w:rFonts w:ascii="Calibri" w:hAnsi="Calibri" w:cs="Calibri"/>
                <w:color w:val="000000"/>
                <w:highlight w:val="yellow"/>
                <w:lang w:val="en-US"/>
              </w:rPr>
            </w:pPr>
            <w:r w:rsidRPr="00BA0B7D">
              <w:rPr>
                <w:rFonts w:ascii="Calibri" w:hAnsi="Calibri" w:cs="Calibri"/>
                <w:color w:val="000000"/>
                <w:highlight w:val="yellow"/>
                <w:lang w:val="en-US"/>
              </w:rPr>
              <w:t>3.1%</w:t>
            </w:r>
          </w:p>
        </w:tc>
        <w:tc>
          <w:tcPr>
            <w:tcW w:w="800" w:type="dxa"/>
            <w:tcBorders>
              <w:top w:val="nil"/>
              <w:left w:val="nil"/>
              <w:bottom w:val="single" w:sz="4" w:space="0" w:color="auto"/>
              <w:right w:val="single" w:sz="4" w:space="0" w:color="auto"/>
            </w:tcBorders>
            <w:shd w:val="clear" w:color="auto" w:fill="auto"/>
            <w:noWrap/>
            <w:vAlign w:val="bottom"/>
            <w:hideMark/>
          </w:tcPr>
          <w:p w14:paraId="7D84D391" w14:textId="77777777" w:rsidR="00CD79B3" w:rsidRPr="00BA0B7D" w:rsidRDefault="00CD79B3" w:rsidP="00BA0B7D">
            <w:pPr>
              <w:contextualSpacing/>
              <w:jc w:val="right"/>
              <w:rPr>
                <w:rFonts w:ascii="Calibri" w:hAnsi="Calibri" w:cs="Calibri"/>
                <w:color w:val="000000"/>
                <w:highlight w:val="yellow"/>
                <w:lang w:val="en-US"/>
              </w:rPr>
            </w:pPr>
            <w:r w:rsidRPr="00BA0B7D">
              <w:rPr>
                <w:rFonts w:ascii="Calibri" w:hAnsi="Calibri" w:cs="Calibri"/>
                <w:color w:val="000000"/>
                <w:highlight w:val="yellow"/>
                <w:lang w:val="en-US"/>
              </w:rPr>
              <w:t>2.8%</w:t>
            </w:r>
          </w:p>
        </w:tc>
        <w:tc>
          <w:tcPr>
            <w:tcW w:w="781" w:type="dxa"/>
            <w:tcBorders>
              <w:top w:val="nil"/>
              <w:left w:val="nil"/>
              <w:bottom w:val="single" w:sz="4" w:space="0" w:color="auto"/>
              <w:right w:val="single" w:sz="4" w:space="0" w:color="auto"/>
            </w:tcBorders>
            <w:shd w:val="clear" w:color="auto" w:fill="auto"/>
            <w:noWrap/>
            <w:vAlign w:val="bottom"/>
            <w:hideMark/>
          </w:tcPr>
          <w:p w14:paraId="6BB54A6C" w14:textId="77777777" w:rsidR="00CD79B3" w:rsidRPr="00BA0B7D" w:rsidRDefault="00CD79B3" w:rsidP="00BA0B7D">
            <w:pPr>
              <w:contextualSpacing/>
              <w:jc w:val="right"/>
              <w:rPr>
                <w:rFonts w:ascii="Calibri" w:hAnsi="Calibri" w:cs="Calibri"/>
                <w:color w:val="000000"/>
                <w:highlight w:val="yellow"/>
                <w:lang w:val="en-US"/>
              </w:rPr>
            </w:pPr>
            <w:r w:rsidRPr="00BA0B7D">
              <w:rPr>
                <w:rFonts w:ascii="Calibri" w:hAnsi="Calibri" w:cs="Calibri"/>
                <w:color w:val="000000"/>
                <w:highlight w:val="yellow"/>
                <w:lang w:val="en-US"/>
              </w:rPr>
              <w:t>3.4%</w:t>
            </w:r>
          </w:p>
        </w:tc>
        <w:tc>
          <w:tcPr>
            <w:tcW w:w="1164" w:type="dxa"/>
            <w:tcBorders>
              <w:top w:val="nil"/>
              <w:left w:val="nil"/>
              <w:bottom w:val="single" w:sz="4" w:space="0" w:color="auto"/>
              <w:right w:val="single" w:sz="4" w:space="0" w:color="auto"/>
            </w:tcBorders>
            <w:shd w:val="clear" w:color="auto" w:fill="auto"/>
            <w:noWrap/>
            <w:vAlign w:val="bottom"/>
            <w:hideMark/>
          </w:tcPr>
          <w:p w14:paraId="24F50F0A" w14:textId="77777777" w:rsidR="00CD79B3" w:rsidRPr="00BA0B7D" w:rsidRDefault="00CD79B3" w:rsidP="00BA0B7D">
            <w:pPr>
              <w:contextualSpacing/>
              <w:jc w:val="right"/>
              <w:rPr>
                <w:rFonts w:ascii="Calibri" w:hAnsi="Calibri" w:cs="Calibri"/>
                <w:color w:val="000000"/>
                <w:highlight w:val="yellow"/>
                <w:lang w:val="en-US"/>
              </w:rPr>
            </w:pPr>
            <w:r w:rsidRPr="00BA0B7D">
              <w:rPr>
                <w:rFonts w:ascii="Calibri" w:hAnsi="Calibri" w:cs="Calibri"/>
                <w:color w:val="000000"/>
                <w:highlight w:val="yellow"/>
                <w:lang w:val="en-US"/>
              </w:rPr>
              <w:t>1.2%</w:t>
            </w:r>
          </w:p>
        </w:tc>
      </w:tr>
      <w:tr w:rsidR="00CD79B3" w:rsidRPr="00BA0B7D" w14:paraId="438E2E14" w14:textId="77777777" w:rsidTr="00BA0B7D">
        <w:trPr>
          <w:trHeight w:val="238"/>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31E4912F" w14:textId="77777777" w:rsidR="00CD79B3" w:rsidRPr="00BA0B7D" w:rsidRDefault="00CD79B3" w:rsidP="00BA0B7D">
            <w:pPr>
              <w:contextualSpacing/>
              <w:rPr>
                <w:rFonts w:ascii="Calibri" w:hAnsi="Calibri" w:cs="Calibri"/>
                <w:color w:val="000000"/>
                <w:highlight w:val="yellow"/>
                <w:lang w:val="en-US"/>
              </w:rPr>
            </w:pPr>
            <w:r w:rsidRPr="00BA0B7D">
              <w:rPr>
                <w:rFonts w:ascii="Calibri" w:hAnsi="Calibri" w:cs="Calibri"/>
                <w:color w:val="000000"/>
                <w:highlight w:val="yellow"/>
                <w:lang w:val="en-US"/>
              </w:rPr>
              <w:t>Water and services</w:t>
            </w:r>
          </w:p>
        </w:tc>
        <w:tc>
          <w:tcPr>
            <w:tcW w:w="781" w:type="dxa"/>
            <w:tcBorders>
              <w:top w:val="nil"/>
              <w:left w:val="nil"/>
              <w:bottom w:val="single" w:sz="4" w:space="0" w:color="auto"/>
              <w:right w:val="single" w:sz="4" w:space="0" w:color="auto"/>
            </w:tcBorders>
            <w:shd w:val="clear" w:color="auto" w:fill="auto"/>
            <w:noWrap/>
            <w:vAlign w:val="bottom"/>
            <w:hideMark/>
          </w:tcPr>
          <w:p w14:paraId="28A27631" w14:textId="77777777" w:rsidR="00CD79B3" w:rsidRPr="00BA0B7D" w:rsidRDefault="00CD79B3" w:rsidP="00BA0B7D">
            <w:pPr>
              <w:contextualSpacing/>
              <w:jc w:val="right"/>
              <w:rPr>
                <w:rFonts w:ascii="Calibri" w:hAnsi="Calibri" w:cs="Calibri"/>
                <w:color w:val="000000"/>
                <w:highlight w:val="yellow"/>
                <w:lang w:val="en-US"/>
              </w:rPr>
            </w:pPr>
            <w:r w:rsidRPr="00BA0B7D">
              <w:rPr>
                <w:rFonts w:ascii="Calibri" w:hAnsi="Calibri" w:cs="Calibri"/>
                <w:color w:val="000000"/>
                <w:highlight w:val="yellow"/>
                <w:lang w:val="en-US"/>
              </w:rPr>
              <w:t>8.3%</w:t>
            </w:r>
          </w:p>
        </w:tc>
        <w:tc>
          <w:tcPr>
            <w:tcW w:w="800" w:type="dxa"/>
            <w:tcBorders>
              <w:top w:val="nil"/>
              <w:left w:val="nil"/>
              <w:bottom w:val="single" w:sz="4" w:space="0" w:color="auto"/>
              <w:right w:val="single" w:sz="4" w:space="0" w:color="auto"/>
            </w:tcBorders>
            <w:shd w:val="clear" w:color="auto" w:fill="auto"/>
            <w:noWrap/>
            <w:vAlign w:val="bottom"/>
            <w:hideMark/>
          </w:tcPr>
          <w:p w14:paraId="7B9CFF87" w14:textId="77777777" w:rsidR="00CD79B3" w:rsidRPr="00BA0B7D" w:rsidRDefault="00CD79B3" w:rsidP="00BA0B7D">
            <w:pPr>
              <w:contextualSpacing/>
              <w:jc w:val="right"/>
              <w:rPr>
                <w:rFonts w:ascii="Calibri" w:hAnsi="Calibri" w:cs="Calibri"/>
                <w:color w:val="000000"/>
                <w:highlight w:val="yellow"/>
                <w:lang w:val="en-US"/>
              </w:rPr>
            </w:pPr>
            <w:r w:rsidRPr="00BA0B7D">
              <w:rPr>
                <w:rFonts w:ascii="Calibri" w:hAnsi="Calibri" w:cs="Calibri"/>
                <w:color w:val="000000"/>
                <w:highlight w:val="yellow"/>
                <w:lang w:val="en-US"/>
              </w:rPr>
              <w:t>7.8%</w:t>
            </w:r>
          </w:p>
        </w:tc>
        <w:tc>
          <w:tcPr>
            <w:tcW w:w="781" w:type="dxa"/>
            <w:tcBorders>
              <w:top w:val="nil"/>
              <w:left w:val="nil"/>
              <w:bottom w:val="single" w:sz="4" w:space="0" w:color="auto"/>
              <w:right w:val="single" w:sz="4" w:space="0" w:color="auto"/>
            </w:tcBorders>
            <w:shd w:val="clear" w:color="auto" w:fill="auto"/>
            <w:noWrap/>
            <w:vAlign w:val="bottom"/>
            <w:hideMark/>
          </w:tcPr>
          <w:p w14:paraId="5103D40E" w14:textId="77777777" w:rsidR="00CD79B3" w:rsidRPr="00BA0B7D" w:rsidRDefault="00CD79B3" w:rsidP="00BA0B7D">
            <w:pPr>
              <w:contextualSpacing/>
              <w:jc w:val="right"/>
              <w:rPr>
                <w:rFonts w:ascii="Calibri" w:hAnsi="Calibri" w:cs="Calibri"/>
                <w:color w:val="000000"/>
                <w:highlight w:val="yellow"/>
                <w:lang w:val="en-US"/>
              </w:rPr>
            </w:pPr>
            <w:r w:rsidRPr="00BA0B7D">
              <w:rPr>
                <w:rFonts w:ascii="Calibri" w:hAnsi="Calibri" w:cs="Calibri"/>
                <w:color w:val="000000"/>
                <w:highlight w:val="yellow"/>
                <w:lang w:val="en-US"/>
              </w:rPr>
              <w:t>8.9%</w:t>
            </w:r>
          </w:p>
        </w:tc>
        <w:tc>
          <w:tcPr>
            <w:tcW w:w="1164" w:type="dxa"/>
            <w:tcBorders>
              <w:top w:val="nil"/>
              <w:left w:val="nil"/>
              <w:bottom w:val="single" w:sz="4" w:space="0" w:color="auto"/>
              <w:right w:val="single" w:sz="4" w:space="0" w:color="auto"/>
            </w:tcBorders>
            <w:shd w:val="clear" w:color="auto" w:fill="auto"/>
            <w:noWrap/>
            <w:vAlign w:val="bottom"/>
            <w:hideMark/>
          </w:tcPr>
          <w:p w14:paraId="1AEAFA39" w14:textId="77777777" w:rsidR="00CD79B3" w:rsidRPr="00BA0B7D" w:rsidRDefault="00CD79B3" w:rsidP="00BA0B7D">
            <w:pPr>
              <w:contextualSpacing/>
              <w:jc w:val="right"/>
              <w:rPr>
                <w:rFonts w:ascii="Calibri" w:hAnsi="Calibri" w:cs="Calibri"/>
                <w:color w:val="000000"/>
                <w:highlight w:val="yellow"/>
                <w:lang w:val="en-US"/>
              </w:rPr>
            </w:pPr>
            <w:r w:rsidRPr="00BA0B7D">
              <w:rPr>
                <w:rFonts w:ascii="Calibri" w:hAnsi="Calibri" w:cs="Calibri"/>
                <w:color w:val="000000"/>
                <w:highlight w:val="yellow"/>
                <w:lang w:val="en-US"/>
              </w:rPr>
              <w:t>8.3%</w:t>
            </w:r>
          </w:p>
        </w:tc>
      </w:tr>
      <w:tr w:rsidR="00CD79B3" w:rsidRPr="00BA0B7D" w14:paraId="639B4A76" w14:textId="77777777" w:rsidTr="00BA0B7D">
        <w:trPr>
          <w:trHeight w:val="119"/>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408A9925" w14:textId="77777777" w:rsidR="00CD79B3" w:rsidRPr="00BA0B7D" w:rsidRDefault="00CD79B3" w:rsidP="00BA0B7D">
            <w:pPr>
              <w:contextualSpacing/>
              <w:rPr>
                <w:rFonts w:ascii="Calibri" w:hAnsi="Calibri" w:cs="Calibri"/>
                <w:color w:val="000000"/>
                <w:highlight w:val="yellow"/>
                <w:lang w:val="en-US"/>
              </w:rPr>
            </w:pPr>
            <w:r w:rsidRPr="00BA0B7D">
              <w:rPr>
                <w:rFonts w:ascii="Calibri" w:hAnsi="Calibri" w:cs="Calibri"/>
                <w:color w:val="000000"/>
                <w:highlight w:val="yellow"/>
                <w:lang w:val="en-US"/>
              </w:rPr>
              <w:t>Electricity, gas and other energy</w:t>
            </w:r>
          </w:p>
        </w:tc>
        <w:tc>
          <w:tcPr>
            <w:tcW w:w="781" w:type="dxa"/>
            <w:tcBorders>
              <w:top w:val="nil"/>
              <w:left w:val="nil"/>
              <w:bottom w:val="single" w:sz="4" w:space="0" w:color="auto"/>
              <w:right w:val="single" w:sz="4" w:space="0" w:color="auto"/>
            </w:tcBorders>
            <w:shd w:val="clear" w:color="auto" w:fill="auto"/>
            <w:noWrap/>
            <w:vAlign w:val="bottom"/>
            <w:hideMark/>
          </w:tcPr>
          <w:p w14:paraId="2021FF27" w14:textId="77777777" w:rsidR="00CD79B3" w:rsidRPr="00BA0B7D" w:rsidRDefault="00CD79B3" w:rsidP="00BA0B7D">
            <w:pPr>
              <w:contextualSpacing/>
              <w:jc w:val="right"/>
              <w:rPr>
                <w:rFonts w:ascii="Calibri" w:hAnsi="Calibri" w:cs="Calibri"/>
                <w:color w:val="000000"/>
                <w:highlight w:val="yellow"/>
                <w:lang w:val="en-US"/>
              </w:rPr>
            </w:pPr>
            <w:r w:rsidRPr="00BA0B7D">
              <w:rPr>
                <w:rFonts w:ascii="Calibri" w:hAnsi="Calibri" w:cs="Calibri"/>
                <w:color w:val="000000"/>
                <w:highlight w:val="yellow"/>
                <w:lang w:val="en-US"/>
              </w:rPr>
              <w:t>25.6%</w:t>
            </w:r>
          </w:p>
        </w:tc>
        <w:tc>
          <w:tcPr>
            <w:tcW w:w="800" w:type="dxa"/>
            <w:tcBorders>
              <w:top w:val="nil"/>
              <w:left w:val="nil"/>
              <w:bottom w:val="single" w:sz="4" w:space="0" w:color="auto"/>
              <w:right w:val="single" w:sz="4" w:space="0" w:color="auto"/>
            </w:tcBorders>
            <w:shd w:val="clear" w:color="auto" w:fill="auto"/>
            <w:noWrap/>
            <w:vAlign w:val="bottom"/>
            <w:hideMark/>
          </w:tcPr>
          <w:p w14:paraId="5346456C" w14:textId="77777777" w:rsidR="00CD79B3" w:rsidRPr="00BA0B7D" w:rsidRDefault="00CD79B3" w:rsidP="00BA0B7D">
            <w:pPr>
              <w:contextualSpacing/>
              <w:jc w:val="right"/>
              <w:rPr>
                <w:rFonts w:ascii="Calibri" w:hAnsi="Calibri" w:cs="Calibri"/>
                <w:color w:val="000000"/>
                <w:highlight w:val="yellow"/>
                <w:lang w:val="en-US"/>
              </w:rPr>
            </w:pPr>
            <w:r w:rsidRPr="00BA0B7D">
              <w:rPr>
                <w:rFonts w:ascii="Calibri" w:hAnsi="Calibri" w:cs="Calibri"/>
                <w:color w:val="000000"/>
                <w:highlight w:val="yellow"/>
                <w:lang w:val="en-US"/>
              </w:rPr>
              <w:t>20.5%</w:t>
            </w:r>
          </w:p>
        </w:tc>
        <w:tc>
          <w:tcPr>
            <w:tcW w:w="781" w:type="dxa"/>
            <w:tcBorders>
              <w:top w:val="nil"/>
              <w:left w:val="nil"/>
              <w:bottom w:val="single" w:sz="4" w:space="0" w:color="auto"/>
              <w:right w:val="single" w:sz="4" w:space="0" w:color="auto"/>
            </w:tcBorders>
            <w:shd w:val="clear" w:color="auto" w:fill="auto"/>
            <w:noWrap/>
            <w:vAlign w:val="bottom"/>
            <w:hideMark/>
          </w:tcPr>
          <w:p w14:paraId="49E21A4C" w14:textId="77777777" w:rsidR="00CD79B3" w:rsidRPr="00BA0B7D" w:rsidRDefault="00CD79B3" w:rsidP="00BA0B7D">
            <w:pPr>
              <w:contextualSpacing/>
              <w:jc w:val="right"/>
              <w:rPr>
                <w:rFonts w:ascii="Calibri" w:hAnsi="Calibri" w:cs="Calibri"/>
                <w:color w:val="000000"/>
                <w:highlight w:val="yellow"/>
                <w:lang w:val="en-US"/>
              </w:rPr>
            </w:pPr>
            <w:r w:rsidRPr="00BA0B7D">
              <w:rPr>
                <w:rFonts w:ascii="Calibri" w:hAnsi="Calibri" w:cs="Calibri"/>
                <w:color w:val="000000"/>
                <w:highlight w:val="yellow"/>
                <w:lang w:val="en-US"/>
              </w:rPr>
              <w:t>31.5%</w:t>
            </w:r>
          </w:p>
        </w:tc>
        <w:tc>
          <w:tcPr>
            <w:tcW w:w="1164" w:type="dxa"/>
            <w:tcBorders>
              <w:top w:val="nil"/>
              <w:left w:val="nil"/>
              <w:bottom w:val="single" w:sz="4" w:space="0" w:color="auto"/>
              <w:right w:val="single" w:sz="4" w:space="0" w:color="auto"/>
            </w:tcBorders>
            <w:shd w:val="clear" w:color="auto" w:fill="auto"/>
            <w:noWrap/>
            <w:vAlign w:val="bottom"/>
            <w:hideMark/>
          </w:tcPr>
          <w:p w14:paraId="0217BC31" w14:textId="77777777" w:rsidR="00CD79B3" w:rsidRPr="00BA0B7D" w:rsidRDefault="00CD79B3" w:rsidP="00BA0B7D">
            <w:pPr>
              <w:contextualSpacing/>
              <w:jc w:val="right"/>
              <w:rPr>
                <w:rFonts w:ascii="Calibri" w:hAnsi="Calibri" w:cs="Calibri"/>
                <w:color w:val="000000"/>
                <w:highlight w:val="yellow"/>
                <w:lang w:val="en-US"/>
              </w:rPr>
            </w:pPr>
            <w:r w:rsidRPr="00BA0B7D">
              <w:rPr>
                <w:rFonts w:ascii="Calibri" w:hAnsi="Calibri" w:cs="Calibri"/>
                <w:color w:val="000000"/>
                <w:highlight w:val="yellow"/>
                <w:lang w:val="en-US"/>
              </w:rPr>
              <w:t>32.7%</w:t>
            </w:r>
          </w:p>
        </w:tc>
      </w:tr>
    </w:tbl>
    <w:p w14:paraId="6B8875F5" w14:textId="1824407A" w:rsidR="00D44C89" w:rsidRDefault="00D44C89" w:rsidP="00BA0B7D">
      <w:pPr>
        <w:spacing w:after="160" w:line="259" w:lineRule="auto"/>
        <w:contextualSpacing/>
        <w:jc w:val="both"/>
        <w:rPr>
          <w:rFonts w:eastAsia="Calibri"/>
          <w:sz w:val="22"/>
          <w:szCs w:val="22"/>
          <w:highlight w:val="yellow"/>
        </w:rPr>
      </w:pPr>
    </w:p>
    <w:p w14:paraId="0A02CCC9" w14:textId="77777777" w:rsidR="00FB03D9" w:rsidRPr="00635083" w:rsidRDefault="00FB03D9" w:rsidP="009F2B1C">
      <w:pPr>
        <w:spacing w:after="160" w:line="259" w:lineRule="auto"/>
        <w:ind w:left="720"/>
        <w:contextualSpacing/>
        <w:jc w:val="both"/>
        <w:rPr>
          <w:rFonts w:eastAsia="Calibri"/>
          <w:sz w:val="22"/>
          <w:szCs w:val="22"/>
          <w:highlight w:val="yellow"/>
        </w:rPr>
      </w:pPr>
    </w:p>
    <w:p w14:paraId="73BFA5CB" w14:textId="213387C8" w:rsidR="00FB03D9" w:rsidRPr="00635083" w:rsidRDefault="00FB03D9" w:rsidP="009F2B1C">
      <w:pPr>
        <w:spacing w:after="160" w:line="259" w:lineRule="auto"/>
        <w:ind w:left="720"/>
        <w:contextualSpacing/>
        <w:jc w:val="both"/>
        <w:rPr>
          <w:rFonts w:eastAsia="Calibri"/>
          <w:b/>
          <w:bCs/>
          <w:sz w:val="22"/>
          <w:szCs w:val="22"/>
          <w:highlight w:val="yellow"/>
        </w:rPr>
      </w:pPr>
      <w:r w:rsidRPr="00635083">
        <w:rPr>
          <w:rFonts w:eastAsia="Calibri"/>
          <w:b/>
          <w:bCs/>
          <w:sz w:val="22"/>
          <w:szCs w:val="22"/>
          <w:highlight w:val="yellow"/>
        </w:rPr>
        <w:t>Subsidized Mortgage Threshold</w:t>
      </w:r>
      <w:r w:rsidR="00CB7D0B" w:rsidRPr="00635083">
        <w:rPr>
          <w:rFonts w:eastAsia="Calibri"/>
          <w:b/>
          <w:bCs/>
          <w:sz w:val="22"/>
          <w:szCs w:val="22"/>
          <w:highlight w:val="yellow"/>
        </w:rPr>
        <w:t xml:space="preserve"> Too High</w:t>
      </w:r>
    </w:p>
    <w:p w14:paraId="5CEB35D3" w14:textId="77777777" w:rsidR="00FB03D9" w:rsidRPr="00635083" w:rsidRDefault="00FB03D9" w:rsidP="009F2B1C">
      <w:pPr>
        <w:spacing w:after="160" w:line="259" w:lineRule="auto"/>
        <w:ind w:left="720"/>
        <w:contextualSpacing/>
        <w:jc w:val="both"/>
        <w:rPr>
          <w:rFonts w:eastAsia="Calibri"/>
          <w:sz w:val="22"/>
          <w:szCs w:val="22"/>
          <w:highlight w:val="yellow"/>
        </w:rPr>
      </w:pPr>
    </w:p>
    <w:p w14:paraId="625FBE62" w14:textId="0DEC8F27" w:rsidR="00FB03D9" w:rsidRDefault="00BA0B7D" w:rsidP="00CB7D0B">
      <w:pPr>
        <w:spacing w:after="160" w:line="259" w:lineRule="auto"/>
        <w:ind w:left="720"/>
        <w:contextualSpacing/>
        <w:jc w:val="both"/>
        <w:rPr>
          <w:rFonts w:eastAsia="Calibri"/>
          <w:sz w:val="22"/>
          <w:szCs w:val="22"/>
        </w:rPr>
      </w:pPr>
      <w:r>
        <w:rPr>
          <w:rFonts w:eastAsia="Calibri"/>
          <w:sz w:val="22"/>
          <w:szCs w:val="22"/>
          <w:highlight w:val="yellow"/>
        </w:rPr>
        <w:t>Egypt’s Financial Regulatory authority (FRA) has established that m</w:t>
      </w:r>
      <w:r w:rsidR="00CB7D0B" w:rsidRPr="00635083">
        <w:rPr>
          <w:rFonts w:eastAsia="Calibri"/>
          <w:sz w:val="22"/>
          <w:szCs w:val="22"/>
          <w:highlight w:val="yellow"/>
        </w:rPr>
        <w:t>onthly mortgage payments for low-income households should not exceed 50% of monthly household income.</w:t>
      </w:r>
      <w:r w:rsidR="00CB7D0B" w:rsidRPr="00635083">
        <w:rPr>
          <w:rFonts w:eastAsia="Calibri"/>
          <w:sz w:val="22"/>
          <w:szCs w:val="22"/>
          <w:highlight w:val="yellow"/>
          <w:vertAlign w:val="superscript"/>
        </w:rPr>
        <w:footnoteReference w:id="7"/>
      </w:r>
      <w:r w:rsidR="00CB7D0B" w:rsidRPr="00635083">
        <w:rPr>
          <w:rFonts w:eastAsia="Calibri"/>
          <w:sz w:val="22"/>
          <w:szCs w:val="22"/>
          <w:highlight w:val="yellow"/>
        </w:rPr>
        <w:t xml:space="preserve"> This provision was made to ease access of low-income households to subsidized mortgages. However, </w:t>
      </w:r>
      <w:r>
        <w:rPr>
          <w:rFonts w:eastAsia="Calibri"/>
          <w:sz w:val="22"/>
          <w:szCs w:val="22"/>
          <w:highlight w:val="yellow"/>
        </w:rPr>
        <w:t xml:space="preserve">given the demand and household income studies, </w:t>
      </w:r>
      <w:r w:rsidR="00CB7D0B" w:rsidRPr="00635083">
        <w:rPr>
          <w:rFonts w:eastAsia="Calibri"/>
          <w:sz w:val="22"/>
          <w:szCs w:val="22"/>
          <w:highlight w:val="yellow"/>
        </w:rPr>
        <w:t xml:space="preserve">this represents </w:t>
      </w:r>
      <w:r>
        <w:rPr>
          <w:rFonts w:eastAsia="Calibri"/>
          <w:sz w:val="22"/>
          <w:szCs w:val="22"/>
          <w:highlight w:val="yellow"/>
        </w:rPr>
        <w:t>between 1.5</w:t>
      </w:r>
      <w:r w:rsidR="00CB7D0B" w:rsidRPr="00635083">
        <w:rPr>
          <w:rFonts w:eastAsia="Calibri"/>
          <w:sz w:val="22"/>
          <w:szCs w:val="22"/>
          <w:highlight w:val="yellow"/>
        </w:rPr>
        <w:t xml:space="preserve"> </w:t>
      </w:r>
      <w:r>
        <w:rPr>
          <w:rFonts w:eastAsia="Calibri"/>
          <w:sz w:val="22"/>
          <w:szCs w:val="22"/>
          <w:highlight w:val="yellow"/>
        </w:rPr>
        <w:t>to</w:t>
      </w:r>
      <w:r w:rsidR="00CB7D0B" w:rsidRPr="00635083">
        <w:rPr>
          <w:rFonts w:eastAsia="Calibri"/>
          <w:sz w:val="22"/>
          <w:szCs w:val="22"/>
          <w:highlight w:val="yellow"/>
        </w:rPr>
        <w:t xml:space="preserve"> double what poor households already currently spend</w:t>
      </w:r>
      <w:r>
        <w:rPr>
          <w:rFonts w:eastAsia="Calibri"/>
          <w:sz w:val="22"/>
          <w:szCs w:val="22"/>
          <w:highlight w:val="yellow"/>
        </w:rPr>
        <w:t>, or would like to spend.</w:t>
      </w:r>
      <w:r w:rsidR="004F30E0" w:rsidRPr="00635083">
        <w:rPr>
          <w:rFonts w:eastAsia="Calibri"/>
          <w:sz w:val="22"/>
          <w:szCs w:val="22"/>
          <w:highlight w:val="yellow"/>
        </w:rPr>
        <w:t xml:space="preserve"> meaning that they may be forced to cope by reducing other key expenditures (food, education, health and transport), putting their quality of life further at risk</w:t>
      </w:r>
      <w:r w:rsidR="00A21ABA" w:rsidRPr="00635083">
        <w:rPr>
          <w:rFonts w:eastAsia="Calibri"/>
          <w:sz w:val="22"/>
          <w:szCs w:val="22"/>
          <w:highlight w:val="yellow"/>
        </w:rPr>
        <w:t xml:space="preserve"> (</w:t>
      </w:r>
      <w:r w:rsidR="00A21ABA" w:rsidRPr="00635083">
        <w:rPr>
          <w:rFonts w:eastAsia="Calibri"/>
          <w:sz w:val="22"/>
          <w:szCs w:val="22"/>
          <w:highlight w:val="yellow"/>
        </w:rPr>
        <w:fldChar w:fldCharType="begin"/>
      </w:r>
      <w:r w:rsidR="00A21ABA" w:rsidRPr="00635083">
        <w:rPr>
          <w:rFonts w:eastAsia="Calibri"/>
          <w:sz w:val="22"/>
          <w:szCs w:val="22"/>
          <w:highlight w:val="yellow"/>
        </w:rPr>
        <w:instrText xml:space="preserve"> REF _Ref133315191 \h </w:instrText>
      </w:r>
      <w:r w:rsidR="00635083">
        <w:rPr>
          <w:rFonts w:eastAsia="Calibri"/>
          <w:sz w:val="22"/>
          <w:szCs w:val="22"/>
          <w:highlight w:val="yellow"/>
        </w:rPr>
        <w:instrText xml:space="preserve"> \* MERGEFORMAT </w:instrText>
      </w:r>
      <w:r w:rsidR="00A21ABA" w:rsidRPr="00635083">
        <w:rPr>
          <w:rFonts w:eastAsia="Calibri"/>
          <w:sz w:val="22"/>
          <w:szCs w:val="22"/>
          <w:highlight w:val="yellow"/>
        </w:rPr>
      </w:r>
      <w:r w:rsidR="00A21ABA" w:rsidRPr="00635083">
        <w:rPr>
          <w:rFonts w:eastAsia="Calibri"/>
          <w:sz w:val="22"/>
          <w:szCs w:val="22"/>
          <w:highlight w:val="yellow"/>
        </w:rPr>
        <w:fldChar w:fldCharType="separate"/>
      </w:r>
      <w:r w:rsidR="00A21ABA" w:rsidRPr="00635083">
        <w:rPr>
          <w:highlight w:val="yellow"/>
        </w:rPr>
        <w:t xml:space="preserve">Table </w:t>
      </w:r>
      <w:r w:rsidR="00A21ABA" w:rsidRPr="00635083">
        <w:rPr>
          <w:noProof/>
          <w:highlight w:val="yellow"/>
        </w:rPr>
        <w:t>1</w:t>
      </w:r>
      <w:r w:rsidR="00A21ABA" w:rsidRPr="00635083">
        <w:rPr>
          <w:rFonts w:eastAsia="Calibri"/>
          <w:sz w:val="22"/>
          <w:szCs w:val="22"/>
          <w:highlight w:val="yellow"/>
        </w:rPr>
        <w:fldChar w:fldCharType="end"/>
      </w:r>
      <w:r w:rsidR="00A21ABA" w:rsidRPr="00635083">
        <w:rPr>
          <w:rFonts w:eastAsia="Calibri"/>
          <w:sz w:val="22"/>
          <w:szCs w:val="22"/>
          <w:highlight w:val="yellow"/>
        </w:rPr>
        <w:t>)</w:t>
      </w:r>
      <w:r w:rsidR="004F30E0" w:rsidRPr="00635083">
        <w:rPr>
          <w:rFonts w:eastAsia="Calibri"/>
          <w:sz w:val="22"/>
          <w:szCs w:val="22"/>
          <w:highlight w:val="yellow"/>
        </w:rPr>
        <w:t>.</w:t>
      </w:r>
      <w:r w:rsidR="004F30E0">
        <w:rPr>
          <w:rFonts w:eastAsia="Calibri"/>
          <w:sz w:val="22"/>
          <w:szCs w:val="22"/>
        </w:rPr>
        <w:t xml:space="preserve"> </w:t>
      </w:r>
      <w:r w:rsidR="00256306">
        <w:rPr>
          <w:rFonts w:eastAsia="Calibri"/>
          <w:sz w:val="22"/>
          <w:szCs w:val="22"/>
        </w:rPr>
        <w:t xml:space="preserve">A </w:t>
      </w:r>
      <w:r w:rsidR="00256306" w:rsidRPr="00810049">
        <w:rPr>
          <w:rFonts w:eastAsia="Calibri"/>
          <w:sz w:val="22"/>
          <w:szCs w:val="22"/>
          <w:highlight w:val="yellow"/>
        </w:rPr>
        <w:t>UN-Habitat study also agrees with this, finding that even spending 40% on housing “represents a heavy burden</w:t>
      </w:r>
      <w:r w:rsidR="00810049" w:rsidRPr="00810049">
        <w:rPr>
          <w:rFonts w:eastAsia="Calibri"/>
          <w:sz w:val="22"/>
          <w:szCs w:val="22"/>
          <w:highlight w:val="yellow"/>
        </w:rPr>
        <w:t xml:space="preserve"> on family finances</w:t>
      </w:r>
      <w:r w:rsidR="00256306" w:rsidRPr="00810049">
        <w:rPr>
          <w:rFonts w:eastAsia="Calibri"/>
          <w:sz w:val="22"/>
          <w:szCs w:val="22"/>
          <w:highlight w:val="yellow"/>
        </w:rPr>
        <w:t>”.</w:t>
      </w:r>
      <w:r w:rsidR="00256306" w:rsidRPr="00810049">
        <w:rPr>
          <w:rStyle w:val="FootnoteReference"/>
          <w:rFonts w:eastAsia="Calibri"/>
          <w:sz w:val="22"/>
          <w:szCs w:val="22"/>
          <w:highlight w:val="yellow"/>
        </w:rPr>
        <w:footnoteReference w:id="8"/>
      </w:r>
    </w:p>
    <w:p w14:paraId="2E4D2C7E" w14:textId="77777777" w:rsidR="00A83B64" w:rsidRDefault="00A83B64" w:rsidP="004F30E0">
      <w:pPr>
        <w:spacing w:after="160" w:line="259" w:lineRule="auto"/>
        <w:jc w:val="both"/>
        <w:rPr>
          <w:rFonts w:eastAsia="Calibri"/>
          <w:sz w:val="22"/>
          <w:szCs w:val="22"/>
        </w:rPr>
      </w:pPr>
    </w:p>
    <w:p w14:paraId="61B09718" w14:textId="77777777"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Please share any important court decisions in your country that relate to the issue of affordable housing or enjoyment of a minimum standard of living, including important judgements on State policies or measures aimed at ensuring housing affordability. Please provide if possible a short summary of the decision and a link to its text.</w:t>
      </w:r>
    </w:p>
    <w:p w14:paraId="4EA14BD5" w14:textId="0C621F58" w:rsidR="00A83B64" w:rsidRDefault="00A83B64" w:rsidP="00A83B64">
      <w:pPr>
        <w:spacing w:after="160" w:line="259" w:lineRule="auto"/>
        <w:ind w:left="720"/>
        <w:jc w:val="both"/>
        <w:rPr>
          <w:rFonts w:eastAsia="Calibri"/>
          <w:sz w:val="22"/>
          <w:szCs w:val="22"/>
        </w:rPr>
      </w:pPr>
      <w:r w:rsidRPr="00737659">
        <w:rPr>
          <w:rFonts w:eastAsia="Calibri"/>
          <w:sz w:val="22"/>
          <w:szCs w:val="22"/>
        </w:rPr>
        <w:lastRenderedPageBreak/>
        <w:t>(e.g. judgements by international, constitutional, supreme or high courts, to rent control measures or rent freezes, to access to housing subsidies, public or social housing, non-discrimination and equal access to affordable housing etc.)</w:t>
      </w:r>
    </w:p>
    <w:p w14:paraId="39570810" w14:textId="13EE80BE" w:rsidR="00A9488F" w:rsidRPr="005E1E94" w:rsidRDefault="00A9488F" w:rsidP="00A83B64">
      <w:pPr>
        <w:spacing w:after="160" w:line="259" w:lineRule="auto"/>
        <w:ind w:left="720"/>
        <w:jc w:val="both"/>
        <w:rPr>
          <w:rFonts w:eastAsia="Calibri"/>
          <w:sz w:val="22"/>
          <w:szCs w:val="22"/>
          <w:highlight w:val="yellow"/>
        </w:rPr>
      </w:pPr>
      <w:r w:rsidRPr="005E1E94">
        <w:rPr>
          <w:rFonts w:eastAsia="Calibri"/>
          <w:sz w:val="22"/>
          <w:szCs w:val="22"/>
          <w:highlight w:val="yellow"/>
        </w:rPr>
        <w:t xml:space="preserve">There </w:t>
      </w:r>
      <w:r w:rsidR="0087128E">
        <w:rPr>
          <w:rFonts w:eastAsia="Calibri"/>
          <w:sz w:val="22"/>
          <w:szCs w:val="22"/>
          <w:highlight w:val="yellow"/>
        </w:rPr>
        <w:t>is no accessible case law in Egypt, and therefore little information on cases of housing affordability. There are however</w:t>
      </w:r>
      <w:r w:rsidRPr="005E1E94">
        <w:rPr>
          <w:rFonts w:eastAsia="Calibri"/>
          <w:sz w:val="22"/>
          <w:szCs w:val="22"/>
          <w:highlight w:val="yellow"/>
        </w:rPr>
        <w:t xml:space="preserve"> a handful of cases of land squatting or informal/semi-formal land tenure where the State Council (</w:t>
      </w:r>
      <w:r w:rsidR="003E0AB7" w:rsidRPr="005E1E94">
        <w:rPr>
          <w:rFonts w:eastAsia="Calibri"/>
          <w:sz w:val="22"/>
          <w:szCs w:val="22"/>
          <w:highlight w:val="yellow"/>
        </w:rPr>
        <w:t>Administrative</w:t>
      </w:r>
      <w:r w:rsidRPr="005E1E94">
        <w:rPr>
          <w:rFonts w:eastAsia="Calibri"/>
          <w:sz w:val="22"/>
          <w:szCs w:val="22"/>
          <w:highlight w:val="yellow"/>
        </w:rPr>
        <w:t xml:space="preserve"> court) has ruled in favour of the residents</w:t>
      </w:r>
      <w:r w:rsidR="005E1E94">
        <w:rPr>
          <w:rFonts w:eastAsia="Calibri"/>
          <w:sz w:val="22"/>
          <w:szCs w:val="22"/>
          <w:highlight w:val="yellow"/>
        </w:rPr>
        <w:t>. Two well known cases are</w:t>
      </w:r>
      <w:r w:rsidRPr="005E1E94">
        <w:rPr>
          <w:rFonts w:eastAsia="Calibri"/>
          <w:sz w:val="22"/>
          <w:szCs w:val="22"/>
          <w:highlight w:val="yellow"/>
        </w:rPr>
        <w:t>:</w:t>
      </w:r>
    </w:p>
    <w:p w14:paraId="4AA631BC" w14:textId="45491725" w:rsidR="00A9488F" w:rsidRPr="005E1E94" w:rsidRDefault="003E0AB7" w:rsidP="003E0AB7">
      <w:pPr>
        <w:pStyle w:val="ListParagraph"/>
        <w:numPr>
          <w:ilvl w:val="0"/>
          <w:numId w:val="2"/>
        </w:numPr>
        <w:spacing w:after="160" w:line="259" w:lineRule="auto"/>
        <w:jc w:val="both"/>
        <w:rPr>
          <w:rFonts w:eastAsia="Calibri"/>
          <w:sz w:val="22"/>
          <w:szCs w:val="22"/>
          <w:highlight w:val="yellow"/>
        </w:rPr>
      </w:pPr>
      <w:r w:rsidRPr="005E1E94">
        <w:rPr>
          <w:rFonts w:eastAsia="Calibri"/>
          <w:sz w:val="22"/>
          <w:szCs w:val="22"/>
          <w:highlight w:val="yellow"/>
        </w:rPr>
        <w:t xml:space="preserve">Rulings against the eviction of residents of </w:t>
      </w:r>
      <w:r w:rsidRPr="003E0AB7">
        <w:rPr>
          <w:rFonts w:eastAsia="Calibri"/>
          <w:sz w:val="22"/>
          <w:szCs w:val="22"/>
          <w:highlight w:val="yellow"/>
        </w:rPr>
        <w:t xml:space="preserve"> </w:t>
      </w:r>
      <w:hyperlink r:id="rId10" w:anchor=".ZEg8Lc7P23A" w:history="1">
        <w:proofErr w:type="spellStart"/>
        <w:r w:rsidR="00A9488F" w:rsidRPr="005E1E94">
          <w:rPr>
            <w:rStyle w:val="Hyperlink"/>
            <w:rFonts w:eastAsia="Calibri"/>
            <w:sz w:val="22"/>
            <w:szCs w:val="22"/>
            <w:highlight w:val="yellow"/>
          </w:rPr>
          <w:t>Izbit</w:t>
        </w:r>
        <w:proofErr w:type="spellEnd"/>
        <w:r w:rsidR="00A9488F" w:rsidRPr="005E1E94">
          <w:rPr>
            <w:rStyle w:val="Hyperlink"/>
            <w:rFonts w:eastAsia="Calibri"/>
            <w:sz w:val="22"/>
            <w:szCs w:val="22"/>
            <w:highlight w:val="yellow"/>
          </w:rPr>
          <w:t xml:space="preserve"> </w:t>
        </w:r>
        <w:proofErr w:type="spellStart"/>
        <w:r w:rsidR="00A9488F" w:rsidRPr="005E1E94">
          <w:rPr>
            <w:rStyle w:val="Hyperlink"/>
            <w:rFonts w:eastAsia="Calibri"/>
            <w:sz w:val="22"/>
            <w:szCs w:val="22"/>
            <w:highlight w:val="yellow"/>
          </w:rPr>
          <w:t>Khairallah</w:t>
        </w:r>
        <w:proofErr w:type="spellEnd"/>
        <w:r w:rsidR="00A9488F" w:rsidRPr="005E1E94">
          <w:rPr>
            <w:rStyle w:val="Hyperlink"/>
            <w:rFonts w:eastAsia="Calibri"/>
            <w:sz w:val="22"/>
            <w:szCs w:val="22"/>
            <w:highlight w:val="yellow"/>
          </w:rPr>
          <w:t>, Cairo</w:t>
        </w:r>
      </w:hyperlink>
      <w:r w:rsidR="00A9488F" w:rsidRPr="005E1E94">
        <w:rPr>
          <w:rFonts w:eastAsia="Calibri"/>
          <w:sz w:val="22"/>
          <w:szCs w:val="22"/>
          <w:highlight w:val="yellow"/>
        </w:rPr>
        <w:t xml:space="preserve"> (Range of cases, mostly  between 1983 – 2000, the key ruling being </w:t>
      </w:r>
      <w:hyperlink r:id="rId11" w:history="1">
        <w:r w:rsidRPr="005E1E94">
          <w:rPr>
            <w:rStyle w:val="Hyperlink"/>
            <w:rFonts w:eastAsia="Calibri"/>
            <w:sz w:val="22"/>
            <w:szCs w:val="22"/>
            <w:highlight w:val="yellow"/>
          </w:rPr>
          <w:t>Appeals 1875 and 1914/30 C, 9 March 1991</w:t>
        </w:r>
      </w:hyperlink>
      <w:r w:rsidR="00A9488F" w:rsidRPr="005E1E94">
        <w:rPr>
          <w:rFonts w:eastAsia="Calibri"/>
          <w:sz w:val="22"/>
          <w:szCs w:val="22"/>
          <w:highlight w:val="yellow"/>
        </w:rPr>
        <w:t>)</w:t>
      </w:r>
    </w:p>
    <w:p w14:paraId="738B0EA7" w14:textId="2AAEFC50" w:rsidR="00A9488F" w:rsidRPr="005E1E94" w:rsidRDefault="003E0AB7" w:rsidP="00C6418F">
      <w:pPr>
        <w:pStyle w:val="ListParagraph"/>
        <w:numPr>
          <w:ilvl w:val="0"/>
          <w:numId w:val="2"/>
        </w:numPr>
        <w:spacing w:after="160" w:line="259" w:lineRule="auto"/>
        <w:jc w:val="both"/>
        <w:rPr>
          <w:rFonts w:eastAsia="Calibri"/>
          <w:i/>
          <w:iCs/>
          <w:sz w:val="22"/>
          <w:szCs w:val="22"/>
          <w:highlight w:val="yellow"/>
        </w:rPr>
      </w:pPr>
      <w:r w:rsidRPr="005E1E94">
        <w:rPr>
          <w:rFonts w:eastAsia="Calibri"/>
          <w:sz w:val="22"/>
          <w:szCs w:val="22"/>
          <w:highlight w:val="yellow"/>
        </w:rPr>
        <w:t xml:space="preserve">Rulings against the eviction of residents of </w:t>
      </w:r>
      <w:r w:rsidR="00A9488F" w:rsidRPr="005E1E94">
        <w:rPr>
          <w:rFonts w:eastAsia="Calibri"/>
          <w:sz w:val="22"/>
          <w:szCs w:val="22"/>
          <w:highlight w:val="yellow"/>
        </w:rPr>
        <w:t xml:space="preserve"> </w:t>
      </w:r>
      <w:proofErr w:type="spellStart"/>
      <w:r w:rsidR="00A9488F" w:rsidRPr="005E1E94">
        <w:rPr>
          <w:rFonts w:eastAsia="Calibri"/>
          <w:sz w:val="22"/>
          <w:szCs w:val="22"/>
          <w:highlight w:val="yellow"/>
        </w:rPr>
        <w:t>Qursaya</w:t>
      </w:r>
      <w:proofErr w:type="spellEnd"/>
      <w:r w:rsidR="00A9488F" w:rsidRPr="005E1E94">
        <w:rPr>
          <w:rFonts w:eastAsia="Calibri"/>
          <w:sz w:val="22"/>
          <w:szCs w:val="22"/>
          <w:highlight w:val="yellow"/>
        </w:rPr>
        <w:t xml:space="preserve"> Island</w:t>
      </w:r>
      <w:r w:rsidRPr="005E1E94">
        <w:rPr>
          <w:rFonts w:eastAsia="Calibri"/>
          <w:sz w:val="22"/>
          <w:szCs w:val="22"/>
          <w:highlight w:val="yellow"/>
        </w:rPr>
        <w:t xml:space="preserve">, Giza </w:t>
      </w:r>
      <w:r w:rsidR="00A9488F" w:rsidRPr="005E1E94">
        <w:rPr>
          <w:rFonts w:eastAsia="Calibri"/>
          <w:sz w:val="22"/>
          <w:szCs w:val="22"/>
          <w:highlight w:val="yellow"/>
        </w:rPr>
        <w:t xml:space="preserve"> (</w:t>
      </w:r>
      <w:hyperlink r:id="rId12" w:history="1">
        <w:r w:rsidR="003B5CF1" w:rsidRPr="005E1E94">
          <w:rPr>
            <w:rStyle w:val="Hyperlink"/>
            <w:rFonts w:eastAsia="Calibri"/>
            <w:sz w:val="22"/>
            <w:szCs w:val="22"/>
            <w:highlight w:val="yellow"/>
          </w:rPr>
          <w:t>Appeal 5730/55 C 6 February, 2010</w:t>
        </w:r>
      </w:hyperlink>
      <w:r w:rsidR="003B5CF1" w:rsidRPr="005E1E94">
        <w:rPr>
          <w:rFonts w:eastAsia="Calibri"/>
          <w:sz w:val="22"/>
          <w:szCs w:val="22"/>
          <w:highlight w:val="yellow"/>
        </w:rPr>
        <w:t xml:space="preserve"> </w:t>
      </w:r>
      <w:r w:rsidR="00A9488F" w:rsidRPr="005E1E94">
        <w:rPr>
          <w:rFonts w:eastAsia="Calibri"/>
          <w:sz w:val="22"/>
          <w:szCs w:val="22"/>
          <w:highlight w:val="yellow"/>
        </w:rPr>
        <w:t xml:space="preserve">, </w:t>
      </w:r>
      <w:r w:rsidR="00C6418F" w:rsidRPr="005E1E94">
        <w:rPr>
          <w:rFonts w:eastAsia="Calibri"/>
          <w:sz w:val="22"/>
          <w:szCs w:val="22"/>
          <w:highlight w:val="yellow"/>
        </w:rPr>
        <w:t xml:space="preserve">Report by the Board of State Commissioners, </w:t>
      </w:r>
      <w:hyperlink r:id="rId13" w:history="1">
        <w:r w:rsidR="00C6418F" w:rsidRPr="005E1E94">
          <w:rPr>
            <w:rStyle w:val="Hyperlink"/>
            <w:rFonts w:eastAsia="Calibri"/>
            <w:sz w:val="22"/>
            <w:szCs w:val="22"/>
            <w:highlight w:val="yellow"/>
          </w:rPr>
          <w:t>21 August, 2013</w:t>
        </w:r>
      </w:hyperlink>
      <w:r w:rsidR="00A9488F" w:rsidRPr="005E1E94">
        <w:rPr>
          <w:rFonts w:eastAsia="Calibri"/>
          <w:sz w:val="22"/>
          <w:szCs w:val="22"/>
          <w:highlight w:val="yellow"/>
        </w:rPr>
        <w:t>)</w:t>
      </w:r>
      <w:r w:rsidR="00C6418F" w:rsidRPr="005E1E94">
        <w:rPr>
          <w:rFonts w:eastAsia="Calibri"/>
          <w:sz w:val="22"/>
          <w:szCs w:val="22"/>
          <w:highlight w:val="yellow"/>
        </w:rPr>
        <w:t xml:space="preserve">. </w:t>
      </w:r>
      <w:r w:rsidR="00C6418F" w:rsidRPr="005E1E94">
        <w:rPr>
          <w:rFonts w:eastAsia="Calibri"/>
          <w:i/>
          <w:iCs/>
          <w:sz w:val="22"/>
          <w:szCs w:val="22"/>
          <w:highlight w:val="yellow"/>
        </w:rPr>
        <w:t xml:space="preserve">However, </w:t>
      </w:r>
      <w:hyperlink r:id="rId14" w:history="1">
        <w:r w:rsidR="00C6418F" w:rsidRPr="005E1E94">
          <w:rPr>
            <w:rStyle w:val="Hyperlink"/>
            <w:rFonts w:eastAsia="Calibri"/>
            <w:i/>
            <w:iCs/>
            <w:sz w:val="22"/>
            <w:szCs w:val="22"/>
            <w:highlight w:val="yellow"/>
          </w:rPr>
          <w:t>a presidential decree dated 25 January 2022</w:t>
        </w:r>
      </w:hyperlink>
      <w:r w:rsidR="00C6418F" w:rsidRPr="005E1E94">
        <w:rPr>
          <w:rFonts w:eastAsia="Calibri"/>
          <w:i/>
          <w:iCs/>
          <w:sz w:val="22"/>
          <w:szCs w:val="22"/>
          <w:highlight w:val="yellow"/>
        </w:rPr>
        <w:t xml:space="preserve">, transferred the administration of 37 Nile islands, including </w:t>
      </w:r>
      <w:proofErr w:type="spellStart"/>
      <w:r w:rsidR="00C6418F" w:rsidRPr="005E1E94">
        <w:rPr>
          <w:rFonts w:eastAsia="Calibri"/>
          <w:i/>
          <w:iCs/>
          <w:sz w:val="22"/>
          <w:szCs w:val="22"/>
          <w:highlight w:val="yellow"/>
        </w:rPr>
        <w:t>Qursaya</w:t>
      </w:r>
      <w:proofErr w:type="spellEnd"/>
      <w:r w:rsidR="00C6418F" w:rsidRPr="005E1E94">
        <w:rPr>
          <w:rFonts w:eastAsia="Calibri"/>
          <w:i/>
          <w:iCs/>
          <w:sz w:val="22"/>
          <w:szCs w:val="22"/>
          <w:highlight w:val="yellow"/>
        </w:rPr>
        <w:t xml:space="preserve">, to the Egyptian Armed Forces. </w:t>
      </w:r>
    </w:p>
    <w:p w14:paraId="1CE71B99" w14:textId="3DC54C06" w:rsidR="00A83B64" w:rsidRPr="00737659" w:rsidRDefault="00A83B64" w:rsidP="00A83B64">
      <w:pPr>
        <w:spacing w:after="160" w:line="259" w:lineRule="auto"/>
        <w:jc w:val="both"/>
        <w:rPr>
          <w:rFonts w:eastAsia="Calibri"/>
          <w:sz w:val="22"/>
          <w:szCs w:val="22"/>
        </w:rPr>
      </w:pPr>
    </w:p>
    <w:p w14:paraId="691A81AA" w14:textId="77777777" w:rsidR="00A83B64" w:rsidRPr="00737659" w:rsidRDefault="00A83B64" w:rsidP="00A83B64">
      <w:pPr>
        <w:spacing w:after="160" w:line="259" w:lineRule="auto"/>
        <w:jc w:val="both"/>
        <w:rPr>
          <w:rFonts w:eastAsia="Calibri"/>
          <w:b/>
          <w:sz w:val="22"/>
          <w:szCs w:val="22"/>
        </w:rPr>
      </w:pPr>
      <w:r w:rsidRPr="00737659">
        <w:rPr>
          <w:rFonts w:eastAsia="Calibri"/>
          <w:b/>
          <w:sz w:val="22"/>
          <w:szCs w:val="22"/>
        </w:rPr>
        <w:t>Data and trends on housing affordability</w:t>
      </w:r>
    </w:p>
    <w:p w14:paraId="38ED42BB" w14:textId="77777777" w:rsidR="00A83B64"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Is housing affordability regularly measured in your country, region or city, by the national statistical office or other entities? Please explain how housing affordability is measured and tracked. Where is the data published?   </w:t>
      </w:r>
    </w:p>
    <w:p w14:paraId="24335A5D" w14:textId="77777777" w:rsidR="0087128E" w:rsidRDefault="0087128E" w:rsidP="0087128E">
      <w:pPr>
        <w:spacing w:after="160" w:line="259" w:lineRule="auto"/>
        <w:ind w:left="720"/>
        <w:contextualSpacing/>
        <w:jc w:val="both"/>
        <w:rPr>
          <w:rFonts w:eastAsia="Calibri"/>
          <w:sz w:val="22"/>
          <w:szCs w:val="22"/>
        </w:rPr>
      </w:pPr>
    </w:p>
    <w:p w14:paraId="6554CA84" w14:textId="08B5D42A" w:rsidR="0087128E" w:rsidRPr="00737659" w:rsidRDefault="0087128E" w:rsidP="0087128E">
      <w:pPr>
        <w:spacing w:after="160" w:line="259" w:lineRule="auto"/>
        <w:ind w:left="720"/>
        <w:contextualSpacing/>
        <w:jc w:val="both"/>
        <w:rPr>
          <w:rFonts w:eastAsia="Calibri"/>
          <w:sz w:val="22"/>
          <w:szCs w:val="22"/>
        </w:rPr>
      </w:pPr>
      <w:r w:rsidRPr="00996B65">
        <w:rPr>
          <w:rFonts w:eastAsia="Calibri"/>
          <w:sz w:val="22"/>
          <w:szCs w:val="22"/>
          <w:highlight w:val="yellow"/>
        </w:rPr>
        <w:t xml:space="preserve">There </w:t>
      </w:r>
      <w:proofErr w:type="gramStart"/>
      <w:r w:rsidRPr="00996B65">
        <w:rPr>
          <w:rFonts w:eastAsia="Calibri"/>
          <w:sz w:val="22"/>
          <w:szCs w:val="22"/>
          <w:highlight w:val="yellow"/>
        </w:rPr>
        <w:t>are</w:t>
      </w:r>
      <w:proofErr w:type="gramEnd"/>
      <w:r w:rsidRPr="00996B65">
        <w:rPr>
          <w:rFonts w:eastAsia="Calibri"/>
          <w:sz w:val="22"/>
          <w:szCs w:val="22"/>
          <w:highlight w:val="yellow"/>
        </w:rPr>
        <w:t xml:space="preserve"> no official housing affordability, or house price </w:t>
      </w:r>
      <w:proofErr w:type="spellStart"/>
      <w:r w:rsidRPr="00996B65">
        <w:rPr>
          <w:rFonts w:eastAsia="Calibri"/>
          <w:sz w:val="22"/>
          <w:szCs w:val="22"/>
          <w:highlight w:val="yellow"/>
        </w:rPr>
        <w:t>indicies</w:t>
      </w:r>
      <w:proofErr w:type="spellEnd"/>
      <w:r w:rsidRPr="00996B65">
        <w:rPr>
          <w:rFonts w:eastAsia="Calibri"/>
          <w:sz w:val="22"/>
          <w:szCs w:val="22"/>
          <w:highlight w:val="yellow"/>
        </w:rPr>
        <w:t xml:space="preserve"> in Egypt. </w:t>
      </w:r>
      <w:r w:rsidR="006309C3" w:rsidRPr="00996B65">
        <w:rPr>
          <w:rFonts w:eastAsia="Calibri"/>
          <w:sz w:val="22"/>
          <w:szCs w:val="22"/>
          <w:highlight w:val="yellow"/>
        </w:rPr>
        <w:t xml:space="preserve">Some independent reports have used data crowd sourced on the international </w:t>
      </w:r>
      <w:proofErr w:type="spellStart"/>
      <w:r w:rsidR="006309C3" w:rsidRPr="00996B65">
        <w:rPr>
          <w:rFonts w:eastAsia="Calibri"/>
          <w:sz w:val="22"/>
          <w:szCs w:val="22"/>
          <w:highlight w:val="yellow"/>
        </w:rPr>
        <w:t>Numbeo</w:t>
      </w:r>
      <w:proofErr w:type="spellEnd"/>
      <w:r w:rsidR="006309C3" w:rsidRPr="00996B65">
        <w:rPr>
          <w:rFonts w:eastAsia="Calibri"/>
          <w:sz w:val="22"/>
          <w:szCs w:val="22"/>
          <w:highlight w:val="yellow"/>
        </w:rPr>
        <w:t xml:space="preserve"> website for affordability. Other research has relied on one time spot analyses.</w:t>
      </w:r>
      <w:r w:rsidR="006309C3">
        <w:rPr>
          <w:rFonts w:eastAsia="Calibri"/>
          <w:sz w:val="22"/>
          <w:szCs w:val="22"/>
        </w:rPr>
        <w:t xml:space="preserve"> </w:t>
      </w:r>
    </w:p>
    <w:p w14:paraId="4FA4A494" w14:textId="16B81B3F" w:rsidR="0087128E" w:rsidRPr="00737659" w:rsidRDefault="0087128E" w:rsidP="0087128E">
      <w:pPr>
        <w:spacing w:after="160" w:line="259" w:lineRule="auto"/>
        <w:jc w:val="both"/>
        <w:rPr>
          <w:rFonts w:eastAsia="Calibri"/>
          <w:sz w:val="22"/>
          <w:szCs w:val="22"/>
        </w:rPr>
      </w:pPr>
    </w:p>
    <w:p w14:paraId="22A7C38C" w14:textId="77777777" w:rsidR="00A83B64"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lastRenderedPageBreak/>
        <w:t xml:space="preserve">Has housing affordability increased or decreased in your country over the past 10 years? In which regions or cities has housing affordability changed and for whom? </w:t>
      </w:r>
    </w:p>
    <w:p w14:paraId="5D629C54" w14:textId="77777777" w:rsidR="00EC78B0" w:rsidRDefault="00EC78B0" w:rsidP="00EC78B0">
      <w:pPr>
        <w:spacing w:after="160" w:line="259" w:lineRule="auto"/>
        <w:ind w:left="720"/>
        <w:contextualSpacing/>
        <w:jc w:val="both"/>
        <w:rPr>
          <w:rFonts w:eastAsia="Calibri"/>
          <w:sz w:val="22"/>
          <w:szCs w:val="22"/>
        </w:rPr>
      </w:pPr>
    </w:p>
    <w:p w14:paraId="4E2E9A36" w14:textId="37F44886" w:rsidR="00F5194C" w:rsidRDefault="006309C3" w:rsidP="00F5194C">
      <w:pPr>
        <w:spacing w:after="160" w:line="259" w:lineRule="auto"/>
        <w:ind w:left="720"/>
        <w:contextualSpacing/>
        <w:jc w:val="both"/>
        <w:rPr>
          <w:rFonts w:eastAsia="Calibri"/>
          <w:sz w:val="22"/>
          <w:szCs w:val="22"/>
          <w:highlight w:val="yellow"/>
          <w:vertAlign w:val="superscript"/>
          <w:lang w:val="en-US"/>
        </w:rPr>
      </w:pPr>
      <w:r w:rsidRPr="00F5194C">
        <w:rPr>
          <w:rFonts w:eastAsia="Calibri"/>
          <w:sz w:val="22"/>
          <w:szCs w:val="22"/>
          <w:highlight w:val="yellow"/>
        </w:rPr>
        <w:t xml:space="preserve">Based on the above, </w:t>
      </w:r>
      <w:r w:rsidR="005509B6">
        <w:rPr>
          <w:rFonts w:eastAsia="Calibri"/>
          <w:sz w:val="22"/>
          <w:szCs w:val="22"/>
          <w:highlight w:val="yellow"/>
        </w:rPr>
        <w:t>below are main findings of the studies</w:t>
      </w:r>
      <w:r w:rsidR="00256306">
        <w:rPr>
          <w:rFonts w:eastAsia="Calibri"/>
          <w:sz w:val="22"/>
          <w:szCs w:val="22"/>
          <w:highlight w:val="yellow"/>
        </w:rPr>
        <w:t xml:space="preserve"> which paint a worrying picture of affordability in Egypt.</w:t>
      </w:r>
      <w:r w:rsidR="00F5194C" w:rsidRPr="00F5194C">
        <w:rPr>
          <w:rFonts w:eastAsia="Calibri"/>
          <w:sz w:val="22"/>
          <w:szCs w:val="22"/>
          <w:highlight w:val="yellow"/>
          <w:vertAlign w:val="superscript"/>
          <w:lang w:val="en-US"/>
        </w:rPr>
        <w:t xml:space="preserve"> </w:t>
      </w:r>
    </w:p>
    <w:p w14:paraId="3B775C54" w14:textId="77777777" w:rsidR="00593008" w:rsidRDefault="00593008" w:rsidP="00F5194C">
      <w:pPr>
        <w:spacing w:after="160" w:line="259" w:lineRule="auto"/>
        <w:ind w:left="720"/>
        <w:contextualSpacing/>
        <w:jc w:val="both"/>
        <w:rPr>
          <w:rFonts w:eastAsia="Calibri"/>
          <w:sz w:val="22"/>
          <w:szCs w:val="22"/>
          <w:highlight w:val="yellow"/>
          <w:vertAlign w:val="superscript"/>
          <w:lang w:val="en-US"/>
        </w:rPr>
      </w:pPr>
    </w:p>
    <w:p w14:paraId="0BAF1AEC" w14:textId="77777777" w:rsidR="00593008" w:rsidRDefault="00593008" w:rsidP="00593008">
      <w:pPr>
        <w:spacing w:after="160" w:line="259" w:lineRule="auto"/>
        <w:ind w:firstLine="720"/>
        <w:jc w:val="both"/>
        <w:rPr>
          <w:rFonts w:eastAsia="Calibri"/>
          <w:sz w:val="22"/>
          <w:szCs w:val="22"/>
          <w:highlight w:val="yellow"/>
        </w:rPr>
      </w:pPr>
      <w:r>
        <w:rPr>
          <w:rFonts w:eastAsia="Calibri"/>
          <w:sz w:val="22"/>
          <w:szCs w:val="22"/>
          <w:highlight w:val="yellow"/>
        </w:rPr>
        <w:t>Rental affordability:</w:t>
      </w:r>
    </w:p>
    <w:p w14:paraId="6973290C" w14:textId="12B5359F" w:rsidR="00593008" w:rsidRDefault="00593008" w:rsidP="00593008">
      <w:pPr>
        <w:numPr>
          <w:ilvl w:val="0"/>
          <w:numId w:val="3"/>
        </w:numPr>
        <w:spacing w:after="160" w:line="259" w:lineRule="auto"/>
        <w:jc w:val="both"/>
        <w:rPr>
          <w:rFonts w:eastAsia="Calibri"/>
          <w:sz w:val="22"/>
          <w:szCs w:val="22"/>
          <w:highlight w:val="yellow"/>
        </w:rPr>
      </w:pPr>
      <w:r w:rsidRPr="00593008">
        <w:rPr>
          <w:rFonts w:eastAsia="Calibri"/>
          <w:sz w:val="22"/>
          <w:szCs w:val="22"/>
          <w:highlight w:val="yellow"/>
        </w:rPr>
        <w:t xml:space="preserve">According to a USAID study in </w:t>
      </w:r>
      <w:r w:rsidR="00502A3C">
        <w:rPr>
          <w:rFonts w:eastAsia="Calibri"/>
          <w:sz w:val="22"/>
          <w:szCs w:val="22"/>
          <w:highlight w:val="yellow"/>
        </w:rPr>
        <w:t>2003-</w:t>
      </w:r>
      <w:r w:rsidRPr="00593008">
        <w:rPr>
          <w:rFonts w:eastAsia="Calibri"/>
          <w:sz w:val="22"/>
          <w:szCs w:val="22"/>
          <w:highlight w:val="yellow"/>
        </w:rPr>
        <w:t xml:space="preserve">2008, </w:t>
      </w:r>
      <w:r>
        <w:rPr>
          <w:rFonts w:eastAsia="Calibri"/>
          <w:sz w:val="22"/>
          <w:szCs w:val="22"/>
          <w:highlight w:val="yellow"/>
        </w:rPr>
        <w:t>r</w:t>
      </w:r>
      <w:r w:rsidRPr="00593008">
        <w:rPr>
          <w:rFonts w:eastAsia="Calibri"/>
          <w:sz w:val="22"/>
          <w:szCs w:val="22"/>
          <w:highlight w:val="yellow"/>
        </w:rPr>
        <w:t>ent-to-income ratios</w:t>
      </w:r>
      <w:r>
        <w:rPr>
          <w:rFonts w:eastAsia="Calibri"/>
          <w:sz w:val="22"/>
          <w:szCs w:val="22"/>
          <w:highlight w:val="yellow"/>
        </w:rPr>
        <w:t xml:space="preserve"> </w:t>
      </w:r>
      <w:r w:rsidR="00C55AA0">
        <w:rPr>
          <w:rFonts w:eastAsia="Calibri"/>
          <w:sz w:val="22"/>
          <w:szCs w:val="22"/>
          <w:highlight w:val="yellow"/>
        </w:rPr>
        <w:t>averaged</w:t>
      </w:r>
      <w:r w:rsidRPr="00593008">
        <w:rPr>
          <w:rFonts w:eastAsia="Calibri"/>
          <w:sz w:val="22"/>
          <w:szCs w:val="22"/>
          <w:highlight w:val="yellow"/>
        </w:rPr>
        <w:t xml:space="preserve"> </w:t>
      </w:r>
      <w:r w:rsidR="00502A3C">
        <w:rPr>
          <w:rFonts w:eastAsia="Calibri"/>
          <w:sz w:val="22"/>
          <w:szCs w:val="22"/>
          <w:highlight w:val="yellow"/>
        </w:rPr>
        <w:t>20</w:t>
      </w:r>
      <w:r w:rsidRPr="00593008">
        <w:rPr>
          <w:rFonts w:eastAsia="Calibri"/>
          <w:sz w:val="22"/>
          <w:szCs w:val="22"/>
          <w:highlight w:val="yellow"/>
        </w:rPr>
        <w:t xml:space="preserve"> %  for </w:t>
      </w:r>
      <w:r>
        <w:rPr>
          <w:rFonts w:eastAsia="Calibri"/>
          <w:sz w:val="22"/>
          <w:szCs w:val="22"/>
          <w:highlight w:val="yellow"/>
        </w:rPr>
        <w:t>N</w:t>
      </w:r>
      <w:r w:rsidRPr="00593008">
        <w:rPr>
          <w:rFonts w:eastAsia="Calibri"/>
          <w:sz w:val="22"/>
          <w:szCs w:val="22"/>
          <w:highlight w:val="yellow"/>
        </w:rPr>
        <w:t xml:space="preserve">ew </w:t>
      </w:r>
      <w:r>
        <w:rPr>
          <w:rFonts w:eastAsia="Calibri"/>
          <w:sz w:val="22"/>
          <w:szCs w:val="22"/>
          <w:highlight w:val="yellow"/>
        </w:rPr>
        <w:t>R</w:t>
      </w:r>
      <w:r w:rsidRPr="00593008">
        <w:rPr>
          <w:rFonts w:eastAsia="Calibri"/>
          <w:sz w:val="22"/>
          <w:szCs w:val="22"/>
          <w:highlight w:val="yellow"/>
        </w:rPr>
        <w:t>ent agreements</w:t>
      </w:r>
      <w:r w:rsidR="00C55AA0">
        <w:rPr>
          <w:rFonts w:eastAsia="Calibri"/>
          <w:sz w:val="22"/>
          <w:szCs w:val="22"/>
          <w:highlight w:val="yellow"/>
        </w:rPr>
        <w:t>, which</w:t>
      </w:r>
      <w:r w:rsidRPr="00593008">
        <w:rPr>
          <w:rFonts w:eastAsia="Calibri"/>
          <w:sz w:val="22"/>
          <w:szCs w:val="22"/>
          <w:highlight w:val="yellow"/>
        </w:rPr>
        <w:t xml:space="preserve"> were affordable.</w:t>
      </w:r>
      <w:r w:rsidR="0009754A">
        <w:rPr>
          <w:rStyle w:val="FootnoteReference"/>
          <w:rFonts w:eastAsia="Calibri"/>
          <w:sz w:val="22"/>
          <w:szCs w:val="22"/>
          <w:highlight w:val="yellow"/>
        </w:rPr>
        <w:footnoteReference w:id="9"/>
      </w:r>
      <w:r w:rsidR="00C55AA0">
        <w:rPr>
          <w:rFonts w:eastAsia="Calibri"/>
          <w:sz w:val="22"/>
          <w:szCs w:val="22"/>
          <w:highlight w:val="yellow"/>
        </w:rPr>
        <w:t xml:space="preserve"> Lower income households (20</w:t>
      </w:r>
      <w:r w:rsidR="00C55AA0" w:rsidRPr="00C55AA0">
        <w:rPr>
          <w:rFonts w:eastAsia="Calibri"/>
          <w:sz w:val="22"/>
          <w:szCs w:val="22"/>
          <w:highlight w:val="yellow"/>
          <w:vertAlign w:val="superscript"/>
        </w:rPr>
        <w:t>th</w:t>
      </w:r>
      <w:r w:rsidR="00C55AA0">
        <w:rPr>
          <w:rFonts w:eastAsia="Calibri"/>
          <w:sz w:val="22"/>
          <w:szCs w:val="22"/>
          <w:highlight w:val="yellow"/>
        </w:rPr>
        <w:t xml:space="preserve"> percentile) had a higher burden at 24% than the highest quintile (15.4%).</w:t>
      </w:r>
    </w:p>
    <w:p w14:paraId="11C8CCB1" w14:textId="40858CE2" w:rsidR="00502D94" w:rsidRPr="00502D94" w:rsidRDefault="00593008" w:rsidP="00502D94">
      <w:pPr>
        <w:numPr>
          <w:ilvl w:val="0"/>
          <w:numId w:val="3"/>
        </w:numPr>
        <w:spacing w:after="160" w:line="259" w:lineRule="auto"/>
        <w:jc w:val="both"/>
        <w:rPr>
          <w:rFonts w:eastAsia="Calibri"/>
          <w:sz w:val="22"/>
          <w:szCs w:val="22"/>
          <w:highlight w:val="yellow"/>
        </w:rPr>
      </w:pPr>
      <w:r>
        <w:rPr>
          <w:rFonts w:eastAsia="Calibri"/>
          <w:sz w:val="22"/>
          <w:szCs w:val="22"/>
          <w:highlight w:val="yellow"/>
        </w:rPr>
        <w:t xml:space="preserve">Another 2016 study </w:t>
      </w:r>
      <w:r w:rsidR="004F0E49">
        <w:rPr>
          <w:rFonts w:eastAsia="Calibri"/>
          <w:sz w:val="22"/>
          <w:szCs w:val="22"/>
          <w:highlight w:val="yellow"/>
        </w:rPr>
        <w:t>found that</w:t>
      </w:r>
      <w:r>
        <w:rPr>
          <w:rFonts w:eastAsia="Calibri"/>
          <w:sz w:val="22"/>
          <w:szCs w:val="22"/>
          <w:highlight w:val="yellow"/>
        </w:rPr>
        <w:t xml:space="preserve"> </w:t>
      </w:r>
      <w:r w:rsidR="00831A72">
        <w:rPr>
          <w:rFonts w:eastAsia="Calibri"/>
          <w:sz w:val="22"/>
          <w:szCs w:val="22"/>
          <w:highlight w:val="yellow"/>
        </w:rPr>
        <w:t>59</w:t>
      </w:r>
      <w:r>
        <w:rPr>
          <w:rFonts w:eastAsia="Calibri"/>
          <w:sz w:val="22"/>
          <w:szCs w:val="22"/>
          <w:highlight w:val="yellow"/>
        </w:rPr>
        <w:t xml:space="preserve">% of households </w:t>
      </w:r>
      <w:r w:rsidR="004F0E49">
        <w:rPr>
          <w:rFonts w:eastAsia="Calibri"/>
          <w:sz w:val="22"/>
          <w:szCs w:val="22"/>
          <w:highlight w:val="yellow"/>
        </w:rPr>
        <w:t>were</w:t>
      </w:r>
      <w:r>
        <w:rPr>
          <w:rFonts w:eastAsia="Calibri"/>
          <w:sz w:val="22"/>
          <w:szCs w:val="22"/>
          <w:highlight w:val="yellow"/>
        </w:rPr>
        <w:t xml:space="preserve"> priced out of a median priced home</w:t>
      </w:r>
      <w:r w:rsidR="00831A72">
        <w:rPr>
          <w:rFonts w:eastAsia="Calibri"/>
          <w:sz w:val="22"/>
          <w:szCs w:val="22"/>
          <w:highlight w:val="yellow"/>
        </w:rPr>
        <w:t xml:space="preserve">, which breached the index’s 25% </w:t>
      </w:r>
      <w:r w:rsidR="00831A72" w:rsidRPr="00831A72">
        <w:rPr>
          <w:rFonts w:eastAsia="Calibri"/>
          <w:sz w:val="22"/>
          <w:szCs w:val="22"/>
          <w:highlight w:val="yellow"/>
        </w:rPr>
        <w:t>r</w:t>
      </w:r>
      <w:r w:rsidRPr="00593008">
        <w:rPr>
          <w:rFonts w:eastAsia="Calibri"/>
          <w:sz w:val="22"/>
          <w:szCs w:val="22"/>
          <w:highlight w:val="yellow"/>
        </w:rPr>
        <w:t>ent-to-income ratio</w:t>
      </w:r>
      <w:r w:rsidR="00831A72">
        <w:rPr>
          <w:rFonts w:eastAsia="Calibri"/>
          <w:sz w:val="22"/>
          <w:szCs w:val="22"/>
          <w:highlight w:val="yellow"/>
        </w:rPr>
        <w:t xml:space="preserve"> threshold.</w:t>
      </w:r>
      <w:r w:rsidR="00831A72">
        <w:rPr>
          <w:rStyle w:val="FootnoteReference"/>
          <w:rFonts w:eastAsia="Calibri"/>
          <w:sz w:val="22"/>
          <w:szCs w:val="22"/>
          <w:highlight w:val="yellow"/>
        </w:rPr>
        <w:footnoteReference w:id="10"/>
      </w:r>
      <w:r w:rsidR="00F45090">
        <w:rPr>
          <w:rFonts w:eastAsia="Calibri"/>
          <w:sz w:val="22"/>
          <w:szCs w:val="22"/>
          <w:highlight w:val="yellow"/>
        </w:rPr>
        <w:t xml:space="preserve"> (The study is the only index that shows data disaggregated by governorate, giving regional variations, however it is over six years old)</w:t>
      </w:r>
      <w:r w:rsidR="0009754A">
        <w:rPr>
          <w:rFonts w:eastAsia="Calibri"/>
          <w:sz w:val="22"/>
          <w:szCs w:val="22"/>
          <w:highlight w:val="yellow"/>
        </w:rPr>
        <w:t>.</w:t>
      </w:r>
    </w:p>
    <w:p w14:paraId="6EEAA76E" w14:textId="7D38DF1B" w:rsidR="00593008" w:rsidRPr="00593008" w:rsidRDefault="0009754A" w:rsidP="00831A72">
      <w:pPr>
        <w:numPr>
          <w:ilvl w:val="0"/>
          <w:numId w:val="3"/>
        </w:numPr>
        <w:spacing w:after="160" w:line="259" w:lineRule="auto"/>
        <w:jc w:val="both"/>
        <w:rPr>
          <w:rFonts w:eastAsia="Calibri"/>
          <w:sz w:val="22"/>
          <w:szCs w:val="22"/>
          <w:highlight w:val="yellow"/>
        </w:rPr>
      </w:pPr>
      <w:r>
        <w:rPr>
          <w:rFonts w:eastAsia="Calibri"/>
          <w:sz w:val="22"/>
          <w:szCs w:val="22"/>
          <w:highlight w:val="yellow"/>
        </w:rPr>
        <w:t>This means that rental affordability significantly diminished within a decade.</w:t>
      </w:r>
      <w:r w:rsidR="008F6789">
        <w:rPr>
          <w:rFonts w:eastAsia="Calibri"/>
          <w:sz w:val="22"/>
          <w:szCs w:val="22"/>
          <w:highlight w:val="yellow"/>
        </w:rPr>
        <w:t xml:space="preserve"> During the COVID-19 Pandemic, widespread income loss is thought to have burdened tenants even more. </w:t>
      </w:r>
    </w:p>
    <w:p w14:paraId="2233B98F" w14:textId="77777777" w:rsidR="00593008" w:rsidRDefault="00593008" w:rsidP="00593008">
      <w:pPr>
        <w:spacing w:after="160" w:line="259" w:lineRule="auto"/>
        <w:ind w:firstLine="720"/>
        <w:jc w:val="both"/>
        <w:rPr>
          <w:rFonts w:eastAsia="Calibri"/>
          <w:sz w:val="22"/>
          <w:szCs w:val="22"/>
          <w:highlight w:val="yellow"/>
        </w:rPr>
      </w:pPr>
      <w:r>
        <w:rPr>
          <w:rFonts w:eastAsia="Calibri"/>
          <w:sz w:val="22"/>
          <w:szCs w:val="22"/>
          <w:highlight w:val="yellow"/>
        </w:rPr>
        <w:t>Ownership affordability:</w:t>
      </w:r>
    </w:p>
    <w:p w14:paraId="6EF729E0" w14:textId="1398D4CE" w:rsidR="00502A3C" w:rsidRPr="008722B6" w:rsidRDefault="00502A3C" w:rsidP="008722B6">
      <w:pPr>
        <w:pStyle w:val="ListParagraph"/>
        <w:numPr>
          <w:ilvl w:val="0"/>
          <w:numId w:val="3"/>
        </w:numPr>
        <w:spacing w:after="160" w:line="259" w:lineRule="auto"/>
        <w:jc w:val="both"/>
        <w:rPr>
          <w:rFonts w:eastAsia="Calibri"/>
          <w:sz w:val="22"/>
          <w:szCs w:val="22"/>
          <w:highlight w:val="yellow"/>
        </w:rPr>
      </w:pPr>
      <w:r w:rsidRPr="008722B6">
        <w:rPr>
          <w:rFonts w:eastAsia="Calibri"/>
          <w:sz w:val="22"/>
          <w:szCs w:val="22"/>
          <w:highlight w:val="yellow"/>
        </w:rPr>
        <w:t xml:space="preserve">The aforementioned </w:t>
      </w:r>
      <w:r w:rsidRPr="00593008">
        <w:rPr>
          <w:rFonts w:eastAsia="Calibri"/>
          <w:sz w:val="22"/>
          <w:szCs w:val="22"/>
          <w:highlight w:val="yellow"/>
        </w:rPr>
        <w:t xml:space="preserve">USAID study in </w:t>
      </w:r>
      <w:r w:rsidRPr="008722B6">
        <w:rPr>
          <w:rFonts w:eastAsia="Calibri"/>
          <w:sz w:val="22"/>
          <w:szCs w:val="22"/>
          <w:highlight w:val="yellow"/>
        </w:rPr>
        <w:t>2003-</w:t>
      </w:r>
      <w:r w:rsidRPr="00593008">
        <w:rPr>
          <w:rFonts w:eastAsia="Calibri"/>
          <w:sz w:val="22"/>
          <w:szCs w:val="22"/>
          <w:highlight w:val="yellow"/>
        </w:rPr>
        <w:t>2008</w:t>
      </w:r>
      <w:r w:rsidRPr="008722B6">
        <w:rPr>
          <w:rFonts w:eastAsia="Calibri"/>
          <w:sz w:val="22"/>
          <w:szCs w:val="22"/>
          <w:highlight w:val="yellow"/>
        </w:rPr>
        <w:t xml:space="preserve"> found a</w:t>
      </w:r>
      <w:r w:rsidR="008722B6" w:rsidRPr="008722B6">
        <w:rPr>
          <w:rFonts w:eastAsia="Calibri"/>
          <w:sz w:val="22"/>
          <w:szCs w:val="22"/>
          <w:highlight w:val="yellow"/>
        </w:rPr>
        <w:t>n average</w:t>
      </w:r>
      <w:r w:rsidRPr="008722B6">
        <w:rPr>
          <w:rFonts w:eastAsia="Calibri"/>
          <w:sz w:val="22"/>
          <w:szCs w:val="22"/>
          <w:highlight w:val="yellow"/>
        </w:rPr>
        <w:t xml:space="preserve"> house-price to income ratio (HPI) of 3.8</w:t>
      </w:r>
      <w:r w:rsidR="008722B6" w:rsidRPr="008722B6">
        <w:rPr>
          <w:rFonts w:eastAsia="Calibri"/>
          <w:sz w:val="22"/>
          <w:szCs w:val="22"/>
          <w:highlight w:val="yellow"/>
        </w:rPr>
        <w:t>.</w:t>
      </w:r>
      <w:r w:rsidR="008722B6" w:rsidRPr="008722B6">
        <w:rPr>
          <w:rFonts w:eastAsia="Calibri"/>
          <w:sz w:val="22"/>
          <w:szCs w:val="22"/>
          <w:highlight w:val="yellow"/>
          <w:vertAlign w:val="superscript"/>
        </w:rPr>
        <w:t xml:space="preserve"> </w:t>
      </w:r>
      <w:r w:rsidR="008722B6" w:rsidRPr="008722B6">
        <w:rPr>
          <w:rFonts w:eastAsia="Calibri"/>
          <w:sz w:val="22"/>
          <w:szCs w:val="22"/>
          <w:highlight w:val="yellow"/>
          <w:vertAlign w:val="superscript"/>
        </w:rPr>
        <w:footnoteReference w:id="11"/>
      </w:r>
    </w:p>
    <w:p w14:paraId="04F641DC" w14:textId="5B693A87" w:rsidR="006309C3" w:rsidRPr="008722B6" w:rsidRDefault="00593008" w:rsidP="00AF22E2">
      <w:pPr>
        <w:pStyle w:val="ListParagraph"/>
        <w:numPr>
          <w:ilvl w:val="0"/>
          <w:numId w:val="3"/>
        </w:numPr>
        <w:spacing w:after="160" w:line="259" w:lineRule="auto"/>
        <w:jc w:val="both"/>
        <w:rPr>
          <w:rFonts w:eastAsia="Calibri"/>
          <w:sz w:val="22"/>
          <w:szCs w:val="22"/>
          <w:highlight w:val="yellow"/>
        </w:rPr>
      </w:pPr>
      <w:r w:rsidRPr="008722B6">
        <w:rPr>
          <w:rFonts w:eastAsia="Calibri"/>
          <w:sz w:val="22"/>
          <w:szCs w:val="22"/>
          <w:highlight w:val="yellow"/>
        </w:rPr>
        <w:t>A UN-Habitat study showed</w:t>
      </w:r>
      <w:r w:rsidR="00AF22E2" w:rsidRPr="008722B6">
        <w:rPr>
          <w:rFonts w:eastAsia="Calibri"/>
          <w:sz w:val="22"/>
          <w:szCs w:val="22"/>
          <w:highlight w:val="yellow"/>
        </w:rPr>
        <w:t xml:space="preserve"> in 2016</w:t>
      </w:r>
      <w:r w:rsidRPr="008722B6">
        <w:rPr>
          <w:rFonts w:eastAsia="Calibri"/>
          <w:sz w:val="22"/>
          <w:szCs w:val="22"/>
          <w:highlight w:val="yellow"/>
        </w:rPr>
        <w:t xml:space="preserve"> </w:t>
      </w:r>
      <w:r w:rsidR="00AF22E2" w:rsidRPr="008722B6">
        <w:rPr>
          <w:rFonts w:eastAsia="Calibri"/>
          <w:sz w:val="22"/>
          <w:szCs w:val="22"/>
          <w:highlight w:val="yellow"/>
        </w:rPr>
        <w:t xml:space="preserve">that “overall housing affordability in Egypt is extremely dire”, where only a small </w:t>
      </w:r>
      <w:r w:rsidR="00F5194C" w:rsidRPr="008722B6">
        <w:rPr>
          <w:rFonts w:eastAsia="Calibri"/>
          <w:sz w:val="22"/>
          <w:szCs w:val="22"/>
          <w:highlight w:val="yellow"/>
          <w:lang w:val="en-US"/>
        </w:rPr>
        <w:t xml:space="preserve">40m2 informally constructed </w:t>
      </w:r>
      <w:r w:rsidR="00AF22E2" w:rsidRPr="008722B6">
        <w:rPr>
          <w:rFonts w:eastAsia="Calibri"/>
          <w:sz w:val="22"/>
          <w:szCs w:val="22"/>
          <w:highlight w:val="yellow"/>
          <w:lang w:val="en-US"/>
        </w:rPr>
        <w:t>unit</w:t>
      </w:r>
      <w:r w:rsidR="00F5194C" w:rsidRPr="008722B6">
        <w:rPr>
          <w:rFonts w:eastAsia="Calibri"/>
          <w:sz w:val="22"/>
          <w:szCs w:val="22"/>
          <w:highlight w:val="yellow"/>
          <w:lang w:val="en-US"/>
        </w:rPr>
        <w:t xml:space="preserve"> </w:t>
      </w:r>
      <w:r w:rsidR="00F5194C" w:rsidRPr="008722B6">
        <w:rPr>
          <w:rFonts w:eastAsia="Calibri"/>
          <w:sz w:val="22"/>
          <w:szCs w:val="22"/>
          <w:highlight w:val="yellow"/>
          <w:lang w:val="en-US"/>
        </w:rPr>
        <w:lastRenderedPageBreak/>
        <w:t>in an unplanned area,</w:t>
      </w:r>
      <w:r w:rsidR="00AF22E2" w:rsidRPr="008722B6">
        <w:rPr>
          <w:rFonts w:eastAsia="Calibri"/>
          <w:sz w:val="22"/>
          <w:szCs w:val="22"/>
          <w:highlight w:val="yellow"/>
          <w:lang w:val="en-US"/>
        </w:rPr>
        <w:t xml:space="preserve"> has an HPI of </w:t>
      </w:r>
      <w:r w:rsidR="00AF22E2" w:rsidRPr="00AF22E2">
        <w:rPr>
          <w:rFonts w:eastAsia="Calibri"/>
          <w:sz w:val="22"/>
          <w:szCs w:val="22"/>
          <w:highlight w:val="yellow"/>
          <w:lang w:val="en-US"/>
        </w:rPr>
        <w:t xml:space="preserve">3.8 </w:t>
      </w:r>
      <w:r w:rsidR="00AF22E2" w:rsidRPr="008722B6">
        <w:rPr>
          <w:rFonts w:eastAsia="Calibri"/>
          <w:sz w:val="22"/>
          <w:szCs w:val="22"/>
          <w:highlight w:val="yellow"/>
          <w:lang w:val="en-US"/>
        </w:rPr>
        <w:t>for</w:t>
      </w:r>
      <w:r w:rsidR="00F5194C" w:rsidRPr="008722B6">
        <w:rPr>
          <w:rFonts w:eastAsia="Calibri"/>
          <w:sz w:val="22"/>
          <w:szCs w:val="22"/>
          <w:highlight w:val="yellow"/>
          <w:lang w:val="en-US"/>
        </w:rPr>
        <w:t xml:space="preserve"> </w:t>
      </w:r>
      <w:r w:rsidR="00AF22E2" w:rsidRPr="008722B6">
        <w:rPr>
          <w:rFonts w:eastAsia="Calibri"/>
          <w:sz w:val="22"/>
          <w:szCs w:val="22"/>
          <w:highlight w:val="yellow"/>
        </w:rPr>
        <w:t>l</w:t>
      </w:r>
      <w:r w:rsidR="00AF22E2" w:rsidRPr="00AF22E2">
        <w:rPr>
          <w:rFonts w:eastAsia="Calibri"/>
          <w:sz w:val="22"/>
          <w:szCs w:val="22"/>
          <w:highlight w:val="yellow"/>
          <w:lang w:val="en-US"/>
        </w:rPr>
        <w:t>ow-income household</w:t>
      </w:r>
      <w:r w:rsidR="00AF22E2" w:rsidRPr="008722B6">
        <w:rPr>
          <w:rFonts w:eastAsia="Calibri"/>
          <w:sz w:val="22"/>
          <w:szCs w:val="22"/>
          <w:highlight w:val="yellow"/>
          <w:lang w:val="en-US"/>
        </w:rPr>
        <w:t>s</w:t>
      </w:r>
      <w:r w:rsidR="00AF22E2" w:rsidRPr="00AF22E2">
        <w:rPr>
          <w:rFonts w:eastAsia="Calibri"/>
          <w:sz w:val="22"/>
          <w:szCs w:val="22"/>
          <w:highlight w:val="yellow"/>
          <w:lang w:val="en-US"/>
        </w:rPr>
        <w:t xml:space="preserve"> </w:t>
      </w:r>
      <w:r w:rsidR="00AF22E2" w:rsidRPr="008722B6">
        <w:rPr>
          <w:rFonts w:eastAsia="Calibri"/>
          <w:sz w:val="22"/>
          <w:szCs w:val="22"/>
          <w:highlight w:val="yellow"/>
          <w:lang w:val="en-US"/>
        </w:rPr>
        <w:t xml:space="preserve">(below the </w:t>
      </w:r>
      <w:r w:rsidR="004F0E49" w:rsidRPr="008722B6">
        <w:rPr>
          <w:rFonts w:eastAsia="Calibri"/>
          <w:sz w:val="22"/>
          <w:szCs w:val="22"/>
          <w:highlight w:val="yellow"/>
          <w:lang w:val="en-US"/>
        </w:rPr>
        <w:t>20</w:t>
      </w:r>
      <w:r w:rsidR="004F0E49" w:rsidRPr="008722B6">
        <w:rPr>
          <w:rFonts w:eastAsia="Calibri"/>
          <w:sz w:val="22"/>
          <w:szCs w:val="22"/>
          <w:highlight w:val="yellow"/>
          <w:vertAlign w:val="superscript"/>
          <w:lang w:val="en-US"/>
        </w:rPr>
        <w:t>th</w:t>
      </w:r>
      <w:r w:rsidR="004F0E49" w:rsidRPr="008722B6">
        <w:rPr>
          <w:rFonts w:eastAsia="Calibri"/>
          <w:sz w:val="22"/>
          <w:szCs w:val="22"/>
          <w:highlight w:val="yellow"/>
          <w:lang w:val="en-US"/>
        </w:rPr>
        <w:t xml:space="preserve"> </w:t>
      </w:r>
      <w:r w:rsidR="00AF22E2" w:rsidRPr="008722B6">
        <w:rPr>
          <w:rFonts w:eastAsia="Calibri"/>
          <w:sz w:val="22"/>
          <w:szCs w:val="22"/>
          <w:highlight w:val="yellow"/>
          <w:lang w:val="en-US"/>
        </w:rPr>
        <w:t xml:space="preserve">percentile), </w:t>
      </w:r>
      <w:r w:rsidR="004F0E49" w:rsidRPr="008722B6">
        <w:rPr>
          <w:rFonts w:eastAsia="Calibri"/>
          <w:sz w:val="22"/>
          <w:szCs w:val="22"/>
          <w:highlight w:val="yellow"/>
          <w:lang w:val="en-US"/>
        </w:rPr>
        <w:t>rising to an HPI of 7.7 for a larger 80m2 informal unit, and 25.8 HPI for a “low end (formal) private developer”</w:t>
      </w:r>
      <w:r w:rsidR="00F5194C" w:rsidRPr="008722B6">
        <w:rPr>
          <w:rFonts w:eastAsia="Calibri"/>
          <w:sz w:val="22"/>
          <w:szCs w:val="22"/>
          <w:highlight w:val="yellow"/>
          <w:lang w:val="en-US"/>
        </w:rPr>
        <w:t>.</w:t>
      </w:r>
      <w:r w:rsidR="00055197" w:rsidRPr="008722B6">
        <w:rPr>
          <w:rStyle w:val="FootnoteReference"/>
          <w:rFonts w:eastAsia="Calibri"/>
          <w:sz w:val="22"/>
          <w:szCs w:val="22"/>
          <w:highlight w:val="yellow"/>
          <w:lang w:val="en-US"/>
        </w:rPr>
        <w:footnoteReference w:id="12"/>
      </w:r>
    </w:p>
    <w:p w14:paraId="6D8F29BF" w14:textId="04DEC421" w:rsidR="004F0E49" w:rsidRPr="008722B6" w:rsidRDefault="00502D94" w:rsidP="0009754A">
      <w:pPr>
        <w:pStyle w:val="ListParagraph"/>
        <w:numPr>
          <w:ilvl w:val="0"/>
          <w:numId w:val="3"/>
        </w:numPr>
        <w:spacing w:after="160" w:line="259" w:lineRule="auto"/>
        <w:jc w:val="both"/>
        <w:rPr>
          <w:rFonts w:eastAsia="Calibri"/>
          <w:sz w:val="22"/>
          <w:szCs w:val="22"/>
          <w:highlight w:val="yellow"/>
        </w:rPr>
      </w:pPr>
      <w:r>
        <w:rPr>
          <w:rFonts w:eastAsia="Calibri"/>
          <w:sz w:val="22"/>
          <w:szCs w:val="22"/>
          <w:highlight w:val="yellow"/>
          <w:lang w:val="en-US"/>
        </w:rPr>
        <w:t>A</w:t>
      </w:r>
      <w:r w:rsidR="004F0E49" w:rsidRPr="008722B6">
        <w:rPr>
          <w:rFonts w:eastAsia="Calibri"/>
          <w:sz w:val="22"/>
          <w:szCs w:val="22"/>
          <w:highlight w:val="yellow"/>
          <w:lang w:val="en-US"/>
        </w:rPr>
        <w:t xml:space="preserve"> 2016 </w:t>
      </w:r>
      <w:r>
        <w:rPr>
          <w:rFonts w:eastAsia="Calibri"/>
          <w:sz w:val="22"/>
          <w:szCs w:val="22"/>
          <w:highlight w:val="yellow"/>
          <w:lang w:val="en-US"/>
        </w:rPr>
        <w:t>affordability index</w:t>
      </w:r>
      <w:r w:rsidR="004F0E49" w:rsidRPr="008722B6">
        <w:rPr>
          <w:rFonts w:eastAsia="Calibri"/>
          <w:sz w:val="22"/>
          <w:szCs w:val="22"/>
          <w:highlight w:val="yellow"/>
          <w:lang w:val="en-US"/>
        </w:rPr>
        <w:t xml:space="preserve"> found that </w:t>
      </w:r>
      <w:r w:rsidR="0009754A" w:rsidRPr="008722B6">
        <w:rPr>
          <w:rFonts w:eastAsia="Calibri"/>
          <w:sz w:val="22"/>
          <w:szCs w:val="22"/>
          <w:highlight w:val="yellow"/>
          <w:lang w:val="en-US"/>
        </w:rPr>
        <w:t>49.2% of households would not be able to buy a median priced home.</w:t>
      </w:r>
      <w:r w:rsidR="0009754A" w:rsidRPr="008722B6">
        <w:rPr>
          <w:rFonts w:eastAsia="Calibri"/>
          <w:sz w:val="22"/>
          <w:szCs w:val="22"/>
          <w:highlight w:val="yellow"/>
          <w:vertAlign w:val="superscript"/>
        </w:rPr>
        <w:footnoteReference w:id="13"/>
      </w:r>
    </w:p>
    <w:p w14:paraId="57C76DF4" w14:textId="032C4482" w:rsidR="008722B6" w:rsidRPr="00B236AB" w:rsidRDefault="008722B6" w:rsidP="0009754A">
      <w:pPr>
        <w:pStyle w:val="ListParagraph"/>
        <w:numPr>
          <w:ilvl w:val="0"/>
          <w:numId w:val="3"/>
        </w:numPr>
        <w:spacing w:after="160" w:line="259" w:lineRule="auto"/>
        <w:jc w:val="both"/>
        <w:rPr>
          <w:rFonts w:eastAsia="Calibri"/>
          <w:sz w:val="22"/>
          <w:szCs w:val="22"/>
          <w:highlight w:val="yellow"/>
        </w:rPr>
      </w:pPr>
      <w:r>
        <w:rPr>
          <w:rFonts w:eastAsia="Calibri"/>
          <w:sz w:val="22"/>
          <w:szCs w:val="22"/>
          <w:highlight w:val="yellow"/>
          <w:lang w:val="en-US"/>
        </w:rPr>
        <w:t xml:space="preserve">Updating some of the previous studies through </w:t>
      </w:r>
      <w:r w:rsidR="00341F87">
        <w:rPr>
          <w:rFonts w:eastAsia="Calibri"/>
          <w:sz w:val="22"/>
          <w:szCs w:val="22"/>
          <w:highlight w:val="yellow"/>
          <w:lang w:val="en-US"/>
        </w:rPr>
        <w:t>CAPMAS</w:t>
      </w:r>
      <w:r>
        <w:rPr>
          <w:rFonts w:eastAsia="Calibri"/>
          <w:sz w:val="22"/>
          <w:szCs w:val="22"/>
          <w:highlight w:val="yellow"/>
          <w:lang w:val="en-US"/>
        </w:rPr>
        <w:t xml:space="preserve"> income data</w:t>
      </w:r>
      <w:r w:rsidR="00341F87">
        <w:rPr>
          <w:rStyle w:val="FootnoteReference"/>
          <w:rFonts w:eastAsia="Calibri"/>
          <w:sz w:val="22"/>
          <w:szCs w:val="22"/>
          <w:highlight w:val="yellow"/>
          <w:lang w:val="en-US"/>
        </w:rPr>
        <w:footnoteReference w:id="14"/>
      </w:r>
      <w:r>
        <w:rPr>
          <w:rFonts w:eastAsia="Calibri"/>
          <w:sz w:val="22"/>
          <w:szCs w:val="22"/>
          <w:highlight w:val="yellow"/>
          <w:lang w:val="en-US"/>
        </w:rPr>
        <w:t xml:space="preserve"> and </w:t>
      </w:r>
      <w:r w:rsidR="00341F87">
        <w:rPr>
          <w:rFonts w:eastAsia="Calibri"/>
          <w:sz w:val="22"/>
          <w:szCs w:val="22"/>
          <w:highlight w:val="yellow"/>
          <w:lang w:val="en-US"/>
        </w:rPr>
        <w:t xml:space="preserve">the </w:t>
      </w:r>
      <w:proofErr w:type="spellStart"/>
      <w:r w:rsidR="00341F87">
        <w:rPr>
          <w:rFonts w:eastAsia="Calibri"/>
          <w:sz w:val="22"/>
          <w:szCs w:val="22"/>
          <w:highlight w:val="yellow"/>
          <w:lang w:val="en-US"/>
        </w:rPr>
        <w:t>Aqarmap</w:t>
      </w:r>
      <w:proofErr w:type="spellEnd"/>
      <w:r>
        <w:rPr>
          <w:rFonts w:eastAsia="Calibri"/>
          <w:sz w:val="22"/>
          <w:szCs w:val="22"/>
          <w:highlight w:val="yellow"/>
          <w:lang w:val="en-US"/>
        </w:rPr>
        <w:t xml:space="preserve"> </w:t>
      </w:r>
      <w:r w:rsidR="00341F87">
        <w:rPr>
          <w:rFonts w:eastAsia="Calibri"/>
          <w:sz w:val="22"/>
          <w:szCs w:val="22"/>
          <w:highlight w:val="yellow"/>
          <w:lang w:val="en-US"/>
        </w:rPr>
        <w:t xml:space="preserve">home buying </w:t>
      </w:r>
      <w:r>
        <w:rPr>
          <w:rFonts w:eastAsia="Calibri"/>
          <w:sz w:val="22"/>
          <w:szCs w:val="22"/>
          <w:highlight w:val="yellow"/>
          <w:lang w:val="en-US"/>
        </w:rPr>
        <w:t>search engine</w:t>
      </w:r>
      <w:r w:rsidR="00341F87">
        <w:rPr>
          <w:rFonts w:eastAsia="Calibri"/>
          <w:sz w:val="22"/>
          <w:szCs w:val="22"/>
          <w:highlight w:val="yellow"/>
          <w:lang w:val="en-US"/>
        </w:rPr>
        <w:t>,</w:t>
      </w:r>
      <w:r w:rsidR="00341F87">
        <w:rPr>
          <w:rStyle w:val="FootnoteReference"/>
          <w:rFonts w:eastAsia="Calibri"/>
          <w:sz w:val="22"/>
          <w:szCs w:val="22"/>
          <w:highlight w:val="yellow"/>
          <w:lang w:val="en-US"/>
        </w:rPr>
        <w:footnoteReference w:id="15"/>
      </w:r>
      <w:r w:rsidR="00341F87">
        <w:rPr>
          <w:rFonts w:eastAsia="Calibri"/>
          <w:sz w:val="22"/>
          <w:szCs w:val="22"/>
          <w:highlight w:val="yellow"/>
          <w:lang w:val="en-US"/>
        </w:rPr>
        <w:t xml:space="preserve"> </w:t>
      </w:r>
      <w:r>
        <w:rPr>
          <w:rFonts w:eastAsia="Calibri"/>
          <w:sz w:val="22"/>
          <w:szCs w:val="22"/>
          <w:highlight w:val="yellow"/>
          <w:lang w:val="en-US"/>
        </w:rPr>
        <w:t xml:space="preserve">shows that </w:t>
      </w:r>
      <w:r w:rsidR="0076141F">
        <w:rPr>
          <w:rFonts w:eastAsia="Calibri"/>
          <w:sz w:val="22"/>
          <w:szCs w:val="22"/>
          <w:highlight w:val="yellow"/>
          <w:lang w:val="en-US"/>
        </w:rPr>
        <w:t>the average HPI for Greater Cairo</w:t>
      </w:r>
      <w:r>
        <w:rPr>
          <w:rFonts w:eastAsia="Calibri"/>
          <w:sz w:val="22"/>
          <w:szCs w:val="22"/>
          <w:highlight w:val="yellow"/>
          <w:lang w:val="en-US"/>
        </w:rPr>
        <w:t xml:space="preserve"> between 2016 and 2019 (the last year that income data is available for), </w:t>
      </w:r>
      <w:r w:rsidR="0076141F">
        <w:rPr>
          <w:rFonts w:eastAsia="Calibri"/>
          <w:sz w:val="22"/>
          <w:szCs w:val="22"/>
          <w:highlight w:val="yellow"/>
          <w:lang w:val="en-US"/>
        </w:rPr>
        <w:t>increased from 6.3 to 7.7 (by 23%), and for the poorest households (10</w:t>
      </w:r>
      <w:r w:rsidR="0076141F" w:rsidRPr="0076141F">
        <w:rPr>
          <w:rFonts w:eastAsia="Calibri"/>
          <w:sz w:val="22"/>
          <w:szCs w:val="22"/>
          <w:highlight w:val="yellow"/>
          <w:vertAlign w:val="superscript"/>
          <w:lang w:val="en-US"/>
        </w:rPr>
        <w:t>th</w:t>
      </w:r>
      <w:r w:rsidR="0076141F">
        <w:rPr>
          <w:rFonts w:eastAsia="Calibri"/>
          <w:sz w:val="22"/>
          <w:szCs w:val="22"/>
          <w:highlight w:val="yellow"/>
          <w:lang w:val="en-US"/>
        </w:rPr>
        <w:t xml:space="preserve"> percentile) from 13.3 to 15.4 (by 16</w:t>
      </w:r>
      <w:r w:rsidR="0076141F" w:rsidRPr="00B236AB">
        <w:rPr>
          <w:rFonts w:eastAsia="Calibri"/>
          <w:sz w:val="22"/>
          <w:szCs w:val="22"/>
          <w:highlight w:val="yellow"/>
          <w:lang w:val="en-US"/>
        </w:rPr>
        <w:t>%) (</w:t>
      </w:r>
      <w:r w:rsidR="00BD629E" w:rsidRPr="00B236AB">
        <w:rPr>
          <w:rFonts w:eastAsia="Calibri"/>
          <w:sz w:val="22"/>
          <w:szCs w:val="22"/>
          <w:highlight w:val="yellow"/>
          <w:lang w:val="en-US"/>
        </w:rPr>
        <w:fldChar w:fldCharType="begin"/>
      </w:r>
      <w:r w:rsidR="00BD629E" w:rsidRPr="00B236AB">
        <w:rPr>
          <w:rFonts w:eastAsia="Calibri"/>
          <w:sz w:val="22"/>
          <w:szCs w:val="22"/>
          <w:highlight w:val="yellow"/>
          <w:lang w:val="en-US"/>
        </w:rPr>
        <w:instrText xml:space="preserve"> REF _Ref133506016 \h </w:instrText>
      </w:r>
      <w:r w:rsidR="00B236AB">
        <w:rPr>
          <w:rFonts w:eastAsia="Calibri"/>
          <w:sz w:val="22"/>
          <w:szCs w:val="22"/>
          <w:highlight w:val="yellow"/>
          <w:lang w:val="en-US"/>
        </w:rPr>
        <w:instrText xml:space="preserve"> \* MERGEFORMAT </w:instrText>
      </w:r>
      <w:r w:rsidR="00BD629E" w:rsidRPr="00B236AB">
        <w:rPr>
          <w:rFonts w:eastAsia="Calibri"/>
          <w:sz w:val="22"/>
          <w:szCs w:val="22"/>
          <w:highlight w:val="yellow"/>
          <w:lang w:val="en-US"/>
        </w:rPr>
      </w:r>
      <w:r w:rsidR="00BD629E" w:rsidRPr="00B236AB">
        <w:rPr>
          <w:rFonts w:eastAsia="Calibri"/>
          <w:sz w:val="22"/>
          <w:szCs w:val="22"/>
          <w:highlight w:val="yellow"/>
          <w:lang w:val="en-US"/>
        </w:rPr>
        <w:fldChar w:fldCharType="separate"/>
      </w:r>
      <w:r w:rsidR="00BD629E" w:rsidRPr="00B236AB">
        <w:rPr>
          <w:highlight w:val="yellow"/>
        </w:rPr>
        <w:t xml:space="preserve">Table </w:t>
      </w:r>
      <w:r w:rsidR="00BD629E" w:rsidRPr="00B236AB">
        <w:rPr>
          <w:noProof/>
          <w:highlight w:val="yellow"/>
        </w:rPr>
        <w:t>3</w:t>
      </w:r>
      <w:r w:rsidR="00BD629E" w:rsidRPr="00B236AB">
        <w:rPr>
          <w:rFonts w:eastAsia="Calibri"/>
          <w:sz w:val="22"/>
          <w:szCs w:val="22"/>
          <w:highlight w:val="yellow"/>
          <w:lang w:val="en-US"/>
        </w:rPr>
        <w:fldChar w:fldCharType="end"/>
      </w:r>
      <w:r w:rsidR="0076141F" w:rsidRPr="00B236AB">
        <w:rPr>
          <w:rFonts w:eastAsia="Calibri"/>
          <w:sz w:val="22"/>
          <w:szCs w:val="22"/>
          <w:highlight w:val="yellow"/>
          <w:lang w:val="en-US"/>
        </w:rPr>
        <w:t xml:space="preserve">). </w:t>
      </w:r>
      <w:r w:rsidR="00502D94">
        <w:rPr>
          <w:rFonts w:eastAsia="Calibri"/>
          <w:sz w:val="22"/>
          <w:szCs w:val="22"/>
          <w:highlight w:val="yellow"/>
          <w:lang w:val="en-US"/>
        </w:rPr>
        <w:t>Rising HPIs of course mean that affordability is shrinking at the same rates.</w:t>
      </w:r>
    </w:p>
    <w:p w14:paraId="157C7758" w14:textId="24F5D453" w:rsidR="00591B1B" w:rsidRPr="00B236AB" w:rsidRDefault="00591B1B" w:rsidP="00591B1B">
      <w:pPr>
        <w:pStyle w:val="Caption"/>
        <w:keepNext/>
        <w:rPr>
          <w:highlight w:val="yellow"/>
        </w:rPr>
      </w:pPr>
      <w:bookmarkStart w:id="4" w:name="_Ref133506016"/>
      <w:r w:rsidRPr="00B236AB">
        <w:rPr>
          <w:highlight w:val="yellow"/>
        </w:rPr>
        <w:t xml:space="preserve">Table </w:t>
      </w:r>
      <w:r w:rsidRPr="00B236AB">
        <w:rPr>
          <w:highlight w:val="yellow"/>
        </w:rPr>
        <w:fldChar w:fldCharType="begin"/>
      </w:r>
      <w:r w:rsidRPr="00B236AB">
        <w:rPr>
          <w:highlight w:val="yellow"/>
        </w:rPr>
        <w:instrText xml:space="preserve"> SEQ Table \* ARABIC </w:instrText>
      </w:r>
      <w:r w:rsidRPr="00B236AB">
        <w:rPr>
          <w:highlight w:val="yellow"/>
        </w:rPr>
        <w:fldChar w:fldCharType="separate"/>
      </w:r>
      <w:r w:rsidRPr="00B236AB">
        <w:rPr>
          <w:noProof/>
          <w:highlight w:val="yellow"/>
        </w:rPr>
        <w:t>3</w:t>
      </w:r>
      <w:r w:rsidRPr="00B236AB">
        <w:rPr>
          <w:highlight w:val="yellow"/>
        </w:rPr>
        <w:fldChar w:fldCharType="end"/>
      </w:r>
      <w:bookmarkEnd w:id="4"/>
      <w:r w:rsidRPr="00B236AB">
        <w:rPr>
          <w:highlight w:val="yellow"/>
          <w:lang w:val="en-US"/>
        </w:rPr>
        <w:t>: Egypt HPI development 2016-2019 (Sources see text)</w:t>
      </w:r>
    </w:p>
    <w:tbl>
      <w:tblPr>
        <w:tblW w:w="6288" w:type="dxa"/>
        <w:tblInd w:w="2204" w:type="dxa"/>
        <w:tblLook w:val="04A0" w:firstRow="1" w:lastRow="0" w:firstColumn="1" w:lastColumn="0" w:noHBand="0" w:noVBand="1"/>
      </w:tblPr>
      <w:tblGrid>
        <w:gridCol w:w="3340"/>
        <w:gridCol w:w="960"/>
        <w:gridCol w:w="960"/>
        <w:gridCol w:w="1028"/>
      </w:tblGrid>
      <w:tr w:rsidR="00591B1B" w:rsidRPr="00591B1B" w14:paraId="70D7A1C8" w14:textId="77777777" w:rsidTr="00591B1B">
        <w:trPr>
          <w:trHeight w:val="9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BA263" w14:textId="77777777" w:rsidR="00591B1B" w:rsidRPr="00591B1B" w:rsidRDefault="00591B1B" w:rsidP="00591B1B">
            <w:pPr>
              <w:rPr>
                <w:rFonts w:asciiTheme="minorBidi" w:hAnsiTheme="minorBidi" w:cstheme="minorBidi"/>
                <w:color w:val="000000"/>
                <w:highlight w:val="yellow"/>
                <w:lang w:val="en-US"/>
              </w:rPr>
            </w:pPr>
            <w:r w:rsidRPr="00591B1B">
              <w:rPr>
                <w:rFonts w:asciiTheme="minorBidi" w:hAnsiTheme="minorBidi" w:cstheme="minorBidi"/>
                <w:color w:val="000000"/>
                <w:highlight w:val="yellow"/>
                <w:lang w:val="en-US"/>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66191AB" w14:textId="77777777" w:rsidR="00591B1B" w:rsidRPr="00591B1B" w:rsidRDefault="00591B1B" w:rsidP="00591B1B">
            <w:pPr>
              <w:jc w:val="center"/>
              <w:rPr>
                <w:rFonts w:asciiTheme="minorBidi" w:hAnsiTheme="minorBidi" w:cstheme="minorBidi"/>
                <w:b/>
                <w:bCs/>
                <w:color w:val="000000"/>
                <w:highlight w:val="yellow"/>
                <w:lang w:val="en-US"/>
              </w:rPr>
            </w:pPr>
            <w:r w:rsidRPr="00591B1B">
              <w:rPr>
                <w:rFonts w:asciiTheme="minorBidi" w:hAnsiTheme="minorBidi" w:cstheme="minorBidi"/>
                <w:b/>
                <w:bCs/>
                <w:color w:val="000000"/>
                <w:highlight w:val="yellow"/>
                <w:lang w:val="en-US"/>
              </w:rPr>
              <w:t>12.2016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81E47EE" w14:textId="77777777" w:rsidR="00591B1B" w:rsidRPr="00591B1B" w:rsidRDefault="00591B1B" w:rsidP="00591B1B">
            <w:pPr>
              <w:jc w:val="center"/>
              <w:rPr>
                <w:rFonts w:asciiTheme="minorBidi" w:hAnsiTheme="minorBidi" w:cstheme="minorBidi"/>
                <w:b/>
                <w:bCs/>
                <w:color w:val="000000"/>
                <w:highlight w:val="yellow"/>
                <w:lang w:val="en-US"/>
              </w:rPr>
            </w:pPr>
            <w:r w:rsidRPr="00591B1B">
              <w:rPr>
                <w:rFonts w:asciiTheme="minorBidi" w:hAnsiTheme="minorBidi" w:cstheme="minorBidi"/>
                <w:b/>
                <w:bCs/>
                <w:color w:val="000000"/>
                <w:highlight w:val="yellow"/>
                <w:lang w:val="en-US"/>
              </w:rPr>
              <w:t>12.2019</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5CBA4436" w14:textId="77777777" w:rsidR="00591B1B" w:rsidRPr="00591B1B" w:rsidRDefault="00591B1B" w:rsidP="00591B1B">
            <w:pPr>
              <w:jc w:val="center"/>
              <w:rPr>
                <w:rFonts w:asciiTheme="minorBidi" w:hAnsiTheme="minorBidi" w:cstheme="minorBidi"/>
                <w:b/>
                <w:bCs/>
                <w:color w:val="000000"/>
                <w:highlight w:val="yellow"/>
                <w:lang w:val="en-US"/>
              </w:rPr>
            </w:pPr>
            <w:r w:rsidRPr="00591B1B">
              <w:rPr>
                <w:rFonts w:asciiTheme="minorBidi" w:hAnsiTheme="minorBidi" w:cstheme="minorBidi"/>
                <w:b/>
                <w:bCs/>
                <w:color w:val="000000"/>
                <w:highlight w:val="yellow"/>
                <w:lang w:val="en-US"/>
              </w:rPr>
              <w:t>Increase 2016--2019</w:t>
            </w:r>
          </w:p>
        </w:tc>
      </w:tr>
      <w:tr w:rsidR="00591B1B" w:rsidRPr="00591B1B" w14:paraId="04C1901D" w14:textId="77777777" w:rsidTr="00591B1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1B667184" w14:textId="77777777" w:rsidR="00591B1B" w:rsidRPr="00591B1B" w:rsidRDefault="00591B1B" w:rsidP="00591B1B">
            <w:pPr>
              <w:rPr>
                <w:rFonts w:asciiTheme="minorBidi" w:hAnsiTheme="minorBidi" w:cstheme="minorBidi"/>
                <w:b/>
                <w:bCs/>
                <w:color w:val="000000"/>
                <w:highlight w:val="yellow"/>
                <w:lang w:val="en-US"/>
              </w:rPr>
            </w:pPr>
            <w:r w:rsidRPr="00591B1B">
              <w:rPr>
                <w:rFonts w:asciiTheme="minorBidi" w:hAnsiTheme="minorBidi" w:cstheme="minorBidi"/>
                <w:b/>
                <w:bCs/>
                <w:color w:val="000000"/>
                <w:highlight w:val="yellow"/>
                <w:lang w:val="en-US"/>
              </w:rPr>
              <w:t>Greater Cairo 95m2 apt</w:t>
            </w:r>
          </w:p>
        </w:tc>
        <w:tc>
          <w:tcPr>
            <w:tcW w:w="960" w:type="dxa"/>
            <w:tcBorders>
              <w:top w:val="nil"/>
              <w:left w:val="nil"/>
              <w:bottom w:val="single" w:sz="4" w:space="0" w:color="auto"/>
              <w:right w:val="single" w:sz="4" w:space="0" w:color="auto"/>
            </w:tcBorders>
            <w:shd w:val="clear" w:color="auto" w:fill="auto"/>
            <w:noWrap/>
            <w:vAlign w:val="bottom"/>
            <w:hideMark/>
          </w:tcPr>
          <w:p w14:paraId="441D922B" w14:textId="77777777" w:rsidR="00591B1B" w:rsidRPr="00591B1B" w:rsidRDefault="00591B1B" w:rsidP="00591B1B">
            <w:pPr>
              <w:jc w:val="right"/>
              <w:rPr>
                <w:rFonts w:asciiTheme="minorBidi" w:hAnsiTheme="minorBidi" w:cstheme="minorBidi"/>
                <w:color w:val="000000"/>
                <w:highlight w:val="yellow"/>
                <w:lang w:val="en-US"/>
              </w:rPr>
            </w:pPr>
            <w:r w:rsidRPr="00591B1B">
              <w:rPr>
                <w:rFonts w:asciiTheme="minorBidi" w:hAnsiTheme="minorBidi" w:cstheme="minorBidi"/>
                <w:color w:val="000000"/>
                <w:highlight w:val="yellow"/>
                <w:lang w:val="en-US"/>
              </w:rPr>
              <w:t>372,875</w:t>
            </w:r>
          </w:p>
        </w:tc>
        <w:tc>
          <w:tcPr>
            <w:tcW w:w="960" w:type="dxa"/>
            <w:tcBorders>
              <w:top w:val="nil"/>
              <w:left w:val="nil"/>
              <w:bottom w:val="single" w:sz="4" w:space="0" w:color="auto"/>
              <w:right w:val="single" w:sz="4" w:space="0" w:color="auto"/>
            </w:tcBorders>
            <w:shd w:val="clear" w:color="auto" w:fill="auto"/>
            <w:noWrap/>
            <w:vAlign w:val="bottom"/>
            <w:hideMark/>
          </w:tcPr>
          <w:p w14:paraId="3D7D64D2" w14:textId="77777777" w:rsidR="00591B1B" w:rsidRPr="00591B1B" w:rsidRDefault="00591B1B" w:rsidP="00591B1B">
            <w:pPr>
              <w:jc w:val="right"/>
              <w:rPr>
                <w:rFonts w:asciiTheme="minorBidi" w:hAnsiTheme="minorBidi" w:cstheme="minorBidi"/>
                <w:color w:val="000000"/>
                <w:highlight w:val="yellow"/>
                <w:lang w:val="en-US"/>
              </w:rPr>
            </w:pPr>
            <w:r w:rsidRPr="00591B1B">
              <w:rPr>
                <w:rFonts w:asciiTheme="minorBidi" w:hAnsiTheme="minorBidi" w:cstheme="minorBidi"/>
                <w:color w:val="000000"/>
                <w:highlight w:val="yellow"/>
                <w:lang w:val="en-US"/>
              </w:rPr>
              <w:t>623,438</w:t>
            </w:r>
          </w:p>
        </w:tc>
        <w:tc>
          <w:tcPr>
            <w:tcW w:w="1028" w:type="dxa"/>
            <w:tcBorders>
              <w:top w:val="nil"/>
              <w:left w:val="nil"/>
              <w:bottom w:val="single" w:sz="4" w:space="0" w:color="auto"/>
              <w:right w:val="single" w:sz="4" w:space="0" w:color="auto"/>
            </w:tcBorders>
            <w:shd w:val="clear" w:color="auto" w:fill="auto"/>
            <w:noWrap/>
            <w:vAlign w:val="bottom"/>
            <w:hideMark/>
          </w:tcPr>
          <w:p w14:paraId="0E91A708" w14:textId="77777777" w:rsidR="00591B1B" w:rsidRPr="00591B1B" w:rsidRDefault="00591B1B" w:rsidP="00591B1B">
            <w:pPr>
              <w:jc w:val="right"/>
              <w:rPr>
                <w:rFonts w:asciiTheme="minorBidi" w:hAnsiTheme="minorBidi" w:cstheme="minorBidi"/>
                <w:color w:val="000000"/>
                <w:highlight w:val="yellow"/>
                <w:lang w:val="en-US"/>
              </w:rPr>
            </w:pPr>
            <w:r w:rsidRPr="00591B1B">
              <w:rPr>
                <w:rFonts w:asciiTheme="minorBidi" w:hAnsiTheme="minorBidi" w:cstheme="minorBidi"/>
                <w:color w:val="000000"/>
                <w:highlight w:val="yellow"/>
                <w:lang w:val="en-US"/>
              </w:rPr>
              <w:t>67%</w:t>
            </w:r>
          </w:p>
        </w:tc>
      </w:tr>
      <w:tr w:rsidR="00591B1B" w:rsidRPr="00591B1B" w14:paraId="4F251352" w14:textId="77777777" w:rsidTr="00591B1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10C2507A" w14:textId="77777777" w:rsidR="00591B1B" w:rsidRPr="00591B1B" w:rsidRDefault="00591B1B" w:rsidP="00591B1B">
            <w:pPr>
              <w:rPr>
                <w:rFonts w:asciiTheme="minorBidi" w:hAnsiTheme="minorBidi" w:cstheme="minorBidi"/>
                <w:b/>
                <w:bCs/>
                <w:color w:val="000000"/>
                <w:highlight w:val="yellow"/>
                <w:lang w:val="en-US"/>
              </w:rPr>
            </w:pPr>
            <w:r w:rsidRPr="00591B1B">
              <w:rPr>
                <w:rFonts w:asciiTheme="minorBidi" w:hAnsiTheme="minorBidi" w:cstheme="minorBidi"/>
                <w:b/>
                <w:bCs/>
                <w:color w:val="000000"/>
                <w:highlight w:val="yellow"/>
                <w:lang w:val="en-US"/>
              </w:rPr>
              <w:t>Income EGYPT URBAN</w:t>
            </w:r>
          </w:p>
        </w:tc>
        <w:tc>
          <w:tcPr>
            <w:tcW w:w="960" w:type="dxa"/>
            <w:tcBorders>
              <w:top w:val="nil"/>
              <w:left w:val="nil"/>
              <w:bottom w:val="single" w:sz="4" w:space="0" w:color="auto"/>
              <w:right w:val="single" w:sz="4" w:space="0" w:color="auto"/>
            </w:tcBorders>
            <w:shd w:val="clear" w:color="auto" w:fill="auto"/>
            <w:noWrap/>
            <w:vAlign w:val="bottom"/>
            <w:hideMark/>
          </w:tcPr>
          <w:p w14:paraId="099604AE" w14:textId="77777777" w:rsidR="00591B1B" w:rsidRPr="00591B1B" w:rsidRDefault="00591B1B" w:rsidP="00591B1B">
            <w:pPr>
              <w:jc w:val="right"/>
              <w:rPr>
                <w:rFonts w:asciiTheme="minorBidi" w:hAnsiTheme="minorBidi" w:cstheme="minorBidi"/>
                <w:color w:val="000000"/>
                <w:highlight w:val="yellow"/>
                <w:lang w:val="en-US"/>
              </w:rPr>
            </w:pPr>
            <w:r w:rsidRPr="00591B1B">
              <w:rPr>
                <w:rFonts w:asciiTheme="minorBidi" w:hAnsiTheme="minorBidi" w:cstheme="minorBidi"/>
                <w:color w:val="000000"/>
                <w:highlight w:val="yellow"/>
                <w:lang w:val="en-US"/>
              </w:rPr>
              <w:t>59,440</w:t>
            </w:r>
          </w:p>
        </w:tc>
        <w:tc>
          <w:tcPr>
            <w:tcW w:w="960" w:type="dxa"/>
            <w:tcBorders>
              <w:top w:val="nil"/>
              <w:left w:val="nil"/>
              <w:bottom w:val="single" w:sz="4" w:space="0" w:color="auto"/>
              <w:right w:val="single" w:sz="4" w:space="0" w:color="auto"/>
            </w:tcBorders>
            <w:shd w:val="clear" w:color="auto" w:fill="auto"/>
            <w:noWrap/>
            <w:vAlign w:val="bottom"/>
            <w:hideMark/>
          </w:tcPr>
          <w:p w14:paraId="5B3E4F11" w14:textId="77777777" w:rsidR="00591B1B" w:rsidRPr="00591B1B" w:rsidRDefault="00591B1B" w:rsidP="00591B1B">
            <w:pPr>
              <w:jc w:val="right"/>
              <w:rPr>
                <w:rFonts w:asciiTheme="minorBidi" w:hAnsiTheme="minorBidi" w:cstheme="minorBidi"/>
                <w:color w:val="000000"/>
                <w:highlight w:val="yellow"/>
                <w:lang w:val="en-US"/>
              </w:rPr>
            </w:pPr>
            <w:r w:rsidRPr="00591B1B">
              <w:rPr>
                <w:rFonts w:asciiTheme="minorBidi" w:hAnsiTheme="minorBidi" w:cstheme="minorBidi"/>
                <w:color w:val="000000"/>
                <w:highlight w:val="yellow"/>
                <w:lang w:val="en-US"/>
              </w:rPr>
              <w:t>80,932</w:t>
            </w:r>
          </w:p>
        </w:tc>
        <w:tc>
          <w:tcPr>
            <w:tcW w:w="1028" w:type="dxa"/>
            <w:tcBorders>
              <w:top w:val="nil"/>
              <w:left w:val="nil"/>
              <w:bottom w:val="single" w:sz="4" w:space="0" w:color="auto"/>
              <w:right w:val="single" w:sz="4" w:space="0" w:color="auto"/>
            </w:tcBorders>
            <w:shd w:val="clear" w:color="auto" w:fill="auto"/>
            <w:noWrap/>
            <w:vAlign w:val="bottom"/>
            <w:hideMark/>
          </w:tcPr>
          <w:p w14:paraId="006C2070" w14:textId="77777777" w:rsidR="00591B1B" w:rsidRPr="00591B1B" w:rsidRDefault="00591B1B" w:rsidP="00591B1B">
            <w:pPr>
              <w:jc w:val="right"/>
              <w:rPr>
                <w:rFonts w:asciiTheme="minorBidi" w:hAnsiTheme="minorBidi" w:cstheme="minorBidi"/>
                <w:color w:val="000000"/>
                <w:highlight w:val="yellow"/>
                <w:lang w:val="en-US"/>
              </w:rPr>
            </w:pPr>
            <w:r w:rsidRPr="00591B1B">
              <w:rPr>
                <w:rFonts w:asciiTheme="minorBidi" w:hAnsiTheme="minorBidi" w:cstheme="minorBidi"/>
                <w:color w:val="000000"/>
                <w:highlight w:val="yellow"/>
                <w:lang w:val="en-US"/>
              </w:rPr>
              <w:t>36%</w:t>
            </w:r>
          </w:p>
        </w:tc>
      </w:tr>
      <w:tr w:rsidR="00591B1B" w:rsidRPr="00591B1B" w14:paraId="4B6AF7F3" w14:textId="77777777" w:rsidTr="00591B1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C631831" w14:textId="77777777" w:rsidR="00591B1B" w:rsidRPr="00591B1B" w:rsidRDefault="00591B1B" w:rsidP="00591B1B">
            <w:pPr>
              <w:rPr>
                <w:rFonts w:asciiTheme="minorBidi" w:hAnsiTheme="minorBidi" w:cstheme="minorBidi"/>
                <w:b/>
                <w:bCs/>
                <w:color w:val="000000"/>
                <w:highlight w:val="yellow"/>
                <w:lang w:val="en-US"/>
              </w:rPr>
            </w:pPr>
            <w:r w:rsidRPr="00591B1B">
              <w:rPr>
                <w:rFonts w:asciiTheme="minorBidi" w:hAnsiTheme="minorBidi" w:cstheme="minorBidi"/>
                <w:b/>
                <w:bCs/>
                <w:color w:val="000000"/>
                <w:highlight w:val="yellow"/>
                <w:lang w:val="en-US"/>
              </w:rPr>
              <w:t>Income 10th PERCENTILE</w:t>
            </w:r>
          </w:p>
        </w:tc>
        <w:tc>
          <w:tcPr>
            <w:tcW w:w="960" w:type="dxa"/>
            <w:tcBorders>
              <w:top w:val="nil"/>
              <w:left w:val="nil"/>
              <w:bottom w:val="single" w:sz="4" w:space="0" w:color="auto"/>
              <w:right w:val="single" w:sz="4" w:space="0" w:color="auto"/>
            </w:tcBorders>
            <w:shd w:val="clear" w:color="auto" w:fill="auto"/>
            <w:noWrap/>
            <w:vAlign w:val="bottom"/>
            <w:hideMark/>
          </w:tcPr>
          <w:p w14:paraId="60A3E837" w14:textId="77777777" w:rsidR="00591B1B" w:rsidRPr="00591B1B" w:rsidRDefault="00591B1B" w:rsidP="00591B1B">
            <w:pPr>
              <w:jc w:val="right"/>
              <w:rPr>
                <w:rFonts w:asciiTheme="minorBidi" w:hAnsiTheme="minorBidi" w:cstheme="minorBidi"/>
                <w:color w:val="000000"/>
                <w:highlight w:val="yellow"/>
                <w:lang w:val="en-US"/>
              </w:rPr>
            </w:pPr>
            <w:r w:rsidRPr="00591B1B">
              <w:rPr>
                <w:rFonts w:asciiTheme="minorBidi" w:hAnsiTheme="minorBidi" w:cstheme="minorBidi"/>
                <w:color w:val="000000"/>
                <w:highlight w:val="yellow"/>
                <w:lang w:val="en-US"/>
              </w:rPr>
              <w:t>28,100</w:t>
            </w:r>
          </w:p>
        </w:tc>
        <w:tc>
          <w:tcPr>
            <w:tcW w:w="960" w:type="dxa"/>
            <w:tcBorders>
              <w:top w:val="nil"/>
              <w:left w:val="nil"/>
              <w:bottom w:val="single" w:sz="4" w:space="0" w:color="auto"/>
              <w:right w:val="single" w:sz="4" w:space="0" w:color="auto"/>
            </w:tcBorders>
            <w:shd w:val="clear" w:color="auto" w:fill="auto"/>
            <w:noWrap/>
            <w:vAlign w:val="bottom"/>
            <w:hideMark/>
          </w:tcPr>
          <w:p w14:paraId="0B106CB6" w14:textId="77777777" w:rsidR="00591B1B" w:rsidRPr="00591B1B" w:rsidRDefault="00591B1B" w:rsidP="00591B1B">
            <w:pPr>
              <w:jc w:val="right"/>
              <w:rPr>
                <w:rFonts w:asciiTheme="minorBidi" w:hAnsiTheme="minorBidi" w:cstheme="minorBidi"/>
                <w:color w:val="000000"/>
                <w:highlight w:val="yellow"/>
                <w:lang w:val="en-US"/>
              </w:rPr>
            </w:pPr>
            <w:r w:rsidRPr="00591B1B">
              <w:rPr>
                <w:rFonts w:asciiTheme="minorBidi" w:hAnsiTheme="minorBidi" w:cstheme="minorBidi"/>
                <w:color w:val="000000"/>
                <w:highlight w:val="yellow"/>
                <w:lang w:val="en-US"/>
              </w:rPr>
              <w:t>40,400</w:t>
            </w:r>
          </w:p>
        </w:tc>
        <w:tc>
          <w:tcPr>
            <w:tcW w:w="1028" w:type="dxa"/>
            <w:tcBorders>
              <w:top w:val="nil"/>
              <w:left w:val="nil"/>
              <w:bottom w:val="single" w:sz="4" w:space="0" w:color="auto"/>
              <w:right w:val="single" w:sz="4" w:space="0" w:color="auto"/>
            </w:tcBorders>
            <w:shd w:val="clear" w:color="auto" w:fill="auto"/>
            <w:noWrap/>
            <w:vAlign w:val="bottom"/>
            <w:hideMark/>
          </w:tcPr>
          <w:p w14:paraId="102736B8" w14:textId="77777777" w:rsidR="00591B1B" w:rsidRPr="00591B1B" w:rsidRDefault="00591B1B" w:rsidP="00591B1B">
            <w:pPr>
              <w:jc w:val="right"/>
              <w:rPr>
                <w:rFonts w:asciiTheme="minorBidi" w:hAnsiTheme="minorBidi" w:cstheme="minorBidi"/>
                <w:color w:val="000000"/>
                <w:highlight w:val="yellow"/>
                <w:lang w:val="en-US"/>
              </w:rPr>
            </w:pPr>
            <w:r w:rsidRPr="00591B1B">
              <w:rPr>
                <w:rFonts w:asciiTheme="minorBidi" w:hAnsiTheme="minorBidi" w:cstheme="minorBidi"/>
                <w:color w:val="000000"/>
                <w:highlight w:val="yellow"/>
                <w:lang w:val="en-US"/>
              </w:rPr>
              <w:t>44%</w:t>
            </w:r>
          </w:p>
        </w:tc>
      </w:tr>
      <w:tr w:rsidR="00591B1B" w:rsidRPr="00591B1B" w14:paraId="49620668" w14:textId="77777777" w:rsidTr="00591B1B">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1B70D93" w14:textId="77777777" w:rsidR="00591B1B" w:rsidRPr="00591B1B" w:rsidRDefault="00591B1B" w:rsidP="00591B1B">
            <w:pPr>
              <w:rPr>
                <w:rFonts w:asciiTheme="minorBidi" w:hAnsiTheme="minorBidi" w:cstheme="minorBidi"/>
                <w:b/>
                <w:bCs/>
                <w:color w:val="000000"/>
                <w:highlight w:val="yellow"/>
                <w:lang w:val="en-US"/>
              </w:rPr>
            </w:pPr>
            <w:r w:rsidRPr="00591B1B">
              <w:rPr>
                <w:rFonts w:asciiTheme="minorBidi" w:hAnsiTheme="minorBidi" w:cstheme="minorBidi"/>
                <w:b/>
                <w:bCs/>
                <w:color w:val="000000"/>
                <w:highlight w:val="yellow"/>
                <w:lang w:val="en-US"/>
              </w:rPr>
              <w:t>Egypt URBAN HPI</w:t>
            </w:r>
          </w:p>
        </w:tc>
        <w:tc>
          <w:tcPr>
            <w:tcW w:w="960" w:type="dxa"/>
            <w:tcBorders>
              <w:top w:val="nil"/>
              <w:left w:val="nil"/>
              <w:bottom w:val="single" w:sz="4" w:space="0" w:color="auto"/>
              <w:right w:val="single" w:sz="4" w:space="0" w:color="auto"/>
            </w:tcBorders>
            <w:shd w:val="clear" w:color="auto" w:fill="auto"/>
            <w:noWrap/>
            <w:vAlign w:val="bottom"/>
            <w:hideMark/>
          </w:tcPr>
          <w:p w14:paraId="4690BA9C" w14:textId="77777777" w:rsidR="00591B1B" w:rsidRPr="00591B1B" w:rsidRDefault="00591B1B" w:rsidP="00591B1B">
            <w:pPr>
              <w:jc w:val="right"/>
              <w:rPr>
                <w:rFonts w:asciiTheme="minorBidi" w:hAnsiTheme="minorBidi" w:cstheme="minorBidi"/>
                <w:b/>
                <w:bCs/>
                <w:color w:val="000000"/>
                <w:highlight w:val="yellow"/>
                <w:lang w:val="en-US"/>
              </w:rPr>
            </w:pPr>
            <w:r w:rsidRPr="00591B1B">
              <w:rPr>
                <w:rFonts w:asciiTheme="minorBidi" w:hAnsiTheme="minorBidi" w:cstheme="minorBidi"/>
                <w:b/>
                <w:bCs/>
                <w:color w:val="000000"/>
                <w:highlight w:val="yellow"/>
                <w:lang w:val="en-US"/>
              </w:rPr>
              <w:t>6.3</w:t>
            </w:r>
          </w:p>
        </w:tc>
        <w:tc>
          <w:tcPr>
            <w:tcW w:w="960" w:type="dxa"/>
            <w:tcBorders>
              <w:top w:val="nil"/>
              <w:left w:val="nil"/>
              <w:bottom w:val="single" w:sz="4" w:space="0" w:color="auto"/>
              <w:right w:val="single" w:sz="4" w:space="0" w:color="auto"/>
            </w:tcBorders>
            <w:shd w:val="clear" w:color="auto" w:fill="auto"/>
            <w:noWrap/>
            <w:vAlign w:val="bottom"/>
            <w:hideMark/>
          </w:tcPr>
          <w:p w14:paraId="3953D654" w14:textId="77777777" w:rsidR="00591B1B" w:rsidRPr="00591B1B" w:rsidRDefault="00591B1B" w:rsidP="00591B1B">
            <w:pPr>
              <w:jc w:val="right"/>
              <w:rPr>
                <w:rFonts w:asciiTheme="minorBidi" w:hAnsiTheme="minorBidi" w:cstheme="minorBidi"/>
                <w:b/>
                <w:bCs/>
                <w:color w:val="000000"/>
                <w:highlight w:val="yellow"/>
                <w:lang w:val="en-US"/>
              </w:rPr>
            </w:pPr>
            <w:r w:rsidRPr="00591B1B">
              <w:rPr>
                <w:rFonts w:asciiTheme="minorBidi" w:hAnsiTheme="minorBidi" w:cstheme="minorBidi"/>
                <w:b/>
                <w:bCs/>
                <w:color w:val="000000"/>
                <w:highlight w:val="yellow"/>
                <w:lang w:val="en-US"/>
              </w:rPr>
              <w:t>7.7</w:t>
            </w:r>
          </w:p>
        </w:tc>
        <w:tc>
          <w:tcPr>
            <w:tcW w:w="1028" w:type="dxa"/>
            <w:tcBorders>
              <w:top w:val="nil"/>
              <w:left w:val="nil"/>
              <w:bottom w:val="single" w:sz="4" w:space="0" w:color="auto"/>
              <w:right w:val="single" w:sz="4" w:space="0" w:color="auto"/>
            </w:tcBorders>
            <w:shd w:val="clear" w:color="auto" w:fill="auto"/>
            <w:noWrap/>
            <w:vAlign w:val="bottom"/>
            <w:hideMark/>
          </w:tcPr>
          <w:p w14:paraId="60521E51" w14:textId="77777777" w:rsidR="00591B1B" w:rsidRPr="00591B1B" w:rsidRDefault="00591B1B" w:rsidP="00591B1B">
            <w:pPr>
              <w:jc w:val="right"/>
              <w:rPr>
                <w:rFonts w:asciiTheme="minorBidi" w:hAnsiTheme="minorBidi" w:cstheme="minorBidi"/>
                <w:b/>
                <w:bCs/>
                <w:color w:val="000000"/>
                <w:highlight w:val="yellow"/>
                <w:lang w:val="en-US"/>
              </w:rPr>
            </w:pPr>
            <w:r w:rsidRPr="00591B1B">
              <w:rPr>
                <w:rFonts w:asciiTheme="minorBidi" w:hAnsiTheme="minorBidi" w:cstheme="minorBidi"/>
                <w:b/>
                <w:bCs/>
                <w:color w:val="000000"/>
                <w:highlight w:val="yellow"/>
                <w:lang w:val="en-US"/>
              </w:rPr>
              <w:t>23%</w:t>
            </w:r>
          </w:p>
        </w:tc>
      </w:tr>
      <w:tr w:rsidR="00591B1B" w:rsidRPr="00591B1B" w14:paraId="0F71DE15" w14:textId="77777777" w:rsidTr="000700F7">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09C9CB8" w14:textId="77777777" w:rsidR="00591B1B" w:rsidRPr="00591B1B" w:rsidRDefault="00591B1B" w:rsidP="00591B1B">
            <w:pPr>
              <w:rPr>
                <w:rFonts w:asciiTheme="minorBidi" w:hAnsiTheme="minorBidi" w:cstheme="minorBidi"/>
                <w:b/>
                <w:bCs/>
                <w:color w:val="000000"/>
                <w:highlight w:val="yellow"/>
                <w:lang w:val="en-US"/>
              </w:rPr>
            </w:pPr>
            <w:r w:rsidRPr="00591B1B">
              <w:rPr>
                <w:rFonts w:asciiTheme="minorBidi" w:hAnsiTheme="minorBidi" w:cstheme="minorBidi"/>
                <w:b/>
                <w:bCs/>
                <w:color w:val="000000"/>
                <w:highlight w:val="yellow"/>
                <w:lang w:val="en-US"/>
              </w:rPr>
              <w:t>10th PERCENTILE HPI</w:t>
            </w:r>
          </w:p>
        </w:tc>
        <w:tc>
          <w:tcPr>
            <w:tcW w:w="960" w:type="dxa"/>
            <w:tcBorders>
              <w:top w:val="nil"/>
              <w:left w:val="nil"/>
              <w:bottom w:val="single" w:sz="4" w:space="0" w:color="auto"/>
              <w:right w:val="single" w:sz="4" w:space="0" w:color="auto"/>
            </w:tcBorders>
            <w:shd w:val="clear" w:color="auto" w:fill="auto"/>
            <w:noWrap/>
            <w:vAlign w:val="bottom"/>
            <w:hideMark/>
          </w:tcPr>
          <w:p w14:paraId="23352FFD" w14:textId="77777777" w:rsidR="00591B1B" w:rsidRPr="00591B1B" w:rsidRDefault="00591B1B" w:rsidP="00591B1B">
            <w:pPr>
              <w:jc w:val="right"/>
              <w:rPr>
                <w:rFonts w:asciiTheme="minorBidi" w:hAnsiTheme="minorBidi" w:cstheme="minorBidi"/>
                <w:b/>
                <w:bCs/>
                <w:color w:val="000000"/>
                <w:highlight w:val="yellow"/>
                <w:lang w:val="en-US"/>
              </w:rPr>
            </w:pPr>
            <w:r w:rsidRPr="00591B1B">
              <w:rPr>
                <w:rFonts w:asciiTheme="minorBidi" w:hAnsiTheme="minorBidi" w:cstheme="minorBidi"/>
                <w:b/>
                <w:bCs/>
                <w:color w:val="000000"/>
                <w:highlight w:val="yellow"/>
                <w:lang w:val="en-US"/>
              </w:rPr>
              <w:t>13.3</w:t>
            </w:r>
          </w:p>
        </w:tc>
        <w:tc>
          <w:tcPr>
            <w:tcW w:w="960" w:type="dxa"/>
            <w:tcBorders>
              <w:top w:val="nil"/>
              <w:left w:val="nil"/>
              <w:bottom w:val="single" w:sz="4" w:space="0" w:color="auto"/>
              <w:right w:val="single" w:sz="4" w:space="0" w:color="auto"/>
            </w:tcBorders>
            <w:shd w:val="clear" w:color="auto" w:fill="auto"/>
            <w:noWrap/>
            <w:vAlign w:val="bottom"/>
            <w:hideMark/>
          </w:tcPr>
          <w:p w14:paraId="4A7EBB07" w14:textId="77777777" w:rsidR="00591B1B" w:rsidRPr="00591B1B" w:rsidRDefault="00591B1B" w:rsidP="00591B1B">
            <w:pPr>
              <w:jc w:val="right"/>
              <w:rPr>
                <w:rFonts w:asciiTheme="minorBidi" w:hAnsiTheme="minorBidi" w:cstheme="minorBidi"/>
                <w:b/>
                <w:bCs/>
                <w:color w:val="000000"/>
                <w:highlight w:val="yellow"/>
                <w:lang w:val="en-US"/>
              </w:rPr>
            </w:pPr>
            <w:r w:rsidRPr="00591B1B">
              <w:rPr>
                <w:rFonts w:asciiTheme="minorBidi" w:hAnsiTheme="minorBidi" w:cstheme="minorBidi"/>
                <w:b/>
                <w:bCs/>
                <w:color w:val="000000"/>
                <w:highlight w:val="yellow"/>
                <w:lang w:val="en-US"/>
              </w:rPr>
              <w:t>15.4</w:t>
            </w:r>
          </w:p>
        </w:tc>
        <w:tc>
          <w:tcPr>
            <w:tcW w:w="1028" w:type="dxa"/>
            <w:tcBorders>
              <w:top w:val="nil"/>
              <w:left w:val="nil"/>
              <w:bottom w:val="single" w:sz="4" w:space="0" w:color="auto"/>
              <w:right w:val="single" w:sz="4" w:space="0" w:color="auto"/>
            </w:tcBorders>
            <w:shd w:val="clear" w:color="auto" w:fill="auto"/>
            <w:noWrap/>
            <w:vAlign w:val="bottom"/>
            <w:hideMark/>
          </w:tcPr>
          <w:p w14:paraId="7AD9C545" w14:textId="77777777" w:rsidR="00591B1B" w:rsidRPr="00591B1B" w:rsidRDefault="00591B1B" w:rsidP="00591B1B">
            <w:pPr>
              <w:jc w:val="right"/>
              <w:rPr>
                <w:rFonts w:asciiTheme="minorBidi" w:hAnsiTheme="minorBidi" w:cstheme="minorBidi"/>
                <w:b/>
                <w:bCs/>
                <w:color w:val="000000"/>
                <w:highlight w:val="yellow"/>
                <w:lang w:val="en-US"/>
              </w:rPr>
            </w:pPr>
            <w:r w:rsidRPr="00591B1B">
              <w:rPr>
                <w:rFonts w:asciiTheme="minorBidi" w:hAnsiTheme="minorBidi" w:cstheme="minorBidi"/>
                <w:b/>
                <w:bCs/>
                <w:color w:val="000000"/>
                <w:highlight w:val="yellow"/>
                <w:lang w:val="en-US"/>
              </w:rPr>
              <w:t>16%</w:t>
            </w:r>
          </w:p>
        </w:tc>
      </w:tr>
      <w:tr w:rsidR="000700F7" w:rsidRPr="00591B1B" w14:paraId="42446461" w14:textId="77777777" w:rsidTr="000700F7">
        <w:trPr>
          <w:trHeight w:val="300"/>
        </w:trPr>
        <w:tc>
          <w:tcPr>
            <w:tcW w:w="62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83E8A16" w14:textId="40BCA8A8" w:rsidR="000700F7" w:rsidRPr="000700F7" w:rsidRDefault="000700F7" w:rsidP="000700F7">
            <w:pPr>
              <w:rPr>
                <w:rFonts w:asciiTheme="minorBidi" w:hAnsiTheme="minorBidi" w:cstheme="minorBidi"/>
                <w:color w:val="000000"/>
                <w:lang w:val="en-US"/>
              </w:rPr>
            </w:pPr>
            <w:r w:rsidRPr="00B236AB">
              <w:rPr>
                <w:rFonts w:asciiTheme="minorBidi" w:hAnsiTheme="minorBidi" w:cstheme="minorBidi"/>
                <w:color w:val="000000"/>
                <w:highlight w:val="yellow"/>
                <w:lang w:val="en-US"/>
              </w:rPr>
              <w:t>*2016 incomes are averages between 2015 and 2017/2018 data.</w:t>
            </w:r>
          </w:p>
        </w:tc>
      </w:tr>
    </w:tbl>
    <w:p w14:paraId="53024AD7" w14:textId="77777777" w:rsidR="0076141F" w:rsidRPr="0076141F" w:rsidRDefault="0076141F" w:rsidP="0076141F">
      <w:pPr>
        <w:spacing w:after="160" w:line="259" w:lineRule="auto"/>
        <w:jc w:val="both"/>
        <w:rPr>
          <w:rFonts w:eastAsia="Calibri"/>
          <w:sz w:val="22"/>
          <w:szCs w:val="22"/>
          <w:highlight w:val="yellow"/>
        </w:rPr>
      </w:pPr>
    </w:p>
    <w:p w14:paraId="04322D69" w14:textId="77777777"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Please describe which households</w:t>
      </w:r>
      <w:r>
        <w:rPr>
          <w:rFonts w:eastAsia="Calibri"/>
          <w:sz w:val="22"/>
          <w:szCs w:val="22"/>
        </w:rPr>
        <w:t>,</w:t>
      </w:r>
      <w:r w:rsidRPr="00737659">
        <w:rPr>
          <w:rFonts w:eastAsia="Calibri"/>
          <w:sz w:val="22"/>
          <w:szCs w:val="22"/>
        </w:rPr>
        <w:t xml:space="preserve"> persons </w:t>
      </w:r>
      <w:r>
        <w:rPr>
          <w:rFonts w:eastAsia="Calibri"/>
          <w:sz w:val="22"/>
          <w:szCs w:val="22"/>
        </w:rPr>
        <w:t xml:space="preserve">or groups </w:t>
      </w:r>
      <w:r w:rsidRPr="00737659">
        <w:rPr>
          <w:rFonts w:eastAsia="Calibri"/>
          <w:sz w:val="22"/>
          <w:szCs w:val="22"/>
        </w:rPr>
        <w:t>are at particular risk of being exposed to housing affordability in your country, region or city.</w:t>
      </w:r>
    </w:p>
    <w:p w14:paraId="1404CA29" w14:textId="77777777" w:rsidR="00A83B64" w:rsidRPr="00737659" w:rsidRDefault="00A83B64" w:rsidP="00A83B64">
      <w:pPr>
        <w:spacing w:after="160" w:line="259" w:lineRule="auto"/>
        <w:ind w:left="720"/>
        <w:contextualSpacing/>
        <w:jc w:val="both"/>
        <w:rPr>
          <w:rFonts w:eastAsia="Calibri"/>
          <w:sz w:val="22"/>
          <w:szCs w:val="22"/>
        </w:rPr>
      </w:pPr>
    </w:p>
    <w:p w14:paraId="16CC3AC9" w14:textId="77777777" w:rsidR="00A83B64" w:rsidRDefault="00A83B64" w:rsidP="00A83B64">
      <w:pPr>
        <w:spacing w:after="160" w:line="259" w:lineRule="auto"/>
        <w:ind w:left="720"/>
        <w:contextualSpacing/>
        <w:jc w:val="both"/>
        <w:rPr>
          <w:rFonts w:eastAsia="Calibri"/>
          <w:sz w:val="22"/>
          <w:szCs w:val="22"/>
        </w:rPr>
      </w:pPr>
      <w:r w:rsidRPr="00737659">
        <w:rPr>
          <w:rFonts w:eastAsia="Calibri"/>
          <w:sz w:val="22"/>
          <w:szCs w:val="22"/>
        </w:rPr>
        <w:t>(Please provide data on housing affordability disaggregated on the basis of household size, form of tenure (living in self-owned housing, rental, other), type and quality of housing (e.g. living in formal or informal housing); location (region, urban, rural), type of household (with or without children, single parent households), income, employment status, gender, disability, age, nationality, ethnicity, religious affiliation or immigration status.)</w:t>
      </w:r>
    </w:p>
    <w:p w14:paraId="74781BAE" w14:textId="77777777" w:rsidR="00044CFC" w:rsidRDefault="00044CFC" w:rsidP="00A83B64">
      <w:pPr>
        <w:spacing w:after="160" w:line="259" w:lineRule="auto"/>
        <w:ind w:left="720"/>
        <w:contextualSpacing/>
        <w:jc w:val="both"/>
        <w:rPr>
          <w:rFonts w:eastAsia="Calibri"/>
          <w:sz w:val="22"/>
          <w:szCs w:val="22"/>
        </w:rPr>
      </w:pPr>
    </w:p>
    <w:p w14:paraId="0499D982" w14:textId="4A72BD20" w:rsidR="00044CFC" w:rsidRPr="00737659" w:rsidRDefault="00044CFC" w:rsidP="00A83B64">
      <w:pPr>
        <w:spacing w:after="160" w:line="259" w:lineRule="auto"/>
        <w:ind w:left="720"/>
        <w:contextualSpacing/>
        <w:jc w:val="both"/>
        <w:rPr>
          <w:rFonts w:eastAsia="Calibri"/>
          <w:sz w:val="22"/>
          <w:szCs w:val="22"/>
        </w:rPr>
      </w:pPr>
      <w:r w:rsidRPr="00044CFC">
        <w:rPr>
          <w:rFonts w:eastAsia="Calibri"/>
          <w:sz w:val="22"/>
          <w:szCs w:val="22"/>
          <w:highlight w:val="yellow"/>
        </w:rPr>
        <w:t>This data is not available.</w:t>
      </w:r>
    </w:p>
    <w:p w14:paraId="33F7EF79" w14:textId="77777777" w:rsidR="00A83B64" w:rsidRPr="00737659" w:rsidRDefault="00A83B64" w:rsidP="00A83B64">
      <w:pPr>
        <w:spacing w:after="160" w:line="259" w:lineRule="auto"/>
        <w:ind w:left="720"/>
        <w:jc w:val="both"/>
        <w:rPr>
          <w:rFonts w:eastAsia="Calibri"/>
          <w:sz w:val="22"/>
          <w:szCs w:val="22"/>
        </w:rPr>
      </w:pPr>
    </w:p>
    <w:p w14:paraId="3AA2488B" w14:textId="77777777" w:rsidR="00044CFC"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May certain specific groups or persons, such as persons experiencing homelessness, living in informal settlements, students, asylum seekers or refugees, potentially be left out in data collection in relation to housing affordability?</w:t>
      </w:r>
    </w:p>
    <w:p w14:paraId="04C289AE" w14:textId="77777777" w:rsidR="00044CFC" w:rsidRDefault="00044CFC" w:rsidP="00044CFC">
      <w:pPr>
        <w:spacing w:after="160" w:line="259" w:lineRule="auto"/>
        <w:contextualSpacing/>
        <w:jc w:val="both"/>
        <w:rPr>
          <w:rFonts w:eastAsia="Calibri"/>
          <w:sz w:val="22"/>
          <w:szCs w:val="22"/>
        </w:rPr>
      </w:pPr>
    </w:p>
    <w:p w14:paraId="3A5B862E" w14:textId="24AD83FA" w:rsidR="00F63454" w:rsidRPr="001173BB" w:rsidRDefault="00F63454" w:rsidP="00044CFC">
      <w:pPr>
        <w:spacing w:after="160" w:line="259" w:lineRule="auto"/>
        <w:ind w:left="720"/>
        <w:contextualSpacing/>
        <w:jc w:val="both"/>
        <w:rPr>
          <w:rFonts w:eastAsia="Calibri"/>
          <w:sz w:val="22"/>
          <w:szCs w:val="22"/>
          <w:highlight w:val="yellow"/>
        </w:rPr>
      </w:pPr>
      <w:r w:rsidRPr="001173BB">
        <w:rPr>
          <w:rFonts w:eastAsia="Calibri"/>
          <w:sz w:val="22"/>
          <w:szCs w:val="22"/>
          <w:highlight w:val="yellow"/>
        </w:rPr>
        <w:t>While not explicitly expressed, CAPMAS data (such as the income and demand surveys) are usually limited to citizens, and does not include immigrants or refugees, which ma</w:t>
      </w:r>
      <w:r w:rsidR="002D5F2D">
        <w:rPr>
          <w:rFonts w:eastAsia="Calibri"/>
          <w:sz w:val="22"/>
          <w:szCs w:val="22"/>
          <w:highlight w:val="yellow"/>
        </w:rPr>
        <w:t>de</w:t>
      </w:r>
      <w:r w:rsidRPr="001173BB">
        <w:rPr>
          <w:rFonts w:eastAsia="Calibri"/>
          <w:sz w:val="22"/>
          <w:szCs w:val="22"/>
          <w:highlight w:val="yellow"/>
        </w:rPr>
        <w:t xml:space="preserve"> up roughly </w:t>
      </w:r>
      <w:r w:rsidR="002D5F2D">
        <w:rPr>
          <w:rFonts w:eastAsia="Calibri"/>
          <w:sz w:val="22"/>
          <w:szCs w:val="22"/>
          <w:highlight w:val="yellow"/>
        </w:rPr>
        <w:t>8</w:t>
      </w:r>
      <w:r w:rsidRPr="001173BB">
        <w:rPr>
          <w:rFonts w:eastAsia="Calibri"/>
          <w:sz w:val="22"/>
          <w:szCs w:val="22"/>
          <w:highlight w:val="yellow"/>
        </w:rPr>
        <w:t>% of the local population</w:t>
      </w:r>
      <w:r w:rsidR="002D5F2D">
        <w:rPr>
          <w:rFonts w:eastAsia="Calibri"/>
          <w:sz w:val="22"/>
          <w:szCs w:val="22"/>
          <w:highlight w:val="yellow"/>
        </w:rPr>
        <w:t xml:space="preserve"> in 2022, or nine million people.</w:t>
      </w:r>
      <w:r w:rsidR="002D5F2D">
        <w:rPr>
          <w:rStyle w:val="FootnoteReference"/>
          <w:rFonts w:eastAsia="Calibri"/>
          <w:sz w:val="22"/>
          <w:szCs w:val="22"/>
          <w:highlight w:val="yellow"/>
        </w:rPr>
        <w:footnoteReference w:id="16"/>
      </w:r>
      <w:r w:rsidR="002D5F2D">
        <w:rPr>
          <w:rFonts w:eastAsia="Calibri"/>
          <w:sz w:val="22"/>
          <w:szCs w:val="22"/>
          <w:highlight w:val="yellow"/>
        </w:rPr>
        <w:t xml:space="preserve"> The IOM identified 15% of them as vulnerable, and only 3% were registered as refugees.</w:t>
      </w:r>
    </w:p>
    <w:p w14:paraId="3C0D1D40" w14:textId="77777777" w:rsidR="00F63454" w:rsidRPr="001173BB" w:rsidRDefault="00F63454" w:rsidP="00044CFC">
      <w:pPr>
        <w:spacing w:after="160" w:line="259" w:lineRule="auto"/>
        <w:ind w:left="720"/>
        <w:contextualSpacing/>
        <w:jc w:val="both"/>
        <w:rPr>
          <w:rFonts w:eastAsia="Calibri"/>
          <w:sz w:val="22"/>
          <w:szCs w:val="22"/>
          <w:highlight w:val="yellow"/>
        </w:rPr>
      </w:pPr>
    </w:p>
    <w:p w14:paraId="49AACADD" w14:textId="31C2AD50" w:rsidR="00A83B64" w:rsidRPr="00737659" w:rsidRDefault="00F63454" w:rsidP="00044CFC">
      <w:pPr>
        <w:spacing w:after="160" w:line="259" w:lineRule="auto"/>
        <w:ind w:left="720"/>
        <w:contextualSpacing/>
        <w:jc w:val="both"/>
        <w:rPr>
          <w:rFonts w:eastAsia="Calibri"/>
          <w:sz w:val="22"/>
          <w:szCs w:val="22"/>
        </w:rPr>
      </w:pPr>
      <w:r w:rsidRPr="008D1A23">
        <w:rPr>
          <w:rFonts w:eastAsia="Calibri"/>
          <w:sz w:val="22"/>
          <w:szCs w:val="22"/>
          <w:highlight w:val="yellow"/>
        </w:rPr>
        <w:t>The CAPMAS-World Bank survey was predominantly urban, and covered lesser rural households. It did not state whether residents of informal areas were surveyed.</w:t>
      </w:r>
      <w:r w:rsidR="001173BB" w:rsidRPr="008D1A23">
        <w:rPr>
          <w:rFonts w:eastAsia="Calibri"/>
          <w:sz w:val="22"/>
          <w:szCs w:val="22"/>
          <w:highlight w:val="yellow"/>
        </w:rPr>
        <w:t xml:space="preserve"> The survey also included a disproportionately higher number of higher earners in Cairo (</w:t>
      </w:r>
      <w:r w:rsidR="008D1A23" w:rsidRPr="008D1A23">
        <w:rPr>
          <w:rFonts w:eastAsia="Calibri"/>
          <w:sz w:val="22"/>
          <w:szCs w:val="22"/>
          <w:highlight w:val="yellow"/>
        </w:rPr>
        <w:t>65% were in the 50</w:t>
      </w:r>
      <w:r w:rsidR="008D1A23" w:rsidRPr="008D1A23">
        <w:rPr>
          <w:rFonts w:eastAsia="Calibri"/>
          <w:sz w:val="22"/>
          <w:szCs w:val="22"/>
          <w:highlight w:val="yellow"/>
          <w:vertAlign w:val="superscript"/>
        </w:rPr>
        <w:t>th</w:t>
      </w:r>
      <w:r w:rsidR="008D1A23" w:rsidRPr="008D1A23">
        <w:rPr>
          <w:rFonts w:eastAsia="Calibri"/>
          <w:sz w:val="22"/>
          <w:szCs w:val="22"/>
          <w:highlight w:val="yellow"/>
        </w:rPr>
        <w:t xml:space="preserve"> to 100</w:t>
      </w:r>
      <w:r w:rsidR="008D1A23" w:rsidRPr="008D1A23">
        <w:rPr>
          <w:rFonts w:eastAsia="Calibri"/>
          <w:sz w:val="22"/>
          <w:szCs w:val="22"/>
          <w:highlight w:val="yellow"/>
          <w:vertAlign w:val="superscript"/>
        </w:rPr>
        <w:t>th</w:t>
      </w:r>
      <w:r w:rsidR="008D1A23" w:rsidRPr="008D1A23">
        <w:rPr>
          <w:rFonts w:eastAsia="Calibri"/>
          <w:sz w:val="22"/>
          <w:szCs w:val="22"/>
          <w:highlight w:val="yellow"/>
        </w:rPr>
        <w:t xml:space="preserve"> percentile) </w:t>
      </w:r>
      <w:r w:rsidR="001173BB" w:rsidRPr="008D1A23">
        <w:rPr>
          <w:rFonts w:eastAsia="Calibri"/>
          <w:sz w:val="22"/>
          <w:szCs w:val="22"/>
          <w:highlight w:val="yellow"/>
        </w:rPr>
        <w:t>than the other locations</w:t>
      </w:r>
      <w:r w:rsidR="008D1A23" w:rsidRPr="008D1A23">
        <w:rPr>
          <w:rFonts w:eastAsia="Calibri"/>
          <w:sz w:val="22"/>
          <w:szCs w:val="22"/>
          <w:highlight w:val="yellow"/>
        </w:rPr>
        <w:t xml:space="preserve"> where respondents were almost equally distributed across four income quartiles</w:t>
      </w:r>
      <w:r w:rsidR="001173BB" w:rsidRPr="008D1A23">
        <w:rPr>
          <w:rFonts w:eastAsia="Calibri"/>
          <w:sz w:val="22"/>
          <w:szCs w:val="22"/>
          <w:highlight w:val="yellow"/>
        </w:rPr>
        <w:t>.</w:t>
      </w:r>
      <w:r w:rsidR="008D1A23" w:rsidRPr="008D1A23">
        <w:rPr>
          <w:rStyle w:val="FootnoteReference"/>
          <w:rFonts w:eastAsia="Calibri"/>
          <w:sz w:val="22"/>
          <w:szCs w:val="22"/>
          <w:highlight w:val="yellow"/>
        </w:rPr>
        <w:footnoteReference w:id="17"/>
      </w:r>
      <w:r w:rsidR="001173BB" w:rsidRPr="008D1A23">
        <w:rPr>
          <w:rFonts w:eastAsia="Calibri"/>
          <w:sz w:val="22"/>
          <w:szCs w:val="22"/>
          <w:highlight w:val="yellow"/>
        </w:rPr>
        <w:t xml:space="preserve"> </w:t>
      </w:r>
      <w:r w:rsidR="008D1A23" w:rsidRPr="008D1A23">
        <w:rPr>
          <w:rFonts w:eastAsia="Calibri"/>
          <w:sz w:val="22"/>
          <w:szCs w:val="22"/>
          <w:highlight w:val="yellow"/>
        </w:rPr>
        <w:t>Therefore, the results are slightly skewed in favour of higher earners.</w:t>
      </w:r>
    </w:p>
    <w:p w14:paraId="38355092" w14:textId="77777777" w:rsidR="00A83B64" w:rsidRPr="00737659" w:rsidRDefault="00A83B64" w:rsidP="00A83B64">
      <w:pPr>
        <w:spacing w:after="160" w:line="259" w:lineRule="auto"/>
        <w:ind w:left="720"/>
        <w:jc w:val="both"/>
        <w:rPr>
          <w:rFonts w:eastAsia="Calibri"/>
          <w:sz w:val="22"/>
          <w:szCs w:val="22"/>
        </w:rPr>
      </w:pPr>
    </w:p>
    <w:p w14:paraId="7060CFBF" w14:textId="77777777" w:rsidR="00A83B64" w:rsidRPr="00737659" w:rsidRDefault="00A83B64" w:rsidP="00A83B64">
      <w:pPr>
        <w:spacing w:after="160" w:line="259" w:lineRule="auto"/>
        <w:jc w:val="both"/>
        <w:rPr>
          <w:rFonts w:eastAsia="Calibri"/>
          <w:b/>
          <w:sz w:val="22"/>
          <w:szCs w:val="22"/>
          <w:lang w:val="en-US"/>
        </w:rPr>
      </w:pPr>
      <w:r w:rsidRPr="00737659">
        <w:rPr>
          <w:rFonts w:eastAsia="Calibri"/>
          <w:b/>
          <w:sz w:val="22"/>
          <w:szCs w:val="22"/>
          <w:lang w:val="en-US"/>
        </w:rPr>
        <w:t xml:space="preserve">Causes and Consequences of housing unaffordability </w:t>
      </w:r>
    </w:p>
    <w:p w14:paraId="68C1E67A" w14:textId="77777777" w:rsidR="0077156B"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lang w:val="en-US"/>
        </w:rPr>
        <w:t xml:space="preserve">What are main reasons why housing is unaffordable to certain persons or groups in your country? </w:t>
      </w:r>
      <w:r w:rsidRPr="00737659">
        <w:rPr>
          <w:rFonts w:eastAsia="Calibri"/>
          <w:sz w:val="22"/>
          <w:szCs w:val="22"/>
        </w:rPr>
        <w:t>Please provide if possible as well links to (scientific) studies that have analysed such reasons.</w:t>
      </w:r>
    </w:p>
    <w:p w14:paraId="1ACF4924" w14:textId="77777777" w:rsidR="0077156B" w:rsidRDefault="0077156B" w:rsidP="0077156B">
      <w:pPr>
        <w:spacing w:after="160" w:line="259" w:lineRule="auto"/>
        <w:contextualSpacing/>
        <w:jc w:val="both"/>
        <w:rPr>
          <w:rFonts w:eastAsia="Calibri"/>
          <w:sz w:val="22"/>
          <w:szCs w:val="22"/>
        </w:rPr>
      </w:pPr>
    </w:p>
    <w:p w14:paraId="4D0EC301" w14:textId="486638AC" w:rsidR="00A83B64" w:rsidRDefault="0077156B" w:rsidP="0077156B">
      <w:pPr>
        <w:spacing w:after="160" w:line="259" w:lineRule="auto"/>
        <w:ind w:left="720"/>
        <w:contextualSpacing/>
        <w:jc w:val="both"/>
        <w:rPr>
          <w:rFonts w:eastAsia="Calibri"/>
          <w:sz w:val="22"/>
          <w:szCs w:val="22"/>
        </w:rPr>
      </w:pPr>
      <w:r w:rsidRPr="00C03503">
        <w:rPr>
          <w:rFonts w:eastAsia="Calibri"/>
          <w:sz w:val="22"/>
          <w:szCs w:val="22"/>
          <w:highlight w:val="yellow"/>
        </w:rPr>
        <w:t xml:space="preserve">The deregulation of the property market by the government over the last few years, especially restrictions on foreign ownership of land and </w:t>
      </w:r>
      <w:r w:rsidR="002D5F2D">
        <w:rPr>
          <w:rFonts w:eastAsia="Calibri"/>
          <w:sz w:val="22"/>
          <w:szCs w:val="22"/>
          <w:highlight w:val="yellow"/>
        </w:rPr>
        <w:t>property, and decontrolled rents since 1996,</w:t>
      </w:r>
      <w:r w:rsidRPr="00C03503">
        <w:rPr>
          <w:rFonts w:eastAsia="Calibri"/>
          <w:sz w:val="22"/>
          <w:szCs w:val="22"/>
          <w:highlight w:val="yellow"/>
        </w:rPr>
        <w:t xml:space="preserve"> </w:t>
      </w:r>
      <w:r w:rsidR="002D5F2D">
        <w:rPr>
          <w:rFonts w:eastAsia="Calibri"/>
          <w:sz w:val="22"/>
          <w:szCs w:val="22"/>
          <w:highlight w:val="yellow"/>
        </w:rPr>
        <w:t>are</w:t>
      </w:r>
      <w:r w:rsidRPr="00C03503">
        <w:rPr>
          <w:rFonts w:eastAsia="Calibri"/>
          <w:sz w:val="22"/>
          <w:szCs w:val="22"/>
          <w:highlight w:val="yellow"/>
        </w:rPr>
        <w:t xml:space="preserve"> seen as a main driver of price increases.</w:t>
      </w:r>
      <w:r w:rsidR="00C03503">
        <w:rPr>
          <w:rStyle w:val="FootnoteReference"/>
          <w:rFonts w:eastAsia="Calibri"/>
          <w:sz w:val="22"/>
          <w:szCs w:val="22"/>
          <w:highlight w:val="yellow"/>
        </w:rPr>
        <w:footnoteReference w:id="18"/>
      </w:r>
      <w:r w:rsidRPr="00C03503">
        <w:rPr>
          <w:rFonts w:eastAsia="Calibri"/>
          <w:sz w:val="22"/>
          <w:szCs w:val="22"/>
          <w:highlight w:val="yellow"/>
        </w:rPr>
        <w:t xml:space="preserve"> </w:t>
      </w:r>
      <w:r w:rsidR="00C03503" w:rsidRPr="00C03503">
        <w:rPr>
          <w:rFonts w:eastAsia="Calibri"/>
          <w:sz w:val="22"/>
          <w:szCs w:val="22"/>
          <w:highlight w:val="yellow"/>
        </w:rPr>
        <w:t>Increasing foreign demand competes with already high local demand, leading to an internationally financialized market. As the local currency devalues, this puts foreigners, or foreign earners at a strong advantage.</w:t>
      </w:r>
    </w:p>
    <w:p w14:paraId="444DC662" w14:textId="77777777" w:rsidR="008E3580" w:rsidRDefault="008E3580" w:rsidP="0077156B">
      <w:pPr>
        <w:spacing w:after="160" w:line="259" w:lineRule="auto"/>
        <w:ind w:left="720"/>
        <w:contextualSpacing/>
        <w:jc w:val="both"/>
        <w:rPr>
          <w:rFonts w:eastAsia="Calibri"/>
          <w:sz w:val="22"/>
          <w:szCs w:val="22"/>
        </w:rPr>
      </w:pPr>
    </w:p>
    <w:p w14:paraId="51179732" w14:textId="59B2D698" w:rsidR="008E3580" w:rsidRPr="00737659" w:rsidRDefault="008E3580" w:rsidP="0077156B">
      <w:pPr>
        <w:spacing w:after="160" w:line="259" w:lineRule="auto"/>
        <w:ind w:left="720"/>
        <w:contextualSpacing/>
        <w:jc w:val="both"/>
        <w:rPr>
          <w:rFonts w:eastAsia="Calibri"/>
          <w:sz w:val="22"/>
          <w:szCs w:val="22"/>
        </w:rPr>
      </w:pPr>
      <w:r w:rsidRPr="00D12440">
        <w:rPr>
          <w:rFonts w:eastAsia="Calibri"/>
          <w:sz w:val="22"/>
          <w:szCs w:val="22"/>
          <w:highlight w:val="yellow"/>
        </w:rPr>
        <w:t>Egypt also has developed incentives for foreigners to buy property in Egypt, including a Golden Visa Scheme,</w:t>
      </w:r>
      <w:r w:rsidRPr="00D12440">
        <w:rPr>
          <w:rStyle w:val="FootnoteReference"/>
          <w:rFonts w:eastAsia="Calibri"/>
          <w:sz w:val="22"/>
          <w:szCs w:val="22"/>
          <w:highlight w:val="yellow"/>
        </w:rPr>
        <w:footnoteReference w:id="19"/>
      </w:r>
      <w:r w:rsidRPr="00D12440">
        <w:rPr>
          <w:rFonts w:eastAsia="Calibri"/>
          <w:sz w:val="22"/>
          <w:szCs w:val="22"/>
          <w:highlight w:val="yellow"/>
        </w:rPr>
        <w:t xml:space="preserve"> and advantages for property investors that are willing to buy land in foreign currency.</w:t>
      </w:r>
      <w:r w:rsidR="00D12440" w:rsidRPr="00D12440">
        <w:rPr>
          <w:rStyle w:val="FootnoteReference"/>
          <w:rFonts w:eastAsia="Calibri"/>
          <w:sz w:val="22"/>
          <w:szCs w:val="22"/>
          <w:highlight w:val="yellow"/>
        </w:rPr>
        <w:footnoteReference w:id="20"/>
      </w:r>
    </w:p>
    <w:p w14:paraId="4A5BD780" w14:textId="77777777" w:rsidR="00A83B64" w:rsidRPr="00737659" w:rsidRDefault="00A83B64" w:rsidP="00A83B64">
      <w:pPr>
        <w:spacing w:after="160" w:line="259" w:lineRule="auto"/>
        <w:ind w:left="720"/>
        <w:jc w:val="both"/>
        <w:rPr>
          <w:rFonts w:eastAsia="Calibri"/>
          <w:sz w:val="22"/>
          <w:szCs w:val="22"/>
        </w:rPr>
      </w:pPr>
    </w:p>
    <w:p w14:paraId="4067370C" w14:textId="77777777" w:rsidR="00A83B64" w:rsidRDefault="00A83B64" w:rsidP="00A83B64">
      <w:pPr>
        <w:numPr>
          <w:ilvl w:val="0"/>
          <w:numId w:val="1"/>
        </w:numPr>
        <w:spacing w:after="160" w:line="259" w:lineRule="auto"/>
        <w:contextualSpacing/>
        <w:jc w:val="both"/>
        <w:rPr>
          <w:rFonts w:eastAsia="Calibri"/>
          <w:sz w:val="22"/>
          <w:szCs w:val="22"/>
        </w:rPr>
      </w:pPr>
      <w:r>
        <w:rPr>
          <w:rFonts w:eastAsia="Calibri"/>
          <w:sz w:val="22"/>
          <w:szCs w:val="22"/>
        </w:rPr>
        <w:t xml:space="preserve">What percentage of land is owned or otherwise controlled by the State or other public entities, as contrasted with private entities (both for profit and not for profit)?  Please </w:t>
      </w:r>
      <w:r>
        <w:rPr>
          <w:rFonts w:eastAsia="Calibri"/>
          <w:sz w:val="22"/>
          <w:szCs w:val="22"/>
        </w:rPr>
        <w:lastRenderedPageBreak/>
        <w:t>explain if there are any policies or laws which seeks to control the price of land, prevent land speculation including its supply and finance?</w:t>
      </w:r>
    </w:p>
    <w:p w14:paraId="52B79044" w14:textId="2CDD11F9" w:rsidR="00A83B64" w:rsidRDefault="00C36541" w:rsidP="00A83B64">
      <w:pPr>
        <w:pStyle w:val="ListParagraph"/>
        <w:rPr>
          <w:rFonts w:eastAsia="Calibri"/>
          <w:sz w:val="22"/>
          <w:szCs w:val="22"/>
        </w:rPr>
      </w:pPr>
      <w:r w:rsidRPr="00C21E55">
        <w:rPr>
          <w:rFonts w:eastAsia="Calibri"/>
          <w:sz w:val="22"/>
          <w:szCs w:val="22"/>
          <w:highlight w:val="yellow"/>
        </w:rPr>
        <w:t xml:space="preserve">Around </w:t>
      </w:r>
      <w:r w:rsidR="00AA68D1">
        <w:rPr>
          <w:rFonts w:eastAsia="Calibri"/>
          <w:sz w:val="22"/>
          <w:szCs w:val="22"/>
          <w:highlight w:val="yellow"/>
        </w:rPr>
        <w:t>7.8</w:t>
      </w:r>
      <w:r w:rsidRPr="00C21E55">
        <w:rPr>
          <w:rFonts w:eastAsia="Calibri"/>
          <w:sz w:val="22"/>
          <w:szCs w:val="22"/>
          <w:highlight w:val="yellow"/>
        </w:rPr>
        <w:t>% of Egypt’s land is inhabited, leaving the remainder as public land, which is gradually allocated the New Urban Communities Authority (NUCA) to plan and sell on as new towns.</w:t>
      </w:r>
      <w:r w:rsidR="00C21E55">
        <w:rPr>
          <w:rStyle w:val="FootnoteReference"/>
          <w:rFonts w:eastAsia="Calibri"/>
          <w:sz w:val="22"/>
          <w:szCs w:val="22"/>
          <w:highlight w:val="yellow"/>
        </w:rPr>
        <w:footnoteReference w:id="21"/>
      </w:r>
      <w:r w:rsidRPr="00C21E55">
        <w:rPr>
          <w:rFonts w:eastAsia="Calibri"/>
          <w:sz w:val="22"/>
          <w:szCs w:val="22"/>
          <w:highlight w:val="yellow"/>
        </w:rPr>
        <w:t xml:space="preserve"> </w:t>
      </w:r>
      <w:r w:rsidR="00C21E55" w:rsidRPr="00C21E55">
        <w:rPr>
          <w:rFonts w:eastAsia="Calibri"/>
          <w:sz w:val="22"/>
          <w:szCs w:val="22"/>
          <w:highlight w:val="yellow"/>
        </w:rPr>
        <w:t xml:space="preserve">Even though a certain amount of this land is earmarked for Social Housing, </w:t>
      </w:r>
      <w:r w:rsidRPr="00C21E55">
        <w:rPr>
          <w:rFonts w:eastAsia="Calibri"/>
          <w:sz w:val="22"/>
          <w:szCs w:val="22"/>
          <w:highlight w:val="yellow"/>
        </w:rPr>
        <w:t xml:space="preserve">NUCA </w:t>
      </w:r>
      <w:r w:rsidR="00C21E55" w:rsidRPr="00C21E55">
        <w:rPr>
          <w:rFonts w:eastAsia="Calibri"/>
          <w:sz w:val="22"/>
          <w:szCs w:val="22"/>
          <w:highlight w:val="yellow"/>
        </w:rPr>
        <w:t>has</w:t>
      </w:r>
      <w:r w:rsidRPr="00C21E55">
        <w:rPr>
          <w:rFonts w:eastAsia="Calibri"/>
          <w:sz w:val="22"/>
          <w:szCs w:val="22"/>
          <w:highlight w:val="yellow"/>
        </w:rPr>
        <w:t xml:space="preserve"> financializing th</w:t>
      </w:r>
      <w:r w:rsidR="00C21E55" w:rsidRPr="00C21E55">
        <w:rPr>
          <w:rFonts w:eastAsia="Calibri"/>
          <w:sz w:val="22"/>
          <w:szCs w:val="22"/>
          <w:highlight w:val="yellow"/>
        </w:rPr>
        <w:t>e remainder of the land,</w:t>
      </w:r>
      <w:r w:rsidR="00D0168C">
        <w:rPr>
          <w:rStyle w:val="FootnoteReference"/>
          <w:rFonts w:eastAsia="Calibri"/>
          <w:sz w:val="22"/>
          <w:szCs w:val="22"/>
          <w:highlight w:val="yellow"/>
        </w:rPr>
        <w:footnoteReference w:id="22"/>
      </w:r>
      <w:r w:rsidR="00C21E55" w:rsidRPr="00C21E55">
        <w:rPr>
          <w:rFonts w:eastAsia="Calibri"/>
          <w:sz w:val="22"/>
          <w:szCs w:val="22"/>
          <w:highlight w:val="yellow"/>
        </w:rPr>
        <w:t xml:space="preserve"> </w:t>
      </w:r>
      <w:r w:rsidR="00D0168C">
        <w:rPr>
          <w:rFonts w:eastAsia="Calibri"/>
          <w:sz w:val="22"/>
          <w:szCs w:val="22"/>
          <w:highlight w:val="yellow"/>
        </w:rPr>
        <w:t xml:space="preserve">thereby </w:t>
      </w:r>
      <w:r w:rsidR="00C21E55" w:rsidRPr="00C21E55">
        <w:rPr>
          <w:rFonts w:eastAsia="Calibri"/>
          <w:sz w:val="22"/>
          <w:szCs w:val="22"/>
          <w:highlight w:val="yellow"/>
        </w:rPr>
        <w:t>restricting access to cheap formal land by low-income families.</w:t>
      </w:r>
      <w:r>
        <w:rPr>
          <w:rFonts w:eastAsia="Calibri"/>
          <w:sz w:val="22"/>
          <w:szCs w:val="22"/>
        </w:rPr>
        <w:t xml:space="preserve"> </w:t>
      </w:r>
    </w:p>
    <w:p w14:paraId="121A3100" w14:textId="77777777" w:rsidR="00D12440" w:rsidRDefault="00D12440" w:rsidP="00A83B64">
      <w:pPr>
        <w:pStyle w:val="ListParagraph"/>
        <w:rPr>
          <w:rFonts w:eastAsia="Calibri"/>
          <w:sz w:val="22"/>
          <w:szCs w:val="22"/>
        </w:rPr>
      </w:pPr>
    </w:p>
    <w:p w14:paraId="252E33AA" w14:textId="77777777" w:rsidR="00D0168C"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How many households have</w:t>
      </w:r>
      <w:r>
        <w:rPr>
          <w:rFonts w:eastAsia="Calibri"/>
          <w:sz w:val="22"/>
          <w:szCs w:val="22"/>
        </w:rPr>
        <w:t>,</w:t>
      </w:r>
      <w:r w:rsidRPr="00737659">
        <w:rPr>
          <w:rFonts w:eastAsia="Calibri"/>
          <w:sz w:val="22"/>
          <w:szCs w:val="22"/>
        </w:rPr>
        <w:t xml:space="preserve"> during the last </w:t>
      </w:r>
      <w:r>
        <w:rPr>
          <w:rFonts w:eastAsia="Calibri"/>
          <w:sz w:val="22"/>
          <w:szCs w:val="22"/>
        </w:rPr>
        <w:t xml:space="preserve">ten </w:t>
      </w:r>
      <w:r w:rsidRPr="00737659">
        <w:rPr>
          <w:rFonts w:eastAsia="Calibri"/>
          <w:sz w:val="22"/>
          <w:szCs w:val="22"/>
        </w:rPr>
        <w:t>years been evicted because of their non-payment of housing costs?  Please provide, if possible, more information on the soci</w:t>
      </w:r>
      <w:r>
        <w:rPr>
          <w:rFonts w:eastAsia="Calibri"/>
          <w:sz w:val="22"/>
          <w:szCs w:val="22"/>
        </w:rPr>
        <w:t>o-economic</w:t>
      </w:r>
      <w:r w:rsidRPr="00737659">
        <w:rPr>
          <w:rFonts w:eastAsia="Calibri"/>
          <w:sz w:val="22"/>
          <w:szCs w:val="22"/>
        </w:rPr>
        <w:t xml:space="preserve"> profile of the concerned households.</w:t>
      </w:r>
    </w:p>
    <w:p w14:paraId="7FAE4F83" w14:textId="77777777" w:rsidR="00D0168C" w:rsidRDefault="00D0168C" w:rsidP="00D0168C">
      <w:pPr>
        <w:spacing w:after="160" w:line="259" w:lineRule="auto"/>
        <w:ind w:left="360"/>
        <w:contextualSpacing/>
        <w:jc w:val="both"/>
        <w:rPr>
          <w:rFonts w:eastAsia="Calibri"/>
          <w:sz w:val="22"/>
          <w:szCs w:val="22"/>
        </w:rPr>
      </w:pPr>
    </w:p>
    <w:p w14:paraId="6726506D" w14:textId="79328CDC" w:rsidR="00A83B64" w:rsidRDefault="00D0168C" w:rsidP="00D0168C">
      <w:pPr>
        <w:spacing w:after="160" w:line="259" w:lineRule="auto"/>
        <w:ind w:left="720"/>
        <w:contextualSpacing/>
        <w:jc w:val="both"/>
        <w:rPr>
          <w:rFonts w:eastAsia="Calibri"/>
          <w:sz w:val="22"/>
          <w:szCs w:val="22"/>
        </w:rPr>
      </w:pPr>
      <w:r w:rsidRPr="00D0168C">
        <w:rPr>
          <w:rFonts w:eastAsia="Calibri"/>
          <w:sz w:val="22"/>
          <w:szCs w:val="22"/>
          <w:highlight w:val="yellow"/>
        </w:rPr>
        <w:t>This data is not available.</w:t>
      </w:r>
      <w:r w:rsidR="00A83B64" w:rsidRPr="00737659">
        <w:rPr>
          <w:rFonts w:eastAsia="Calibri"/>
          <w:sz w:val="22"/>
          <w:szCs w:val="22"/>
        </w:rPr>
        <w:t xml:space="preserve"> </w:t>
      </w:r>
    </w:p>
    <w:p w14:paraId="43E849A1" w14:textId="77777777" w:rsidR="00A83B64" w:rsidRDefault="00A83B64" w:rsidP="00A83B64">
      <w:pPr>
        <w:pStyle w:val="ListParagraph"/>
        <w:rPr>
          <w:rFonts w:eastAsia="Calibri"/>
          <w:sz w:val="22"/>
          <w:szCs w:val="22"/>
        </w:rPr>
      </w:pPr>
    </w:p>
    <w:p w14:paraId="37FC4CF1" w14:textId="545F9667" w:rsidR="00A83B64" w:rsidRDefault="00A83B64" w:rsidP="00341F45">
      <w:pPr>
        <w:numPr>
          <w:ilvl w:val="0"/>
          <w:numId w:val="1"/>
        </w:numPr>
        <w:spacing w:after="160" w:line="259" w:lineRule="auto"/>
        <w:contextualSpacing/>
        <w:jc w:val="both"/>
        <w:rPr>
          <w:rFonts w:eastAsia="Calibri"/>
          <w:sz w:val="22"/>
          <w:szCs w:val="22"/>
        </w:rPr>
      </w:pPr>
      <w:r>
        <w:rPr>
          <w:rFonts w:eastAsia="Calibri"/>
          <w:sz w:val="22"/>
          <w:szCs w:val="22"/>
        </w:rPr>
        <w:t>How many individuals, households or groups have, during the last ten years, been rendered homeless because of inability to afford housing?  Please provide a breakdown of the socio-economic characteristics of such individuals.</w:t>
      </w:r>
    </w:p>
    <w:p w14:paraId="6196854D" w14:textId="77777777" w:rsidR="00341F45" w:rsidRPr="00341F45" w:rsidRDefault="00341F45" w:rsidP="00341F45">
      <w:pPr>
        <w:spacing w:after="160" w:line="259" w:lineRule="auto"/>
        <w:ind w:left="720"/>
        <w:contextualSpacing/>
        <w:jc w:val="both"/>
        <w:rPr>
          <w:rFonts w:eastAsia="Calibri"/>
          <w:sz w:val="22"/>
          <w:szCs w:val="22"/>
        </w:rPr>
      </w:pPr>
    </w:p>
    <w:p w14:paraId="16E527E5" w14:textId="30027EE3" w:rsidR="00D0168C" w:rsidRPr="00737659" w:rsidRDefault="00D0168C" w:rsidP="00D0168C">
      <w:pPr>
        <w:spacing w:after="160" w:line="259" w:lineRule="auto"/>
        <w:ind w:left="720"/>
        <w:jc w:val="both"/>
        <w:rPr>
          <w:rFonts w:eastAsia="Calibri"/>
          <w:sz w:val="22"/>
          <w:szCs w:val="22"/>
        </w:rPr>
      </w:pPr>
      <w:r w:rsidRPr="00D0168C">
        <w:rPr>
          <w:rFonts w:eastAsia="Calibri"/>
          <w:sz w:val="22"/>
          <w:szCs w:val="22"/>
          <w:highlight w:val="yellow"/>
        </w:rPr>
        <w:t xml:space="preserve">This data is not available. </w:t>
      </w:r>
      <w:r w:rsidRPr="00AA68D1">
        <w:rPr>
          <w:rFonts w:eastAsia="Calibri"/>
          <w:sz w:val="22"/>
          <w:szCs w:val="22"/>
          <w:highlight w:val="yellow"/>
        </w:rPr>
        <w:t xml:space="preserve">However, during the COVID-19 Pandemic, </w:t>
      </w:r>
      <w:r w:rsidR="004B07E3" w:rsidRPr="00AA68D1">
        <w:rPr>
          <w:rFonts w:eastAsia="Calibri"/>
          <w:sz w:val="22"/>
          <w:szCs w:val="22"/>
          <w:highlight w:val="yellow"/>
        </w:rPr>
        <w:t>an official CAPMAS survey reported that almost three quarters of households lost income due to the lockdown</w:t>
      </w:r>
      <w:r w:rsidR="004157ED">
        <w:rPr>
          <w:rFonts w:eastAsia="Calibri"/>
          <w:sz w:val="22"/>
          <w:szCs w:val="22"/>
          <w:highlight w:val="yellow"/>
        </w:rPr>
        <w:t>.</w:t>
      </w:r>
      <w:r w:rsidR="004157ED">
        <w:rPr>
          <w:rStyle w:val="FootnoteReference"/>
          <w:rFonts w:eastAsia="Calibri"/>
          <w:sz w:val="22"/>
          <w:szCs w:val="22"/>
          <w:highlight w:val="yellow"/>
        </w:rPr>
        <w:footnoteReference w:id="23"/>
      </w:r>
      <w:r w:rsidR="004B07E3" w:rsidRPr="00AA68D1">
        <w:rPr>
          <w:rFonts w:eastAsia="Calibri"/>
          <w:sz w:val="22"/>
          <w:szCs w:val="22"/>
          <w:highlight w:val="yellow"/>
        </w:rPr>
        <w:t xml:space="preserve"> </w:t>
      </w:r>
      <w:r w:rsidR="00AA68D1" w:rsidRPr="00AA68D1">
        <w:rPr>
          <w:rFonts w:eastAsia="Calibri"/>
          <w:sz w:val="22"/>
          <w:szCs w:val="22"/>
          <w:highlight w:val="yellow"/>
        </w:rPr>
        <w:t>As the majority of Egypt’s residents are owners, only the</w:t>
      </w:r>
      <w:r w:rsidR="0089058B">
        <w:rPr>
          <w:rFonts w:eastAsia="Calibri"/>
          <w:sz w:val="22"/>
          <w:szCs w:val="22"/>
          <w:highlight w:val="yellow"/>
        </w:rPr>
        <w:t xml:space="preserve"> relative</w:t>
      </w:r>
      <w:r w:rsidR="00AA68D1" w:rsidRPr="00AA68D1">
        <w:rPr>
          <w:rFonts w:eastAsia="Calibri"/>
          <w:sz w:val="22"/>
          <w:szCs w:val="22"/>
          <w:highlight w:val="yellow"/>
        </w:rPr>
        <w:t xml:space="preserve"> minority tenants </w:t>
      </w:r>
      <w:r w:rsidR="00AA68D1" w:rsidRPr="000804F5">
        <w:rPr>
          <w:rFonts w:eastAsia="Calibri"/>
          <w:sz w:val="22"/>
          <w:szCs w:val="22"/>
          <w:highlight w:val="yellow"/>
        </w:rPr>
        <w:t xml:space="preserve">of </w:t>
      </w:r>
      <w:r w:rsidR="0089058B">
        <w:rPr>
          <w:rFonts w:eastAsia="Calibri"/>
          <w:sz w:val="22"/>
          <w:szCs w:val="22"/>
          <w:highlight w:val="yellow"/>
        </w:rPr>
        <w:t>New Rent (</w:t>
      </w:r>
      <w:r w:rsidR="00AA68D1" w:rsidRPr="000804F5">
        <w:rPr>
          <w:rFonts w:eastAsia="Calibri"/>
          <w:sz w:val="22"/>
          <w:szCs w:val="22"/>
          <w:highlight w:val="yellow"/>
        </w:rPr>
        <w:t>market rent</w:t>
      </w:r>
      <w:r w:rsidR="0089058B">
        <w:rPr>
          <w:rFonts w:eastAsia="Calibri"/>
          <w:sz w:val="22"/>
          <w:szCs w:val="22"/>
          <w:highlight w:val="yellow"/>
        </w:rPr>
        <w:t>), as well as Social Housing mortgage paying beneficiaries,</w:t>
      </w:r>
      <w:r w:rsidR="00AA68D1" w:rsidRPr="000804F5">
        <w:rPr>
          <w:rFonts w:eastAsia="Calibri"/>
          <w:sz w:val="22"/>
          <w:szCs w:val="22"/>
          <w:highlight w:val="yellow"/>
        </w:rPr>
        <w:t xml:space="preserve"> would have faced eviction due to non-payment of rent, </w:t>
      </w:r>
      <w:r w:rsidR="0089058B">
        <w:rPr>
          <w:rFonts w:eastAsia="Calibri"/>
          <w:sz w:val="22"/>
          <w:szCs w:val="22"/>
          <w:highlight w:val="yellow"/>
        </w:rPr>
        <w:t xml:space="preserve">groups that were estimated to be 1.7 </w:t>
      </w:r>
      <w:r w:rsidR="0089058B" w:rsidRPr="00796C0C">
        <w:rPr>
          <w:rFonts w:eastAsia="Calibri"/>
          <w:sz w:val="22"/>
          <w:szCs w:val="22"/>
          <w:highlight w:val="yellow"/>
        </w:rPr>
        <w:t>million households</w:t>
      </w:r>
      <w:r w:rsidR="009D7133" w:rsidRPr="00796C0C">
        <w:rPr>
          <w:rFonts w:eastAsia="Calibri"/>
          <w:sz w:val="22"/>
          <w:szCs w:val="22"/>
          <w:highlight w:val="yellow"/>
        </w:rPr>
        <w:t xml:space="preserve">, of which </w:t>
      </w:r>
      <w:r w:rsidR="00796C0C" w:rsidRPr="00796C0C">
        <w:rPr>
          <w:rFonts w:eastAsia="Calibri"/>
          <w:sz w:val="22"/>
          <w:szCs w:val="22"/>
          <w:highlight w:val="yellow"/>
        </w:rPr>
        <w:t xml:space="preserve">45% </w:t>
      </w:r>
      <w:r w:rsidR="009D7133" w:rsidRPr="00796C0C">
        <w:rPr>
          <w:rFonts w:eastAsia="Calibri"/>
          <w:sz w:val="22"/>
          <w:szCs w:val="22"/>
          <w:highlight w:val="yellow"/>
        </w:rPr>
        <w:t>were considered to be low-income</w:t>
      </w:r>
      <w:r w:rsidR="00796C0C" w:rsidRPr="00796C0C">
        <w:rPr>
          <w:rFonts w:eastAsia="Calibri"/>
          <w:sz w:val="22"/>
          <w:szCs w:val="22"/>
          <w:highlight w:val="yellow"/>
        </w:rPr>
        <w:t xml:space="preserve"> </w:t>
      </w:r>
      <w:r w:rsidR="00796C0C" w:rsidRPr="00796C0C">
        <w:rPr>
          <w:rFonts w:eastAsia="Calibri"/>
          <w:sz w:val="22"/>
          <w:szCs w:val="22"/>
          <w:highlight w:val="yellow"/>
        </w:rPr>
        <w:lastRenderedPageBreak/>
        <w:t>tenants</w:t>
      </w:r>
      <w:r w:rsidR="00796C0C">
        <w:rPr>
          <w:rFonts w:eastAsia="Calibri"/>
          <w:sz w:val="22"/>
          <w:szCs w:val="22"/>
          <w:highlight w:val="yellow"/>
        </w:rPr>
        <w:t xml:space="preserve"> who would not have savings and could not afford to buy a home</w:t>
      </w:r>
      <w:r w:rsidR="009D7133" w:rsidRPr="00796C0C">
        <w:rPr>
          <w:rFonts w:eastAsia="Calibri"/>
          <w:sz w:val="22"/>
          <w:szCs w:val="22"/>
          <w:highlight w:val="yellow"/>
        </w:rPr>
        <w:t>.</w:t>
      </w:r>
      <w:r w:rsidR="009D7133" w:rsidRPr="00796C0C">
        <w:rPr>
          <w:rStyle w:val="FootnoteReference"/>
          <w:rFonts w:eastAsia="Calibri"/>
          <w:sz w:val="22"/>
          <w:szCs w:val="22"/>
          <w:highlight w:val="yellow"/>
        </w:rPr>
        <w:footnoteReference w:id="24"/>
      </w:r>
      <w:r w:rsidR="009D7133" w:rsidRPr="00796C0C">
        <w:rPr>
          <w:rFonts w:eastAsia="Calibri"/>
          <w:sz w:val="22"/>
          <w:szCs w:val="22"/>
          <w:highlight w:val="yellow"/>
        </w:rPr>
        <w:t xml:space="preserve"> While the government rescheduled mortgages</w:t>
      </w:r>
      <w:r w:rsidR="002011E5">
        <w:rPr>
          <w:rFonts w:eastAsia="Calibri"/>
          <w:sz w:val="22"/>
          <w:szCs w:val="22"/>
          <w:highlight w:val="yellow"/>
        </w:rPr>
        <w:t xml:space="preserve"> (six month debt delay)</w:t>
      </w:r>
      <w:r w:rsidR="009D7133" w:rsidRPr="00796C0C">
        <w:rPr>
          <w:rFonts w:eastAsia="Calibri"/>
          <w:sz w:val="22"/>
          <w:szCs w:val="22"/>
          <w:highlight w:val="yellow"/>
        </w:rPr>
        <w:t xml:space="preserve">, there was no rental aid offered. </w:t>
      </w:r>
      <w:r w:rsidR="00796C0C" w:rsidRPr="00796C0C">
        <w:rPr>
          <w:rFonts w:eastAsia="Calibri"/>
          <w:sz w:val="22"/>
          <w:szCs w:val="22"/>
          <w:highlight w:val="yellow"/>
        </w:rPr>
        <w:t>Therefore,</w:t>
      </w:r>
      <w:r w:rsidR="009D7133" w:rsidRPr="00796C0C">
        <w:rPr>
          <w:rFonts w:eastAsia="Calibri"/>
          <w:sz w:val="22"/>
          <w:szCs w:val="22"/>
          <w:highlight w:val="yellow"/>
        </w:rPr>
        <w:t xml:space="preserve"> it could be assumed that an unknown portion of roughly 750,000 low-income tenants faced eviction then over rent arrears.</w:t>
      </w:r>
    </w:p>
    <w:p w14:paraId="6520945D" w14:textId="77777777" w:rsidR="00A83B64"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Please describe how housing unaffordability impacts the capacity of individuals and families to enjoy their </w:t>
      </w:r>
      <w:r>
        <w:rPr>
          <w:rFonts w:eastAsia="Calibri"/>
          <w:sz w:val="22"/>
          <w:szCs w:val="22"/>
        </w:rPr>
        <w:t xml:space="preserve">other </w:t>
      </w:r>
      <w:r w:rsidRPr="00737659">
        <w:rPr>
          <w:rFonts w:eastAsia="Calibri"/>
          <w:sz w:val="22"/>
          <w:szCs w:val="22"/>
        </w:rPr>
        <w:t>human rights</w:t>
      </w:r>
      <w:r>
        <w:rPr>
          <w:rFonts w:eastAsia="Calibri"/>
          <w:sz w:val="22"/>
          <w:szCs w:val="22"/>
        </w:rPr>
        <w:t xml:space="preserve"> including rights to work, health, education, and access to personal security in all its dimensions</w:t>
      </w:r>
      <w:r w:rsidRPr="00737659">
        <w:rPr>
          <w:rFonts w:eastAsia="Calibri"/>
          <w:sz w:val="22"/>
          <w:szCs w:val="22"/>
        </w:rPr>
        <w:t>.</w:t>
      </w:r>
    </w:p>
    <w:p w14:paraId="110A2856" w14:textId="77777777" w:rsidR="00341F45" w:rsidRDefault="00341F45" w:rsidP="00341F45">
      <w:pPr>
        <w:spacing w:after="160" w:line="259" w:lineRule="auto"/>
        <w:ind w:left="720"/>
        <w:contextualSpacing/>
        <w:jc w:val="both"/>
        <w:rPr>
          <w:rFonts w:eastAsia="Calibri"/>
          <w:sz w:val="22"/>
          <w:szCs w:val="22"/>
        </w:rPr>
      </w:pPr>
    </w:p>
    <w:p w14:paraId="10A5B6ED" w14:textId="0E24FD52" w:rsidR="00AA68D1" w:rsidRDefault="00AA68D1" w:rsidP="00AA68D1">
      <w:pPr>
        <w:spacing w:after="160" w:line="259" w:lineRule="auto"/>
        <w:ind w:left="720"/>
        <w:contextualSpacing/>
        <w:jc w:val="both"/>
        <w:rPr>
          <w:rFonts w:eastAsia="Calibri"/>
          <w:sz w:val="22"/>
          <w:szCs w:val="22"/>
        </w:rPr>
      </w:pPr>
      <w:r w:rsidRPr="004157ED">
        <w:rPr>
          <w:rFonts w:eastAsia="Calibri"/>
          <w:sz w:val="22"/>
          <w:szCs w:val="22"/>
          <w:highlight w:val="yellow"/>
        </w:rPr>
        <w:t xml:space="preserve">We can deduct by previous income crunches, such as experienced during the COVID-19 Pandemic, that </w:t>
      </w:r>
      <w:r w:rsidR="004157ED" w:rsidRPr="004157ED">
        <w:rPr>
          <w:rFonts w:eastAsia="Calibri"/>
          <w:sz w:val="22"/>
          <w:szCs w:val="22"/>
          <w:highlight w:val="yellow"/>
        </w:rPr>
        <w:t>households would resort to coping mechanisms, cutting down on key expenses such as food and education, and resorting to (informal) borrowing.</w:t>
      </w:r>
      <w:r w:rsidR="004157ED">
        <w:rPr>
          <w:rStyle w:val="FootnoteReference"/>
          <w:rFonts w:eastAsia="Calibri"/>
          <w:sz w:val="22"/>
          <w:szCs w:val="22"/>
          <w:highlight w:val="yellow"/>
        </w:rPr>
        <w:footnoteReference w:id="25"/>
      </w:r>
    </w:p>
    <w:p w14:paraId="38964885" w14:textId="77777777" w:rsidR="004157ED" w:rsidRDefault="004157ED" w:rsidP="00AA68D1">
      <w:pPr>
        <w:spacing w:after="160" w:line="259" w:lineRule="auto"/>
        <w:ind w:left="720"/>
        <w:contextualSpacing/>
        <w:jc w:val="both"/>
        <w:rPr>
          <w:rFonts w:eastAsia="Calibri"/>
          <w:sz w:val="22"/>
          <w:szCs w:val="22"/>
        </w:rPr>
      </w:pPr>
    </w:p>
    <w:p w14:paraId="6A36C231" w14:textId="3B0328FE" w:rsidR="004157ED" w:rsidRPr="00737659" w:rsidRDefault="004157ED" w:rsidP="00AA68D1">
      <w:pPr>
        <w:spacing w:after="160" w:line="259" w:lineRule="auto"/>
        <w:ind w:left="720"/>
        <w:contextualSpacing/>
        <w:jc w:val="both"/>
        <w:rPr>
          <w:rFonts w:eastAsia="Calibri"/>
          <w:sz w:val="22"/>
          <w:szCs w:val="22"/>
        </w:rPr>
      </w:pPr>
      <w:r w:rsidRPr="004157ED">
        <w:rPr>
          <w:rFonts w:eastAsia="Calibri"/>
          <w:sz w:val="22"/>
          <w:szCs w:val="22"/>
          <w:highlight w:val="yellow"/>
        </w:rPr>
        <w:t xml:space="preserve">Households who are trying to access housing, will seek less adequate housing that would </w:t>
      </w:r>
      <w:r w:rsidRPr="002011E5">
        <w:rPr>
          <w:rFonts w:eastAsia="Calibri"/>
          <w:sz w:val="22"/>
          <w:szCs w:val="22"/>
          <w:highlight w:val="yellow"/>
        </w:rPr>
        <w:t>potentially be dangerous, have limited access to utilities, and mostly, come with informal tenure.</w:t>
      </w:r>
      <w:r w:rsidR="002011E5" w:rsidRPr="002011E5">
        <w:rPr>
          <w:rFonts w:eastAsia="Calibri"/>
          <w:sz w:val="22"/>
          <w:szCs w:val="22"/>
          <w:highlight w:val="yellow"/>
        </w:rPr>
        <w:t xml:space="preserve"> Tenants evicted due to rent arrears would also seek less adequate housing as it would be the only affordable option, as well as crowding to cut down on costs.</w:t>
      </w:r>
    </w:p>
    <w:p w14:paraId="2DE89352" w14:textId="77777777" w:rsidR="00A83B64" w:rsidRPr="00737659" w:rsidRDefault="00A83B64" w:rsidP="00A83B64">
      <w:pPr>
        <w:spacing w:after="160" w:line="259" w:lineRule="auto"/>
        <w:ind w:left="720"/>
        <w:jc w:val="both"/>
        <w:rPr>
          <w:rFonts w:eastAsia="Calibri"/>
          <w:sz w:val="22"/>
          <w:szCs w:val="22"/>
        </w:rPr>
      </w:pPr>
    </w:p>
    <w:p w14:paraId="4E687AF8" w14:textId="77777777" w:rsidR="00A83B64" w:rsidRPr="00737659" w:rsidRDefault="00A83B64" w:rsidP="00A83B64">
      <w:pPr>
        <w:spacing w:after="160" w:line="259" w:lineRule="auto"/>
        <w:jc w:val="both"/>
        <w:rPr>
          <w:rFonts w:eastAsia="Calibri"/>
          <w:b/>
          <w:sz w:val="22"/>
          <w:szCs w:val="22"/>
          <w:lang w:val="en-US"/>
        </w:rPr>
      </w:pPr>
      <w:r w:rsidRPr="00737659">
        <w:rPr>
          <w:rFonts w:eastAsia="Calibri"/>
          <w:b/>
          <w:sz w:val="22"/>
          <w:szCs w:val="22"/>
          <w:lang w:val="en-US"/>
        </w:rPr>
        <w:t xml:space="preserve">Laws, policies, </w:t>
      </w:r>
      <w:proofErr w:type="spellStart"/>
      <w:r w:rsidRPr="00737659">
        <w:rPr>
          <w:rFonts w:eastAsia="Calibri"/>
          <w:b/>
          <w:sz w:val="22"/>
          <w:szCs w:val="22"/>
          <w:lang w:val="en-US"/>
        </w:rPr>
        <w:t>programmes</w:t>
      </w:r>
      <w:proofErr w:type="spellEnd"/>
      <w:r w:rsidRPr="00737659">
        <w:rPr>
          <w:rFonts w:eastAsia="Calibri"/>
          <w:b/>
          <w:sz w:val="22"/>
          <w:szCs w:val="22"/>
          <w:lang w:val="en-US"/>
        </w:rPr>
        <w:t xml:space="preserve"> and practices aiming to ensure that housing is affordable to all without discrimination</w:t>
      </w:r>
    </w:p>
    <w:p w14:paraId="19424F31" w14:textId="77777777" w:rsidR="00A83B64" w:rsidRPr="00737659" w:rsidRDefault="00A83B64" w:rsidP="00A83B64">
      <w:pPr>
        <w:numPr>
          <w:ilvl w:val="0"/>
          <w:numId w:val="1"/>
        </w:numPr>
        <w:spacing w:after="160" w:line="259" w:lineRule="auto"/>
        <w:contextualSpacing/>
        <w:jc w:val="both"/>
        <w:rPr>
          <w:rFonts w:eastAsia="Calibri"/>
          <w:sz w:val="22"/>
          <w:szCs w:val="22"/>
          <w:lang w:val="en-US"/>
        </w:rPr>
      </w:pPr>
      <w:r w:rsidRPr="00737659">
        <w:rPr>
          <w:rFonts w:eastAsia="Calibri"/>
          <w:sz w:val="22"/>
          <w:szCs w:val="22"/>
          <w:lang w:val="en-US"/>
        </w:rPr>
        <w:t xml:space="preserve">Please share an overview of the laws, policies, </w:t>
      </w:r>
      <w:proofErr w:type="spellStart"/>
      <w:r w:rsidRPr="00737659">
        <w:rPr>
          <w:rFonts w:eastAsia="Calibri"/>
          <w:sz w:val="22"/>
          <w:szCs w:val="22"/>
          <w:lang w:val="en-US"/>
        </w:rPr>
        <w:t>programmes</w:t>
      </w:r>
      <w:proofErr w:type="spellEnd"/>
      <w:r w:rsidRPr="00737659">
        <w:rPr>
          <w:rFonts w:eastAsia="Calibri"/>
          <w:sz w:val="22"/>
          <w:szCs w:val="22"/>
          <w:lang w:val="en-US"/>
        </w:rPr>
        <w:t xml:space="preserve"> and practices adopted in your country/region/city to ensure that housing is affordable for all without any discrimination, Please, provide links to relevant official texts.  </w:t>
      </w:r>
    </w:p>
    <w:p w14:paraId="1FE4CF23" w14:textId="0BC4735E" w:rsidR="00A83B64" w:rsidRDefault="00A83B64" w:rsidP="00A83B64">
      <w:pPr>
        <w:spacing w:after="160" w:line="259" w:lineRule="auto"/>
        <w:ind w:left="720"/>
        <w:jc w:val="both"/>
        <w:rPr>
          <w:rFonts w:eastAsia="Calibri"/>
          <w:sz w:val="22"/>
          <w:szCs w:val="22"/>
          <w:lang w:val="en-US"/>
        </w:rPr>
      </w:pPr>
      <w:r w:rsidRPr="00737659">
        <w:rPr>
          <w:rFonts w:eastAsia="Calibri"/>
          <w:sz w:val="22"/>
          <w:szCs w:val="22"/>
          <w:lang w:val="en-US"/>
        </w:rPr>
        <w:lastRenderedPageBreak/>
        <w:t xml:space="preserve">(e.g. </w:t>
      </w:r>
      <w:r>
        <w:rPr>
          <w:rFonts w:eastAsia="Calibri"/>
          <w:sz w:val="22"/>
          <w:szCs w:val="22"/>
          <w:lang w:val="en-US"/>
        </w:rPr>
        <w:t xml:space="preserve">affordable </w:t>
      </w:r>
      <w:r w:rsidRPr="00737659">
        <w:rPr>
          <w:rFonts w:eastAsia="Calibri"/>
          <w:sz w:val="22"/>
          <w:szCs w:val="22"/>
          <w:lang w:val="en-US"/>
        </w:rPr>
        <w:t xml:space="preserve">housing, social and energy cost subsidies, preferential mortgage, building support schemes, provision of social and public housing, of serviced land for self-construction, rent containment and rent control measures, taxation, measures to reduce housing vacancy, multi-stakeholder initiatives by State, local Governments, construction industry, housing providers, tenant unions </w:t>
      </w:r>
      <w:proofErr w:type="spellStart"/>
      <w:r w:rsidRPr="00737659">
        <w:rPr>
          <w:rFonts w:eastAsia="Calibri"/>
          <w:sz w:val="22"/>
          <w:szCs w:val="22"/>
          <w:lang w:val="en-US"/>
        </w:rPr>
        <w:t>etc</w:t>
      </w:r>
      <w:proofErr w:type="spellEnd"/>
      <w:r w:rsidRPr="00737659">
        <w:rPr>
          <w:rFonts w:eastAsia="Calibri"/>
          <w:sz w:val="22"/>
          <w:szCs w:val="22"/>
          <w:lang w:val="en-US"/>
        </w:rPr>
        <w:t>).</w:t>
      </w:r>
    </w:p>
    <w:p w14:paraId="739E7F43" w14:textId="08910F55" w:rsidR="00B95A87" w:rsidRPr="00B95A87" w:rsidRDefault="00B95A87" w:rsidP="00B95A87">
      <w:pPr>
        <w:spacing w:after="160" w:line="259" w:lineRule="auto"/>
        <w:ind w:left="720"/>
        <w:jc w:val="both"/>
        <w:rPr>
          <w:rFonts w:eastAsia="Calibri"/>
          <w:b/>
          <w:bCs/>
          <w:sz w:val="22"/>
          <w:szCs w:val="22"/>
          <w:highlight w:val="yellow"/>
        </w:rPr>
      </w:pPr>
      <w:r w:rsidRPr="00B95A87">
        <w:rPr>
          <w:rFonts w:eastAsia="Calibri"/>
          <w:b/>
          <w:bCs/>
          <w:sz w:val="22"/>
          <w:szCs w:val="22"/>
          <w:highlight w:val="yellow"/>
        </w:rPr>
        <w:t xml:space="preserve">Social Housing </w:t>
      </w:r>
      <w:r w:rsidR="00EB5E4D">
        <w:rPr>
          <w:rFonts w:eastAsia="Calibri"/>
          <w:b/>
          <w:bCs/>
          <w:sz w:val="22"/>
          <w:szCs w:val="22"/>
          <w:highlight w:val="yellow"/>
        </w:rPr>
        <w:t>Programme</w:t>
      </w:r>
    </w:p>
    <w:p w14:paraId="2285139E" w14:textId="77777777" w:rsidR="00B95A87" w:rsidRPr="00B95A87" w:rsidRDefault="00B95A87" w:rsidP="00B95A87">
      <w:pPr>
        <w:spacing w:after="160" w:line="259" w:lineRule="auto"/>
        <w:ind w:left="720"/>
        <w:jc w:val="both"/>
        <w:rPr>
          <w:rFonts w:eastAsia="Calibri"/>
          <w:sz w:val="22"/>
          <w:szCs w:val="22"/>
          <w:highlight w:val="yellow"/>
        </w:rPr>
      </w:pPr>
      <w:r w:rsidRPr="00B95A87">
        <w:rPr>
          <w:rFonts w:eastAsia="Calibri"/>
          <w:sz w:val="22"/>
          <w:szCs w:val="22"/>
          <w:highlight w:val="yellow"/>
        </w:rPr>
        <w:t xml:space="preserve">There is no ad-hoc or emergency support to cover unforeseen increases in housing costs. Nor programs that provide rental aid or subsidies. The main way low-income households can access subsidized housing is by applying to advertisements to buy social housing in a program run by the Ministry of Housing’s </w:t>
      </w:r>
      <w:hyperlink r:id="rId15" w:history="1">
        <w:r w:rsidRPr="00B95A87">
          <w:rPr>
            <w:rStyle w:val="Hyperlink"/>
            <w:rFonts w:eastAsia="Calibri"/>
            <w:sz w:val="22"/>
            <w:szCs w:val="22"/>
            <w:highlight w:val="yellow"/>
          </w:rPr>
          <w:t>Social Housing and Mortgage Finance Fund</w:t>
        </w:r>
      </w:hyperlink>
      <w:r w:rsidRPr="00B95A87">
        <w:rPr>
          <w:rFonts w:eastAsia="Calibri"/>
          <w:sz w:val="22"/>
          <w:szCs w:val="22"/>
          <w:highlight w:val="yellow"/>
        </w:rPr>
        <w:t xml:space="preserve">. </w:t>
      </w:r>
    </w:p>
    <w:p w14:paraId="664E6BFD" w14:textId="2DB8D372" w:rsidR="00B95A87" w:rsidRPr="00B95A87" w:rsidRDefault="00B95A87" w:rsidP="00B95A87">
      <w:pPr>
        <w:spacing w:after="160" w:line="259" w:lineRule="auto"/>
        <w:ind w:left="720"/>
        <w:jc w:val="both"/>
        <w:rPr>
          <w:rFonts w:eastAsia="Calibri"/>
          <w:sz w:val="22"/>
          <w:szCs w:val="22"/>
          <w:highlight w:val="yellow"/>
        </w:rPr>
      </w:pPr>
      <w:r w:rsidRPr="00B95A87">
        <w:rPr>
          <w:rFonts w:eastAsia="Calibri"/>
          <w:sz w:val="22"/>
          <w:szCs w:val="22"/>
          <w:highlight w:val="yellow"/>
        </w:rPr>
        <w:t xml:space="preserve">According to the latest such call published by the </w:t>
      </w:r>
      <w:hyperlink r:id="rId16" w:history="1">
        <w:r w:rsidRPr="00B95A87">
          <w:rPr>
            <w:rStyle w:val="Hyperlink"/>
            <w:rFonts w:eastAsia="Calibri"/>
            <w:sz w:val="22"/>
            <w:szCs w:val="22"/>
            <w:highlight w:val="yellow"/>
          </w:rPr>
          <w:t>Ministry of Housing in September 2022</w:t>
        </w:r>
      </w:hyperlink>
      <w:r w:rsidRPr="00B95A87">
        <w:rPr>
          <w:rFonts w:eastAsia="Calibri"/>
          <w:sz w:val="22"/>
          <w:szCs w:val="22"/>
          <w:highlight w:val="yellow"/>
        </w:rPr>
        <w:t>, eligible low-income households are those that earn between LE 500 – 8000 per month (Table 1). The call is also open to middle-income households that earn between LE 6000 – 18,000 per month (</w:t>
      </w:r>
      <w:r w:rsidRPr="00B95A87">
        <w:rPr>
          <w:rFonts w:eastAsia="Calibri"/>
          <w:sz w:val="22"/>
          <w:szCs w:val="22"/>
          <w:highlight w:val="yellow"/>
        </w:rPr>
        <w:fldChar w:fldCharType="begin"/>
      </w:r>
      <w:r w:rsidRPr="00B95A87">
        <w:rPr>
          <w:rFonts w:eastAsia="Calibri"/>
          <w:sz w:val="22"/>
          <w:szCs w:val="22"/>
          <w:highlight w:val="yellow"/>
        </w:rPr>
        <w:instrText xml:space="preserve"> REF _Ref133315214 \h </w:instrText>
      </w:r>
      <w:r w:rsidR="00635083">
        <w:rPr>
          <w:rFonts w:eastAsia="Calibri"/>
          <w:sz w:val="22"/>
          <w:szCs w:val="22"/>
          <w:highlight w:val="yellow"/>
        </w:rPr>
        <w:instrText xml:space="preserve"> \* MERGEFORMAT </w:instrText>
      </w:r>
      <w:r w:rsidRPr="00B95A87">
        <w:rPr>
          <w:rFonts w:eastAsia="Calibri"/>
          <w:sz w:val="22"/>
          <w:szCs w:val="22"/>
          <w:highlight w:val="yellow"/>
        </w:rPr>
      </w:r>
      <w:r w:rsidRPr="00B95A87">
        <w:rPr>
          <w:rFonts w:eastAsia="Calibri"/>
          <w:sz w:val="22"/>
          <w:szCs w:val="22"/>
          <w:highlight w:val="yellow"/>
        </w:rPr>
        <w:fldChar w:fldCharType="separate"/>
      </w:r>
      <w:r w:rsidRPr="00B95A87">
        <w:rPr>
          <w:rFonts w:eastAsia="Calibri"/>
          <w:sz w:val="22"/>
          <w:szCs w:val="22"/>
          <w:highlight w:val="yellow"/>
        </w:rPr>
        <w:t>Table 3</w:t>
      </w:r>
      <w:r w:rsidRPr="00B95A87">
        <w:rPr>
          <w:rFonts w:eastAsia="Calibri"/>
          <w:sz w:val="22"/>
          <w:szCs w:val="22"/>
          <w:highlight w:val="yellow"/>
          <w:lang w:val="en-US"/>
        </w:rPr>
        <w:fldChar w:fldCharType="end"/>
      </w:r>
      <w:r w:rsidRPr="00B95A87">
        <w:rPr>
          <w:rFonts w:eastAsia="Calibri"/>
          <w:sz w:val="22"/>
          <w:szCs w:val="22"/>
          <w:highlight w:val="yellow"/>
        </w:rPr>
        <w:t>). However, as per the aforementioned Housing Strategy, which recommends that low-income households are those up to the 60</w:t>
      </w:r>
      <w:r w:rsidRPr="00B95A87">
        <w:rPr>
          <w:rFonts w:eastAsia="Calibri"/>
          <w:sz w:val="22"/>
          <w:szCs w:val="22"/>
          <w:highlight w:val="yellow"/>
          <w:vertAlign w:val="superscript"/>
        </w:rPr>
        <w:t>th</w:t>
      </w:r>
      <w:r w:rsidRPr="00B95A87">
        <w:rPr>
          <w:rFonts w:eastAsia="Calibri"/>
          <w:sz w:val="22"/>
          <w:szCs w:val="22"/>
          <w:highlight w:val="yellow"/>
        </w:rPr>
        <w:t xml:space="preserve"> percentile, the latest available income survey shows that they earn on average LE 4775 per month (</w:t>
      </w:r>
      <w:r w:rsidRPr="00B95A87">
        <w:rPr>
          <w:rFonts w:eastAsia="Calibri"/>
          <w:sz w:val="22"/>
          <w:szCs w:val="22"/>
          <w:highlight w:val="yellow"/>
        </w:rPr>
        <w:fldChar w:fldCharType="begin"/>
      </w:r>
      <w:r w:rsidRPr="00B95A87">
        <w:rPr>
          <w:rFonts w:eastAsia="Calibri"/>
          <w:sz w:val="22"/>
          <w:szCs w:val="22"/>
          <w:highlight w:val="yellow"/>
        </w:rPr>
        <w:instrText xml:space="preserve"> REF _Ref133315214 \h </w:instrText>
      </w:r>
      <w:r w:rsidR="00635083">
        <w:rPr>
          <w:rFonts w:eastAsia="Calibri"/>
          <w:sz w:val="22"/>
          <w:szCs w:val="22"/>
          <w:highlight w:val="yellow"/>
        </w:rPr>
        <w:instrText xml:space="preserve"> \* MERGEFORMAT </w:instrText>
      </w:r>
      <w:r w:rsidRPr="00B95A87">
        <w:rPr>
          <w:rFonts w:eastAsia="Calibri"/>
          <w:sz w:val="22"/>
          <w:szCs w:val="22"/>
          <w:highlight w:val="yellow"/>
        </w:rPr>
      </w:r>
      <w:r w:rsidRPr="00B95A87">
        <w:rPr>
          <w:rFonts w:eastAsia="Calibri"/>
          <w:sz w:val="22"/>
          <w:szCs w:val="22"/>
          <w:highlight w:val="yellow"/>
        </w:rPr>
        <w:fldChar w:fldCharType="separate"/>
      </w:r>
      <w:r w:rsidRPr="00B95A87">
        <w:rPr>
          <w:rFonts w:eastAsia="Calibri"/>
          <w:sz w:val="22"/>
          <w:szCs w:val="22"/>
          <w:highlight w:val="yellow"/>
        </w:rPr>
        <w:t>Table 3</w:t>
      </w:r>
      <w:r w:rsidRPr="00B95A87">
        <w:rPr>
          <w:rFonts w:eastAsia="Calibri"/>
          <w:sz w:val="22"/>
          <w:szCs w:val="22"/>
          <w:highlight w:val="yellow"/>
          <w:lang w:val="en-US"/>
        </w:rPr>
        <w:fldChar w:fldCharType="end"/>
      </w:r>
      <w:r w:rsidRPr="00B95A87">
        <w:rPr>
          <w:rFonts w:eastAsia="Calibri"/>
          <w:sz w:val="22"/>
          <w:szCs w:val="22"/>
          <w:highlight w:val="yellow"/>
        </w:rPr>
        <w:t>).</w:t>
      </w:r>
      <w:r w:rsidRPr="00B95A87">
        <w:rPr>
          <w:rFonts w:eastAsia="Calibri"/>
          <w:sz w:val="22"/>
          <w:szCs w:val="22"/>
          <w:highlight w:val="yellow"/>
          <w:vertAlign w:val="superscript"/>
        </w:rPr>
        <w:footnoteReference w:id="26"/>
      </w:r>
      <w:r w:rsidRPr="00B95A87">
        <w:rPr>
          <w:rFonts w:eastAsia="Calibri"/>
          <w:sz w:val="22"/>
          <w:szCs w:val="22"/>
          <w:highlight w:val="yellow"/>
        </w:rPr>
        <w:t xml:space="preserve"> </w:t>
      </w:r>
    </w:p>
    <w:p w14:paraId="6991AFB6" w14:textId="24EE3B39" w:rsidR="00B95A87" w:rsidRPr="00B95A87" w:rsidRDefault="00B95A87" w:rsidP="00B95A87">
      <w:pPr>
        <w:spacing w:after="160" w:line="259" w:lineRule="auto"/>
        <w:ind w:left="720"/>
        <w:jc w:val="both"/>
        <w:rPr>
          <w:rFonts w:eastAsia="Calibri"/>
          <w:i/>
          <w:iCs/>
          <w:sz w:val="22"/>
          <w:szCs w:val="22"/>
          <w:highlight w:val="yellow"/>
        </w:rPr>
      </w:pPr>
      <w:bookmarkStart w:id="5" w:name="_Ref133315214"/>
      <w:r w:rsidRPr="00B95A87">
        <w:rPr>
          <w:rFonts w:eastAsia="Calibri"/>
          <w:i/>
          <w:iCs/>
          <w:sz w:val="22"/>
          <w:szCs w:val="22"/>
          <w:highlight w:val="yellow"/>
        </w:rPr>
        <w:t xml:space="preserve">Table </w:t>
      </w:r>
      <w:r w:rsidRPr="00B95A87">
        <w:rPr>
          <w:rFonts w:eastAsia="Calibri"/>
          <w:i/>
          <w:iCs/>
          <w:sz w:val="22"/>
          <w:szCs w:val="22"/>
          <w:highlight w:val="yellow"/>
        </w:rPr>
        <w:fldChar w:fldCharType="begin"/>
      </w:r>
      <w:r w:rsidRPr="00B95A87">
        <w:rPr>
          <w:rFonts w:eastAsia="Calibri"/>
          <w:i/>
          <w:iCs/>
          <w:sz w:val="22"/>
          <w:szCs w:val="22"/>
          <w:highlight w:val="yellow"/>
        </w:rPr>
        <w:instrText xml:space="preserve"> SEQ Table \* ARABIC </w:instrText>
      </w:r>
      <w:r w:rsidRPr="00B95A87">
        <w:rPr>
          <w:rFonts w:eastAsia="Calibri"/>
          <w:i/>
          <w:iCs/>
          <w:sz w:val="22"/>
          <w:szCs w:val="22"/>
          <w:highlight w:val="yellow"/>
        </w:rPr>
        <w:fldChar w:fldCharType="separate"/>
      </w:r>
      <w:r w:rsidR="00591B1B">
        <w:rPr>
          <w:rFonts w:eastAsia="Calibri"/>
          <w:i/>
          <w:iCs/>
          <w:noProof/>
          <w:sz w:val="22"/>
          <w:szCs w:val="22"/>
          <w:highlight w:val="yellow"/>
        </w:rPr>
        <w:t>4</w:t>
      </w:r>
      <w:r w:rsidRPr="00B95A87">
        <w:rPr>
          <w:rFonts w:eastAsia="Calibri"/>
          <w:sz w:val="22"/>
          <w:szCs w:val="22"/>
          <w:highlight w:val="yellow"/>
          <w:lang w:val="en-US"/>
        </w:rPr>
        <w:fldChar w:fldCharType="end"/>
      </w:r>
      <w:bookmarkEnd w:id="5"/>
      <w:r w:rsidRPr="00B95A87">
        <w:rPr>
          <w:rFonts w:eastAsia="Calibri"/>
          <w:i/>
          <w:iCs/>
          <w:sz w:val="22"/>
          <w:szCs w:val="22"/>
          <w:highlight w:val="yellow"/>
          <w:lang w:val="en-US"/>
        </w:rPr>
        <w:t>: Comparison between social housing income criteria and actual average incomes for low-income households (LE/month)</w:t>
      </w:r>
    </w:p>
    <w:tbl>
      <w:tblPr>
        <w:tblStyle w:val="TableGrid"/>
        <w:tblW w:w="0" w:type="auto"/>
        <w:tblInd w:w="720" w:type="dxa"/>
        <w:tblLook w:val="04A0" w:firstRow="1" w:lastRow="0" w:firstColumn="1" w:lastColumn="0" w:noHBand="0" w:noVBand="1"/>
      </w:tblPr>
      <w:tblGrid>
        <w:gridCol w:w="1906"/>
        <w:gridCol w:w="1829"/>
        <w:gridCol w:w="1829"/>
        <w:gridCol w:w="2210"/>
      </w:tblGrid>
      <w:tr w:rsidR="00B95A87" w:rsidRPr="00B95A87" w14:paraId="5852B770" w14:textId="77777777" w:rsidTr="009D1A95">
        <w:tc>
          <w:tcPr>
            <w:tcW w:w="1932" w:type="dxa"/>
          </w:tcPr>
          <w:p w14:paraId="150EBB0D" w14:textId="77777777" w:rsidR="00B95A87" w:rsidRPr="00B95A87" w:rsidRDefault="00B95A87" w:rsidP="00B95A87">
            <w:pPr>
              <w:spacing w:after="160" w:line="259" w:lineRule="auto"/>
              <w:ind w:left="720"/>
              <w:jc w:val="both"/>
              <w:rPr>
                <w:rFonts w:eastAsia="Calibri"/>
                <w:sz w:val="22"/>
                <w:szCs w:val="22"/>
                <w:highlight w:val="yellow"/>
              </w:rPr>
            </w:pPr>
            <w:r w:rsidRPr="00B95A87">
              <w:rPr>
                <w:rFonts w:eastAsia="Calibri"/>
                <w:sz w:val="22"/>
                <w:szCs w:val="22"/>
                <w:highlight w:val="yellow"/>
              </w:rPr>
              <w:t>Income ranges</w:t>
            </w:r>
          </w:p>
        </w:tc>
        <w:tc>
          <w:tcPr>
            <w:tcW w:w="1738" w:type="dxa"/>
          </w:tcPr>
          <w:p w14:paraId="712AA4B5" w14:textId="77777777" w:rsidR="00B95A87" w:rsidRPr="00B95A87" w:rsidRDefault="00B95A87" w:rsidP="00B95A87">
            <w:pPr>
              <w:spacing w:after="160" w:line="259" w:lineRule="auto"/>
              <w:ind w:left="720"/>
              <w:jc w:val="both"/>
              <w:rPr>
                <w:rFonts w:eastAsia="Calibri"/>
                <w:sz w:val="22"/>
                <w:szCs w:val="22"/>
                <w:highlight w:val="yellow"/>
              </w:rPr>
            </w:pPr>
            <w:r w:rsidRPr="00B95A87">
              <w:rPr>
                <w:rFonts w:eastAsia="Calibri"/>
                <w:sz w:val="22"/>
                <w:szCs w:val="22"/>
                <w:highlight w:val="yellow"/>
              </w:rPr>
              <w:t>Social Housing Low Income Threshold</w:t>
            </w:r>
          </w:p>
        </w:tc>
        <w:tc>
          <w:tcPr>
            <w:tcW w:w="1701" w:type="dxa"/>
          </w:tcPr>
          <w:p w14:paraId="0BFD9C6F" w14:textId="77777777" w:rsidR="00B95A87" w:rsidRPr="00B95A87" w:rsidRDefault="00B95A87" w:rsidP="00B95A87">
            <w:pPr>
              <w:spacing w:after="160" w:line="259" w:lineRule="auto"/>
              <w:ind w:left="720"/>
              <w:jc w:val="both"/>
              <w:rPr>
                <w:rFonts w:eastAsia="Calibri"/>
                <w:sz w:val="22"/>
                <w:szCs w:val="22"/>
                <w:highlight w:val="yellow"/>
              </w:rPr>
            </w:pPr>
            <w:r w:rsidRPr="00B95A87">
              <w:rPr>
                <w:rFonts w:eastAsia="Calibri"/>
                <w:sz w:val="22"/>
                <w:szCs w:val="22"/>
                <w:highlight w:val="yellow"/>
              </w:rPr>
              <w:t>Social Housing Middle Income Threshold</w:t>
            </w:r>
          </w:p>
        </w:tc>
        <w:tc>
          <w:tcPr>
            <w:tcW w:w="2403" w:type="dxa"/>
          </w:tcPr>
          <w:p w14:paraId="1B66F85D" w14:textId="77777777" w:rsidR="00B95A87" w:rsidRPr="00B95A87" w:rsidRDefault="00B95A87" w:rsidP="00B95A87">
            <w:pPr>
              <w:spacing w:after="160" w:line="259" w:lineRule="auto"/>
              <w:ind w:left="720"/>
              <w:jc w:val="both"/>
              <w:rPr>
                <w:rFonts w:eastAsia="Calibri"/>
                <w:sz w:val="22"/>
                <w:szCs w:val="22"/>
                <w:highlight w:val="yellow"/>
              </w:rPr>
            </w:pPr>
            <w:r w:rsidRPr="00B95A87">
              <w:rPr>
                <w:rFonts w:eastAsia="Calibri"/>
                <w:sz w:val="22"/>
                <w:szCs w:val="22"/>
                <w:highlight w:val="yellow"/>
              </w:rPr>
              <w:t>10</w:t>
            </w:r>
            <w:r w:rsidRPr="00B95A87">
              <w:rPr>
                <w:rFonts w:eastAsia="Calibri"/>
                <w:sz w:val="22"/>
                <w:szCs w:val="22"/>
                <w:highlight w:val="yellow"/>
                <w:vertAlign w:val="superscript"/>
              </w:rPr>
              <w:t>th</w:t>
            </w:r>
            <w:r w:rsidRPr="00B95A87">
              <w:rPr>
                <w:rFonts w:eastAsia="Calibri"/>
                <w:sz w:val="22"/>
                <w:szCs w:val="22"/>
                <w:highlight w:val="yellow"/>
              </w:rPr>
              <w:t xml:space="preserve"> to 60</w:t>
            </w:r>
            <w:r w:rsidRPr="00B95A87">
              <w:rPr>
                <w:rFonts w:eastAsia="Calibri"/>
                <w:sz w:val="22"/>
                <w:szCs w:val="22"/>
                <w:highlight w:val="yellow"/>
                <w:vertAlign w:val="superscript"/>
              </w:rPr>
              <w:t>th</w:t>
            </w:r>
            <w:r w:rsidRPr="00B95A87">
              <w:rPr>
                <w:rFonts w:eastAsia="Calibri"/>
                <w:sz w:val="22"/>
                <w:szCs w:val="22"/>
                <w:highlight w:val="yellow"/>
              </w:rPr>
              <w:t xml:space="preserve"> percentile income in 2019/20.</w:t>
            </w:r>
          </w:p>
        </w:tc>
      </w:tr>
      <w:tr w:rsidR="00B95A87" w:rsidRPr="00B95A87" w14:paraId="1E300596" w14:textId="77777777" w:rsidTr="009D1A95">
        <w:tc>
          <w:tcPr>
            <w:tcW w:w="1932" w:type="dxa"/>
          </w:tcPr>
          <w:p w14:paraId="7854319B" w14:textId="77777777" w:rsidR="00B95A87" w:rsidRPr="00B95A87" w:rsidRDefault="00B95A87" w:rsidP="00B95A87">
            <w:pPr>
              <w:spacing w:after="160" w:line="259" w:lineRule="auto"/>
              <w:ind w:left="720"/>
              <w:jc w:val="both"/>
              <w:rPr>
                <w:rFonts w:eastAsia="Calibri"/>
                <w:sz w:val="22"/>
                <w:szCs w:val="22"/>
                <w:highlight w:val="yellow"/>
              </w:rPr>
            </w:pPr>
            <w:r w:rsidRPr="00B95A87">
              <w:rPr>
                <w:rFonts w:eastAsia="Calibri"/>
                <w:sz w:val="22"/>
                <w:szCs w:val="22"/>
                <w:highlight w:val="yellow"/>
              </w:rPr>
              <w:lastRenderedPageBreak/>
              <w:t>Minimum income</w:t>
            </w:r>
          </w:p>
        </w:tc>
        <w:tc>
          <w:tcPr>
            <w:tcW w:w="1738" w:type="dxa"/>
          </w:tcPr>
          <w:p w14:paraId="50FFF30E" w14:textId="77777777" w:rsidR="00B95A87" w:rsidRPr="00B95A87" w:rsidRDefault="00B95A87" w:rsidP="00B95A87">
            <w:pPr>
              <w:spacing w:after="160" w:line="259" w:lineRule="auto"/>
              <w:ind w:left="720"/>
              <w:jc w:val="both"/>
              <w:rPr>
                <w:rFonts w:eastAsia="Calibri"/>
                <w:sz w:val="22"/>
                <w:szCs w:val="22"/>
                <w:highlight w:val="yellow"/>
              </w:rPr>
            </w:pPr>
            <w:r w:rsidRPr="00B95A87">
              <w:rPr>
                <w:rFonts w:eastAsia="Calibri"/>
                <w:sz w:val="22"/>
                <w:szCs w:val="22"/>
                <w:highlight w:val="yellow"/>
              </w:rPr>
              <w:t>500</w:t>
            </w:r>
          </w:p>
        </w:tc>
        <w:tc>
          <w:tcPr>
            <w:tcW w:w="1701" w:type="dxa"/>
          </w:tcPr>
          <w:p w14:paraId="061C41B9" w14:textId="77777777" w:rsidR="00B95A87" w:rsidRPr="00B95A87" w:rsidRDefault="00B95A87" w:rsidP="00B95A87">
            <w:pPr>
              <w:spacing w:after="160" w:line="259" w:lineRule="auto"/>
              <w:ind w:left="720"/>
              <w:jc w:val="both"/>
              <w:rPr>
                <w:rFonts w:eastAsia="Calibri"/>
                <w:sz w:val="22"/>
                <w:szCs w:val="22"/>
                <w:highlight w:val="yellow"/>
              </w:rPr>
            </w:pPr>
            <w:r w:rsidRPr="00B95A87">
              <w:rPr>
                <w:rFonts w:eastAsia="Calibri"/>
                <w:sz w:val="22"/>
                <w:szCs w:val="22"/>
                <w:highlight w:val="yellow"/>
              </w:rPr>
              <w:t>6000</w:t>
            </w:r>
          </w:p>
        </w:tc>
        <w:tc>
          <w:tcPr>
            <w:tcW w:w="2403" w:type="dxa"/>
          </w:tcPr>
          <w:p w14:paraId="0511FD53" w14:textId="77777777" w:rsidR="00B95A87" w:rsidRPr="00B95A87" w:rsidRDefault="00B95A87" w:rsidP="00B95A87">
            <w:pPr>
              <w:spacing w:after="160" w:line="259" w:lineRule="auto"/>
              <w:ind w:left="720"/>
              <w:jc w:val="both"/>
              <w:rPr>
                <w:rFonts w:eastAsia="Calibri"/>
                <w:sz w:val="22"/>
                <w:szCs w:val="22"/>
                <w:highlight w:val="yellow"/>
              </w:rPr>
            </w:pPr>
            <w:r w:rsidRPr="00B95A87">
              <w:rPr>
                <w:rFonts w:eastAsia="Calibri"/>
                <w:sz w:val="22"/>
                <w:szCs w:val="22"/>
                <w:highlight w:val="yellow"/>
              </w:rPr>
              <w:t>3080</w:t>
            </w:r>
          </w:p>
        </w:tc>
      </w:tr>
      <w:tr w:rsidR="00B95A87" w:rsidRPr="00B95A87" w14:paraId="79FF50D9" w14:textId="77777777" w:rsidTr="009D1A95">
        <w:tc>
          <w:tcPr>
            <w:tcW w:w="1932" w:type="dxa"/>
          </w:tcPr>
          <w:p w14:paraId="33531A51" w14:textId="77777777" w:rsidR="00B95A87" w:rsidRPr="00B95A87" w:rsidRDefault="00B95A87" w:rsidP="00B95A87">
            <w:pPr>
              <w:spacing w:after="160" w:line="259" w:lineRule="auto"/>
              <w:ind w:left="720"/>
              <w:jc w:val="both"/>
              <w:rPr>
                <w:rFonts w:eastAsia="Calibri"/>
                <w:sz w:val="22"/>
                <w:szCs w:val="22"/>
                <w:highlight w:val="yellow"/>
              </w:rPr>
            </w:pPr>
            <w:r w:rsidRPr="00B95A87">
              <w:rPr>
                <w:rFonts w:eastAsia="Calibri"/>
                <w:sz w:val="22"/>
                <w:szCs w:val="22"/>
                <w:highlight w:val="yellow"/>
              </w:rPr>
              <w:t>Maximum income</w:t>
            </w:r>
          </w:p>
        </w:tc>
        <w:tc>
          <w:tcPr>
            <w:tcW w:w="1738" w:type="dxa"/>
          </w:tcPr>
          <w:p w14:paraId="16257291" w14:textId="77777777" w:rsidR="00B95A87" w:rsidRPr="00B95A87" w:rsidRDefault="00B95A87" w:rsidP="00B95A87">
            <w:pPr>
              <w:spacing w:after="160" w:line="259" w:lineRule="auto"/>
              <w:ind w:left="720"/>
              <w:jc w:val="both"/>
              <w:rPr>
                <w:rFonts w:eastAsia="Calibri"/>
                <w:sz w:val="22"/>
                <w:szCs w:val="22"/>
                <w:highlight w:val="yellow"/>
              </w:rPr>
            </w:pPr>
            <w:r w:rsidRPr="00B95A87">
              <w:rPr>
                <w:rFonts w:eastAsia="Calibri"/>
                <w:sz w:val="22"/>
                <w:szCs w:val="22"/>
                <w:highlight w:val="yellow"/>
              </w:rPr>
              <w:t>8000</w:t>
            </w:r>
          </w:p>
        </w:tc>
        <w:tc>
          <w:tcPr>
            <w:tcW w:w="1701" w:type="dxa"/>
          </w:tcPr>
          <w:p w14:paraId="35A8CFB0" w14:textId="77777777" w:rsidR="00B95A87" w:rsidRPr="00B95A87" w:rsidRDefault="00B95A87" w:rsidP="00B95A87">
            <w:pPr>
              <w:spacing w:after="160" w:line="259" w:lineRule="auto"/>
              <w:ind w:left="720"/>
              <w:jc w:val="both"/>
              <w:rPr>
                <w:rFonts w:eastAsia="Calibri"/>
                <w:sz w:val="22"/>
                <w:szCs w:val="22"/>
                <w:highlight w:val="yellow"/>
              </w:rPr>
            </w:pPr>
            <w:r w:rsidRPr="00B95A87">
              <w:rPr>
                <w:rFonts w:eastAsia="Calibri"/>
                <w:sz w:val="22"/>
                <w:szCs w:val="22"/>
                <w:highlight w:val="yellow"/>
              </w:rPr>
              <w:t>18,000</w:t>
            </w:r>
          </w:p>
        </w:tc>
        <w:tc>
          <w:tcPr>
            <w:tcW w:w="2403" w:type="dxa"/>
          </w:tcPr>
          <w:p w14:paraId="28345075" w14:textId="77777777" w:rsidR="00B95A87" w:rsidRPr="00B95A87" w:rsidRDefault="00B95A87" w:rsidP="00B95A87">
            <w:pPr>
              <w:spacing w:after="160" w:line="259" w:lineRule="auto"/>
              <w:ind w:left="720"/>
              <w:jc w:val="both"/>
              <w:rPr>
                <w:rFonts w:eastAsia="Calibri"/>
                <w:sz w:val="22"/>
                <w:szCs w:val="22"/>
                <w:highlight w:val="yellow"/>
              </w:rPr>
            </w:pPr>
            <w:r w:rsidRPr="00B95A87">
              <w:rPr>
                <w:rFonts w:eastAsia="Calibri"/>
                <w:sz w:val="22"/>
                <w:szCs w:val="22"/>
                <w:highlight w:val="yellow"/>
              </w:rPr>
              <w:t>4775</w:t>
            </w:r>
          </w:p>
        </w:tc>
      </w:tr>
    </w:tbl>
    <w:p w14:paraId="52CD8573" w14:textId="77777777" w:rsidR="00B95A87" w:rsidRPr="00B95A87" w:rsidRDefault="00B95A87" w:rsidP="00B95A87">
      <w:pPr>
        <w:spacing w:after="160" w:line="259" w:lineRule="auto"/>
        <w:ind w:left="720"/>
        <w:jc w:val="both"/>
        <w:rPr>
          <w:rFonts w:eastAsia="Calibri"/>
          <w:sz w:val="22"/>
          <w:szCs w:val="22"/>
          <w:highlight w:val="yellow"/>
        </w:rPr>
      </w:pPr>
    </w:p>
    <w:p w14:paraId="06C46F06" w14:textId="77777777" w:rsidR="00A83B64" w:rsidRDefault="00A83B64" w:rsidP="00A83B64">
      <w:pPr>
        <w:numPr>
          <w:ilvl w:val="0"/>
          <w:numId w:val="1"/>
        </w:numPr>
        <w:spacing w:after="160" w:line="259" w:lineRule="auto"/>
        <w:contextualSpacing/>
        <w:rPr>
          <w:rFonts w:eastAsia="Calibri"/>
          <w:sz w:val="22"/>
          <w:szCs w:val="22"/>
          <w:lang w:val="en-US"/>
        </w:rPr>
      </w:pPr>
      <w:r w:rsidRPr="00737659">
        <w:rPr>
          <w:rFonts w:eastAsia="Calibri"/>
          <w:sz w:val="22"/>
          <w:szCs w:val="22"/>
          <w:lang w:val="en-US"/>
        </w:rPr>
        <w:t xml:space="preserve">Please share an assessment of the success, limitations or potential failures of the above mentioned </w:t>
      </w:r>
      <w:r>
        <w:rPr>
          <w:rFonts w:eastAsia="Calibri"/>
          <w:sz w:val="22"/>
          <w:szCs w:val="22"/>
          <w:lang w:val="en-US"/>
        </w:rPr>
        <w:t xml:space="preserve">laws and </w:t>
      </w:r>
      <w:r w:rsidRPr="00737659">
        <w:rPr>
          <w:rFonts w:eastAsia="Calibri"/>
          <w:sz w:val="22"/>
          <w:szCs w:val="22"/>
          <w:lang w:val="en-US"/>
        </w:rPr>
        <w:t>policies in your country/region/city, including any studies or independent evaluation reports related to them. Who has benefited from them, who has not? What has worked well, what - less? What lessons can be learned? What could potentially be replicable in other countries/regions/cities?</w:t>
      </w:r>
    </w:p>
    <w:p w14:paraId="38E3E89C" w14:textId="77777777" w:rsidR="00A83B64" w:rsidRDefault="00A83B64" w:rsidP="00A83B64">
      <w:pPr>
        <w:spacing w:after="160" w:line="259" w:lineRule="auto"/>
        <w:contextualSpacing/>
        <w:rPr>
          <w:rFonts w:eastAsia="Calibri"/>
          <w:sz w:val="22"/>
          <w:szCs w:val="22"/>
          <w:lang w:val="en-US"/>
        </w:rPr>
      </w:pPr>
    </w:p>
    <w:p w14:paraId="6A12B9B0" w14:textId="5DCF1F78" w:rsidR="00341F45" w:rsidRPr="00341F45" w:rsidRDefault="00341F45" w:rsidP="00023127">
      <w:pPr>
        <w:spacing w:after="160" w:line="259" w:lineRule="auto"/>
        <w:ind w:left="720"/>
        <w:contextualSpacing/>
        <w:rPr>
          <w:rFonts w:eastAsia="Calibri"/>
          <w:sz w:val="22"/>
          <w:szCs w:val="22"/>
        </w:rPr>
      </w:pPr>
      <w:r w:rsidRPr="00341F45">
        <w:rPr>
          <w:rFonts w:eastAsia="Calibri"/>
          <w:sz w:val="22"/>
          <w:szCs w:val="22"/>
          <w:highlight w:val="yellow"/>
        </w:rPr>
        <w:t>As applicants are required to pay a downpayment that ranges between 15% - 40% of the social housing unit, and are vetted by commercial banks in order to access subsidized mortgages, the currently high definition of low-income households, in addition to the eligibility of middle-income households, means that higher earners can easily crowd out lower earners, as has been pointed out in the Egypt Housing Strategy.</w:t>
      </w:r>
      <w:r w:rsidRPr="00341F45">
        <w:rPr>
          <w:rFonts w:eastAsia="Calibri"/>
          <w:sz w:val="22"/>
          <w:szCs w:val="22"/>
          <w:highlight w:val="yellow"/>
          <w:vertAlign w:val="superscript"/>
        </w:rPr>
        <w:footnoteReference w:id="27"/>
      </w:r>
      <w:r w:rsidR="00FF35EC" w:rsidRPr="00023127">
        <w:rPr>
          <w:rFonts w:eastAsia="Calibri"/>
          <w:sz w:val="22"/>
          <w:szCs w:val="22"/>
          <w:highlight w:val="yellow"/>
        </w:rPr>
        <w:t xml:space="preserve"> The programme’s mortgage scheme was also found to favour those formally employed, especially as civil servants, who are only required to pay lower downpayments (15%) of the unit price, compared to the informally employed which are given smaller mortgages, and thus pay a higher downpayment</w:t>
      </w:r>
      <w:r w:rsidR="00023127" w:rsidRPr="00023127">
        <w:rPr>
          <w:rFonts w:eastAsia="Calibri"/>
          <w:sz w:val="22"/>
          <w:szCs w:val="22"/>
          <w:highlight w:val="yellow"/>
        </w:rPr>
        <w:t>.</w:t>
      </w:r>
      <w:r w:rsidR="00023127" w:rsidRPr="00023127">
        <w:rPr>
          <w:rFonts w:eastAsia="Calibri"/>
          <w:sz w:val="22"/>
          <w:szCs w:val="22"/>
          <w:highlight w:val="yellow"/>
          <w:vertAlign w:val="superscript"/>
        </w:rPr>
        <w:footnoteReference w:id="28"/>
      </w:r>
      <w:r w:rsidR="00023127" w:rsidRPr="00023127">
        <w:rPr>
          <w:rFonts w:eastAsia="Calibri"/>
          <w:sz w:val="22"/>
          <w:szCs w:val="22"/>
          <w:highlight w:val="yellow"/>
        </w:rPr>
        <w:t xml:space="preserve"> This is reflected in in how only 5% of units over the first three years of the project (2014/14 – 2016/14) had been allocated to those not formally employed, only rising to 19% over 2017/18 after changing some of the requirements, even though they constitute two thirds of the workforce.</w:t>
      </w:r>
      <w:r w:rsidR="00023127" w:rsidRPr="00023127">
        <w:rPr>
          <w:rStyle w:val="FootnoteReference"/>
          <w:rFonts w:eastAsia="Calibri"/>
          <w:sz w:val="22"/>
          <w:szCs w:val="22"/>
          <w:highlight w:val="yellow"/>
        </w:rPr>
        <w:footnoteReference w:id="29"/>
      </w:r>
    </w:p>
    <w:p w14:paraId="1A5F81B0" w14:textId="77777777" w:rsidR="00A83B64" w:rsidRPr="00341F45" w:rsidRDefault="00A83B64" w:rsidP="00341F45">
      <w:pPr>
        <w:spacing w:after="160" w:line="259" w:lineRule="auto"/>
        <w:ind w:left="720"/>
        <w:contextualSpacing/>
        <w:rPr>
          <w:rFonts w:eastAsia="Calibri"/>
          <w:sz w:val="22"/>
          <w:szCs w:val="22"/>
        </w:rPr>
      </w:pPr>
    </w:p>
    <w:p w14:paraId="5CFF0EAF" w14:textId="77777777" w:rsidR="00A83B64" w:rsidRPr="00A83B64" w:rsidRDefault="00A83B64" w:rsidP="00A83B64">
      <w:pPr>
        <w:spacing w:after="160" w:line="259" w:lineRule="auto"/>
        <w:contextualSpacing/>
        <w:rPr>
          <w:rFonts w:eastAsia="Calibri"/>
          <w:sz w:val="22"/>
          <w:szCs w:val="22"/>
          <w:lang w:val="en-US"/>
        </w:rPr>
      </w:pPr>
    </w:p>
    <w:p w14:paraId="3FE32FEF" w14:textId="77777777" w:rsidR="00A83B64" w:rsidRPr="00737659" w:rsidRDefault="00A83B64" w:rsidP="00A83B64">
      <w:pPr>
        <w:spacing w:after="160" w:line="259" w:lineRule="auto"/>
        <w:contextualSpacing/>
        <w:rPr>
          <w:rFonts w:eastAsia="Calibri"/>
          <w:sz w:val="22"/>
          <w:szCs w:val="22"/>
          <w:lang w:val="en-US"/>
        </w:rPr>
      </w:pPr>
    </w:p>
    <w:p w14:paraId="09B2ADEF" w14:textId="77777777" w:rsidR="00A83B64" w:rsidRPr="00737659" w:rsidRDefault="00A83B64" w:rsidP="00A83B64">
      <w:pPr>
        <w:spacing w:after="160" w:line="259" w:lineRule="auto"/>
        <w:rPr>
          <w:rFonts w:eastAsia="Calibri"/>
          <w:b/>
          <w:sz w:val="28"/>
          <w:szCs w:val="22"/>
          <w:lang w:val="en-US"/>
        </w:rPr>
      </w:pPr>
      <w:r w:rsidRPr="00737659">
        <w:rPr>
          <w:rFonts w:eastAsia="Calibri"/>
          <w:b/>
          <w:sz w:val="28"/>
          <w:szCs w:val="22"/>
          <w:lang w:val="en-US"/>
        </w:rPr>
        <w:t>Submission instructions</w:t>
      </w:r>
    </w:p>
    <w:p w14:paraId="26C74F97" w14:textId="77777777" w:rsidR="00A83B64" w:rsidRPr="00737659" w:rsidRDefault="00A83B64" w:rsidP="00A83B64">
      <w:pPr>
        <w:spacing w:after="160" w:line="259" w:lineRule="auto"/>
        <w:rPr>
          <w:rFonts w:eastAsia="Calibri"/>
          <w:sz w:val="22"/>
          <w:szCs w:val="22"/>
          <w:lang w:val="en-US"/>
        </w:rPr>
      </w:pPr>
      <w:r w:rsidRPr="00737659">
        <w:rPr>
          <w:rFonts w:eastAsia="Calibri"/>
          <w:b/>
          <w:sz w:val="22"/>
          <w:szCs w:val="22"/>
          <w:lang w:val="en-US"/>
        </w:rPr>
        <w:t>Deadline:</w:t>
      </w:r>
      <w:r w:rsidRPr="00737659">
        <w:rPr>
          <w:rFonts w:eastAsia="Calibri"/>
          <w:sz w:val="22"/>
          <w:szCs w:val="22"/>
          <w:lang w:val="en-US"/>
        </w:rPr>
        <w:t xml:space="preserve">  </w:t>
      </w:r>
      <w:r>
        <w:rPr>
          <w:rFonts w:eastAsia="Calibri"/>
          <w:b/>
          <w:sz w:val="22"/>
          <w:szCs w:val="22"/>
          <w:lang w:val="en-US"/>
        </w:rPr>
        <w:t>30</w:t>
      </w:r>
      <w:r w:rsidRPr="00737659">
        <w:rPr>
          <w:rFonts w:eastAsia="Calibri"/>
          <w:b/>
          <w:sz w:val="22"/>
          <w:szCs w:val="22"/>
          <w:lang w:val="en-US"/>
        </w:rPr>
        <w:t xml:space="preserve"> April 2023</w:t>
      </w:r>
    </w:p>
    <w:p w14:paraId="47451C50" w14:textId="77777777" w:rsidR="00A83B64" w:rsidRPr="004175E5" w:rsidRDefault="00A83B64" w:rsidP="00A83B64">
      <w:pPr>
        <w:spacing w:after="160" w:line="259" w:lineRule="auto"/>
        <w:rPr>
          <w:rFonts w:eastAsia="Calibri"/>
          <w:color w:val="0563C1"/>
          <w:sz w:val="22"/>
          <w:szCs w:val="22"/>
          <w:u w:val="single"/>
          <w:lang w:val="en-US"/>
        </w:rPr>
      </w:pPr>
      <w:r w:rsidRPr="00737659">
        <w:rPr>
          <w:rFonts w:eastAsia="Calibri"/>
          <w:b/>
          <w:sz w:val="22"/>
          <w:szCs w:val="22"/>
          <w:lang w:val="en-US"/>
        </w:rPr>
        <w:t xml:space="preserve">Email: </w:t>
      </w:r>
      <w:r w:rsidRPr="00737659">
        <w:rPr>
          <w:rFonts w:eastAsia="Calibri"/>
          <w:sz w:val="22"/>
          <w:szCs w:val="22"/>
          <w:lang w:val="en-US"/>
        </w:rPr>
        <w:t xml:space="preserve">Please return this questionnaire to: </w:t>
      </w:r>
      <w:hyperlink r:id="rId17" w:history="1">
        <w:r w:rsidRPr="00737659">
          <w:rPr>
            <w:rFonts w:eastAsia="Calibri"/>
            <w:color w:val="0563C1"/>
            <w:sz w:val="22"/>
            <w:szCs w:val="22"/>
            <w:u w:val="single"/>
            <w:lang w:val="en-US"/>
          </w:rPr>
          <w:t>hrc-sr-housing@un.org</w:t>
        </w:r>
      </w:hyperlink>
      <w:r w:rsidRPr="00737659">
        <w:rPr>
          <w:rFonts w:eastAsia="Calibri"/>
          <w:color w:val="5B9BD5"/>
          <w:sz w:val="22"/>
          <w:szCs w:val="22"/>
          <w:lang w:val="en-US"/>
        </w:rPr>
        <w:t>;</w:t>
      </w:r>
      <w:r w:rsidRPr="00737659">
        <w:rPr>
          <w:rFonts w:eastAsia="Calibri"/>
          <w:sz w:val="22"/>
          <w:szCs w:val="22"/>
          <w:lang w:val="en-US"/>
        </w:rPr>
        <w:t xml:space="preserve"> </w:t>
      </w:r>
      <w:hyperlink r:id="rId18" w:history="1">
        <w:r w:rsidRPr="004175E5">
          <w:rPr>
            <w:rFonts w:eastAsia="Calibri"/>
            <w:color w:val="0563C1"/>
            <w:sz w:val="22"/>
            <w:szCs w:val="22"/>
            <w:u w:val="single"/>
            <w:lang w:val="en-US"/>
          </w:rPr>
          <w:t>ohchr-registry@un.org</w:t>
        </w:r>
      </w:hyperlink>
    </w:p>
    <w:p w14:paraId="415BF557" w14:textId="77777777"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Email subject line:</w:t>
      </w:r>
      <w:r w:rsidRPr="00737659">
        <w:rPr>
          <w:rFonts w:eastAsia="Calibri"/>
          <w:sz w:val="22"/>
          <w:szCs w:val="22"/>
          <w:lang w:val="en-US"/>
        </w:rPr>
        <w:t xml:space="preserve"> Input for SR housing - report on housing affordability</w:t>
      </w:r>
    </w:p>
    <w:p w14:paraId="7FDFE0FF" w14:textId="77777777" w:rsidR="00A83B64" w:rsidRPr="00737659" w:rsidRDefault="00A83B64" w:rsidP="00A83B64">
      <w:pPr>
        <w:spacing w:after="160"/>
        <w:rPr>
          <w:rFonts w:eastAsia="Calibri"/>
          <w:sz w:val="22"/>
          <w:szCs w:val="22"/>
          <w:lang w:val="en-US"/>
        </w:rPr>
      </w:pPr>
      <w:r w:rsidRPr="00737659">
        <w:rPr>
          <w:rFonts w:eastAsia="Calibri"/>
          <w:b/>
          <w:sz w:val="22"/>
          <w:szCs w:val="22"/>
          <w:lang w:val="en-US"/>
        </w:rPr>
        <w:t>Accepted File formats:</w:t>
      </w:r>
      <w:r w:rsidRPr="00737659">
        <w:rPr>
          <w:rFonts w:eastAsia="Calibri"/>
          <w:sz w:val="22"/>
          <w:szCs w:val="22"/>
          <w:lang w:val="en-US"/>
        </w:rPr>
        <w:t xml:space="preserve"> Word (supporting documents may be submitted in PDF)</w:t>
      </w:r>
    </w:p>
    <w:p w14:paraId="4AC78109" w14:textId="77777777"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 xml:space="preserve">Accepted languages: </w:t>
      </w:r>
      <w:r w:rsidRPr="00737659">
        <w:rPr>
          <w:rFonts w:eastAsia="Calibri"/>
          <w:sz w:val="22"/>
          <w:szCs w:val="22"/>
          <w:lang w:val="en-US"/>
        </w:rPr>
        <w:t>English, French and Spanish</w:t>
      </w:r>
    </w:p>
    <w:p w14:paraId="62AE0D69" w14:textId="77777777" w:rsidR="00A83B64" w:rsidRPr="00737659" w:rsidRDefault="00A83B64" w:rsidP="00A83B64">
      <w:pPr>
        <w:spacing w:after="160" w:line="259" w:lineRule="auto"/>
        <w:jc w:val="both"/>
        <w:rPr>
          <w:rFonts w:eastAsia="Calibri"/>
          <w:sz w:val="22"/>
          <w:szCs w:val="22"/>
          <w:lang w:val="en-US"/>
        </w:rPr>
      </w:pPr>
      <w:r w:rsidRPr="00737659">
        <w:rPr>
          <w:rFonts w:eastAsia="Calibri"/>
          <w:sz w:val="22"/>
          <w:szCs w:val="22"/>
          <w:lang w:val="en-US"/>
        </w:rPr>
        <w:t>Please include references to reports, academic articles, policy documents, text of legislation and judgements, statistical information with hyperlinks or attach them to your submission (please respect total file size limit of 20 MB per email to ensure that it can be received)</w:t>
      </w:r>
    </w:p>
    <w:p w14:paraId="4A455880" w14:textId="77777777"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 xml:space="preserve">Publication: </w:t>
      </w:r>
      <w:r w:rsidRPr="00737659">
        <w:rPr>
          <w:rFonts w:eastAsia="Calibri"/>
          <w:sz w:val="22"/>
          <w:szCs w:val="22"/>
          <w:lang w:val="en-US"/>
        </w:rPr>
        <w:t>Submissions of States and public authorities will be published. For other stakeholders, submissions will be published, except confidential</w:t>
      </w:r>
      <w:r>
        <w:rPr>
          <w:rFonts w:eastAsia="Calibri"/>
          <w:sz w:val="22"/>
          <w:szCs w:val="22"/>
          <w:lang w:val="en-US"/>
        </w:rPr>
        <w:t>ity</w:t>
      </w:r>
      <w:r w:rsidRPr="00737659">
        <w:rPr>
          <w:rFonts w:eastAsia="Calibri"/>
          <w:sz w:val="22"/>
          <w:szCs w:val="22"/>
          <w:lang w:val="en-US"/>
        </w:rPr>
        <w:t xml:space="preserve"> is explicitly requested.</w:t>
      </w:r>
    </w:p>
    <w:p w14:paraId="6160FACB" w14:textId="77777777" w:rsidR="00A83B64" w:rsidRDefault="00A83B64" w:rsidP="00A83B64">
      <w:pPr>
        <w:rPr>
          <w:rFonts w:eastAsia="Calibri"/>
          <w:sz w:val="22"/>
          <w:szCs w:val="22"/>
          <w:lang w:val="en-US"/>
        </w:rPr>
      </w:pPr>
      <w:r w:rsidRPr="00737659">
        <w:rPr>
          <w:rFonts w:eastAsia="Calibri"/>
          <w:b/>
          <w:sz w:val="22"/>
          <w:szCs w:val="22"/>
          <w:lang w:val="en-US"/>
        </w:rPr>
        <w:t>Expected presentation</w:t>
      </w:r>
      <w:r w:rsidRPr="00737659">
        <w:rPr>
          <w:rFonts w:eastAsia="Calibri"/>
          <w:sz w:val="22"/>
          <w:szCs w:val="22"/>
          <w:lang w:val="en-US"/>
        </w:rPr>
        <w:t xml:space="preserve"> of the report of the Special Rapporteur to the General Assembly: October 2023</w:t>
      </w:r>
      <w:r>
        <w:rPr>
          <w:rFonts w:eastAsia="Calibri"/>
          <w:sz w:val="22"/>
          <w:szCs w:val="22"/>
          <w:lang w:val="en-US"/>
        </w:rPr>
        <w:t>.</w:t>
      </w:r>
    </w:p>
    <w:p w14:paraId="608224D9" w14:textId="77777777" w:rsidR="00A83B64" w:rsidRPr="00EC689C" w:rsidRDefault="00A83B64" w:rsidP="00A83B64">
      <w:pPr>
        <w:suppressAutoHyphens/>
        <w:spacing w:before="240" w:line="240" w:lineRule="atLeast"/>
        <w:ind w:left="1134" w:right="1134"/>
        <w:jc w:val="center"/>
        <w:rPr>
          <w:u w:val="single"/>
        </w:rPr>
      </w:pPr>
      <w:r>
        <w:rPr>
          <w:rFonts w:eastAsia="Calibri"/>
          <w:sz w:val="22"/>
          <w:szCs w:val="22"/>
          <w:u w:val="single"/>
          <w:lang w:val="en-US"/>
        </w:rPr>
        <w:tab/>
      </w:r>
      <w:r>
        <w:rPr>
          <w:rFonts w:eastAsia="Calibri"/>
          <w:sz w:val="22"/>
          <w:szCs w:val="22"/>
          <w:u w:val="single"/>
          <w:lang w:val="en-US"/>
        </w:rPr>
        <w:tab/>
      </w:r>
      <w:r>
        <w:rPr>
          <w:rFonts w:eastAsia="Calibri"/>
          <w:sz w:val="22"/>
          <w:szCs w:val="22"/>
          <w:u w:val="single"/>
          <w:lang w:val="en-US"/>
        </w:rPr>
        <w:tab/>
      </w:r>
    </w:p>
    <w:p w14:paraId="7BCC7045" w14:textId="77777777" w:rsidR="0067523D" w:rsidRDefault="0067523D"/>
    <w:sectPr w:rsidR="0067523D" w:rsidSect="00656423">
      <w:headerReference w:type="even" r:id="rId19"/>
      <w:headerReference w:type="default" r:id="rId20"/>
      <w:footerReference w:type="even" r:id="rId21"/>
      <w:footerReference w:type="default" r:id="rId22"/>
      <w:headerReference w:type="first" r:id="rId23"/>
      <w:footerReference w:type="first" r:id="rId2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D6A7E" w14:textId="77777777" w:rsidR="0012216D" w:rsidRDefault="0012216D" w:rsidP="00A83B64">
      <w:r>
        <w:separator/>
      </w:r>
    </w:p>
  </w:endnote>
  <w:endnote w:type="continuationSeparator" w:id="0">
    <w:p w14:paraId="65CDFE4A" w14:textId="77777777" w:rsidR="0012216D" w:rsidRDefault="0012216D" w:rsidP="00A8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3F50" w14:textId="77777777" w:rsidR="00220A6D" w:rsidRDefault="00220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450D5" w14:textId="77777777" w:rsidR="000D44ED" w:rsidRPr="00220A6D" w:rsidRDefault="00220A6D" w:rsidP="002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7A0BD" w14:textId="77777777" w:rsidR="00C17B65" w:rsidRPr="00220A6D" w:rsidRDefault="00220A6D" w:rsidP="00220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74609" w14:textId="77777777" w:rsidR="0012216D" w:rsidRDefault="0012216D" w:rsidP="00A83B64">
      <w:r>
        <w:separator/>
      </w:r>
    </w:p>
  </w:footnote>
  <w:footnote w:type="continuationSeparator" w:id="0">
    <w:p w14:paraId="7D9E2269" w14:textId="77777777" w:rsidR="0012216D" w:rsidRDefault="0012216D" w:rsidP="00A83B64">
      <w:r>
        <w:continuationSeparator/>
      </w:r>
    </w:p>
  </w:footnote>
  <w:footnote w:id="1">
    <w:p w14:paraId="2CEFB1D5" w14:textId="7A17D755" w:rsidR="004556A1" w:rsidRPr="004556A1" w:rsidRDefault="004556A1">
      <w:pPr>
        <w:pStyle w:val="FootnoteText"/>
        <w:rPr>
          <w:lang w:val="en-US"/>
        </w:rPr>
      </w:pPr>
      <w:r>
        <w:rPr>
          <w:rStyle w:val="FootnoteReference"/>
        </w:rPr>
        <w:footnoteRef/>
      </w:r>
      <w:r>
        <w:t xml:space="preserve"> </w:t>
      </w:r>
      <w:hyperlink r:id="rId1" w:history="1">
        <w:r w:rsidRPr="004556A1">
          <w:rPr>
            <w:rStyle w:val="Hyperlink"/>
            <w:lang w:val="en-US"/>
          </w:rPr>
          <w:t>Financial Regulatory Authority decree, 191/2022.</w:t>
        </w:r>
      </w:hyperlink>
    </w:p>
  </w:footnote>
  <w:footnote w:id="2">
    <w:p w14:paraId="5109FB30" w14:textId="3A17842E" w:rsidR="009C5B08" w:rsidRPr="009C5B08" w:rsidRDefault="009C5B08">
      <w:pPr>
        <w:pStyle w:val="FootnoteText"/>
      </w:pPr>
      <w:r>
        <w:rPr>
          <w:rStyle w:val="FootnoteReference"/>
        </w:rPr>
        <w:footnoteRef/>
      </w:r>
      <w:r>
        <w:t xml:space="preserve"> </w:t>
      </w:r>
      <w:hyperlink r:id="rId2" w:history="1">
        <w:r w:rsidRPr="005E1E94">
          <w:rPr>
            <w:rStyle w:val="Hyperlink"/>
          </w:rPr>
          <w:t>Visit to Egypt - Report of the Special Rapporteur on adequate housing as a component of the right to an adequate standard of living, and on the right to non-discrimination in this context, 3 October, 2019.</w:t>
        </w:r>
      </w:hyperlink>
      <w:r>
        <w:t xml:space="preserve"> p6</w:t>
      </w:r>
    </w:p>
  </w:footnote>
  <w:footnote w:id="3">
    <w:p w14:paraId="5F045C57" w14:textId="77777777" w:rsidR="00C734EA" w:rsidRPr="004330C5" w:rsidRDefault="00C734EA" w:rsidP="00C734EA">
      <w:pPr>
        <w:pStyle w:val="FootnoteText"/>
      </w:pPr>
      <w:r>
        <w:rPr>
          <w:rStyle w:val="FootnoteReference"/>
        </w:rPr>
        <w:footnoteRef/>
      </w:r>
      <w:r>
        <w:t xml:space="preserve"> </w:t>
      </w:r>
      <w:hyperlink r:id="rId3" w:history="1">
        <w:r w:rsidRPr="005F2191">
          <w:rPr>
            <w:rStyle w:val="Hyperlink"/>
          </w:rPr>
          <w:t>World Bank and CAPMAS, Housing Demand Survey for Egypt, October 2019.</w:t>
        </w:r>
      </w:hyperlink>
      <w:r>
        <w:t xml:space="preserve"> p23</w:t>
      </w:r>
    </w:p>
  </w:footnote>
  <w:footnote w:id="4">
    <w:p w14:paraId="31875820" w14:textId="1A66002A" w:rsidR="00177D17" w:rsidRPr="00EB6406" w:rsidRDefault="00177D17" w:rsidP="00177D17">
      <w:pPr>
        <w:pStyle w:val="FootnoteText"/>
      </w:pPr>
      <w:r>
        <w:rPr>
          <w:rStyle w:val="FootnoteReference"/>
        </w:rPr>
        <w:footnoteRef/>
      </w:r>
      <w:r>
        <w:t xml:space="preserve"> </w:t>
      </w:r>
      <w:hyperlink r:id="rId4" w:history="1">
        <w:bookmarkStart w:id="2" w:name="_Hlk133398974"/>
        <w:r w:rsidRPr="00EB6406">
          <w:rPr>
            <w:rStyle w:val="Hyperlink"/>
            <w:lang w:val="en-US"/>
          </w:rPr>
          <w:t>Central Agency for Public Mobilization and Statistics</w:t>
        </w:r>
        <w:bookmarkEnd w:id="2"/>
        <w:r w:rsidRPr="00EB6406">
          <w:rPr>
            <w:rStyle w:val="Hyperlink"/>
            <w:lang w:val="en-US"/>
          </w:rPr>
          <w:t>, Household Income and Expenditure Survey 2019/2020.</w:t>
        </w:r>
      </w:hyperlink>
      <w:r w:rsidRPr="00EB6406">
        <w:rPr>
          <w:lang w:val="en-US"/>
        </w:rPr>
        <w:t xml:space="preserve"> </w:t>
      </w:r>
      <w:r>
        <w:rPr>
          <w:lang w:val="en-US"/>
        </w:rPr>
        <w:t>p25 and p63</w:t>
      </w:r>
    </w:p>
  </w:footnote>
  <w:footnote w:id="5">
    <w:p w14:paraId="44E34CF6" w14:textId="77777777" w:rsidR="00F65968" w:rsidRPr="0067668C" w:rsidRDefault="00F65968" w:rsidP="00F65968">
      <w:pPr>
        <w:pStyle w:val="FootnoteText"/>
      </w:pPr>
      <w:r>
        <w:rPr>
          <w:rStyle w:val="FootnoteReference"/>
        </w:rPr>
        <w:footnoteRef/>
      </w:r>
      <w:r>
        <w:t xml:space="preserve"> </w:t>
      </w:r>
      <w:hyperlink r:id="rId5" w:history="1">
        <w:r w:rsidRPr="0067668C">
          <w:rPr>
            <w:rStyle w:val="Hyperlink"/>
            <w:lang w:val="en-US"/>
          </w:rPr>
          <w:t>Central Agency for Public Mobilization and Statistics, Household Income and Expenditure Survey 2019/2020.</w:t>
        </w:r>
      </w:hyperlink>
      <w:r w:rsidRPr="0067668C">
        <w:rPr>
          <w:lang w:val="en-US"/>
        </w:rPr>
        <w:t xml:space="preserve"> p52</w:t>
      </w:r>
    </w:p>
  </w:footnote>
  <w:footnote w:id="6">
    <w:p w14:paraId="5005192A" w14:textId="579E6B8F" w:rsidR="00BA0B7D" w:rsidRPr="00BA0B7D" w:rsidRDefault="00BA0B7D" w:rsidP="00BA0B7D">
      <w:pPr>
        <w:pStyle w:val="FootnoteText"/>
        <w:rPr>
          <w:lang w:val="en-US"/>
        </w:rPr>
      </w:pPr>
      <w:r>
        <w:rPr>
          <w:rStyle w:val="FootnoteReference"/>
        </w:rPr>
        <w:footnoteRef/>
      </w:r>
      <w:r>
        <w:t xml:space="preserve"> </w:t>
      </w:r>
      <w:hyperlink r:id="rId6" w:history="1">
        <w:r w:rsidRPr="00BA0B7D">
          <w:rPr>
            <w:rStyle w:val="Hyperlink"/>
            <w:lang w:val="en-US"/>
          </w:rPr>
          <w:t>Central Agency for Public Mobilization and Statistics, Household Income and Expenditure Survey 2019/2020.</w:t>
        </w:r>
      </w:hyperlink>
      <w:r w:rsidRPr="00BA0B7D">
        <w:rPr>
          <w:lang w:val="en-US"/>
        </w:rPr>
        <w:t xml:space="preserve"> </w:t>
      </w:r>
      <w:r>
        <w:rPr>
          <w:lang w:val="en-US"/>
        </w:rPr>
        <w:t>p82</w:t>
      </w:r>
    </w:p>
  </w:footnote>
  <w:footnote w:id="7">
    <w:p w14:paraId="3943EE9F" w14:textId="77777777" w:rsidR="00CB7D0B" w:rsidRPr="004556A1" w:rsidRDefault="00CB7D0B" w:rsidP="00CB7D0B">
      <w:pPr>
        <w:pStyle w:val="FootnoteText"/>
        <w:rPr>
          <w:lang w:val="en-US"/>
        </w:rPr>
      </w:pPr>
      <w:r>
        <w:rPr>
          <w:rStyle w:val="FootnoteReference"/>
        </w:rPr>
        <w:footnoteRef/>
      </w:r>
      <w:r>
        <w:t xml:space="preserve"> </w:t>
      </w:r>
      <w:hyperlink r:id="rId7" w:history="1">
        <w:r w:rsidRPr="004556A1">
          <w:rPr>
            <w:rStyle w:val="Hyperlink"/>
            <w:lang w:val="en-US"/>
          </w:rPr>
          <w:t>Financial Regulatory Authority decree, 191/2022.</w:t>
        </w:r>
      </w:hyperlink>
    </w:p>
  </w:footnote>
  <w:footnote w:id="8">
    <w:p w14:paraId="3506D2CC" w14:textId="590399E0" w:rsidR="00256306" w:rsidRPr="00256306" w:rsidRDefault="00256306" w:rsidP="00256306">
      <w:pPr>
        <w:pStyle w:val="FootnoteText"/>
      </w:pPr>
      <w:r>
        <w:rPr>
          <w:rStyle w:val="FootnoteReference"/>
        </w:rPr>
        <w:footnoteRef/>
      </w:r>
      <w:r>
        <w:t xml:space="preserve"> </w:t>
      </w:r>
      <w:hyperlink r:id="rId8" w:history="1">
        <w:r w:rsidRPr="00256306">
          <w:rPr>
            <w:rStyle w:val="Hyperlink"/>
          </w:rPr>
          <w:t xml:space="preserve">UN-Habitat, </w:t>
        </w:r>
        <w:r w:rsidRPr="00256306">
          <w:rPr>
            <w:rStyle w:val="Hyperlink"/>
            <w:lang w:val="en-US"/>
          </w:rPr>
          <w:t>Egypt Housing Profile, 2016.</w:t>
        </w:r>
      </w:hyperlink>
      <w:r w:rsidRPr="00256306">
        <w:rPr>
          <w:lang w:val="en-US"/>
        </w:rPr>
        <w:t xml:space="preserve"> p66  </w:t>
      </w:r>
    </w:p>
  </w:footnote>
  <w:footnote w:id="9">
    <w:p w14:paraId="09EDF321" w14:textId="07ABBB77" w:rsidR="0009754A" w:rsidRPr="0009754A" w:rsidRDefault="0009754A">
      <w:pPr>
        <w:pStyle w:val="FootnoteText"/>
        <w:rPr>
          <w:lang w:val="en-US"/>
        </w:rPr>
      </w:pPr>
      <w:r>
        <w:rPr>
          <w:rStyle w:val="FootnoteReference"/>
        </w:rPr>
        <w:footnoteRef/>
      </w:r>
      <w:r>
        <w:t xml:space="preserve"> </w:t>
      </w:r>
      <w:hyperlink r:id="rId9" w:history="1">
        <w:r w:rsidRPr="0009754A">
          <w:rPr>
            <w:rStyle w:val="Hyperlink"/>
            <w:lang w:val="en-US"/>
          </w:rPr>
          <w:t>USAID, Housing Study for Urban Egypt, 2008.</w:t>
        </w:r>
      </w:hyperlink>
      <w:r>
        <w:rPr>
          <w:lang w:val="en-US"/>
        </w:rPr>
        <w:t xml:space="preserve"> p</w:t>
      </w:r>
      <w:r w:rsidR="00502A3C">
        <w:rPr>
          <w:lang w:val="en-US"/>
        </w:rPr>
        <w:t>.</w:t>
      </w:r>
      <w:r w:rsidR="00C55AA0">
        <w:rPr>
          <w:lang w:val="en-US"/>
        </w:rPr>
        <w:t>44</w:t>
      </w:r>
    </w:p>
  </w:footnote>
  <w:footnote w:id="10">
    <w:p w14:paraId="65943FF7" w14:textId="44F96EBF" w:rsidR="00831A72" w:rsidRPr="00831A72" w:rsidRDefault="00831A72">
      <w:pPr>
        <w:pStyle w:val="FootnoteText"/>
      </w:pPr>
      <w:r>
        <w:rPr>
          <w:rStyle w:val="FootnoteReference"/>
        </w:rPr>
        <w:footnoteRef/>
      </w:r>
      <w:r>
        <w:t xml:space="preserve"> </w:t>
      </w:r>
      <w:hyperlink r:id="rId10" w:history="1">
        <w:r w:rsidRPr="00F45090">
          <w:rPr>
            <w:rStyle w:val="Hyperlink"/>
          </w:rPr>
          <w:t xml:space="preserve">10 </w:t>
        </w:r>
        <w:proofErr w:type="spellStart"/>
        <w:r w:rsidRPr="00F45090">
          <w:rPr>
            <w:rStyle w:val="Hyperlink"/>
          </w:rPr>
          <w:t>Tooba</w:t>
        </w:r>
        <w:proofErr w:type="spellEnd"/>
        <w:r w:rsidRPr="00F45090">
          <w:rPr>
            <w:rStyle w:val="Hyperlink"/>
          </w:rPr>
          <w:t xml:space="preserve">, Built Environment </w:t>
        </w:r>
        <w:r w:rsidR="00F45090" w:rsidRPr="00F45090">
          <w:rPr>
            <w:rStyle w:val="Hyperlink"/>
          </w:rPr>
          <w:t>Deprivation Index – Affordability, 2016.</w:t>
        </w:r>
      </w:hyperlink>
    </w:p>
  </w:footnote>
  <w:footnote w:id="11">
    <w:p w14:paraId="6D003A41" w14:textId="77777777" w:rsidR="008722B6" w:rsidRPr="0009754A" w:rsidRDefault="008722B6" w:rsidP="008722B6">
      <w:pPr>
        <w:pStyle w:val="FootnoteText"/>
        <w:rPr>
          <w:lang w:val="en-US"/>
        </w:rPr>
      </w:pPr>
      <w:r>
        <w:rPr>
          <w:rStyle w:val="FootnoteReference"/>
        </w:rPr>
        <w:footnoteRef/>
      </w:r>
      <w:r>
        <w:t xml:space="preserve"> </w:t>
      </w:r>
      <w:hyperlink r:id="rId11" w:history="1">
        <w:r w:rsidRPr="0009754A">
          <w:rPr>
            <w:rStyle w:val="Hyperlink"/>
            <w:lang w:val="en-US"/>
          </w:rPr>
          <w:t>USAID, Housing Study for Urban Egypt, 2008.</w:t>
        </w:r>
      </w:hyperlink>
      <w:r>
        <w:rPr>
          <w:lang w:val="en-US"/>
        </w:rPr>
        <w:t xml:space="preserve"> p.44</w:t>
      </w:r>
    </w:p>
  </w:footnote>
  <w:footnote w:id="12">
    <w:p w14:paraId="7C04A761" w14:textId="2FFB5782" w:rsidR="00055197" w:rsidRPr="00055197" w:rsidRDefault="00055197" w:rsidP="00055197">
      <w:pPr>
        <w:pStyle w:val="FootnoteText"/>
      </w:pPr>
      <w:r>
        <w:rPr>
          <w:rStyle w:val="FootnoteReference"/>
        </w:rPr>
        <w:footnoteRef/>
      </w:r>
      <w:r>
        <w:t xml:space="preserve"> </w:t>
      </w:r>
      <w:hyperlink r:id="rId12" w:history="1">
        <w:r w:rsidRPr="00FE3222">
          <w:rPr>
            <w:rStyle w:val="Hyperlink"/>
          </w:rPr>
          <w:t xml:space="preserve">UN-Habitat, </w:t>
        </w:r>
        <w:r w:rsidRPr="00FE3222">
          <w:rPr>
            <w:rStyle w:val="Hyperlink"/>
            <w:lang w:val="en-US"/>
          </w:rPr>
          <w:t>Egypt Housing Profile, 2016.</w:t>
        </w:r>
      </w:hyperlink>
      <w:r w:rsidRPr="00055197">
        <w:rPr>
          <w:lang w:val="en-US"/>
        </w:rPr>
        <w:t xml:space="preserve"> </w:t>
      </w:r>
      <w:r w:rsidR="00810049">
        <w:rPr>
          <w:lang w:val="en-US"/>
        </w:rPr>
        <w:t>p65-</w:t>
      </w:r>
      <w:r w:rsidRPr="00055197">
        <w:rPr>
          <w:lang w:val="en-US"/>
        </w:rPr>
        <w:t>6</w:t>
      </w:r>
      <w:r w:rsidR="00AF22E2">
        <w:rPr>
          <w:lang w:val="en-US"/>
        </w:rPr>
        <w:t>6</w:t>
      </w:r>
      <w:r w:rsidRPr="00055197">
        <w:rPr>
          <w:lang w:val="en-US"/>
        </w:rPr>
        <w:t xml:space="preserve">  </w:t>
      </w:r>
    </w:p>
  </w:footnote>
  <w:footnote w:id="13">
    <w:p w14:paraId="62E408D8" w14:textId="77777777" w:rsidR="0009754A" w:rsidRPr="00831A72" w:rsidRDefault="0009754A" w:rsidP="0009754A">
      <w:pPr>
        <w:pStyle w:val="FootnoteText"/>
      </w:pPr>
      <w:r>
        <w:rPr>
          <w:rStyle w:val="FootnoteReference"/>
        </w:rPr>
        <w:footnoteRef/>
      </w:r>
      <w:r>
        <w:t xml:space="preserve"> </w:t>
      </w:r>
      <w:hyperlink r:id="rId13" w:history="1">
        <w:r w:rsidRPr="00F45090">
          <w:rPr>
            <w:rStyle w:val="Hyperlink"/>
          </w:rPr>
          <w:t xml:space="preserve">10 </w:t>
        </w:r>
        <w:proofErr w:type="spellStart"/>
        <w:r w:rsidRPr="00F45090">
          <w:rPr>
            <w:rStyle w:val="Hyperlink"/>
          </w:rPr>
          <w:t>Tooba</w:t>
        </w:r>
        <w:proofErr w:type="spellEnd"/>
        <w:r w:rsidRPr="00F45090">
          <w:rPr>
            <w:rStyle w:val="Hyperlink"/>
          </w:rPr>
          <w:t>, Built Environment Deprivation Index – Affordability, 2016.</w:t>
        </w:r>
      </w:hyperlink>
    </w:p>
  </w:footnote>
  <w:footnote w:id="14">
    <w:p w14:paraId="05B5F1D8" w14:textId="4C68F744" w:rsidR="00341F87" w:rsidRPr="00341F87" w:rsidRDefault="00341F87" w:rsidP="00341F87">
      <w:pPr>
        <w:pStyle w:val="FootnoteText"/>
      </w:pPr>
      <w:r>
        <w:rPr>
          <w:rStyle w:val="FootnoteReference"/>
        </w:rPr>
        <w:footnoteRef/>
      </w:r>
      <w:r>
        <w:t xml:space="preserve"> </w:t>
      </w:r>
      <w:r w:rsidRPr="001A57DE">
        <w:rPr>
          <w:lang w:val="en-US"/>
        </w:rPr>
        <w:t>Central Agency for Public Mobilization and Statistics, Household Income and Expenditure Survey</w:t>
      </w:r>
      <w:r w:rsidR="001A57DE">
        <w:rPr>
          <w:lang w:val="en-US"/>
        </w:rPr>
        <w:t xml:space="preserve">: </w:t>
      </w:r>
      <w:hyperlink r:id="rId14" w:history="1">
        <w:r w:rsidR="001A57DE" w:rsidRPr="000700F7">
          <w:rPr>
            <w:rStyle w:val="Hyperlink"/>
            <w:lang w:val="en-US"/>
          </w:rPr>
          <w:t>2015</w:t>
        </w:r>
      </w:hyperlink>
      <w:r w:rsidR="001A57DE" w:rsidRPr="000700F7">
        <w:rPr>
          <w:lang w:val="en-US"/>
        </w:rPr>
        <w:t>,</w:t>
      </w:r>
      <w:r w:rsidR="000700F7" w:rsidRPr="000700F7">
        <w:rPr>
          <w:lang w:val="en-US"/>
        </w:rPr>
        <w:t xml:space="preserve"> </w:t>
      </w:r>
      <w:r w:rsidR="001A57DE" w:rsidRPr="000700F7">
        <w:rPr>
          <w:lang w:val="en-US"/>
        </w:rPr>
        <w:t xml:space="preserve"> </w:t>
      </w:r>
      <w:hyperlink r:id="rId15" w:history="1">
        <w:r w:rsidR="001A57DE" w:rsidRPr="000700F7">
          <w:rPr>
            <w:rStyle w:val="Hyperlink"/>
            <w:lang w:val="en-US"/>
          </w:rPr>
          <w:t>2017/2018</w:t>
        </w:r>
      </w:hyperlink>
      <w:r w:rsidR="001A57DE">
        <w:rPr>
          <w:lang w:val="en-US"/>
        </w:rPr>
        <w:t>, and</w:t>
      </w:r>
      <w:r w:rsidRPr="001A57DE">
        <w:rPr>
          <w:lang w:val="en-US"/>
        </w:rPr>
        <w:t xml:space="preserve"> </w:t>
      </w:r>
      <w:hyperlink r:id="rId16" w:history="1">
        <w:r w:rsidRPr="001A57DE">
          <w:rPr>
            <w:rStyle w:val="Hyperlink"/>
            <w:lang w:val="en-US"/>
          </w:rPr>
          <w:t>2019/2020.</w:t>
        </w:r>
      </w:hyperlink>
    </w:p>
  </w:footnote>
  <w:footnote w:id="15">
    <w:p w14:paraId="159775F8" w14:textId="4B2469D3" w:rsidR="00341F87" w:rsidRPr="00341F87" w:rsidRDefault="00341F87">
      <w:pPr>
        <w:pStyle w:val="FootnoteText"/>
      </w:pPr>
      <w:r>
        <w:rPr>
          <w:rStyle w:val="FootnoteReference"/>
        </w:rPr>
        <w:footnoteRef/>
      </w:r>
      <w:r>
        <w:t xml:space="preserve"> </w:t>
      </w:r>
      <w:proofErr w:type="spellStart"/>
      <w:r>
        <w:t>Aqarmap</w:t>
      </w:r>
      <w:proofErr w:type="spellEnd"/>
      <w:r>
        <w:t xml:space="preserve">, Greater Cairo home prices (apartments), median prices of neighbourhoods in </w:t>
      </w:r>
      <w:hyperlink r:id="rId17" w:history="1">
        <w:r w:rsidRPr="00591B1B">
          <w:rPr>
            <w:rStyle w:val="Hyperlink"/>
          </w:rPr>
          <w:t>12.2016</w:t>
        </w:r>
      </w:hyperlink>
      <w:r>
        <w:t xml:space="preserve">, and </w:t>
      </w:r>
      <w:hyperlink r:id="rId18" w:history="1">
        <w:r w:rsidRPr="001A57DE">
          <w:rPr>
            <w:rStyle w:val="Hyperlink"/>
          </w:rPr>
          <w:t>12.2019</w:t>
        </w:r>
      </w:hyperlink>
      <w:r>
        <w:t>.</w:t>
      </w:r>
    </w:p>
  </w:footnote>
  <w:footnote w:id="16">
    <w:p w14:paraId="2FACD5D4" w14:textId="21D8B6EB" w:rsidR="002D5F2D" w:rsidRPr="002D5F2D" w:rsidRDefault="002D5F2D" w:rsidP="002D5F2D">
      <w:pPr>
        <w:pStyle w:val="FootnoteText"/>
      </w:pPr>
      <w:r>
        <w:rPr>
          <w:rStyle w:val="FootnoteReference"/>
        </w:rPr>
        <w:footnoteRef/>
      </w:r>
      <w:r>
        <w:t xml:space="preserve"> </w:t>
      </w:r>
      <w:hyperlink r:id="rId19" w:history="1">
        <w:r w:rsidRPr="002D5F2D">
          <w:rPr>
            <w:rStyle w:val="Hyperlink"/>
          </w:rPr>
          <w:t>International Organization on Migration, Triangulation of Migrants Stock in Egypt, July 2022.</w:t>
        </w:r>
      </w:hyperlink>
    </w:p>
  </w:footnote>
  <w:footnote w:id="17">
    <w:p w14:paraId="6F0B53E1" w14:textId="48928DBE" w:rsidR="008D1A23" w:rsidRPr="008D1A23" w:rsidRDefault="008D1A23" w:rsidP="008D1A23">
      <w:pPr>
        <w:pStyle w:val="FootnoteText"/>
      </w:pPr>
      <w:r>
        <w:rPr>
          <w:rStyle w:val="FootnoteReference"/>
        </w:rPr>
        <w:footnoteRef/>
      </w:r>
      <w:r>
        <w:t xml:space="preserve"> </w:t>
      </w:r>
      <w:hyperlink r:id="rId20" w:history="1">
        <w:r w:rsidRPr="008D1A23">
          <w:rPr>
            <w:rStyle w:val="Hyperlink"/>
          </w:rPr>
          <w:t>World Bank and CAPMAS, Housing Demand Survey for Egypt, October 2019.</w:t>
        </w:r>
      </w:hyperlink>
      <w:r w:rsidRPr="008D1A23">
        <w:t xml:space="preserve"> P</w:t>
      </w:r>
      <w:r>
        <w:t>11</w:t>
      </w:r>
    </w:p>
  </w:footnote>
  <w:footnote w:id="18">
    <w:p w14:paraId="36D8976D" w14:textId="13C2F46D" w:rsidR="00C03503" w:rsidRPr="00C03503" w:rsidRDefault="00C03503" w:rsidP="00C36541">
      <w:pPr>
        <w:pStyle w:val="FootnoteText"/>
      </w:pPr>
      <w:r>
        <w:rPr>
          <w:rStyle w:val="FootnoteReference"/>
        </w:rPr>
        <w:footnoteRef/>
      </w:r>
      <w:r>
        <w:t xml:space="preserve"> </w:t>
      </w:r>
      <w:hyperlink r:id="rId21" w:history="1">
        <w:r w:rsidRPr="00C03503">
          <w:rPr>
            <w:rStyle w:val="Hyperlink"/>
          </w:rPr>
          <w:t>Global Property Guide, Egypt Residential Real Estate Market Analysis 2023,</w:t>
        </w:r>
      </w:hyperlink>
      <w:r>
        <w:t xml:space="preserve"> 8 April, 2023</w:t>
      </w:r>
      <w:r w:rsidR="00C36541">
        <w:t>;</w:t>
      </w:r>
      <w:r>
        <w:t xml:space="preserve"> </w:t>
      </w:r>
      <w:hyperlink r:id="rId22" w:anchor="affordability" w:history="1">
        <w:r w:rsidRPr="008E3580">
          <w:rPr>
            <w:rStyle w:val="Hyperlink"/>
          </w:rPr>
          <w:t>EGYPT SOCIAL PROGRESS INDICATORS</w:t>
        </w:r>
        <w:r w:rsidR="008E3580" w:rsidRPr="008E3580">
          <w:rPr>
            <w:rStyle w:val="Hyperlink"/>
          </w:rPr>
          <w:t xml:space="preserve"> 2020</w:t>
        </w:r>
        <w:r w:rsidRPr="008E3580">
          <w:rPr>
            <w:rStyle w:val="Hyperlink"/>
          </w:rPr>
          <w:t>, House price-to-income ratio</w:t>
        </w:r>
      </w:hyperlink>
      <w:r w:rsidR="00C36541">
        <w:t>;</w:t>
      </w:r>
      <w:r>
        <w:t xml:space="preserve"> </w:t>
      </w:r>
      <w:hyperlink r:id="rId23" w:history="1">
        <w:r w:rsidR="00C36541" w:rsidRPr="00C36541">
          <w:rPr>
            <w:rStyle w:val="Hyperlink"/>
          </w:rPr>
          <w:t>Visit to Egypt - Report of the Special Rapporteur on adequate housing as a component of the right to an adequate standard of living, and on the right to non-discrimination in this context, 3 October, 2019.</w:t>
        </w:r>
      </w:hyperlink>
      <w:r w:rsidR="00C36541" w:rsidRPr="00C36541">
        <w:t xml:space="preserve"> </w:t>
      </w:r>
      <w:r w:rsidR="00C36541">
        <w:t>p15</w:t>
      </w:r>
    </w:p>
  </w:footnote>
  <w:footnote w:id="19">
    <w:p w14:paraId="0D311C40" w14:textId="116CD862" w:rsidR="008E3580" w:rsidRPr="008E3580" w:rsidRDefault="008E3580">
      <w:pPr>
        <w:pStyle w:val="FootnoteText"/>
      </w:pPr>
      <w:r>
        <w:rPr>
          <w:rStyle w:val="FootnoteReference"/>
        </w:rPr>
        <w:footnoteRef/>
      </w:r>
      <w:r>
        <w:t xml:space="preserve"> </w:t>
      </w:r>
      <w:hyperlink r:id="rId24" w:history="1">
        <w:r w:rsidRPr="008E3580">
          <w:rPr>
            <w:rStyle w:val="Hyperlink"/>
          </w:rPr>
          <w:t>Golden visas, Egypt.</w:t>
        </w:r>
      </w:hyperlink>
    </w:p>
  </w:footnote>
  <w:footnote w:id="20">
    <w:p w14:paraId="3CDF5970" w14:textId="734E4B3F" w:rsidR="00D12440" w:rsidRPr="00D12440" w:rsidRDefault="00D12440">
      <w:pPr>
        <w:pStyle w:val="FootnoteText"/>
      </w:pPr>
      <w:r>
        <w:rPr>
          <w:rStyle w:val="FootnoteReference"/>
        </w:rPr>
        <w:footnoteRef/>
      </w:r>
      <w:r>
        <w:t xml:space="preserve"> </w:t>
      </w:r>
      <w:hyperlink r:id="rId25" w:history="1">
        <w:r w:rsidRPr="00D12440">
          <w:rPr>
            <w:rStyle w:val="Hyperlink"/>
          </w:rPr>
          <w:t>Zawya. NUCA offers land to foreign investors for purchases in US dollars: Egypt, 30 December, 2022.</w:t>
        </w:r>
      </w:hyperlink>
    </w:p>
  </w:footnote>
  <w:footnote w:id="21">
    <w:p w14:paraId="5752D054" w14:textId="19129B3A" w:rsidR="00C21E55" w:rsidRPr="00C21E55" w:rsidRDefault="00C21E55">
      <w:pPr>
        <w:pStyle w:val="FootnoteText"/>
      </w:pPr>
      <w:r>
        <w:rPr>
          <w:rStyle w:val="FootnoteReference"/>
        </w:rPr>
        <w:footnoteRef/>
      </w:r>
      <w:r>
        <w:t xml:space="preserve"> </w:t>
      </w:r>
      <w:hyperlink r:id="rId26" w:history="1">
        <w:r w:rsidRPr="00C21E55">
          <w:rPr>
            <w:rStyle w:val="Hyperlink"/>
          </w:rPr>
          <w:t>UN-Habitat. Leveraging Land in the Arab Republic of Egypt, 2015.</w:t>
        </w:r>
      </w:hyperlink>
      <w:r>
        <w:t xml:space="preserve"> p </w:t>
      </w:r>
      <w:r w:rsidR="00D0168C">
        <w:t>1</w:t>
      </w:r>
      <w:r>
        <w:t xml:space="preserve"> &amp; </w:t>
      </w:r>
      <w:r w:rsidR="00D0168C">
        <w:t>27</w:t>
      </w:r>
      <w:r>
        <w:t>.</w:t>
      </w:r>
    </w:p>
  </w:footnote>
  <w:footnote w:id="22">
    <w:p w14:paraId="6899C26C" w14:textId="56C9D866" w:rsidR="00D0168C" w:rsidRPr="00D0168C" w:rsidRDefault="00D0168C" w:rsidP="00D0168C">
      <w:pPr>
        <w:pStyle w:val="FootnoteText"/>
      </w:pPr>
      <w:r>
        <w:rPr>
          <w:rStyle w:val="FootnoteReference"/>
        </w:rPr>
        <w:footnoteRef/>
      </w:r>
      <w:r>
        <w:t xml:space="preserve"> </w:t>
      </w:r>
      <w:hyperlink r:id="rId27" w:history="1">
        <w:r w:rsidRPr="00D0168C">
          <w:rPr>
            <w:rStyle w:val="Hyperlink"/>
          </w:rPr>
          <w:t>Zawya. NUCA offers land to foreign investors for purchases in US dollars: Egypt, 30 December, 2022.</w:t>
        </w:r>
      </w:hyperlink>
    </w:p>
  </w:footnote>
  <w:footnote w:id="23">
    <w:p w14:paraId="6A6A3C53" w14:textId="0491D54A" w:rsidR="004157ED" w:rsidRPr="004157ED" w:rsidRDefault="004157ED">
      <w:pPr>
        <w:pStyle w:val="FootnoteText"/>
      </w:pPr>
      <w:r>
        <w:rPr>
          <w:rStyle w:val="FootnoteReference"/>
        </w:rPr>
        <w:footnoteRef/>
      </w:r>
      <w:r>
        <w:t xml:space="preserve"> </w:t>
      </w:r>
      <w:hyperlink r:id="rId28" w:history="1">
        <w:r w:rsidRPr="004157ED">
          <w:rPr>
            <w:rStyle w:val="Hyperlink"/>
          </w:rPr>
          <w:t>Impact of “COVID-19 crisis on Egyptian households” A study by CAPMAS (HIECS 2019-2020).</w:t>
        </w:r>
      </w:hyperlink>
    </w:p>
  </w:footnote>
  <w:footnote w:id="24">
    <w:p w14:paraId="28041CE2" w14:textId="5E051FEB" w:rsidR="009D7133" w:rsidRPr="009D7133" w:rsidRDefault="009D7133">
      <w:pPr>
        <w:pStyle w:val="FootnoteText"/>
      </w:pPr>
      <w:r>
        <w:rPr>
          <w:rStyle w:val="FootnoteReference"/>
        </w:rPr>
        <w:footnoteRef/>
      </w:r>
      <w:r>
        <w:t xml:space="preserve"> </w:t>
      </w:r>
      <w:hyperlink r:id="rId29" w:history="1">
        <w:r w:rsidRPr="009D7133">
          <w:rPr>
            <w:rStyle w:val="Hyperlink"/>
          </w:rPr>
          <w:t>Built Environment Observatory, Tenants and Mortgage Support During the Corona Crisis: Draft Recommendations, 12 April, 2020.</w:t>
        </w:r>
      </w:hyperlink>
    </w:p>
  </w:footnote>
  <w:footnote w:id="25">
    <w:p w14:paraId="3C16FB52" w14:textId="624FD83A" w:rsidR="004157ED" w:rsidRPr="004157ED" w:rsidRDefault="004157ED" w:rsidP="004157ED">
      <w:pPr>
        <w:pStyle w:val="FootnoteText"/>
      </w:pPr>
      <w:r>
        <w:rPr>
          <w:rStyle w:val="FootnoteReference"/>
        </w:rPr>
        <w:footnoteRef/>
      </w:r>
      <w:r>
        <w:t xml:space="preserve"> </w:t>
      </w:r>
      <w:r w:rsidRPr="004157ED">
        <w:t xml:space="preserve"> </w:t>
      </w:r>
      <w:hyperlink r:id="rId30" w:history="1">
        <w:r w:rsidRPr="004157ED">
          <w:rPr>
            <w:rStyle w:val="Hyperlink"/>
          </w:rPr>
          <w:t>Impact of “COVID-19 crisis on Egyptian households” A study by CAPMAS (HIECS 2019-2020).</w:t>
        </w:r>
      </w:hyperlink>
    </w:p>
  </w:footnote>
  <w:footnote w:id="26">
    <w:p w14:paraId="65CA0C8D" w14:textId="197BB219" w:rsidR="00B95A87" w:rsidRPr="00063B48" w:rsidRDefault="00B95A87" w:rsidP="00B95A87">
      <w:pPr>
        <w:pStyle w:val="FootnoteText"/>
        <w:rPr>
          <w:lang w:val="en-US"/>
        </w:rPr>
      </w:pPr>
      <w:r>
        <w:rPr>
          <w:rStyle w:val="FootnoteReference"/>
        </w:rPr>
        <w:footnoteRef/>
      </w:r>
      <w:r>
        <w:t xml:space="preserve"> </w:t>
      </w:r>
      <w:hyperlink r:id="rId31" w:history="1">
        <w:r w:rsidRPr="00063B48">
          <w:rPr>
            <w:rStyle w:val="Hyperlink"/>
            <w:lang w:val="en-US"/>
          </w:rPr>
          <w:t>Central Agency for Public Mobilization and Statistics, Household Income and Expenditure Survey 2019/2020.</w:t>
        </w:r>
      </w:hyperlink>
      <w:r>
        <w:rPr>
          <w:lang w:val="en-US"/>
        </w:rPr>
        <w:t xml:space="preserve"> p60</w:t>
      </w:r>
    </w:p>
  </w:footnote>
  <w:footnote w:id="27">
    <w:p w14:paraId="6B6A815B" w14:textId="77777777" w:rsidR="00341F45" w:rsidRPr="004B1E7D" w:rsidRDefault="00341F45" w:rsidP="00341F45">
      <w:pPr>
        <w:pStyle w:val="FootnoteText"/>
        <w:rPr>
          <w:lang w:val="en-US"/>
        </w:rPr>
      </w:pPr>
      <w:r>
        <w:rPr>
          <w:rStyle w:val="FootnoteReference"/>
        </w:rPr>
        <w:footnoteRef/>
      </w:r>
      <w:r>
        <w:t xml:space="preserve"> </w:t>
      </w:r>
      <w:hyperlink r:id="rId32" w:history="1">
        <w:r w:rsidRPr="004B1E7D">
          <w:rPr>
            <w:rStyle w:val="Hyperlink"/>
            <w:lang w:val="en-US"/>
          </w:rPr>
          <w:t>Ministry of Housing, Utilities and Urban Communities – UN-Habitat. Egypt Housing Strategy.</w:t>
        </w:r>
      </w:hyperlink>
      <w:r>
        <w:rPr>
          <w:lang w:val="en-US"/>
        </w:rPr>
        <w:t xml:space="preserve"> p15</w:t>
      </w:r>
    </w:p>
  </w:footnote>
  <w:footnote w:id="28">
    <w:p w14:paraId="07BB35C8" w14:textId="77777777" w:rsidR="00023127" w:rsidRPr="00023127" w:rsidRDefault="00023127" w:rsidP="00023127">
      <w:pPr>
        <w:pStyle w:val="FootnoteText"/>
        <w:rPr>
          <w:lang w:val="en-US"/>
        </w:rPr>
      </w:pPr>
      <w:r>
        <w:rPr>
          <w:rStyle w:val="FootnoteReference"/>
        </w:rPr>
        <w:footnoteRef/>
      </w:r>
      <w:r>
        <w:t xml:space="preserve"> </w:t>
      </w:r>
      <w:hyperlink r:id="rId33" w:history="1">
        <w:r w:rsidRPr="00023127">
          <w:rPr>
            <w:rStyle w:val="Hyperlink"/>
            <w:lang w:val="en-US"/>
          </w:rPr>
          <w:t>Built Environment Observatory, A million units for whom? Six facts about the Social Housing Project, 28 May, 2018.</w:t>
        </w:r>
      </w:hyperlink>
    </w:p>
  </w:footnote>
  <w:footnote w:id="29">
    <w:p w14:paraId="50792AF2" w14:textId="2B686106" w:rsidR="00023127" w:rsidRPr="00023127" w:rsidRDefault="00023127">
      <w:pPr>
        <w:pStyle w:val="FootnoteText"/>
        <w:rPr>
          <w:lang w:val="en-US"/>
        </w:rPr>
      </w:pPr>
      <w:r>
        <w:rPr>
          <w:rStyle w:val="FootnoteReference"/>
        </w:rPr>
        <w:footnoteRef/>
      </w:r>
      <w:r>
        <w:t xml:space="preserve"> </w:t>
      </w:r>
      <w:hyperlink r:id="rId34" w:history="1">
        <w:r w:rsidRPr="00023127">
          <w:rPr>
            <w:rStyle w:val="Hyperlink"/>
            <w:lang w:val="en-US"/>
          </w:rPr>
          <w:t>Built Environment Observatory, A million units for whom? Six facts about the Social Housing Project, 28 May, 2018.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B198A" w14:textId="77777777" w:rsidR="00220A6D" w:rsidRDefault="00220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9BECE" w14:textId="77777777" w:rsidR="000D44ED" w:rsidRPr="00AD4CA9" w:rsidRDefault="00220A6D" w:rsidP="00656423">
    <w:pPr>
      <w:pStyle w:val="Header"/>
      <w:tabs>
        <w:tab w:val="clear" w:pos="4153"/>
        <w:tab w:val="clear" w:pos="8306"/>
        <w:tab w:val="right" w:pos="9214"/>
      </w:tabs>
      <w:spacing w:before="360" w:after="840"/>
      <w:jc w:val="right"/>
      <w:rPr>
        <w:sz w:val="14"/>
        <w:szCs w:val="14"/>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DC820" w14:textId="77777777" w:rsidR="000D44ED" w:rsidRPr="00220A6D" w:rsidRDefault="00220A6D" w:rsidP="00220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CB1B07"/>
    <w:multiLevelType w:val="hybridMultilevel"/>
    <w:tmpl w:val="13502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B56416"/>
    <w:multiLevelType w:val="hybridMultilevel"/>
    <w:tmpl w:val="F49A8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64"/>
    <w:rsid w:val="00023127"/>
    <w:rsid w:val="00044CFC"/>
    <w:rsid w:val="00055197"/>
    <w:rsid w:val="00063B48"/>
    <w:rsid w:val="000700F7"/>
    <w:rsid w:val="000804F5"/>
    <w:rsid w:val="0009754A"/>
    <w:rsid w:val="00111C3A"/>
    <w:rsid w:val="001173BB"/>
    <w:rsid w:val="0012216D"/>
    <w:rsid w:val="00177D17"/>
    <w:rsid w:val="0019299F"/>
    <w:rsid w:val="001A57DE"/>
    <w:rsid w:val="002011E5"/>
    <w:rsid w:val="0020469E"/>
    <w:rsid w:val="00220A6D"/>
    <w:rsid w:val="0022137A"/>
    <w:rsid w:val="00256306"/>
    <w:rsid w:val="002D5F2D"/>
    <w:rsid w:val="002E1901"/>
    <w:rsid w:val="003208F9"/>
    <w:rsid w:val="003418B6"/>
    <w:rsid w:val="00341F45"/>
    <w:rsid w:val="00341F87"/>
    <w:rsid w:val="00342565"/>
    <w:rsid w:val="003B5CF1"/>
    <w:rsid w:val="003C3653"/>
    <w:rsid w:val="003D6CB8"/>
    <w:rsid w:val="003D6E69"/>
    <w:rsid w:val="003E0AB7"/>
    <w:rsid w:val="004157ED"/>
    <w:rsid w:val="004330C5"/>
    <w:rsid w:val="00451EFD"/>
    <w:rsid w:val="004556A1"/>
    <w:rsid w:val="00457514"/>
    <w:rsid w:val="00474CF9"/>
    <w:rsid w:val="004B07E3"/>
    <w:rsid w:val="004B1E7D"/>
    <w:rsid w:val="004C0A47"/>
    <w:rsid w:val="004F0E49"/>
    <w:rsid w:val="004F30E0"/>
    <w:rsid w:val="00502A3C"/>
    <w:rsid w:val="00502D94"/>
    <w:rsid w:val="00504C5C"/>
    <w:rsid w:val="00511A99"/>
    <w:rsid w:val="00532F84"/>
    <w:rsid w:val="005509B6"/>
    <w:rsid w:val="0057147C"/>
    <w:rsid w:val="00591B1B"/>
    <w:rsid w:val="00592C09"/>
    <w:rsid w:val="00593008"/>
    <w:rsid w:val="005940D3"/>
    <w:rsid w:val="005B647C"/>
    <w:rsid w:val="005E1E94"/>
    <w:rsid w:val="005F2191"/>
    <w:rsid w:val="006309C3"/>
    <w:rsid w:val="00635083"/>
    <w:rsid w:val="0067523D"/>
    <w:rsid w:val="0067668C"/>
    <w:rsid w:val="0072398C"/>
    <w:rsid w:val="0076141F"/>
    <w:rsid w:val="0077156B"/>
    <w:rsid w:val="00796C0C"/>
    <w:rsid w:val="007A7686"/>
    <w:rsid w:val="007E0A66"/>
    <w:rsid w:val="00810049"/>
    <w:rsid w:val="00831A72"/>
    <w:rsid w:val="008522E0"/>
    <w:rsid w:val="0087128E"/>
    <w:rsid w:val="008722B6"/>
    <w:rsid w:val="0089058B"/>
    <w:rsid w:val="008D1A23"/>
    <w:rsid w:val="008D4BBE"/>
    <w:rsid w:val="008E3580"/>
    <w:rsid w:val="008F6789"/>
    <w:rsid w:val="00996B65"/>
    <w:rsid w:val="009B691E"/>
    <w:rsid w:val="009C5B08"/>
    <w:rsid w:val="009D0983"/>
    <w:rsid w:val="009D7133"/>
    <w:rsid w:val="009E1046"/>
    <w:rsid w:val="009F2B1C"/>
    <w:rsid w:val="00A21ABA"/>
    <w:rsid w:val="00A30729"/>
    <w:rsid w:val="00A83B64"/>
    <w:rsid w:val="00A9488F"/>
    <w:rsid w:val="00AA68D1"/>
    <w:rsid w:val="00AF22E2"/>
    <w:rsid w:val="00B236AB"/>
    <w:rsid w:val="00B330CD"/>
    <w:rsid w:val="00B95A87"/>
    <w:rsid w:val="00BA0B7D"/>
    <w:rsid w:val="00BD629E"/>
    <w:rsid w:val="00C03503"/>
    <w:rsid w:val="00C21E55"/>
    <w:rsid w:val="00C36541"/>
    <w:rsid w:val="00C55AA0"/>
    <w:rsid w:val="00C6418F"/>
    <w:rsid w:val="00C734EA"/>
    <w:rsid w:val="00C87BF8"/>
    <w:rsid w:val="00CB7D0B"/>
    <w:rsid w:val="00CD79B3"/>
    <w:rsid w:val="00CE469A"/>
    <w:rsid w:val="00D0168C"/>
    <w:rsid w:val="00D12440"/>
    <w:rsid w:val="00D12CF8"/>
    <w:rsid w:val="00D44C89"/>
    <w:rsid w:val="00E113C4"/>
    <w:rsid w:val="00E66AF4"/>
    <w:rsid w:val="00EB5E4D"/>
    <w:rsid w:val="00EB6406"/>
    <w:rsid w:val="00EC78B0"/>
    <w:rsid w:val="00F45090"/>
    <w:rsid w:val="00F5194C"/>
    <w:rsid w:val="00F606E9"/>
    <w:rsid w:val="00F63454"/>
    <w:rsid w:val="00F65968"/>
    <w:rsid w:val="00F75EE2"/>
    <w:rsid w:val="00FB03D9"/>
    <w:rsid w:val="00FE3222"/>
    <w:rsid w:val="00FF35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67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B64"/>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A83B64"/>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A83B64"/>
    <w:pPr>
      <w:tabs>
        <w:tab w:val="center" w:pos="4153"/>
        <w:tab w:val="right" w:pos="8306"/>
      </w:tabs>
    </w:pPr>
  </w:style>
  <w:style w:type="character" w:customStyle="1" w:styleId="FooterChar">
    <w:name w:val="Footer Char"/>
    <w:basedOn w:val="DefaultParagraphFont"/>
    <w:link w:val="Footer"/>
    <w:uiPriority w:val="99"/>
    <w:rsid w:val="00A83B64"/>
    <w:rPr>
      <w:rFonts w:ascii="Times New Roman" w:eastAsia="Times New Roman" w:hAnsi="Times New Roman" w:cs="Times New Roman"/>
      <w:sz w:val="20"/>
      <w:szCs w:val="20"/>
    </w:rPr>
  </w:style>
  <w:style w:type="paragraph" w:styleId="ListParagraph">
    <w:name w:val="List Paragraph"/>
    <w:basedOn w:val="Normal"/>
    <w:uiPriority w:val="34"/>
    <w:qFormat/>
    <w:rsid w:val="00A83B64"/>
    <w:pPr>
      <w:ind w:left="720"/>
      <w:contextualSpacing/>
    </w:pPr>
  </w:style>
  <w:style w:type="character" w:styleId="Hyperlink">
    <w:name w:val="Hyperlink"/>
    <w:basedOn w:val="DefaultParagraphFont"/>
    <w:uiPriority w:val="99"/>
    <w:unhideWhenUsed/>
    <w:rsid w:val="00474CF9"/>
    <w:rPr>
      <w:color w:val="0563C1" w:themeColor="hyperlink"/>
      <w:u w:val="single"/>
    </w:rPr>
  </w:style>
  <w:style w:type="character" w:customStyle="1" w:styleId="UnresolvedMention">
    <w:name w:val="Unresolved Mention"/>
    <w:basedOn w:val="DefaultParagraphFont"/>
    <w:uiPriority w:val="99"/>
    <w:semiHidden/>
    <w:unhideWhenUsed/>
    <w:rsid w:val="00474CF9"/>
    <w:rPr>
      <w:color w:val="605E5C"/>
      <w:shd w:val="clear" w:color="auto" w:fill="E1DFDD"/>
    </w:rPr>
  </w:style>
  <w:style w:type="paragraph" w:styleId="FootnoteText">
    <w:name w:val="footnote text"/>
    <w:basedOn w:val="Normal"/>
    <w:link w:val="FootnoteTextChar"/>
    <w:uiPriority w:val="99"/>
    <w:semiHidden/>
    <w:unhideWhenUsed/>
    <w:rsid w:val="004556A1"/>
  </w:style>
  <w:style w:type="character" w:customStyle="1" w:styleId="FootnoteTextChar">
    <w:name w:val="Footnote Text Char"/>
    <w:basedOn w:val="DefaultParagraphFont"/>
    <w:link w:val="FootnoteText"/>
    <w:uiPriority w:val="99"/>
    <w:semiHidden/>
    <w:rsid w:val="004556A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556A1"/>
    <w:rPr>
      <w:vertAlign w:val="superscript"/>
    </w:rPr>
  </w:style>
  <w:style w:type="table" w:styleId="TableGrid">
    <w:name w:val="Table Grid"/>
    <w:basedOn w:val="TableNormal"/>
    <w:uiPriority w:val="39"/>
    <w:rsid w:val="003D6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E469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806">
      <w:bodyDiv w:val="1"/>
      <w:marLeft w:val="0"/>
      <w:marRight w:val="0"/>
      <w:marTop w:val="0"/>
      <w:marBottom w:val="0"/>
      <w:divBdr>
        <w:top w:val="none" w:sz="0" w:space="0" w:color="auto"/>
        <w:left w:val="none" w:sz="0" w:space="0" w:color="auto"/>
        <w:bottom w:val="none" w:sz="0" w:space="0" w:color="auto"/>
        <w:right w:val="none" w:sz="0" w:space="0" w:color="auto"/>
      </w:divBdr>
    </w:div>
    <w:div w:id="640426528">
      <w:bodyDiv w:val="1"/>
      <w:marLeft w:val="0"/>
      <w:marRight w:val="0"/>
      <w:marTop w:val="0"/>
      <w:marBottom w:val="0"/>
      <w:divBdr>
        <w:top w:val="none" w:sz="0" w:space="0" w:color="auto"/>
        <w:left w:val="none" w:sz="0" w:space="0" w:color="auto"/>
        <w:bottom w:val="none" w:sz="0" w:space="0" w:color="auto"/>
        <w:right w:val="none" w:sz="0" w:space="0" w:color="auto"/>
      </w:divBdr>
    </w:div>
    <w:div w:id="1097365041">
      <w:bodyDiv w:val="1"/>
      <w:marLeft w:val="0"/>
      <w:marRight w:val="0"/>
      <w:marTop w:val="0"/>
      <w:marBottom w:val="0"/>
      <w:divBdr>
        <w:top w:val="none" w:sz="0" w:space="0" w:color="auto"/>
        <w:left w:val="none" w:sz="0" w:space="0" w:color="auto"/>
        <w:bottom w:val="none" w:sz="0" w:space="0" w:color="auto"/>
        <w:right w:val="none" w:sz="0" w:space="0" w:color="auto"/>
      </w:divBdr>
    </w:div>
    <w:div w:id="1397506405">
      <w:bodyDiv w:val="1"/>
      <w:marLeft w:val="0"/>
      <w:marRight w:val="0"/>
      <w:marTop w:val="0"/>
      <w:marBottom w:val="0"/>
      <w:divBdr>
        <w:top w:val="none" w:sz="0" w:space="0" w:color="auto"/>
        <w:left w:val="none" w:sz="0" w:space="0" w:color="auto"/>
        <w:bottom w:val="none" w:sz="0" w:space="0" w:color="auto"/>
        <w:right w:val="none" w:sz="0" w:space="0" w:color="auto"/>
      </w:divBdr>
    </w:div>
    <w:div w:id="16030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dyn/natlex/natlex4.detail?p_lang=en&amp;p_isn=97325&amp;p_country=EGY&amp;p_count=490&amp;p_classification=01&amp;p_classcount=72" TargetMode="External"/><Relationship Id="rId13" Type="http://schemas.openxmlformats.org/officeDocument/2006/relationships/hyperlink" Target="https://ecesr.org/en/2013/09/15/housing-al-qursaya-island-state-court-advisory-commision-supports-rights-of-residents-to-lands/" TargetMode="External"/><Relationship Id="rId18" Type="http://schemas.openxmlformats.org/officeDocument/2006/relationships/hyperlink" Target="mailto:ohchr-registry@un.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anshurat.org/node/14736" TargetMode="External"/><Relationship Id="rId17" Type="http://schemas.openxmlformats.org/officeDocument/2006/relationships/hyperlink" Target="mailto:hrc-sr-housing@u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huc.gov.eg/%D8%A7%D9%84%D8%A5%D8%B9%D9%84%D8%A7%D9%86%20%D8%B9%D9%86%20%D9%81%D8%AA%D8%AD%20%D8%A8%D8%A7%D8%A8%20%D8%A7%D9%84%D8%AD%D8%AC%D8%B2%20%D9%84%D9%88%D8%AD%D8%AF%D8%A7%D8%AA%20%D9%83%D8%A7%D9%85%D9%84%D8%A9%20%D8%A7%D9%84%D8%AA%D8%B4%D8%B7%D9%8A%D8%A8%20%D8%B6%D9%85%D9%86%20%D8%A7%D9%84%D9%85%D8%A8%D8%A7%D8%AF%D8%B1%D8%A9%20%D8%A7%D9%84%D8%B1%D8%A6%D8%A7%D8%B3%D9%8A%D8%A9%20%22%D8%B3%D9%83%D9%86%20%D9%84%D9%83%D9%84%20%D8%A7%D9%84%D9%85%D8%B5%D8%B1%D9%8A%D9%8A%D9%86%203%22/%D8%A7%D9%84%D8%A7%D8%B9%D9%84%D8%A7%D9%86%D8%A7%D8%A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shurat.org/node/14738"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hmff.gov.eg/wps/portal/MFF/Home/!ut/p/z1/04_Sj9CPykssy0xPLMnMz0vMAfIjo8zizRwtzDwsTAx9LMIMLAwcQ42DDMM8fYwN3M30w1EV-PsGmxo4GvoHBxuZuBu4OxvrRxGj3wAHcDQgTj8eBVH4jQ_Xj0K1AosPCJlRkBsaGmGQ6QgAb0CqJQ!!/dz/d5/L2dBISEvZ0FBIS9nQSEh/" TargetMode="External"/><Relationship Id="rId23" Type="http://schemas.openxmlformats.org/officeDocument/2006/relationships/header" Target="header3.xml"/><Relationship Id="rId10" Type="http://schemas.openxmlformats.org/officeDocument/2006/relationships/hyperlink" Target="http://www.tadamun.co/?post_type=initiative&amp;p=811&amp;amp;lang=en&amp;lan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schr.gov.eg/media/gapb5bq4/national-human-rights-strategy.pdf" TargetMode="External"/><Relationship Id="rId14" Type="http://schemas.openxmlformats.org/officeDocument/2006/relationships/hyperlink" Target="https://www.al-monitor.com/originals/2022/02/sisi-hands-over-nile-islands-egyptian-military-raising-controvers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unhabitat.org/egypt-housing-profile" TargetMode="External"/><Relationship Id="rId13" Type="http://schemas.openxmlformats.org/officeDocument/2006/relationships/hyperlink" Target="https://10tooba.org/bedi/en/affordability/" TargetMode="External"/><Relationship Id="rId18" Type="http://schemas.openxmlformats.org/officeDocument/2006/relationships/hyperlink" Target="https://web.archive.org/web/20191223220654/https:/aqarmap.com.eg/en/neighborhood/cairo/" TargetMode="External"/><Relationship Id="rId26" Type="http://schemas.openxmlformats.org/officeDocument/2006/relationships/hyperlink" Target="https://unhabitat.org/sites/default/files/download-manager-files/Leveraging%20Land%20in%20the%20Arab%20Republic%20of%20Egypt.pdf" TargetMode="External"/><Relationship Id="rId3" Type="http://schemas.openxmlformats.org/officeDocument/2006/relationships/hyperlink" Target="https://documents.worldbank.org/en/publication/documents-reports/documentdetail/508711616131964159/housing-demand-survey-for-egypt" TargetMode="External"/><Relationship Id="rId21" Type="http://schemas.openxmlformats.org/officeDocument/2006/relationships/hyperlink" Target="https://www.globalpropertyguide.com/Middle-East/Egypt" TargetMode="External"/><Relationship Id="rId34" Type="http://schemas.openxmlformats.org/officeDocument/2006/relationships/hyperlink" Target="https://marsadomran.info/en/2018/05/1543/" TargetMode="External"/><Relationship Id="rId7" Type="http://schemas.openxmlformats.org/officeDocument/2006/relationships/hyperlink" Target="https://www.cc.gov.eg/i/l/426050.pdf" TargetMode="External"/><Relationship Id="rId12" Type="http://schemas.openxmlformats.org/officeDocument/2006/relationships/hyperlink" Target="https://unhabitat.org/egypt-housing-profile" TargetMode="External"/><Relationship Id="rId17" Type="http://schemas.openxmlformats.org/officeDocument/2006/relationships/hyperlink" Target="https://web.archive.org/web/20161222160637/https:/egypt.aqarmap.com/en/neighborhood/cairo/" TargetMode="External"/><Relationship Id="rId25" Type="http://schemas.openxmlformats.org/officeDocument/2006/relationships/hyperlink" Target="https://www.zawya.com/en/economy/north-africa/nuca-offers-land-to-foreign-investors-for-purchases-in-us-dollars-egypt-vpewjqc9" TargetMode="External"/><Relationship Id="rId33" Type="http://schemas.openxmlformats.org/officeDocument/2006/relationships/hyperlink" Target="https://marsadomran.info/en/2018/05/1543/" TargetMode="External"/><Relationship Id="rId2" Type="http://schemas.openxmlformats.org/officeDocument/2006/relationships/hyperlink" Target="https://documents-dds-ny.un.org/doc/UNDOC/GEN/G19/295/24/PDF/G1929524.pdf?OpenElement" TargetMode="External"/><Relationship Id="rId16" Type="http://schemas.openxmlformats.org/officeDocument/2006/relationships/hyperlink" Target="https://www.capmas.gov.eg/Pages/StaticPages.aspx?page_id=7183" TargetMode="External"/><Relationship Id="rId20" Type="http://schemas.openxmlformats.org/officeDocument/2006/relationships/hyperlink" Target="https://documents.worldbank.org/en/publication/documents-reports/documentdetail/508711616131964159/housing-demand-survey-for-egypt" TargetMode="External"/><Relationship Id="rId29" Type="http://schemas.openxmlformats.org/officeDocument/2006/relationships/hyperlink" Target="https://marsadomran.info/en/2020/04/1952/" TargetMode="External"/><Relationship Id="rId1" Type="http://schemas.openxmlformats.org/officeDocument/2006/relationships/hyperlink" Target="https://www.cc.gov.eg/i/l/426050.pdf" TargetMode="External"/><Relationship Id="rId6" Type="http://schemas.openxmlformats.org/officeDocument/2006/relationships/hyperlink" Target="https://www.capmas.gov.eg/Pages/StaticPages.aspx?page_id=7183" TargetMode="External"/><Relationship Id="rId11" Type="http://schemas.openxmlformats.org/officeDocument/2006/relationships/hyperlink" Target="https://pdf.usaid.gov/pdf_docs/PNADY276.pdf" TargetMode="External"/><Relationship Id="rId24" Type="http://schemas.openxmlformats.org/officeDocument/2006/relationships/hyperlink" Target="https://www.goldenvisas.com/egypt" TargetMode="External"/><Relationship Id="rId32" Type="http://schemas.openxmlformats.org/officeDocument/2006/relationships/hyperlink" Target="https://unhabitat.org/egypt-housing-strategy" TargetMode="External"/><Relationship Id="rId5" Type="http://schemas.openxmlformats.org/officeDocument/2006/relationships/hyperlink" Target="https://www.capmas.gov.eg/Pages/StaticPages.aspx?page_id=7183" TargetMode="External"/><Relationship Id="rId15" Type="http://schemas.openxmlformats.org/officeDocument/2006/relationships/hyperlink" Target="https://www.capmas.gov.eg/Pages/Publications.aspx?page_id=5109&amp;YearID=23629" TargetMode="External"/><Relationship Id="rId23" Type="http://schemas.openxmlformats.org/officeDocument/2006/relationships/hyperlink" Target="https://documents-dds-ny.un.org/doc/UNDOC/GEN/G19/295/24/PDF/G1929524.pdf?OpenElement" TargetMode="External"/><Relationship Id="rId28" Type="http://schemas.openxmlformats.org/officeDocument/2006/relationships/hyperlink" Target="https://egypt-wfp-covid19-unwfp.hub.arcgis.com/pages/studies-and-researches" TargetMode="External"/><Relationship Id="rId10" Type="http://schemas.openxmlformats.org/officeDocument/2006/relationships/hyperlink" Target="https://10tooba.org/bedi/en/affordability/" TargetMode="External"/><Relationship Id="rId19" Type="http://schemas.openxmlformats.org/officeDocument/2006/relationships/hyperlink" Target="https://egypt.iom.int/sites/g/files/tmzbdl1021/files/documents/Migration%20Stock%20in%20Egypt%20July%202022%20EN_Salma%20HASSAN.pdf" TargetMode="External"/><Relationship Id="rId31" Type="http://schemas.openxmlformats.org/officeDocument/2006/relationships/hyperlink" Target="https://www.capmas.gov.eg/Pages/StaticPages.aspx?page_id=7183" TargetMode="External"/><Relationship Id="rId4" Type="http://schemas.openxmlformats.org/officeDocument/2006/relationships/hyperlink" Target="https://www.capmas.gov.eg/Pages/StaticPages.aspx?page_id=7183" TargetMode="External"/><Relationship Id="rId9" Type="http://schemas.openxmlformats.org/officeDocument/2006/relationships/hyperlink" Target="https://pdf.usaid.gov/pdf_docs/PNADY276.pdf" TargetMode="External"/><Relationship Id="rId14" Type="http://schemas.openxmlformats.org/officeDocument/2006/relationships/hyperlink" Target="https://www.capmas.gov.eg/Pages/Publications.aspx?page_id=5109&amp;YearID=23629" TargetMode="External"/><Relationship Id="rId22" Type="http://schemas.openxmlformats.org/officeDocument/2006/relationships/hyperlink" Target="https://www.progressegypt.org/en/indicator.html" TargetMode="External"/><Relationship Id="rId27" Type="http://schemas.openxmlformats.org/officeDocument/2006/relationships/hyperlink" Target="https://www.zawya.com/en/economy/north-africa/nuca-offers-land-to-foreign-investors-for-purchases-in-us-dollars-egypt-vpewjqc9" TargetMode="External"/><Relationship Id="rId30" Type="http://schemas.openxmlformats.org/officeDocument/2006/relationships/hyperlink" Target="https://egypt-wfp-covid19-unwfp.hub.arcgis.com/pages/studies-and-resear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B0462-1DE9-475C-BD6B-4D457CBB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3682</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2023-05-01T15:56:00Z</dcterms:created>
  <dcterms:modified xsi:type="dcterms:W3CDTF">2023-05-01T15:57:00Z</dcterms:modified>
</cp:coreProperties>
</file>