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05A5" w14:textId="77777777" w:rsidR="00A83B64" w:rsidRPr="00E951DC" w:rsidRDefault="00A83B64" w:rsidP="00A83B64">
      <w:pPr>
        <w:jc w:val="center"/>
        <w:rPr>
          <w:lang w:val="en-CA"/>
        </w:rPr>
      </w:pPr>
      <w:bookmarkStart w:id="0" w:name="_GoBack"/>
      <w:bookmarkEnd w:id="0"/>
    </w:p>
    <w:p w14:paraId="769DC26F" w14:textId="582FB1E4" w:rsidR="00EC7784" w:rsidRDefault="00D105CA" w:rsidP="00EC7784">
      <w:pPr>
        <w:spacing w:after="160" w:line="259" w:lineRule="auto"/>
        <w:jc w:val="right"/>
        <w:rPr>
          <w:rFonts w:eastAsia="Calibri"/>
          <w:b/>
          <w:sz w:val="28"/>
          <w:szCs w:val="22"/>
          <w:lang w:val="en-US"/>
        </w:rPr>
      </w:pPr>
      <w:r>
        <w:rPr>
          <w:rFonts w:eastAsia="Calibri"/>
          <w:b/>
          <w:sz w:val="28"/>
          <w:szCs w:val="22"/>
          <w:lang w:val="en-US"/>
        </w:rPr>
        <w:t>28</w:t>
      </w:r>
      <w:r w:rsidR="00EC7784">
        <w:rPr>
          <w:rFonts w:eastAsia="Calibri"/>
          <w:b/>
          <w:sz w:val="28"/>
          <w:szCs w:val="22"/>
          <w:lang w:val="en-US"/>
        </w:rPr>
        <w:t>-04-23</w:t>
      </w:r>
    </w:p>
    <w:p w14:paraId="7A6A53B2" w14:textId="5C8A1AA9" w:rsidR="00EC7784" w:rsidRPr="00EC7784" w:rsidRDefault="00EC7784" w:rsidP="00EC7784">
      <w:pPr>
        <w:pStyle w:val="Heading3"/>
      </w:pPr>
      <w:r w:rsidRPr="00EC7784">
        <w:t>FHA Submission to United Nations Habitat Survey</w:t>
      </w:r>
    </w:p>
    <w:p w14:paraId="3A6D1872" w14:textId="77777777" w:rsidR="00EC7784" w:rsidRDefault="00EC7784" w:rsidP="00A83B64">
      <w:pPr>
        <w:spacing w:after="160" w:line="259" w:lineRule="auto"/>
        <w:jc w:val="center"/>
        <w:rPr>
          <w:rFonts w:eastAsia="Calibri"/>
          <w:b/>
          <w:sz w:val="28"/>
          <w:szCs w:val="22"/>
          <w:lang w:val="en-US"/>
        </w:rPr>
      </w:pPr>
    </w:p>
    <w:p w14:paraId="55B44862" w14:textId="3B6F5DC5"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14:paraId="0049AF59" w14:textId="77777777" w:rsidR="00A83B64" w:rsidRPr="00737659" w:rsidRDefault="00A83B64" w:rsidP="00A83B64">
      <w:pPr>
        <w:spacing w:after="160" w:line="259" w:lineRule="auto"/>
        <w:jc w:val="center"/>
        <w:rPr>
          <w:rFonts w:eastAsia="Calibri"/>
          <w:b/>
          <w:sz w:val="22"/>
          <w:szCs w:val="22"/>
          <w:lang w:val="en-US"/>
        </w:rPr>
      </w:pPr>
      <w:r w:rsidRPr="00EC7784">
        <w:rPr>
          <w:rFonts w:eastAsia="Calibri"/>
          <w:b/>
          <w:sz w:val="22"/>
          <w:szCs w:val="22"/>
          <w:lang w:val="en-US"/>
        </w:rPr>
        <w:t xml:space="preserve">Report of the Special Rapporteur on the right to adequate housing to the </w:t>
      </w:r>
      <w:r w:rsidRPr="00EC7784">
        <w:rPr>
          <w:rFonts w:eastAsia="Calibri"/>
          <w:b/>
          <w:sz w:val="22"/>
          <w:szCs w:val="22"/>
          <w:lang w:val="en-US"/>
        </w:rPr>
        <w:br/>
        <w:t>78th session of the UN General Assembly</w:t>
      </w:r>
      <w:r w:rsidRPr="00737659">
        <w:rPr>
          <w:rFonts w:eastAsia="Calibri"/>
          <w:b/>
          <w:sz w:val="22"/>
          <w:szCs w:val="22"/>
          <w:lang w:val="en-US"/>
        </w:rPr>
        <w:t xml:space="preserve"> </w:t>
      </w:r>
    </w:p>
    <w:p w14:paraId="004CB6AA" w14:textId="7E59AAF8" w:rsidR="00A83B64" w:rsidRPr="00EC7784" w:rsidRDefault="00B51E45" w:rsidP="00EC7784">
      <w:pPr>
        <w:tabs>
          <w:tab w:val="left" w:pos="2516"/>
          <w:tab w:val="center" w:pos="4252"/>
        </w:tabs>
        <w:spacing w:after="160" w:line="259" w:lineRule="auto"/>
        <w:rPr>
          <w:rFonts w:eastAsia="Calibri"/>
          <w:b/>
          <w:bCs/>
          <w:sz w:val="32"/>
          <w:szCs w:val="22"/>
        </w:rPr>
      </w:pPr>
      <w:r>
        <w:rPr>
          <w:rFonts w:eastAsia="Calibri"/>
          <w:b/>
          <w:bCs/>
          <w:sz w:val="32"/>
          <w:szCs w:val="22"/>
        </w:rPr>
        <w:tab/>
      </w:r>
      <w:r>
        <w:rPr>
          <w:rFonts w:eastAsia="Calibri"/>
          <w:b/>
          <w:bCs/>
          <w:sz w:val="32"/>
          <w:szCs w:val="22"/>
        </w:rPr>
        <w:tab/>
      </w:r>
      <w:r w:rsidR="00A83B64" w:rsidRPr="00737659">
        <w:rPr>
          <w:rFonts w:eastAsia="Calibri"/>
          <w:b/>
          <w:bCs/>
          <w:sz w:val="32"/>
          <w:szCs w:val="22"/>
        </w:rPr>
        <w:t>Questionnaire</w:t>
      </w:r>
    </w:p>
    <w:p w14:paraId="54047E1B" w14:textId="77777777" w:rsidR="00A83B64" w:rsidRPr="00737659" w:rsidRDefault="00A83B64" w:rsidP="00A83B64">
      <w:pPr>
        <w:spacing w:after="160" w:line="259" w:lineRule="auto"/>
        <w:jc w:val="both"/>
        <w:rPr>
          <w:rFonts w:eastAsia="Calibri"/>
          <w:sz w:val="22"/>
          <w:szCs w:val="22"/>
        </w:rPr>
      </w:pPr>
    </w:p>
    <w:p w14:paraId="4B66C02D" w14:textId="77777777" w:rsidR="00A83B64" w:rsidRPr="00737659" w:rsidRDefault="00A83B64" w:rsidP="000B7E8F">
      <w:pPr>
        <w:pStyle w:val="Heading1"/>
      </w:pPr>
      <w:r w:rsidRPr="00737659">
        <w:t xml:space="preserve">National law, policies and jurisprudence relating to affordable housing </w:t>
      </w:r>
    </w:p>
    <w:p w14:paraId="290C9B9E" w14:textId="77777777" w:rsidR="0067699D" w:rsidRDefault="00A83B64" w:rsidP="0067699D">
      <w:pPr>
        <w:numPr>
          <w:ilvl w:val="0"/>
          <w:numId w:val="1"/>
        </w:numPr>
        <w:spacing w:after="160" w:line="259" w:lineRule="auto"/>
        <w:contextualSpacing/>
        <w:jc w:val="both"/>
        <w:rPr>
          <w:rFonts w:eastAsia="Calibri"/>
          <w:sz w:val="22"/>
          <w:szCs w:val="22"/>
        </w:rPr>
      </w:pPr>
      <w:r w:rsidRPr="000B7E8F">
        <w:rPr>
          <w:rFonts w:eastAsia="Calibri"/>
          <w:sz w:val="22"/>
          <w:szCs w:val="22"/>
        </w:rPr>
        <w:t xml:space="preserve">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w:t>
      </w:r>
      <w:r w:rsidRPr="0067699D">
        <w:rPr>
          <w:rFonts w:eastAsia="Calibri"/>
          <w:sz w:val="22"/>
          <w:szCs w:val="22"/>
        </w:rPr>
        <w:t>Please provide references and links to the respective key laws or constitutional provisions as well as policies.</w:t>
      </w:r>
    </w:p>
    <w:p w14:paraId="58E0BB35" w14:textId="77777777" w:rsidR="0067699D" w:rsidRDefault="0067699D" w:rsidP="0067699D">
      <w:pPr>
        <w:spacing w:after="160" w:line="259" w:lineRule="auto"/>
        <w:ind w:left="720"/>
        <w:contextualSpacing/>
        <w:jc w:val="both"/>
        <w:rPr>
          <w:rFonts w:eastAsia="Calibri"/>
          <w:sz w:val="22"/>
          <w:szCs w:val="22"/>
        </w:rPr>
      </w:pPr>
    </w:p>
    <w:p w14:paraId="725052CA" w14:textId="77777777" w:rsidR="0067699D" w:rsidRPr="00DF2E1D" w:rsidRDefault="0067699D" w:rsidP="00DF2E1D">
      <w:pPr>
        <w:spacing w:after="160" w:line="259" w:lineRule="auto"/>
        <w:ind w:left="709"/>
        <w:jc w:val="both"/>
        <w:rPr>
          <w:rStyle w:val="BookTitle"/>
          <w:rFonts w:eastAsia="Calibri"/>
          <w:b w:val="0"/>
          <w:bCs w:val="0"/>
          <w:i w:val="0"/>
          <w:iCs w:val="0"/>
          <w:spacing w:val="0"/>
          <w:sz w:val="22"/>
          <w:szCs w:val="22"/>
        </w:rPr>
      </w:pPr>
      <w:r w:rsidRPr="00DF2E1D">
        <w:rPr>
          <w:rStyle w:val="BookTitle"/>
          <w:i w:val="0"/>
          <w:sz w:val="22"/>
          <w:szCs w:val="22"/>
        </w:rPr>
        <w:t>In 2019, Parliament passed the </w:t>
      </w:r>
      <w:hyperlink r:id="rId8" w:tgtFrame="_blank" w:history="1">
        <w:r w:rsidRPr="00DF2E1D">
          <w:rPr>
            <w:rStyle w:val="Hyperlink"/>
            <w:b/>
            <w:spacing w:val="5"/>
            <w:sz w:val="22"/>
            <w:szCs w:val="22"/>
          </w:rPr>
          <w:t>National Housing Strategy Act</w:t>
        </w:r>
        <w:r w:rsidRPr="00DF2E1D">
          <w:rPr>
            <w:rStyle w:val="Hyperlink"/>
            <w:spacing w:val="5"/>
            <w:sz w:val="22"/>
            <w:szCs w:val="22"/>
          </w:rPr>
          <w:t> </w:t>
        </w:r>
      </w:hyperlink>
      <w:r w:rsidRPr="00DF2E1D">
        <w:rPr>
          <w:rStyle w:val="BookTitle"/>
          <w:i w:val="0"/>
          <w:sz w:val="22"/>
          <w:szCs w:val="22"/>
        </w:rPr>
        <w:t>(the Act), which recognizes housing as a human right and commits the Federal government to further the progressive realization of the right to adequate housing. </w:t>
      </w:r>
    </w:p>
    <w:p w14:paraId="32547FB7" w14:textId="595AA63B" w:rsidR="0067699D" w:rsidRPr="0067699D" w:rsidRDefault="0067699D" w:rsidP="00DF2E1D">
      <w:pPr>
        <w:pStyle w:val="marginalnote"/>
        <w:numPr>
          <w:ilvl w:val="0"/>
          <w:numId w:val="23"/>
        </w:numPr>
        <w:spacing w:before="288" w:beforeAutospacing="0" w:after="168" w:afterAutospacing="0"/>
        <w:rPr>
          <w:b/>
          <w:bCs/>
          <w:color w:val="000000"/>
          <w:sz w:val="22"/>
        </w:rPr>
      </w:pPr>
      <w:r w:rsidRPr="0067699D">
        <w:rPr>
          <w:b/>
          <w:color w:val="000000"/>
          <w:sz w:val="22"/>
        </w:rPr>
        <w:t>The NHSA (Section 4) declares the housing policy of the Government of Canada to be:</w:t>
      </w:r>
    </w:p>
    <w:p w14:paraId="6EB46964" w14:textId="77777777" w:rsidR="0067699D" w:rsidRPr="0067699D" w:rsidRDefault="0067699D" w:rsidP="00DF2E1D">
      <w:pPr>
        <w:pStyle w:val="paragraph"/>
        <w:numPr>
          <w:ilvl w:val="0"/>
          <w:numId w:val="24"/>
        </w:numPr>
        <w:tabs>
          <w:tab w:val="clear" w:pos="720"/>
          <w:tab w:val="num" w:pos="676"/>
          <w:tab w:val="num" w:pos="764"/>
        </w:tabs>
        <w:spacing w:before="168" w:beforeAutospacing="0" w:after="120" w:afterAutospacing="0"/>
        <w:ind w:left="1080"/>
        <w:rPr>
          <w:b/>
          <w:color w:val="000000"/>
          <w:sz w:val="22"/>
        </w:rPr>
      </w:pPr>
      <w:r w:rsidRPr="0067699D">
        <w:rPr>
          <w:rStyle w:val="lawlabel"/>
          <w:b/>
          <w:bCs/>
          <w:color w:val="000000"/>
          <w:sz w:val="22"/>
        </w:rPr>
        <w:t>(a)</w:t>
      </w:r>
      <w:r w:rsidRPr="0067699D">
        <w:rPr>
          <w:b/>
          <w:color w:val="000000"/>
          <w:sz w:val="22"/>
        </w:rPr>
        <w:t> recognize that the right to adequate housing is a fundamental human right affirmed in international law;</w:t>
      </w:r>
    </w:p>
    <w:p w14:paraId="1A3C2056" w14:textId="77777777" w:rsidR="0067699D" w:rsidRPr="0067699D" w:rsidRDefault="0067699D" w:rsidP="00DF2E1D">
      <w:pPr>
        <w:pStyle w:val="paragraph"/>
        <w:numPr>
          <w:ilvl w:val="0"/>
          <w:numId w:val="24"/>
        </w:numPr>
        <w:tabs>
          <w:tab w:val="clear" w:pos="720"/>
          <w:tab w:val="num" w:pos="676"/>
          <w:tab w:val="num" w:pos="764"/>
        </w:tabs>
        <w:spacing w:before="168" w:beforeAutospacing="0" w:after="120" w:afterAutospacing="0"/>
        <w:ind w:left="1080"/>
        <w:rPr>
          <w:b/>
          <w:color w:val="000000"/>
          <w:sz w:val="22"/>
        </w:rPr>
      </w:pPr>
      <w:r w:rsidRPr="0067699D">
        <w:rPr>
          <w:rStyle w:val="lawlabel"/>
          <w:b/>
          <w:bCs/>
          <w:color w:val="000000"/>
          <w:sz w:val="22"/>
        </w:rPr>
        <w:t>(b)</w:t>
      </w:r>
      <w:r w:rsidRPr="0067699D">
        <w:rPr>
          <w:b/>
          <w:color w:val="000000"/>
          <w:sz w:val="22"/>
        </w:rPr>
        <w:t> recognize that housing is essential to the inherent dignity and well-being of the person and to building sustainable and inclusive communities;</w:t>
      </w:r>
    </w:p>
    <w:p w14:paraId="0FB1323A" w14:textId="77777777" w:rsidR="0067699D" w:rsidRPr="0067699D" w:rsidRDefault="0067699D" w:rsidP="00DF2E1D">
      <w:pPr>
        <w:pStyle w:val="paragraph"/>
        <w:numPr>
          <w:ilvl w:val="0"/>
          <w:numId w:val="24"/>
        </w:numPr>
        <w:tabs>
          <w:tab w:val="clear" w:pos="720"/>
          <w:tab w:val="num" w:pos="676"/>
          <w:tab w:val="num" w:pos="764"/>
        </w:tabs>
        <w:spacing w:before="168" w:beforeAutospacing="0" w:after="120" w:afterAutospacing="0"/>
        <w:ind w:left="1080"/>
        <w:rPr>
          <w:b/>
          <w:color w:val="000000"/>
          <w:sz w:val="22"/>
        </w:rPr>
      </w:pPr>
      <w:r w:rsidRPr="0067699D">
        <w:rPr>
          <w:rStyle w:val="lawlabel"/>
          <w:b/>
          <w:bCs/>
          <w:color w:val="000000"/>
          <w:sz w:val="22"/>
        </w:rPr>
        <w:t>(c)</w:t>
      </w:r>
      <w:r w:rsidRPr="0067699D">
        <w:rPr>
          <w:b/>
          <w:color w:val="000000"/>
          <w:sz w:val="22"/>
        </w:rPr>
        <w:t> support improved housing outcomes for the people of Canada; and</w:t>
      </w:r>
    </w:p>
    <w:p w14:paraId="459A9F0B" w14:textId="0DD53731" w:rsidR="006510A9" w:rsidRPr="0067699D" w:rsidRDefault="0067699D" w:rsidP="00DF2E1D">
      <w:pPr>
        <w:pStyle w:val="paragraph"/>
        <w:numPr>
          <w:ilvl w:val="0"/>
          <w:numId w:val="24"/>
        </w:numPr>
        <w:tabs>
          <w:tab w:val="clear" w:pos="720"/>
          <w:tab w:val="num" w:pos="676"/>
          <w:tab w:val="num" w:pos="764"/>
        </w:tabs>
        <w:spacing w:before="168" w:beforeAutospacing="0" w:after="120" w:afterAutospacing="0"/>
        <w:ind w:left="1080"/>
        <w:rPr>
          <w:b/>
          <w:color w:val="000000"/>
          <w:sz w:val="22"/>
        </w:rPr>
      </w:pPr>
      <w:r w:rsidRPr="0067699D">
        <w:rPr>
          <w:rStyle w:val="lawlabel"/>
          <w:b/>
          <w:bCs/>
          <w:color w:val="000000"/>
          <w:sz w:val="22"/>
        </w:rPr>
        <w:t>(d)</w:t>
      </w:r>
      <w:r w:rsidRPr="0067699D">
        <w:rPr>
          <w:b/>
          <w:color w:val="000000"/>
          <w:sz w:val="22"/>
        </w:rPr>
        <w:t> further the progressive realization of the right to adequate housing as recognized in the International Covenant on Economic, Social and Cultural Rights.</w:t>
      </w:r>
    </w:p>
    <w:p w14:paraId="6F9A03AB" w14:textId="034EAADE" w:rsidR="00EC7784" w:rsidRDefault="000F588C" w:rsidP="00DF2E1D">
      <w:pPr>
        <w:pStyle w:val="CommentSubject"/>
        <w:ind w:left="709"/>
        <w:rPr>
          <w:sz w:val="22"/>
          <w:szCs w:val="22"/>
        </w:rPr>
      </w:pPr>
      <w:r w:rsidRPr="000B7E8F">
        <w:rPr>
          <w:bCs w:val="0"/>
          <w:sz w:val="22"/>
          <w:szCs w:val="22"/>
        </w:rPr>
        <w:t xml:space="preserve">The </w:t>
      </w:r>
      <w:hyperlink r:id="rId9" w:history="1">
        <w:r w:rsidRPr="000B7E8F">
          <w:rPr>
            <w:rStyle w:val="Hyperlink"/>
            <w:bCs w:val="0"/>
            <w:sz w:val="22"/>
            <w:szCs w:val="22"/>
          </w:rPr>
          <w:t>National Housing Strategy</w:t>
        </w:r>
      </w:hyperlink>
      <w:r w:rsidR="00222E86">
        <w:rPr>
          <w:rStyle w:val="Hyperlink"/>
          <w:bCs w:val="0"/>
          <w:sz w:val="22"/>
          <w:szCs w:val="22"/>
        </w:rPr>
        <w:t xml:space="preserve"> (NHS)</w:t>
      </w:r>
      <w:r w:rsidR="007471B6">
        <w:rPr>
          <w:bCs w:val="0"/>
          <w:sz w:val="22"/>
          <w:szCs w:val="22"/>
        </w:rPr>
        <w:t xml:space="preserve"> </w:t>
      </w:r>
      <w:r w:rsidR="00DF2E1D">
        <w:rPr>
          <w:bCs w:val="0"/>
          <w:sz w:val="22"/>
          <w:szCs w:val="22"/>
        </w:rPr>
        <w:t>, among other things:</w:t>
      </w:r>
      <w:r w:rsidRPr="000B7E8F">
        <w:rPr>
          <w:bCs w:val="0"/>
          <w:sz w:val="22"/>
          <w:szCs w:val="22"/>
        </w:rPr>
        <w:t xml:space="preserve"> </w:t>
      </w:r>
      <w:r w:rsidRPr="000B7E8F">
        <w:rPr>
          <w:sz w:val="22"/>
          <w:szCs w:val="22"/>
        </w:rPr>
        <w:t> </w:t>
      </w:r>
    </w:p>
    <w:p w14:paraId="5C22C0B9" w14:textId="77777777" w:rsidR="00EC7784" w:rsidRPr="00EC7784" w:rsidRDefault="00EC7784" w:rsidP="00EC7784">
      <w:pPr>
        <w:pStyle w:val="CommentText"/>
      </w:pPr>
    </w:p>
    <w:p w14:paraId="4745BA98" w14:textId="5E99E908" w:rsidR="000F588C" w:rsidRDefault="000F588C" w:rsidP="0079769A">
      <w:pPr>
        <w:pStyle w:val="CommentSubject"/>
        <w:numPr>
          <w:ilvl w:val="0"/>
          <w:numId w:val="6"/>
        </w:numPr>
        <w:tabs>
          <w:tab w:val="clear" w:pos="720"/>
          <w:tab w:val="num" w:pos="1080"/>
        </w:tabs>
        <w:ind w:left="1080"/>
        <w:rPr>
          <w:sz w:val="22"/>
          <w:szCs w:val="22"/>
        </w:rPr>
      </w:pPr>
      <w:r w:rsidRPr="000B7E8F">
        <w:rPr>
          <w:sz w:val="22"/>
          <w:szCs w:val="22"/>
        </w:rPr>
        <w:t>set</w:t>
      </w:r>
      <w:r w:rsidR="007471B6">
        <w:rPr>
          <w:sz w:val="22"/>
          <w:szCs w:val="22"/>
        </w:rPr>
        <w:t>s</w:t>
      </w:r>
      <w:r w:rsidRPr="000B7E8F">
        <w:rPr>
          <w:sz w:val="22"/>
          <w:szCs w:val="22"/>
        </w:rPr>
        <w:t xml:space="preserve"> out a long-term vision for housing in Canada that recognizes the importance of housing in achieving social, economic, health</w:t>
      </w:r>
      <w:r w:rsidR="007471B6">
        <w:rPr>
          <w:sz w:val="22"/>
          <w:szCs w:val="22"/>
        </w:rPr>
        <w:t>,</w:t>
      </w:r>
      <w:r w:rsidRPr="000B7E8F">
        <w:rPr>
          <w:sz w:val="22"/>
          <w:szCs w:val="22"/>
        </w:rPr>
        <w:t xml:space="preserve"> and environmental goals; </w:t>
      </w:r>
    </w:p>
    <w:p w14:paraId="518DC932" w14:textId="77777777" w:rsidR="00EC7784" w:rsidRPr="00EC7784" w:rsidRDefault="00EC7784" w:rsidP="0079769A">
      <w:pPr>
        <w:pStyle w:val="CommentText"/>
        <w:ind w:left="360"/>
      </w:pPr>
    </w:p>
    <w:p w14:paraId="3F81D523" w14:textId="53684125" w:rsidR="000F588C" w:rsidRDefault="000F588C" w:rsidP="0079769A">
      <w:pPr>
        <w:pStyle w:val="CommentSubject"/>
        <w:numPr>
          <w:ilvl w:val="0"/>
          <w:numId w:val="6"/>
        </w:numPr>
        <w:tabs>
          <w:tab w:val="clear" w:pos="720"/>
          <w:tab w:val="num" w:pos="1080"/>
        </w:tabs>
        <w:ind w:left="1080"/>
        <w:rPr>
          <w:sz w:val="22"/>
          <w:szCs w:val="22"/>
        </w:rPr>
      </w:pPr>
      <w:r w:rsidRPr="000B7E8F">
        <w:rPr>
          <w:sz w:val="22"/>
          <w:szCs w:val="22"/>
        </w:rPr>
        <w:t xml:space="preserve">establish national goals relating to housing and homelessness and identify related priorities, initiatives, timelines and desired outcomes; </w:t>
      </w:r>
    </w:p>
    <w:p w14:paraId="61981AEE" w14:textId="77777777" w:rsidR="00EC7784" w:rsidRPr="00EC7784" w:rsidRDefault="00EC7784" w:rsidP="0079769A">
      <w:pPr>
        <w:pStyle w:val="CommentText"/>
        <w:ind w:left="360"/>
      </w:pPr>
    </w:p>
    <w:p w14:paraId="4D4101BD" w14:textId="38429039" w:rsidR="000F588C" w:rsidRDefault="000F588C" w:rsidP="0079769A">
      <w:pPr>
        <w:pStyle w:val="CommentSubject"/>
        <w:numPr>
          <w:ilvl w:val="0"/>
          <w:numId w:val="6"/>
        </w:numPr>
        <w:tabs>
          <w:tab w:val="clear" w:pos="720"/>
          <w:tab w:val="num" w:pos="1080"/>
        </w:tabs>
        <w:ind w:left="1080"/>
        <w:rPr>
          <w:sz w:val="22"/>
          <w:szCs w:val="22"/>
        </w:rPr>
      </w:pPr>
      <w:r w:rsidRPr="000B7E8F">
        <w:rPr>
          <w:sz w:val="22"/>
          <w:szCs w:val="22"/>
        </w:rPr>
        <w:t>focus on improving housing outcomes for persons in greatest need;</w:t>
      </w:r>
    </w:p>
    <w:p w14:paraId="6CA3A269" w14:textId="77777777" w:rsidR="00EC7784" w:rsidRPr="00EC7784" w:rsidRDefault="00EC7784" w:rsidP="0079769A">
      <w:pPr>
        <w:pStyle w:val="CommentText"/>
        <w:ind w:left="360"/>
      </w:pPr>
    </w:p>
    <w:p w14:paraId="66CB2F05" w14:textId="07FAFC89" w:rsidR="00F15755" w:rsidRPr="000B7E8F" w:rsidRDefault="000F588C" w:rsidP="0079769A">
      <w:pPr>
        <w:pStyle w:val="CommentSubject"/>
        <w:numPr>
          <w:ilvl w:val="0"/>
          <w:numId w:val="6"/>
        </w:numPr>
        <w:tabs>
          <w:tab w:val="clear" w:pos="720"/>
          <w:tab w:val="num" w:pos="1080"/>
        </w:tabs>
        <w:ind w:left="1080"/>
        <w:rPr>
          <w:bCs w:val="0"/>
          <w:sz w:val="22"/>
          <w:szCs w:val="22"/>
        </w:rPr>
      </w:pPr>
      <w:r w:rsidRPr="000B7E8F">
        <w:rPr>
          <w:sz w:val="22"/>
          <w:szCs w:val="22"/>
        </w:rPr>
        <w:lastRenderedPageBreak/>
        <w:t>and provide for participatory processes to ensure the ongoing inclusion and engagement of civil society, stakeholders, vulnerable groups and persons with lived experience of housing need, as well as those with lived experience of homelessness.</w:t>
      </w:r>
    </w:p>
    <w:p w14:paraId="6F8C9CD5" w14:textId="77777777" w:rsidR="000F588C" w:rsidRPr="000B7E8F" w:rsidRDefault="000F588C" w:rsidP="000F588C">
      <w:pPr>
        <w:pStyle w:val="ListParagraph"/>
        <w:spacing w:after="160" w:line="259" w:lineRule="auto"/>
        <w:jc w:val="both"/>
        <w:rPr>
          <w:rFonts w:eastAsia="Calibri"/>
          <w:sz w:val="22"/>
          <w:szCs w:val="22"/>
        </w:rPr>
      </w:pPr>
    </w:p>
    <w:p w14:paraId="0FB063D5" w14:textId="77777777" w:rsidR="000F588C" w:rsidRPr="000B7E8F" w:rsidRDefault="000F588C" w:rsidP="000F588C">
      <w:pPr>
        <w:pStyle w:val="ListParagraph"/>
        <w:rPr>
          <w:rFonts w:eastAsia="Calibri"/>
          <w:b/>
          <w:bCs/>
          <w:iCs/>
          <w:spacing w:val="5"/>
          <w:sz w:val="22"/>
          <w:szCs w:val="22"/>
        </w:rPr>
      </w:pPr>
    </w:p>
    <w:p w14:paraId="48CAC76A" w14:textId="0D4C240D" w:rsidR="000F588C" w:rsidRDefault="00A83B64" w:rsidP="000F588C">
      <w:pPr>
        <w:numPr>
          <w:ilvl w:val="0"/>
          <w:numId w:val="1"/>
        </w:numPr>
        <w:spacing w:after="160" w:line="259" w:lineRule="auto"/>
        <w:contextualSpacing/>
        <w:jc w:val="both"/>
        <w:rPr>
          <w:rFonts w:eastAsia="Calibri"/>
          <w:sz w:val="22"/>
          <w:szCs w:val="22"/>
        </w:rPr>
      </w:pPr>
      <w:r w:rsidRPr="000B7E8F">
        <w:rPr>
          <w:rFonts w:eastAsia="Calibri"/>
          <w:sz w:val="22"/>
          <w:szCs w:val="22"/>
        </w:rPr>
        <w:t xml:space="preserve">Please explain if there is any official definition or criteria to assess whether a household faces housing costs above the level of affordability in your country. </w:t>
      </w:r>
    </w:p>
    <w:p w14:paraId="3D0FBC5F" w14:textId="77777777" w:rsidR="00222E86" w:rsidRPr="000B7E8F" w:rsidRDefault="00222E86" w:rsidP="00222E86">
      <w:pPr>
        <w:spacing w:after="160" w:line="259" w:lineRule="auto"/>
        <w:ind w:left="720"/>
        <w:contextualSpacing/>
        <w:jc w:val="both"/>
        <w:rPr>
          <w:rFonts w:eastAsia="Calibri"/>
          <w:sz w:val="22"/>
          <w:szCs w:val="22"/>
        </w:rPr>
      </w:pPr>
    </w:p>
    <w:p w14:paraId="57B8C7CC" w14:textId="0DE5D272" w:rsidR="00230D34" w:rsidRPr="00DF2E1D" w:rsidRDefault="00B13694" w:rsidP="00DF2E1D">
      <w:pPr>
        <w:ind w:left="360"/>
        <w:rPr>
          <w:b/>
          <w:sz w:val="22"/>
          <w:szCs w:val="22"/>
          <w:lang w:val="en-CA" w:eastAsia="en-CA"/>
        </w:rPr>
      </w:pPr>
      <w:hyperlink r:id="rId10" w:history="1">
        <w:r w:rsidR="00230D34" w:rsidRPr="00DF2E1D">
          <w:rPr>
            <w:rStyle w:val="Hyperlink"/>
            <w:b/>
            <w:sz w:val="22"/>
            <w:szCs w:val="22"/>
            <w:lang w:val="en-CA" w:eastAsia="en-CA"/>
          </w:rPr>
          <w:t>Core housing need</w:t>
        </w:r>
      </w:hyperlink>
      <w:r w:rsidR="00230D34" w:rsidRPr="00DF2E1D">
        <w:rPr>
          <w:b/>
          <w:sz w:val="22"/>
          <w:szCs w:val="22"/>
          <w:lang w:val="en-CA" w:eastAsia="en-CA"/>
        </w:rPr>
        <w:t xml:space="preserve"> determines if a household can afford suitable and adequate housing in their community</w:t>
      </w:r>
      <w:r w:rsidR="0028623D" w:rsidRPr="00DF2E1D">
        <w:rPr>
          <w:b/>
          <w:sz w:val="22"/>
          <w:szCs w:val="22"/>
          <w:lang w:val="en-CA" w:eastAsia="en-CA"/>
        </w:rPr>
        <w:t xml:space="preserve"> and is the standard definition of affordable housing for governments at every level in Canada. </w:t>
      </w:r>
    </w:p>
    <w:p w14:paraId="05A81B15" w14:textId="77777777" w:rsidR="00EC7784" w:rsidRPr="000B7E8F" w:rsidRDefault="00EC7784" w:rsidP="00EC7784">
      <w:pPr>
        <w:pStyle w:val="ListParagraph"/>
        <w:rPr>
          <w:b/>
          <w:sz w:val="22"/>
          <w:szCs w:val="22"/>
          <w:lang w:val="en-CA" w:eastAsia="en-CA"/>
        </w:rPr>
      </w:pPr>
    </w:p>
    <w:p w14:paraId="54AA5D13" w14:textId="77777777" w:rsidR="0028623D" w:rsidRDefault="00230D34" w:rsidP="00230D34">
      <w:pPr>
        <w:pStyle w:val="ListParagraph"/>
        <w:numPr>
          <w:ilvl w:val="0"/>
          <w:numId w:val="7"/>
        </w:numPr>
        <w:rPr>
          <w:b/>
          <w:sz w:val="22"/>
          <w:szCs w:val="22"/>
          <w:lang w:val="en-CA" w:eastAsia="en-CA"/>
        </w:rPr>
      </w:pPr>
      <w:r w:rsidRPr="000B7E8F">
        <w:rPr>
          <w:b/>
          <w:sz w:val="22"/>
          <w:szCs w:val="22"/>
          <w:lang w:val="en-CA" w:eastAsia="en-CA"/>
        </w:rPr>
        <w:t>Core housing need is a 2-stage indicator. It helps to identify households living in dwellings considered unsuitable, inadequate or unaffordable. It also considers if income levels are such that they could not afford alternative suitable and adequate housing in their community.</w:t>
      </w:r>
    </w:p>
    <w:p w14:paraId="66D5C09D" w14:textId="717FF36C" w:rsidR="00230D34" w:rsidRDefault="00230D34" w:rsidP="0028623D">
      <w:pPr>
        <w:pStyle w:val="ListParagraph"/>
        <w:rPr>
          <w:b/>
          <w:sz w:val="22"/>
          <w:szCs w:val="22"/>
          <w:lang w:val="en-CA" w:eastAsia="en-CA"/>
        </w:rPr>
      </w:pPr>
    </w:p>
    <w:p w14:paraId="76B430A1" w14:textId="2D1248E3" w:rsidR="0028623D" w:rsidRPr="00DF2E1D" w:rsidRDefault="0028623D" w:rsidP="0028623D">
      <w:pPr>
        <w:pStyle w:val="ListParagraph"/>
        <w:numPr>
          <w:ilvl w:val="0"/>
          <w:numId w:val="7"/>
        </w:numPr>
        <w:rPr>
          <w:b/>
          <w:sz w:val="24"/>
          <w:szCs w:val="22"/>
          <w:lang w:val="en-CA" w:eastAsia="en-CA"/>
        </w:rPr>
      </w:pPr>
      <w:r w:rsidRPr="0028623D">
        <w:rPr>
          <w:b/>
          <w:sz w:val="22"/>
          <w:shd w:val="clear" w:color="auto" w:fill="FFFFFF"/>
        </w:rPr>
        <w:t>A household is in core </w:t>
      </w:r>
      <w:r w:rsidRPr="0028623D">
        <w:rPr>
          <w:b/>
          <w:sz w:val="22"/>
        </w:rPr>
        <w:t>housing</w:t>
      </w:r>
      <w:r w:rsidRPr="0028623D">
        <w:rPr>
          <w:b/>
          <w:sz w:val="22"/>
          <w:shd w:val="clear" w:color="auto" w:fill="FFFFFF"/>
        </w:rPr>
        <w:t xml:space="preserve"> need if they are paying more than 30 per cent of </w:t>
      </w:r>
      <w:proofErr w:type="spellStart"/>
      <w:r w:rsidRPr="0028623D">
        <w:rPr>
          <w:b/>
          <w:sz w:val="22"/>
          <w:shd w:val="clear" w:color="auto" w:fill="FFFFFF"/>
        </w:rPr>
        <w:t>pretax</w:t>
      </w:r>
      <w:proofErr w:type="spellEnd"/>
      <w:r w:rsidRPr="0028623D">
        <w:rPr>
          <w:b/>
          <w:sz w:val="22"/>
          <w:shd w:val="clear" w:color="auto" w:fill="FFFFFF"/>
        </w:rPr>
        <w:t xml:space="preserve"> income on </w:t>
      </w:r>
      <w:r w:rsidRPr="0028623D">
        <w:rPr>
          <w:b/>
          <w:sz w:val="22"/>
        </w:rPr>
        <w:t>housing</w:t>
      </w:r>
      <w:r w:rsidRPr="0028623D">
        <w:rPr>
          <w:b/>
          <w:sz w:val="22"/>
          <w:shd w:val="clear" w:color="auto" w:fill="FFFFFF"/>
        </w:rPr>
        <w:t> costs (rent or mortgage, including utility costs) and/or is overcrowded or in uninhabitable </w:t>
      </w:r>
      <w:r w:rsidRPr="0028623D">
        <w:rPr>
          <w:b/>
          <w:sz w:val="22"/>
        </w:rPr>
        <w:t>housing</w:t>
      </w:r>
      <w:r w:rsidRPr="0028623D">
        <w:rPr>
          <w:b/>
          <w:sz w:val="22"/>
          <w:shd w:val="clear" w:color="auto" w:fill="FFFFFF"/>
        </w:rPr>
        <w:t>, and it cannot access alternative local market </w:t>
      </w:r>
      <w:r w:rsidRPr="0028623D">
        <w:rPr>
          <w:b/>
          <w:sz w:val="22"/>
        </w:rPr>
        <w:t>housing</w:t>
      </w:r>
      <w:r w:rsidRPr="0028623D">
        <w:rPr>
          <w:b/>
          <w:sz w:val="22"/>
          <w:shd w:val="clear" w:color="auto" w:fill="FFFFFF"/>
        </w:rPr>
        <w:t> that meets all three standards.</w:t>
      </w:r>
    </w:p>
    <w:p w14:paraId="45CB4BAF" w14:textId="77777777" w:rsidR="00DF2E1D" w:rsidRPr="00DF2E1D" w:rsidRDefault="00DF2E1D" w:rsidP="00DF2E1D">
      <w:pPr>
        <w:pStyle w:val="ListParagraph"/>
        <w:rPr>
          <w:b/>
          <w:sz w:val="24"/>
          <w:szCs w:val="22"/>
          <w:lang w:val="en-CA" w:eastAsia="en-CA"/>
        </w:rPr>
      </w:pPr>
    </w:p>
    <w:p w14:paraId="7FC9C538" w14:textId="35C18AF2" w:rsidR="00F15755" w:rsidRPr="00DF2E1D" w:rsidRDefault="00B13694" w:rsidP="00DF2E1D">
      <w:pPr>
        <w:pStyle w:val="ListParagraph"/>
        <w:numPr>
          <w:ilvl w:val="0"/>
          <w:numId w:val="7"/>
        </w:numPr>
        <w:spacing w:after="160" w:line="259" w:lineRule="auto"/>
        <w:jc w:val="both"/>
        <w:rPr>
          <w:rFonts w:eastAsia="Calibri"/>
          <w:b/>
          <w:sz w:val="22"/>
          <w:szCs w:val="22"/>
        </w:rPr>
      </w:pPr>
      <w:hyperlink r:id="rId11" w:history="1">
        <w:r w:rsidR="00222E86">
          <w:rPr>
            <w:rStyle w:val="Hyperlink"/>
            <w:rFonts w:eastAsia="Calibri"/>
            <w:b/>
            <w:sz w:val="22"/>
            <w:szCs w:val="22"/>
          </w:rPr>
          <w:t>C</w:t>
        </w:r>
        <w:r w:rsidR="0028623D" w:rsidRPr="00DF2E1D">
          <w:rPr>
            <w:rStyle w:val="Hyperlink"/>
            <w:rFonts w:eastAsia="Calibri"/>
            <w:b/>
            <w:sz w:val="22"/>
            <w:szCs w:val="22"/>
          </w:rPr>
          <w:t>ritics</w:t>
        </w:r>
      </w:hyperlink>
      <w:r w:rsidR="0028623D" w:rsidRPr="00DF2E1D">
        <w:rPr>
          <w:rFonts w:eastAsia="Calibri"/>
          <w:b/>
          <w:sz w:val="22"/>
          <w:szCs w:val="22"/>
        </w:rPr>
        <w:t xml:space="preserve"> of the </w:t>
      </w:r>
      <w:r w:rsidR="00C70B62" w:rsidRPr="00DF2E1D">
        <w:rPr>
          <w:rFonts w:eastAsia="Calibri"/>
          <w:b/>
          <w:sz w:val="22"/>
          <w:szCs w:val="22"/>
        </w:rPr>
        <w:t>c</w:t>
      </w:r>
      <w:r w:rsidR="0028623D" w:rsidRPr="00DF2E1D">
        <w:rPr>
          <w:rFonts w:eastAsia="Calibri"/>
          <w:b/>
          <w:sz w:val="22"/>
          <w:szCs w:val="22"/>
        </w:rPr>
        <w:t xml:space="preserve">ore housing need </w:t>
      </w:r>
      <w:r w:rsidR="00C70B62" w:rsidRPr="00DF2E1D">
        <w:rPr>
          <w:rFonts w:eastAsia="Calibri"/>
          <w:b/>
          <w:sz w:val="22"/>
          <w:szCs w:val="22"/>
        </w:rPr>
        <w:t xml:space="preserve">model for calculating affordability maintain that </w:t>
      </w:r>
      <w:r w:rsidR="00C70B62" w:rsidRPr="00DF2E1D">
        <w:rPr>
          <w:b/>
          <w:sz w:val="22"/>
          <w:szCs w:val="22"/>
        </w:rPr>
        <w:t>it underestimates how many people face housing challenges in Canada (for instance</w:t>
      </w:r>
      <w:r w:rsidR="00AF0A2C" w:rsidRPr="00DF2E1D">
        <w:rPr>
          <w:b/>
          <w:sz w:val="22"/>
          <w:szCs w:val="22"/>
        </w:rPr>
        <w:t>,</w:t>
      </w:r>
      <w:r w:rsidR="00C70B62" w:rsidRPr="00DF2E1D">
        <w:rPr>
          <w:b/>
          <w:sz w:val="22"/>
          <w:szCs w:val="22"/>
        </w:rPr>
        <w:t xml:space="preserve"> CMHC doesn’t consider people experiencing homelessness in this category), including what these challenges may be.</w:t>
      </w:r>
      <w:r w:rsidR="0028623D" w:rsidRPr="00DF2E1D">
        <w:rPr>
          <w:rFonts w:eastAsia="Calibri"/>
          <w:b/>
          <w:sz w:val="22"/>
          <w:szCs w:val="22"/>
        </w:rPr>
        <w:t xml:space="preserve"> </w:t>
      </w:r>
    </w:p>
    <w:p w14:paraId="6E1CBE53" w14:textId="77777777" w:rsidR="00A83B64" w:rsidRPr="000B7E8F" w:rsidRDefault="00A83B64" w:rsidP="00A83B64">
      <w:pPr>
        <w:spacing w:after="160" w:line="259" w:lineRule="auto"/>
        <w:ind w:left="720"/>
        <w:jc w:val="both"/>
        <w:rPr>
          <w:rFonts w:eastAsia="Calibri"/>
          <w:sz w:val="22"/>
          <w:szCs w:val="22"/>
        </w:rPr>
      </w:pPr>
    </w:p>
    <w:p w14:paraId="5FBE620C" w14:textId="77777777" w:rsidR="00A83B64" w:rsidRPr="000B7E8F" w:rsidRDefault="00A83B64" w:rsidP="00A83B64">
      <w:pPr>
        <w:numPr>
          <w:ilvl w:val="0"/>
          <w:numId w:val="1"/>
        </w:numPr>
        <w:spacing w:after="160" w:line="259" w:lineRule="auto"/>
        <w:contextualSpacing/>
        <w:jc w:val="both"/>
        <w:rPr>
          <w:rFonts w:eastAsia="Calibri"/>
          <w:sz w:val="22"/>
          <w:szCs w:val="22"/>
        </w:rPr>
      </w:pPr>
      <w:r w:rsidRPr="000B7E8F">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14:paraId="0FFB43C3" w14:textId="556E0D40" w:rsidR="0078424D" w:rsidRPr="000B7E8F" w:rsidRDefault="00A83B64" w:rsidP="007471B6">
      <w:pPr>
        <w:spacing w:after="160" w:line="259" w:lineRule="auto"/>
        <w:ind w:left="720"/>
        <w:jc w:val="both"/>
        <w:rPr>
          <w:rFonts w:eastAsia="Calibri"/>
          <w:sz w:val="22"/>
          <w:szCs w:val="22"/>
        </w:rPr>
      </w:pPr>
      <w:r w:rsidRPr="000B7E8F">
        <w:rPr>
          <w:rFonts w:eastAsia="Calibri"/>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14:paraId="781B90F3" w14:textId="69D448D7" w:rsidR="00A83B64" w:rsidRPr="000B7E8F" w:rsidRDefault="00695754" w:rsidP="0078424D">
      <w:pPr>
        <w:pStyle w:val="ListParagraph"/>
        <w:spacing w:after="160" w:line="259" w:lineRule="auto"/>
        <w:jc w:val="both"/>
        <w:rPr>
          <w:rFonts w:eastAsia="Calibri"/>
          <w:sz w:val="22"/>
          <w:szCs w:val="22"/>
        </w:rPr>
      </w:pPr>
      <w:r w:rsidRPr="000B7E8F">
        <w:rPr>
          <w:rFonts w:eastAsia="Calibri"/>
          <w:sz w:val="22"/>
          <w:szCs w:val="22"/>
        </w:rPr>
        <w:t xml:space="preserve"> </w:t>
      </w:r>
    </w:p>
    <w:p w14:paraId="3EB00844" w14:textId="67BCA0B9" w:rsidR="00695754" w:rsidRPr="000B7E8F" w:rsidRDefault="0078424D" w:rsidP="00695754">
      <w:pPr>
        <w:pStyle w:val="ListParagraph"/>
        <w:numPr>
          <w:ilvl w:val="0"/>
          <w:numId w:val="4"/>
        </w:numPr>
        <w:spacing w:after="160" w:line="259" w:lineRule="auto"/>
        <w:jc w:val="both"/>
        <w:rPr>
          <w:rFonts w:eastAsia="Calibri"/>
          <w:b/>
          <w:sz w:val="22"/>
          <w:szCs w:val="22"/>
        </w:rPr>
      </w:pPr>
      <w:r w:rsidRPr="000B7E8F">
        <w:rPr>
          <w:b/>
          <w:sz w:val="22"/>
          <w:szCs w:val="22"/>
        </w:rPr>
        <w:t xml:space="preserve">In 2013 </w:t>
      </w:r>
      <w:r w:rsidR="00695754" w:rsidRPr="000B7E8F">
        <w:rPr>
          <w:b/>
          <w:sz w:val="22"/>
          <w:szCs w:val="22"/>
        </w:rPr>
        <w:t xml:space="preserve">Ms. </w:t>
      </w:r>
      <w:hyperlink r:id="rId12" w:history="1">
        <w:proofErr w:type="spellStart"/>
        <w:r w:rsidR="00695754" w:rsidRPr="007471B6">
          <w:rPr>
            <w:rStyle w:val="Hyperlink"/>
            <w:b/>
            <w:sz w:val="22"/>
            <w:szCs w:val="22"/>
          </w:rPr>
          <w:t>Tanudjaja</w:t>
        </w:r>
        <w:proofErr w:type="spellEnd"/>
      </w:hyperlink>
      <w:r w:rsidR="00695754" w:rsidRPr="000B7E8F">
        <w:rPr>
          <w:b/>
          <w:sz w:val="22"/>
          <w:szCs w:val="22"/>
        </w:rPr>
        <w:t xml:space="preserve"> and her co-applicants filed an application alleging that wait times and the lack of social housing stocks in Ontario actually violated their right to life and security of the person (s.7) and their equality rights (s.15) under the</w:t>
      </w:r>
      <w:r w:rsidR="00BB599D" w:rsidRPr="000B7E8F">
        <w:rPr>
          <w:b/>
          <w:sz w:val="22"/>
          <w:szCs w:val="22"/>
        </w:rPr>
        <w:t xml:space="preserve"> Federal</w:t>
      </w:r>
      <w:r w:rsidR="00695754" w:rsidRPr="000B7E8F">
        <w:rPr>
          <w:b/>
          <w:sz w:val="22"/>
          <w:szCs w:val="22"/>
        </w:rPr>
        <w:t xml:space="preserve"> Charter</w:t>
      </w:r>
      <w:r w:rsidR="00BB599D" w:rsidRPr="000B7E8F">
        <w:rPr>
          <w:b/>
          <w:sz w:val="22"/>
          <w:szCs w:val="22"/>
        </w:rPr>
        <w:t xml:space="preserve"> of Rights and Freedoms</w:t>
      </w:r>
      <w:r w:rsidR="00695754" w:rsidRPr="000B7E8F">
        <w:rPr>
          <w:b/>
          <w:sz w:val="22"/>
          <w:szCs w:val="22"/>
        </w:rPr>
        <w:t>.</w:t>
      </w:r>
    </w:p>
    <w:p w14:paraId="7E67BD59" w14:textId="77777777" w:rsidR="0078424D" w:rsidRPr="000B7E8F" w:rsidRDefault="0078424D" w:rsidP="0078424D">
      <w:pPr>
        <w:pStyle w:val="ListParagraph"/>
        <w:spacing w:after="160" w:line="259" w:lineRule="auto"/>
        <w:jc w:val="both"/>
        <w:rPr>
          <w:rFonts w:eastAsia="Calibri"/>
          <w:b/>
          <w:sz w:val="22"/>
          <w:szCs w:val="22"/>
        </w:rPr>
      </w:pPr>
    </w:p>
    <w:p w14:paraId="701D41F2" w14:textId="0263F3D7" w:rsidR="0078424D" w:rsidRPr="000B7E8F" w:rsidRDefault="0078424D" w:rsidP="00695754">
      <w:pPr>
        <w:pStyle w:val="ListParagraph"/>
        <w:numPr>
          <w:ilvl w:val="0"/>
          <w:numId w:val="4"/>
        </w:numPr>
        <w:spacing w:after="160" w:line="259" w:lineRule="auto"/>
        <w:jc w:val="both"/>
        <w:rPr>
          <w:rFonts w:eastAsia="Calibri"/>
          <w:b/>
          <w:sz w:val="22"/>
          <w:szCs w:val="22"/>
        </w:rPr>
      </w:pPr>
      <w:r w:rsidRPr="000B7E8F">
        <w:rPr>
          <w:b/>
          <w:sz w:val="22"/>
          <w:szCs w:val="22"/>
        </w:rPr>
        <w:t>Ultimately, the remedies being sought by the applicants were: “(a) declarations that rights under section 7 and section 15 have been violated; (b) an order to implement national and provincial housing strategies; and (c) a supervisory order in respect of developing strategies.</w:t>
      </w:r>
      <w:r w:rsidR="00BB599D" w:rsidRPr="000B7E8F">
        <w:rPr>
          <w:b/>
          <w:sz w:val="22"/>
          <w:szCs w:val="22"/>
        </w:rPr>
        <w:t>”</w:t>
      </w:r>
      <w:r w:rsidRPr="000B7E8F">
        <w:rPr>
          <w:b/>
          <w:sz w:val="22"/>
          <w:szCs w:val="22"/>
        </w:rPr>
        <w:t xml:space="preserve"> </w:t>
      </w:r>
    </w:p>
    <w:p w14:paraId="6FD01B3F" w14:textId="77777777" w:rsidR="0090232F" w:rsidRPr="000B7E8F" w:rsidRDefault="0090232F" w:rsidP="0090232F">
      <w:pPr>
        <w:pStyle w:val="ListParagraph"/>
        <w:spacing w:after="160" w:line="259" w:lineRule="auto"/>
        <w:jc w:val="both"/>
        <w:rPr>
          <w:rFonts w:eastAsia="Calibri"/>
          <w:b/>
          <w:sz w:val="22"/>
          <w:szCs w:val="22"/>
        </w:rPr>
      </w:pPr>
    </w:p>
    <w:p w14:paraId="5E31E451" w14:textId="2110B0FA" w:rsidR="0078424D" w:rsidRPr="000B7E8F" w:rsidRDefault="00876917" w:rsidP="0078424D">
      <w:pPr>
        <w:pStyle w:val="ListParagraph"/>
        <w:numPr>
          <w:ilvl w:val="0"/>
          <w:numId w:val="4"/>
        </w:numPr>
        <w:spacing w:after="160" w:line="259" w:lineRule="auto"/>
        <w:jc w:val="both"/>
        <w:rPr>
          <w:rFonts w:eastAsia="Calibri"/>
          <w:b/>
          <w:sz w:val="22"/>
          <w:szCs w:val="22"/>
        </w:rPr>
      </w:pPr>
      <w:r w:rsidRPr="000B7E8F">
        <w:rPr>
          <w:rFonts w:eastAsia="Calibri"/>
          <w:b/>
          <w:sz w:val="22"/>
          <w:szCs w:val="22"/>
        </w:rPr>
        <w:t>Justice</w:t>
      </w:r>
      <w:r w:rsidR="0090232F" w:rsidRPr="000B7E8F">
        <w:rPr>
          <w:rFonts w:eastAsia="Calibri"/>
          <w:b/>
          <w:sz w:val="22"/>
          <w:szCs w:val="22"/>
        </w:rPr>
        <w:t xml:space="preserve"> </w:t>
      </w:r>
      <w:proofErr w:type="spellStart"/>
      <w:r w:rsidR="0090232F" w:rsidRPr="000B7E8F">
        <w:rPr>
          <w:rFonts w:eastAsia="Calibri"/>
          <w:b/>
          <w:sz w:val="22"/>
          <w:szCs w:val="22"/>
        </w:rPr>
        <w:t>Lederer</w:t>
      </w:r>
      <w:proofErr w:type="spellEnd"/>
      <w:r w:rsidRPr="000B7E8F">
        <w:rPr>
          <w:rFonts w:eastAsia="Calibri"/>
          <w:b/>
          <w:sz w:val="22"/>
          <w:szCs w:val="22"/>
        </w:rPr>
        <w:t xml:space="preserve"> </w:t>
      </w:r>
      <w:r w:rsidR="00BB599D" w:rsidRPr="000B7E8F">
        <w:rPr>
          <w:rFonts w:eastAsia="Calibri"/>
          <w:b/>
          <w:sz w:val="22"/>
          <w:szCs w:val="22"/>
        </w:rPr>
        <w:t>declared,</w:t>
      </w:r>
      <w:r w:rsidR="0090232F" w:rsidRPr="000B7E8F">
        <w:rPr>
          <w:rFonts w:eastAsia="Calibri"/>
          <w:b/>
          <w:sz w:val="22"/>
          <w:szCs w:val="22"/>
        </w:rPr>
        <w:t xml:space="preserve"> “</w:t>
      </w:r>
      <w:r w:rsidR="0090232F" w:rsidRPr="000B7E8F">
        <w:rPr>
          <w:b/>
          <w:sz w:val="22"/>
          <w:szCs w:val="22"/>
        </w:rPr>
        <w:t>It was plain and obvious that the application could not succeed. </w:t>
      </w:r>
      <w:hyperlink r:id="rId13" w:anchor="sec7_smooth" w:history="1">
        <w:r w:rsidR="0090232F" w:rsidRPr="000B7E8F">
          <w:rPr>
            <w:b/>
            <w:sz w:val="22"/>
            <w:szCs w:val="22"/>
          </w:rPr>
          <w:t>Section 7</w:t>
        </w:r>
      </w:hyperlink>
      <w:r w:rsidR="0090232F" w:rsidRPr="000B7E8F">
        <w:rPr>
          <w:b/>
          <w:sz w:val="22"/>
          <w:szCs w:val="22"/>
        </w:rPr>
        <w:t> of the </w:t>
      </w:r>
      <w:hyperlink r:id="rId14" w:history="1">
        <w:r w:rsidR="0090232F" w:rsidRPr="000B7E8F">
          <w:rPr>
            <w:b/>
            <w:sz w:val="22"/>
            <w:szCs w:val="22"/>
          </w:rPr>
          <w:t>Charter</w:t>
        </w:r>
      </w:hyperlink>
      <w:r w:rsidR="0090232F" w:rsidRPr="000B7E8F">
        <w:rPr>
          <w:b/>
          <w:sz w:val="22"/>
          <w:szCs w:val="22"/>
        </w:rPr>
        <w:t xml:space="preserve"> does not impose a positive obligation on the state to act to protect life, liberty or security of the person. In particular, s. 7 does not protect a right to affordable housing and does not impose an obligation on the state </w:t>
      </w:r>
      <w:r w:rsidR="0090232F" w:rsidRPr="000B7E8F">
        <w:rPr>
          <w:b/>
          <w:sz w:val="22"/>
          <w:szCs w:val="22"/>
        </w:rPr>
        <w:lastRenderedPageBreak/>
        <w:t>to provide it. While there may be a positive obligation in special circumstances, the applicants did not allege that any such circumstances existed in this case. The applicants' argument under </w:t>
      </w:r>
      <w:hyperlink r:id="rId15" w:anchor="sec15_smooth" w:history="1">
        <w:r w:rsidR="0090232F" w:rsidRPr="000B7E8F">
          <w:rPr>
            <w:b/>
            <w:sz w:val="22"/>
            <w:szCs w:val="22"/>
          </w:rPr>
          <w:t>s. 15</w:t>
        </w:r>
      </w:hyperlink>
      <w:r w:rsidR="0090232F" w:rsidRPr="000B7E8F">
        <w:rPr>
          <w:b/>
          <w:sz w:val="22"/>
          <w:szCs w:val="22"/>
        </w:rPr>
        <w:t> of the </w:t>
      </w:r>
      <w:hyperlink r:id="rId16" w:history="1">
        <w:r w:rsidR="0090232F" w:rsidRPr="000B7E8F">
          <w:rPr>
            <w:b/>
            <w:sz w:val="22"/>
            <w:szCs w:val="22"/>
          </w:rPr>
          <w:t>Charter</w:t>
        </w:r>
      </w:hyperlink>
      <w:r w:rsidR="0090232F" w:rsidRPr="000B7E8F">
        <w:rPr>
          <w:b/>
          <w:sz w:val="22"/>
          <w:szCs w:val="22"/>
        </w:rPr>
        <w:t> was also bound to fail. The impugned decisions and program changes did not deny the applicants a benefit given to others or place a burden on them that was not placed on others. Moreover, "homelessness" is not an analogous ground under </w:t>
      </w:r>
      <w:hyperlink r:id="rId17" w:anchor="sec15subsec1_smooth" w:history="1">
        <w:r w:rsidR="0090232F" w:rsidRPr="000B7E8F">
          <w:rPr>
            <w:b/>
            <w:sz w:val="22"/>
            <w:szCs w:val="22"/>
          </w:rPr>
          <w:t>s. 15(1)</w:t>
        </w:r>
      </w:hyperlink>
      <w:r w:rsidR="0090232F" w:rsidRPr="000B7E8F">
        <w:rPr>
          <w:b/>
          <w:sz w:val="22"/>
          <w:szCs w:val="22"/>
        </w:rPr>
        <w:t> of the </w:t>
      </w:r>
      <w:hyperlink r:id="rId18" w:history="1">
        <w:r w:rsidR="0090232F" w:rsidRPr="000B7E8F">
          <w:rPr>
            <w:b/>
            <w:sz w:val="22"/>
            <w:szCs w:val="22"/>
          </w:rPr>
          <w:t>Charter</w:t>
        </w:r>
      </w:hyperlink>
      <w:r w:rsidR="0090232F" w:rsidRPr="000B7E8F">
        <w:rPr>
          <w:b/>
          <w:sz w:val="22"/>
          <w:szCs w:val="22"/>
        </w:rPr>
        <w:t>. Finally, the issues raised in the application were not justiciable, as the courts are not the proper place to determine the wisdom of the kind of policy choices that were attacked in this case.”</w:t>
      </w:r>
      <w:r w:rsidRPr="000B7E8F">
        <w:rPr>
          <w:rFonts w:eastAsia="Calibri"/>
          <w:b/>
          <w:sz w:val="22"/>
          <w:szCs w:val="22"/>
        </w:rPr>
        <w:t xml:space="preserve"> </w:t>
      </w:r>
    </w:p>
    <w:p w14:paraId="1862319A" w14:textId="77777777" w:rsidR="002C6806" w:rsidRPr="000B7E8F" w:rsidRDefault="002C6806" w:rsidP="002C6806">
      <w:pPr>
        <w:pStyle w:val="ListParagraph"/>
        <w:spacing w:after="160" w:line="259" w:lineRule="auto"/>
        <w:jc w:val="both"/>
        <w:rPr>
          <w:rFonts w:eastAsia="Calibri"/>
          <w:b/>
          <w:sz w:val="22"/>
          <w:szCs w:val="22"/>
        </w:rPr>
      </w:pPr>
    </w:p>
    <w:p w14:paraId="2D639E67" w14:textId="31261761" w:rsidR="00BB599D" w:rsidRPr="000B7E8F" w:rsidRDefault="00BB599D" w:rsidP="0078424D">
      <w:pPr>
        <w:pStyle w:val="ListParagraph"/>
        <w:numPr>
          <w:ilvl w:val="0"/>
          <w:numId w:val="4"/>
        </w:numPr>
        <w:spacing w:after="160" w:line="259" w:lineRule="auto"/>
        <w:jc w:val="both"/>
        <w:rPr>
          <w:rFonts w:eastAsia="Calibri"/>
          <w:b/>
          <w:sz w:val="22"/>
          <w:szCs w:val="22"/>
        </w:rPr>
      </w:pPr>
      <w:r w:rsidRPr="000B7E8F">
        <w:rPr>
          <w:rFonts w:eastAsia="Calibri"/>
          <w:b/>
          <w:sz w:val="22"/>
          <w:szCs w:val="22"/>
        </w:rPr>
        <w:t>A</w:t>
      </w:r>
      <w:r w:rsidR="009E034B" w:rsidRPr="000B7E8F">
        <w:rPr>
          <w:rFonts w:eastAsia="Calibri"/>
          <w:b/>
          <w:sz w:val="22"/>
          <w:szCs w:val="22"/>
        </w:rPr>
        <w:t xml:space="preserve"> recent court case involving</w:t>
      </w:r>
      <w:r w:rsidRPr="000B7E8F">
        <w:rPr>
          <w:rFonts w:eastAsia="Calibri"/>
          <w:b/>
          <w:sz w:val="22"/>
          <w:szCs w:val="22"/>
        </w:rPr>
        <w:t xml:space="preserve"> </w:t>
      </w:r>
      <w:r w:rsidR="007471B6">
        <w:rPr>
          <w:rFonts w:eastAsia="Calibri"/>
          <w:b/>
          <w:sz w:val="22"/>
          <w:szCs w:val="22"/>
        </w:rPr>
        <w:t xml:space="preserve">the </w:t>
      </w:r>
      <w:r w:rsidRPr="000B7E8F">
        <w:rPr>
          <w:rFonts w:eastAsia="Calibri"/>
          <w:b/>
          <w:sz w:val="22"/>
          <w:szCs w:val="22"/>
        </w:rPr>
        <w:t>Charter rights of</w:t>
      </w:r>
      <w:r w:rsidR="00C70B62">
        <w:rPr>
          <w:rFonts w:eastAsia="Calibri"/>
          <w:b/>
          <w:sz w:val="22"/>
          <w:szCs w:val="22"/>
        </w:rPr>
        <w:t xml:space="preserve"> homeless encampment residents living in Kitchener, Ontario </w:t>
      </w:r>
      <w:r w:rsidR="002C6806" w:rsidRPr="000B7E8F">
        <w:rPr>
          <w:rFonts w:eastAsia="Calibri"/>
          <w:b/>
          <w:sz w:val="22"/>
          <w:szCs w:val="22"/>
        </w:rPr>
        <w:t xml:space="preserve">found that the </w:t>
      </w:r>
      <w:r w:rsidR="00C70B62" w:rsidRPr="000B7E8F">
        <w:rPr>
          <w:rFonts w:eastAsia="Calibri"/>
          <w:b/>
          <w:sz w:val="22"/>
          <w:szCs w:val="22"/>
        </w:rPr>
        <w:t>resident’s</w:t>
      </w:r>
      <w:r w:rsidR="002C6806" w:rsidRPr="000B7E8F">
        <w:rPr>
          <w:rFonts w:eastAsia="Calibri"/>
          <w:b/>
          <w:sz w:val="22"/>
          <w:szCs w:val="22"/>
        </w:rPr>
        <w:t xml:space="preserve"> right to life</w:t>
      </w:r>
      <w:r w:rsidR="007471B6">
        <w:rPr>
          <w:rFonts w:eastAsia="Calibri"/>
          <w:b/>
          <w:sz w:val="22"/>
          <w:szCs w:val="22"/>
        </w:rPr>
        <w:t>,</w:t>
      </w:r>
      <w:r w:rsidR="002C6806" w:rsidRPr="000B7E8F">
        <w:rPr>
          <w:rFonts w:eastAsia="Calibri"/>
          <w:b/>
          <w:sz w:val="22"/>
          <w:szCs w:val="22"/>
        </w:rPr>
        <w:t xml:space="preserve"> liberty</w:t>
      </w:r>
      <w:r w:rsidR="007471B6">
        <w:rPr>
          <w:rFonts w:eastAsia="Calibri"/>
          <w:b/>
          <w:sz w:val="22"/>
          <w:szCs w:val="22"/>
        </w:rPr>
        <w:t>,</w:t>
      </w:r>
      <w:r w:rsidR="002C6806" w:rsidRPr="000B7E8F">
        <w:rPr>
          <w:rFonts w:eastAsia="Calibri"/>
          <w:b/>
          <w:sz w:val="22"/>
          <w:szCs w:val="22"/>
        </w:rPr>
        <w:t xml:space="preserve"> and the security of the person were infringed by local authorities</w:t>
      </w:r>
      <w:r w:rsidR="00BE30F9" w:rsidRPr="000B7E8F">
        <w:rPr>
          <w:rFonts w:eastAsia="Calibri"/>
          <w:b/>
          <w:sz w:val="22"/>
          <w:szCs w:val="22"/>
        </w:rPr>
        <w:t>. Municipal</w:t>
      </w:r>
      <w:r w:rsidR="002C6806" w:rsidRPr="000B7E8F">
        <w:rPr>
          <w:rFonts w:eastAsia="Calibri"/>
          <w:b/>
          <w:sz w:val="22"/>
          <w:szCs w:val="22"/>
        </w:rPr>
        <w:t xml:space="preserve"> by laws that prevented homeless encampment residents from occupying public property</w:t>
      </w:r>
      <w:r w:rsidR="00BE30F9" w:rsidRPr="000B7E8F">
        <w:rPr>
          <w:rFonts w:eastAsia="Calibri"/>
          <w:b/>
          <w:sz w:val="22"/>
          <w:szCs w:val="22"/>
        </w:rPr>
        <w:t xml:space="preserve"> for the purposes of creating shelter without a permit, were suspended indefinitely.</w:t>
      </w:r>
      <w:r w:rsidR="002C6806" w:rsidRPr="000B7E8F">
        <w:rPr>
          <w:rFonts w:eastAsia="Calibri"/>
          <w:b/>
          <w:sz w:val="22"/>
          <w:szCs w:val="22"/>
        </w:rPr>
        <w:t xml:space="preserve"> </w:t>
      </w:r>
    </w:p>
    <w:p w14:paraId="32DA3DC0" w14:textId="77777777" w:rsidR="002C6806" w:rsidRPr="000B7E8F" w:rsidRDefault="002C6806" w:rsidP="002C6806">
      <w:pPr>
        <w:pStyle w:val="ListParagraph"/>
        <w:spacing w:after="160" w:line="259" w:lineRule="auto"/>
        <w:jc w:val="both"/>
        <w:rPr>
          <w:rFonts w:eastAsia="Calibri"/>
          <w:b/>
          <w:sz w:val="22"/>
          <w:szCs w:val="22"/>
        </w:rPr>
      </w:pPr>
    </w:p>
    <w:p w14:paraId="35CC987F" w14:textId="1F327ED0" w:rsidR="002C6806" w:rsidRPr="00DF2E1D" w:rsidRDefault="002C6806" w:rsidP="00C70B62">
      <w:pPr>
        <w:pStyle w:val="ListParagraph"/>
        <w:numPr>
          <w:ilvl w:val="0"/>
          <w:numId w:val="4"/>
        </w:numPr>
        <w:spacing w:after="160" w:line="259" w:lineRule="auto"/>
        <w:jc w:val="both"/>
        <w:rPr>
          <w:rStyle w:val="Emphasis"/>
          <w:rFonts w:eastAsia="Calibri"/>
          <w:b/>
          <w:i w:val="0"/>
          <w:sz w:val="22"/>
          <w:szCs w:val="22"/>
        </w:rPr>
      </w:pPr>
      <w:r w:rsidRPr="000B7E8F">
        <w:rPr>
          <w:rStyle w:val="Emphasis"/>
          <w:rFonts w:eastAsia="Calibri"/>
          <w:b/>
          <w:i w:val="0"/>
          <w:sz w:val="22"/>
          <w:szCs w:val="22"/>
        </w:rPr>
        <w:t>J</w:t>
      </w:r>
      <w:r w:rsidR="00BE30F9" w:rsidRPr="000B7E8F">
        <w:rPr>
          <w:rStyle w:val="Emphasis"/>
          <w:rFonts w:eastAsia="Calibri"/>
          <w:b/>
          <w:i w:val="0"/>
          <w:sz w:val="22"/>
          <w:szCs w:val="22"/>
        </w:rPr>
        <w:t>us</w:t>
      </w:r>
      <w:r w:rsidR="007471B6">
        <w:rPr>
          <w:rStyle w:val="Emphasis"/>
          <w:rFonts w:eastAsia="Calibri"/>
          <w:b/>
          <w:i w:val="0"/>
          <w:sz w:val="22"/>
          <w:szCs w:val="22"/>
        </w:rPr>
        <w:t>tice Valente heard the</w:t>
      </w:r>
      <w:r w:rsidR="00C70B62">
        <w:rPr>
          <w:rStyle w:val="Emphasis"/>
          <w:rFonts w:eastAsia="Calibri"/>
          <w:b/>
          <w:i w:val="0"/>
          <w:sz w:val="22"/>
          <w:szCs w:val="22"/>
        </w:rPr>
        <w:t xml:space="preserve"> </w:t>
      </w:r>
      <w:hyperlink r:id="rId19" w:history="1">
        <w:r w:rsidR="00C70B62" w:rsidRPr="00C70B62">
          <w:rPr>
            <w:rStyle w:val="Hyperlink"/>
            <w:rFonts w:eastAsia="Calibri"/>
            <w:b/>
            <w:sz w:val="22"/>
            <w:szCs w:val="22"/>
          </w:rPr>
          <w:t>Waterloo</w:t>
        </w:r>
      </w:hyperlink>
      <w:r w:rsidR="007471B6">
        <w:rPr>
          <w:rStyle w:val="Emphasis"/>
          <w:rFonts w:eastAsia="Calibri"/>
          <w:b/>
          <w:i w:val="0"/>
          <w:sz w:val="22"/>
          <w:szCs w:val="22"/>
        </w:rPr>
        <w:t xml:space="preserve"> case. His</w:t>
      </w:r>
      <w:r w:rsidR="00BE30F9" w:rsidRPr="000B7E8F">
        <w:rPr>
          <w:rStyle w:val="Emphasis"/>
          <w:rFonts w:eastAsia="Calibri"/>
          <w:b/>
          <w:i w:val="0"/>
          <w:sz w:val="22"/>
          <w:szCs w:val="22"/>
        </w:rPr>
        <w:t xml:space="preserve"> decision</w:t>
      </w:r>
      <w:r w:rsidRPr="000B7E8F">
        <w:rPr>
          <w:rStyle w:val="Emphasis"/>
          <w:rFonts w:eastAsia="Calibri"/>
          <w:b/>
          <w:i w:val="0"/>
          <w:sz w:val="22"/>
          <w:szCs w:val="22"/>
        </w:rPr>
        <w:t xml:space="preserve"> upheld the rights of the encampment residents, on the grounds that, “</w:t>
      </w:r>
      <w:r w:rsidRPr="000B7E8F">
        <w:rPr>
          <w:rStyle w:val="Emphasis"/>
          <w:b/>
          <w:i w:val="0"/>
          <w:sz w:val="22"/>
          <w:szCs w:val="22"/>
        </w:rPr>
        <w:t>the By-Law violates </w:t>
      </w:r>
      <w:hyperlink r:id="rId20" w:anchor="sec7_smooth" w:history="1">
        <w:r w:rsidRPr="000B7E8F">
          <w:rPr>
            <w:rStyle w:val="Emphasis"/>
            <w:b/>
            <w:i w:val="0"/>
            <w:sz w:val="22"/>
            <w:szCs w:val="22"/>
          </w:rPr>
          <w:t>section 7</w:t>
        </w:r>
      </w:hyperlink>
      <w:r w:rsidRPr="000B7E8F">
        <w:rPr>
          <w:rStyle w:val="Emphasis"/>
          <w:b/>
          <w:i w:val="0"/>
          <w:sz w:val="22"/>
          <w:szCs w:val="22"/>
        </w:rPr>
        <w:t> of the </w:t>
      </w:r>
      <w:hyperlink r:id="rId21" w:history="1">
        <w:r w:rsidRPr="000B7E8F">
          <w:rPr>
            <w:rStyle w:val="Emphasis"/>
            <w:b/>
            <w:i w:val="0"/>
            <w:sz w:val="22"/>
            <w:szCs w:val="22"/>
          </w:rPr>
          <w:t>Charter</w:t>
        </w:r>
      </w:hyperlink>
      <w:r w:rsidRPr="000B7E8F">
        <w:rPr>
          <w:rStyle w:val="Emphasis"/>
          <w:b/>
          <w:i w:val="0"/>
          <w:sz w:val="22"/>
          <w:szCs w:val="22"/>
        </w:rPr>
        <w:t> in that it deprives the homeless residents of the Encampment of life, liberty, and security of the person in a manner not in accordance with the principles of fundamental justice and is not otherwise saved by </w:t>
      </w:r>
      <w:hyperlink r:id="rId22" w:anchor="sec1_smooth" w:history="1">
        <w:r w:rsidRPr="000B7E8F">
          <w:rPr>
            <w:rStyle w:val="Emphasis"/>
            <w:b/>
            <w:i w:val="0"/>
            <w:sz w:val="22"/>
            <w:szCs w:val="22"/>
          </w:rPr>
          <w:t>section 1</w:t>
        </w:r>
      </w:hyperlink>
      <w:r w:rsidRPr="000B7E8F">
        <w:rPr>
          <w:rStyle w:val="Emphasis"/>
          <w:b/>
          <w:i w:val="0"/>
          <w:sz w:val="22"/>
          <w:szCs w:val="22"/>
        </w:rPr>
        <w:t> of the </w:t>
      </w:r>
      <w:hyperlink r:id="rId23" w:history="1">
        <w:r w:rsidRPr="000B7E8F">
          <w:rPr>
            <w:rStyle w:val="Emphasis"/>
            <w:b/>
            <w:i w:val="0"/>
            <w:sz w:val="22"/>
            <w:szCs w:val="22"/>
          </w:rPr>
          <w:t>Charter</w:t>
        </w:r>
      </w:hyperlink>
      <w:r w:rsidRPr="000B7E8F">
        <w:rPr>
          <w:rStyle w:val="Emphasis"/>
          <w:b/>
          <w:i w:val="0"/>
          <w:sz w:val="22"/>
          <w:szCs w:val="22"/>
        </w:rPr>
        <w:t>. I also declare that the By-Law is inoperative insofar as it applies to prevent the Encampment residents from living and erecting temporary shelters on the Property when the number of homeless individuals in the Region exceed the number of accessible shelter beds.”</w:t>
      </w:r>
    </w:p>
    <w:p w14:paraId="68B4C306" w14:textId="4147D2FB" w:rsidR="00964B63" w:rsidRPr="00C70B62" w:rsidRDefault="00C70B62" w:rsidP="00C70B62">
      <w:pPr>
        <w:pStyle w:val="ListParagraph"/>
        <w:numPr>
          <w:ilvl w:val="0"/>
          <w:numId w:val="4"/>
        </w:numPr>
        <w:spacing w:after="160" w:line="259" w:lineRule="auto"/>
        <w:rPr>
          <w:rFonts w:eastAsia="Calibri"/>
          <w:b/>
          <w:sz w:val="22"/>
          <w:szCs w:val="22"/>
        </w:rPr>
      </w:pPr>
      <w:r>
        <w:rPr>
          <w:rFonts w:eastAsia="Calibri"/>
          <w:b/>
          <w:sz w:val="22"/>
          <w:szCs w:val="22"/>
        </w:rPr>
        <w:t xml:space="preserve">There have also been a number of cases (See both </w:t>
      </w:r>
      <w:hyperlink r:id="rId24" w:history="1">
        <w:r w:rsidRPr="00BB7284">
          <w:rPr>
            <w:rStyle w:val="Hyperlink"/>
            <w:rFonts w:eastAsia="Calibri"/>
            <w:b/>
            <w:i/>
            <w:sz w:val="22"/>
            <w:szCs w:val="22"/>
          </w:rPr>
          <w:t>Prince George [City] v Johnny</w:t>
        </w:r>
      </w:hyperlink>
      <w:r>
        <w:rPr>
          <w:rFonts w:eastAsia="Calibri"/>
          <w:b/>
          <w:sz w:val="22"/>
          <w:szCs w:val="22"/>
        </w:rPr>
        <w:t xml:space="preserve"> and </w:t>
      </w:r>
      <w:hyperlink r:id="rId25" w:history="1">
        <w:r w:rsidRPr="00BB7284">
          <w:rPr>
            <w:rStyle w:val="Hyperlink"/>
            <w:rFonts w:eastAsia="Calibri"/>
            <w:b/>
            <w:i/>
            <w:sz w:val="22"/>
            <w:szCs w:val="22"/>
          </w:rPr>
          <w:t>Prince George</w:t>
        </w:r>
        <w:r w:rsidR="00BB7284" w:rsidRPr="00BB7284">
          <w:rPr>
            <w:rStyle w:val="Hyperlink"/>
            <w:rFonts w:eastAsia="Calibri"/>
            <w:b/>
            <w:i/>
            <w:sz w:val="22"/>
            <w:szCs w:val="22"/>
          </w:rPr>
          <w:t>[City]</w:t>
        </w:r>
        <w:r w:rsidRPr="00BB7284">
          <w:rPr>
            <w:rStyle w:val="Hyperlink"/>
            <w:rFonts w:eastAsia="Calibri"/>
            <w:b/>
            <w:i/>
            <w:sz w:val="22"/>
            <w:szCs w:val="22"/>
          </w:rPr>
          <w:t xml:space="preserve"> v Stewart</w:t>
        </w:r>
      </w:hyperlink>
      <w:r>
        <w:rPr>
          <w:rFonts w:eastAsia="Calibri"/>
          <w:b/>
          <w:sz w:val="22"/>
          <w:szCs w:val="22"/>
        </w:rPr>
        <w:t xml:space="preserve">) originating in Prince George, British Columbia, noteworthy for the judges analysis of the human rights and encampment residents and the way that police actions sometimes infringe the latter. </w:t>
      </w:r>
    </w:p>
    <w:p w14:paraId="203C19A4" w14:textId="77777777" w:rsidR="00222E86" w:rsidRDefault="00222E86" w:rsidP="000B7E8F">
      <w:pPr>
        <w:pStyle w:val="Heading1"/>
      </w:pPr>
    </w:p>
    <w:p w14:paraId="5494BC6D" w14:textId="6AD59EDB" w:rsidR="00A83B64" w:rsidRPr="000B7E8F" w:rsidRDefault="00A83B64" w:rsidP="000B7E8F">
      <w:pPr>
        <w:pStyle w:val="Heading1"/>
      </w:pPr>
      <w:r w:rsidRPr="000B7E8F">
        <w:t>Data and trends on housing affordability</w:t>
      </w:r>
    </w:p>
    <w:p w14:paraId="690D8F11" w14:textId="1E78A792" w:rsidR="00A83B64" w:rsidRPr="000B7E8F" w:rsidRDefault="00A83B64" w:rsidP="00A83B64">
      <w:pPr>
        <w:numPr>
          <w:ilvl w:val="0"/>
          <w:numId w:val="1"/>
        </w:numPr>
        <w:spacing w:after="160" w:line="259" w:lineRule="auto"/>
        <w:contextualSpacing/>
        <w:jc w:val="both"/>
        <w:rPr>
          <w:rFonts w:eastAsia="Calibri"/>
          <w:sz w:val="24"/>
          <w:szCs w:val="22"/>
        </w:rPr>
      </w:pPr>
      <w:r w:rsidRPr="000B7E8F">
        <w:rPr>
          <w:rFonts w:eastAsia="Calibri"/>
          <w:sz w:val="24"/>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15C1467C" w14:textId="56F1584E" w:rsidR="00964B63" w:rsidRDefault="00964B63" w:rsidP="00964B63">
      <w:pPr>
        <w:pStyle w:val="ListParagraph"/>
        <w:numPr>
          <w:ilvl w:val="0"/>
          <w:numId w:val="8"/>
        </w:numPr>
        <w:spacing w:after="160" w:line="259" w:lineRule="auto"/>
        <w:jc w:val="both"/>
        <w:rPr>
          <w:rFonts w:eastAsia="Calibri"/>
          <w:b/>
          <w:sz w:val="22"/>
          <w:szCs w:val="22"/>
        </w:rPr>
      </w:pPr>
      <w:r w:rsidRPr="000B7E8F">
        <w:rPr>
          <w:rFonts w:eastAsia="Calibri"/>
          <w:b/>
          <w:sz w:val="22"/>
          <w:szCs w:val="22"/>
        </w:rPr>
        <w:t xml:space="preserve">The </w:t>
      </w:r>
      <w:hyperlink r:id="rId26" w:history="1">
        <w:r w:rsidRPr="000B7E8F">
          <w:rPr>
            <w:rStyle w:val="Hyperlink"/>
            <w:rFonts w:eastAsia="Calibri"/>
            <w:b/>
            <w:sz w:val="22"/>
            <w:szCs w:val="22"/>
          </w:rPr>
          <w:t>Canadian Mortgage and Housing Corporation</w:t>
        </w:r>
      </w:hyperlink>
      <w:r w:rsidRPr="000B7E8F">
        <w:rPr>
          <w:rFonts w:eastAsia="Calibri"/>
          <w:b/>
          <w:sz w:val="22"/>
          <w:szCs w:val="22"/>
        </w:rPr>
        <w:t xml:space="preserve">, the federally mandated </w:t>
      </w:r>
      <w:r w:rsidR="007471B6" w:rsidRPr="000B7E8F">
        <w:rPr>
          <w:rFonts w:eastAsia="Calibri"/>
          <w:b/>
          <w:sz w:val="22"/>
          <w:szCs w:val="22"/>
        </w:rPr>
        <w:t>quasi-government</w:t>
      </w:r>
      <w:r w:rsidR="007471B6">
        <w:rPr>
          <w:rFonts w:eastAsia="Calibri"/>
          <w:b/>
          <w:sz w:val="22"/>
          <w:szCs w:val="22"/>
        </w:rPr>
        <w:t>al</w:t>
      </w:r>
      <w:r w:rsidRPr="000B7E8F">
        <w:rPr>
          <w:rFonts w:eastAsia="Calibri"/>
          <w:b/>
          <w:sz w:val="22"/>
          <w:szCs w:val="22"/>
        </w:rPr>
        <w:t xml:space="preserve"> entity, has traditionally been responsible for collecting most of the Federal data and publishing statistics on housing. </w:t>
      </w:r>
    </w:p>
    <w:p w14:paraId="167F200F" w14:textId="77777777" w:rsidR="00BB7284" w:rsidRDefault="00BB7284" w:rsidP="00BB7284">
      <w:pPr>
        <w:pStyle w:val="ListParagraph"/>
        <w:spacing w:after="160" w:line="259" w:lineRule="auto"/>
        <w:ind w:left="1440"/>
        <w:jc w:val="both"/>
        <w:rPr>
          <w:rFonts w:eastAsia="Calibri"/>
          <w:b/>
          <w:sz w:val="22"/>
          <w:szCs w:val="22"/>
        </w:rPr>
      </w:pPr>
    </w:p>
    <w:p w14:paraId="78D75421" w14:textId="020B3CCC" w:rsidR="00C70B62" w:rsidRPr="000B7E8F" w:rsidRDefault="00B13694" w:rsidP="00964B63">
      <w:pPr>
        <w:pStyle w:val="ListParagraph"/>
        <w:numPr>
          <w:ilvl w:val="0"/>
          <w:numId w:val="8"/>
        </w:numPr>
        <w:spacing w:after="160" w:line="259" w:lineRule="auto"/>
        <w:jc w:val="both"/>
        <w:rPr>
          <w:rFonts w:eastAsia="Calibri"/>
          <w:b/>
          <w:sz w:val="22"/>
          <w:szCs w:val="22"/>
        </w:rPr>
      </w:pPr>
      <w:hyperlink r:id="rId27" w:history="1">
        <w:r w:rsidR="00C70B62" w:rsidRPr="00BB7284">
          <w:rPr>
            <w:rStyle w:val="Hyperlink"/>
            <w:rFonts w:eastAsia="Calibri"/>
            <w:b/>
            <w:sz w:val="22"/>
            <w:szCs w:val="22"/>
          </w:rPr>
          <w:t>Statistics Canada</w:t>
        </w:r>
      </w:hyperlink>
      <w:r w:rsidR="00BB7284">
        <w:rPr>
          <w:rFonts w:eastAsia="Calibri"/>
          <w:b/>
          <w:sz w:val="22"/>
          <w:szCs w:val="22"/>
        </w:rPr>
        <w:t xml:space="preserve"> also collects and distributes data on housing, mainly through the administering of the national census</w:t>
      </w:r>
      <w:r w:rsidR="00DF2E1D">
        <w:rPr>
          <w:rFonts w:eastAsia="Calibri"/>
          <w:b/>
          <w:sz w:val="22"/>
          <w:szCs w:val="22"/>
        </w:rPr>
        <w:t xml:space="preserve"> and the Canadian Housing Survey</w:t>
      </w:r>
      <w:r w:rsidR="00BB7284">
        <w:rPr>
          <w:rFonts w:eastAsia="Calibri"/>
          <w:b/>
          <w:sz w:val="22"/>
          <w:szCs w:val="22"/>
        </w:rPr>
        <w:t xml:space="preserve">. </w:t>
      </w:r>
    </w:p>
    <w:p w14:paraId="787EEF57" w14:textId="77777777" w:rsidR="00425E7B" w:rsidRPr="000B7E8F" w:rsidRDefault="00425E7B" w:rsidP="00425E7B">
      <w:pPr>
        <w:pStyle w:val="ListParagraph"/>
        <w:spacing w:after="160" w:line="259" w:lineRule="auto"/>
        <w:ind w:left="1440"/>
        <w:jc w:val="both"/>
        <w:rPr>
          <w:rFonts w:eastAsia="Calibri"/>
          <w:b/>
          <w:sz w:val="22"/>
          <w:szCs w:val="22"/>
        </w:rPr>
      </w:pPr>
    </w:p>
    <w:p w14:paraId="013EAF9A" w14:textId="3C449D24" w:rsidR="009D7914" w:rsidRDefault="00B13694" w:rsidP="0037300E">
      <w:pPr>
        <w:pStyle w:val="ListParagraph"/>
        <w:numPr>
          <w:ilvl w:val="0"/>
          <w:numId w:val="8"/>
        </w:numPr>
        <w:spacing w:after="160" w:line="259" w:lineRule="auto"/>
        <w:jc w:val="both"/>
        <w:rPr>
          <w:rFonts w:eastAsia="Calibri"/>
          <w:b/>
          <w:sz w:val="22"/>
          <w:szCs w:val="22"/>
        </w:rPr>
      </w:pPr>
      <w:hyperlink r:id="rId28" w:history="1">
        <w:r w:rsidR="009D7914" w:rsidRPr="009D7914">
          <w:rPr>
            <w:rStyle w:val="Hyperlink"/>
            <w:rFonts w:eastAsia="Calibri"/>
            <w:b/>
            <w:sz w:val="22"/>
            <w:szCs w:val="22"/>
          </w:rPr>
          <w:t>Critics</w:t>
        </w:r>
      </w:hyperlink>
      <w:r w:rsidR="009D7914">
        <w:rPr>
          <w:rFonts w:eastAsia="Calibri"/>
          <w:b/>
          <w:sz w:val="22"/>
          <w:szCs w:val="22"/>
        </w:rPr>
        <w:t xml:space="preserve"> have noted that </w:t>
      </w:r>
      <w:r w:rsidR="00DF2E1D">
        <w:rPr>
          <w:rFonts w:eastAsia="Calibri"/>
          <w:b/>
          <w:sz w:val="22"/>
          <w:szCs w:val="22"/>
        </w:rPr>
        <w:t>National Housing Strategy</w:t>
      </w:r>
      <w:r w:rsidR="009D7914">
        <w:rPr>
          <w:rFonts w:eastAsia="Calibri"/>
          <w:b/>
          <w:sz w:val="22"/>
          <w:szCs w:val="22"/>
        </w:rPr>
        <w:t xml:space="preserve"> programs often fail to adhere to the CMHC’s own definition of core housing need and, consequently, produce little in the way of deeply affordable housing. </w:t>
      </w:r>
    </w:p>
    <w:p w14:paraId="142E8316" w14:textId="77777777" w:rsidR="007471B6" w:rsidRPr="007471B6" w:rsidRDefault="007471B6" w:rsidP="007471B6">
      <w:pPr>
        <w:pStyle w:val="ListParagraph"/>
        <w:spacing w:after="160" w:line="259" w:lineRule="auto"/>
        <w:ind w:left="1440"/>
        <w:jc w:val="both"/>
        <w:rPr>
          <w:rFonts w:eastAsia="Calibri"/>
          <w:b/>
          <w:sz w:val="22"/>
          <w:szCs w:val="22"/>
        </w:rPr>
      </w:pPr>
    </w:p>
    <w:p w14:paraId="3F166626" w14:textId="7A10110C" w:rsidR="001B7668" w:rsidRPr="000B7E8F" w:rsidRDefault="00DF2E1D" w:rsidP="001B7668">
      <w:pPr>
        <w:pStyle w:val="ListParagraph"/>
        <w:numPr>
          <w:ilvl w:val="0"/>
          <w:numId w:val="8"/>
        </w:numPr>
        <w:spacing w:after="160" w:line="259" w:lineRule="auto"/>
        <w:jc w:val="both"/>
        <w:rPr>
          <w:rFonts w:eastAsia="Calibri"/>
          <w:b/>
          <w:sz w:val="22"/>
          <w:szCs w:val="22"/>
        </w:rPr>
      </w:pPr>
      <w:r>
        <w:rPr>
          <w:rFonts w:eastAsia="Calibri"/>
          <w:b/>
          <w:sz w:val="22"/>
          <w:szCs w:val="22"/>
        </w:rPr>
        <w:t>CMHC</w:t>
      </w:r>
      <w:r w:rsidR="00425E7B" w:rsidRPr="000B7E8F">
        <w:rPr>
          <w:rFonts w:eastAsia="Calibri"/>
          <w:b/>
          <w:sz w:val="22"/>
          <w:szCs w:val="22"/>
        </w:rPr>
        <w:t xml:space="preserve"> research on housing affordability in the NHS is </w:t>
      </w:r>
      <w:r w:rsidR="001B7668" w:rsidRPr="000B7E8F">
        <w:rPr>
          <w:rFonts w:eastAsia="Calibri"/>
          <w:b/>
          <w:sz w:val="22"/>
          <w:szCs w:val="22"/>
        </w:rPr>
        <w:t>done through a suite of federal initiatives dedicated to innovation and research programs</w:t>
      </w:r>
      <w:r w:rsidR="009E034B" w:rsidRPr="000B7E8F">
        <w:rPr>
          <w:rFonts w:eastAsia="Calibri"/>
          <w:b/>
          <w:sz w:val="22"/>
          <w:szCs w:val="22"/>
        </w:rPr>
        <w:t xml:space="preserve"> in</w:t>
      </w:r>
      <w:r w:rsidR="001B7668" w:rsidRPr="000B7E8F">
        <w:rPr>
          <w:rFonts w:eastAsia="Calibri"/>
          <w:b/>
          <w:sz w:val="22"/>
          <w:szCs w:val="22"/>
        </w:rPr>
        <w:t xml:space="preserve"> 6 priority areas: </w:t>
      </w:r>
    </w:p>
    <w:p w14:paraId="6CD44849" w14:textId="77777777" w:rsidR="001B7668" w:rsidRPr="000B7E8F" w:rsidRDefault="001B7668" w:rsidP="001B7668">
      <w:pPr>
        <w:pStyle w:val="ListParagraph"/>
        <w:spacing w:after="160" w:line="259" w:lineRule="auto"/>
        <w:ind w:left="1440"/>
        <w:jc w:val="both"/>
        <w:rPr>
          <w:rFonts w:eastAsia="Calibri"/>
          <w:b/>
          <w:sz w:val="22"/>
          <w:szCs w:val="22"/>
        </w:rPr>
      </w:pPr>
    </w:p>
    <w:p w14:paraId="18B6F1AD" w14:textId="65495DCA"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Housing for those in greatest need - the vulnerable populations.</w:t>
      </w:r>
    </w:p>
    <w:p w14:paraId="3D623FFB" w14:textId="6AC25824"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Social housing sustainability</w:t>
      </w:r>
    </w:p>
    <w:p w14:paraId="7D3D5A9E" w14:textId="62784555"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Indigenous housing</w:t>
      </w:r>
    </w:p>
    <w:p w14:paraId="35CA68D1" w14:textId="42DB3EDF"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Northern housing</w:t>
      </w:r>
    </w:p>
    <w:p w14:paraId="3123F8DC" w14:textId="757709B2"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Sustainable housing and communities</w:t>
      </w:r>
    </w:p>
    <w:p w14:paraId="4C0EEF15" w14:textId="77F813AB" w:rsidR="001B7668" w:rsidRPr="000B7E8F" w:rsidRDefault="001B7668" w:rsidP="001B7668">
      <w:pPr>
        <w:pStyle w:val="ListParagraph"/>
        <w:numPr>
          <w:ilvl w:val="0"/>
          <w:numId w:val="10"/>
        </w:numPr>
        <w:rPr>
          <w:b/>
          <w:sz w:val="22"/>
          <w:szCs w:val="22"/>
          <w:lang w:val="en-CA" w:eastAsia="en-CA"/>
        </w:rPr>
      </w:pPr>
      <w:r w:rsidRPr="000B7E8F">
        <w:rPr>
          <w:b/>
          <w:sz w:val="22"/>
          <w:szCs w:val="22"/>
          <w:lang w:val="en-CA" w:eastAsia="en-CA"/>
        </w:rPr>
        <w:t>A balanced supply of housing</w:t>
      </w:r>
    </w:p>
    <w:p w14:paraId="1FF61101" w14:textId="6EF066CE" w:rsidR="00425E7B" w:rsidRPr="006F046C" w:rsidRDefault="00425E7B" w:rsidP="001B7668">
      <w:pPr>
        <w:pStyle w:val="ListParagraph"/>
        <w:spacing w:after="160" w:line="259" w:lineRule="auto"/>
        <w:ind w:left="1440"/>
        <w:jc w:val="both"/>
        <w:rPr>
          <w:rFonts w:eastAsia="Calibri"/>
          <w:szCs w:val="22"/>
        </w:rPr>
      </w:pPr>
    </w:p>
    <w:p w14:paraId="06C54034" w14:textId="318FC285" w:rsidR="00964B63" w:rsidRPr="000B7E8F" w:rsidRDefault="007471B6" w:rsidP="00940BE2">
      <w:pPr>
        <w:pStyle w:val="ListParagraph"/>
        <w:numPr>
          <w:ilvl w:val="0"/>
          <w:numId w:val="8"/>
        </w:numPr>
        <w:spacing w:after="160" w:line="259" w:lineRule="auto"/>
        <w:jc w:val="both"/>
        <w:rPr>
          <w:rFonts w:eastAsia="Calibri"/>
          <w:b/>
          <w:sz w:val="22"/>
          <w:szCs w:val="22"/>
        </w:rPr>
      </w:pPr>
      <w:r>
        <w:rPr>
          <w:rFonts w:eastAsia="Calibri"/>
          <w:b/>
          <w:sz w:val="22"/>
          <w:szCs w:val="22"/>
        </w:rPr>
        <w:t>Much of the information and</w:t>
      </w:r>
      <w:r w:rsidR="0069549C" w:rsidRPr="000B7E8F">
        <w:rPr>
          <w:rFonts w:eastAsia="Calibri"/>
          <w:b/>
          <w:sz w:val="22"/>
          <w:szCs w:val="22"/>
        </w:rPr>
        <w:t xml:space="preserve"> research </w:t>
      </w:r>
      <w:r w:rsidR="001B7668" w:rsidRPr="000B7E8F">
        <w:rPr>
          <w:rFonts w:eastAsia="Calibri"/>
          <w:b/>
          <w:sz w:val="22"/>
          <w:szCs w:val="22"/>
        </w:rPr>
        <w:t xml:space="preserve">undertaken so </w:t>
      </w:r>
      <w:r w:rsidR="0069549C" w:rsidRPr="000B7E8F">
        <w:rPr>
          <w:rFonts w:eastAsia="Calibri"/>
          <w:b/>
          <w:sz w:val="22"/>
          <w:szCs w:val="22"/>
        </w:rPr>
        <w:t>far can be accessed</w:t>
      </w:r>
      <w:r w:rsidR="001B7668" w:rsidRPr="000B7E8F">
        <w:rPr>
          <w:rFonts w:eastAsia="Calibri"/>
          <w:b/>
          <w:sz w:val="22"/>
          <w:szCs w:val="22"/>
        </w:rPr>
        <w:t xml:space="preserve"> through the CMHC’s webpage</w:t>
      </w:r>
      <w:r>
        <w:rPr>
          <w:rFonts w:eastAsia="Calibri"/>
          <w:b/>
          <w:sz w:val="22"/>
          <w:szCs w:val="22"/>
        </w:rPr>
        <w:t>:</w:t>
      </w:r>
      <w:r w:rsidR="001B7668" w:rsidRPr="000B7E8F">
        <w:rPr>
          <w:rFonts w:eastAsia="Calibri"/>
          <w:b/>
          <w:sz w:val="22"/>
          <w:szCs w:val="22"/>
        </w:rPr>
        <w:t xml:space="preserve"> </w:t>
      </w:r>
      <w:hyperlink r:id="rId29" w:history="1">
        <w:r w:rsidR="001B7668" w:rsidRPr="000B7E8F">
          <w:rPr>
            <w:rStyle w:val="Hyperlink"/>
            <w:rFonts w:eastAsia="Calibri"/>
            <w:b/>
            <w:sz w:val="22"/>
            <w:szCs w:val="22"/>
          </w:rPr>
          <w:t>NHS outcomes and outputs</w:t>
        </w:r>
      </w:hyperlink>
      <w:r w:rsidR="00940BE2" w:rsidRPr="000B7E8F">
        <w:rPr>
          <w:rFonts w:eastAsia="Calibri"/>
          <w:b/>
          <w:sz w:val="22"/>
          <w:szCs w:val="22"/>
        </w:rPr>
        <w:t>.</w:t>
      </w:r>
    </w:p>
    <w:p w14:paraId="4836677A" w14:textId="77777777" w:rsidR="00A83B64" w:rsidRPr="00737659" w:rsidRDefault="00A83B64" w:rsidP="00A83B64">
      <w:pPr>
        <w:spacing w:after="160" w:line="259" w:lineRule="auto"/>
        <w:ind w:left="720"/>
        <w:jc w:val="both"/>
        <w:rPr>
          <w:rFonts w:eastAsia="Calibri"/>
          <w:sz w:val="22"/>
          <w:szCs w:val="22"/>
        </w:rPr>
      </w:pPr>
    </w:p>
    <w:p w14:paraId="6A2C872A"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Has housing affordability increased or decreased in your country over the past 10 years? In which regions or cities has housing affordability changed and for whom? </w:t>
      </w:r>
    </w:p>
    <w:p w14:paraId="494A39EA" w14:textId="7F1907F9" w:rsidR="00A83B64" w:rsidRPr="006F046C" w:rsidRDefault="00A83B64" w:rsidP="00A83B64">
      <w:pPr>
        <w:spacing w:after="160" w:line="259" w:lineRule="auto"/>
        <w:ind w:left="720"/>
        <w:jc w:val="both"/>
        <w:rPr>
          <w:rFonts w:eastAsia="Calibri"/>
          <w:szCs w:val="22"/>
        </w:rPr>
      </w:pPr>
    </w:p>
    <w:p w14:paraId="7E53CD7F" w14:textId="6A6DC47A" w:rsidR="00940BE2" w:rsidRPr="000B7E8F" w:rsidRDefault="00940BE2" w:rsidP="00DD4317">
      <w:pPr>
        <w:pStyle w:val="BodyTextIndent"/>
        <w:numPr>
          <w:ilvl w:val="0"/>
          <w:numId w:val="8"/>
        </w:numPr>
      </w:pPr>
      <w:r w:rsidRPr="000B7E8F">
        <w:t>Over the past decade</w:t>
      </w:r>
      <w:r w:rsidR="006F13AA" w:rsidRPr="000B7E8F">
        <w:t>,</w:t>
      </w:r>
      <w:r w:rsidRPr="000B7E8F">
        <w:t xml:space="preserve"> the Canadian </w:t>
      </w:r>
      <w:r w:rsidR="009D7914">
        <w:t>affordable</w:t>
      </w:r>
      <w:r w:rsidRPr="000B7E8F">
        <w:t xml:space="preserve"> </w:t>
      </w:r>
      <w:r w:rsidR="009D7914">
        <w:t>purpose built rental stock</w:t>
      </w:r>
      <w:r w:rsidRPr="000B7E8F">
        <w:t xml:space="preserve"> has seen a sharp decline in</w:t>
      </w:r>
      <w:r w:rsidR="006F13AA" w:rsidRPr="000B7E8F">
        <w:t xml:space="preserve"> it supply of</w:t>
      </w:r>
      <w:r w:rsidRPr="000B7E8F">
        <w:t xml:space="preserve"> affordable </w:t>
      </w:r>
      <w:r w:rsidR="00F51AE1" w:rsidRPr="000B7E8F">
        <w:t>housing</w:t>
      </w:r>
      <w:r w:rsidRPr="000B7E8F">
        <w:t>. T</w:t>
      </w:r>
      <w:r w:rsidR="006F13AA" w:rsidRPr="000B7E8F">
        <w:t>he main driver of this is a</w:t>
      </w:r>
      <w:r w:rsidRPr="000B7E8F">
        <w:t xml:space="preserve"> phenomenon known as “erosion” of purpose b</w:t>
      </w:r>
      <w:r w:rsidR="00F51AE1" w:rsidRPr="000B7E8F">
        <w:t>uilt and multi-family rental stock. H</w:t>
      </w:r>
      <w:r w:rsidRPr="000B7E8F">
        <w:t>ousing policy</w:t>
      </w:r>
      <w:r w:rsidR="00F51AE1" w:rsidRPr="000B7E8F">
        <w:t xml:space="preserve"> experts</w:t>
      </w:r>
      <w:r w:rsidRPr="000B7E8F">
        <w:t xml:space="preserve"> and scholars </w:t>
      </w:r>
      <w:r w:rsidR="00F51AE1" w:rsidRPr="000B7E8F">
        <w:t>have documented this as being the result of complex interrelated economic</w:t>
      </w:r>
      <w:r w:rsidR="006F13AA" w:rsidRPr="000B7E8F">
        <w:t>, financial</w:t>
      </w:r>
      <w:r w:rsidR="00D05017">
        <w:t>,</w:t>
      </w:r>
      <w:r w:rsidR="006F13AA" w:rsidRPr="000B7E8F">
        <w:t xml:space="preserve"> and regulatory</w:t>
      </w:r>
      <w:r w:rsidR="00F51AE1" w:rsidRPr="000B7E8F">
        <w:t xml:space="preserve"> conditions. Most notably the financialization of housing. </w:t>
      </w:r>
      <w:r w:rsidRPr="000B7E8F">
        <w:t xml:space="preserve"> </w:t>
      </w:r>
    </w:p>
    <w:p w14:paraId="173DE8EC" w14:textId="77777777" w:rsidR="00940BE2" w:rsidRPr="00737659" w:rsidRDefault="00940BE2" w:rsidP="00A83B64">
      <w:pPr>
        <w:spacing w:after="160" w:line="259" w:lineRule="auto"/>
        <w:ind w:left="720"/>
        <w:jc w:val="both"/>
        <w:rPr>
          <w:rFonts w:eastAsia="Calibri"/>
          <w:sz w:val="22"/>
          <w:szCs w:val="22"/>
        </w:rPr>
      </w:pPr>
    </w:p>
    <w:p w14:paraId="3F9C8FD0" w14:textId="6F70D879"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14:paraId="572D9596" w14:textId="618A08F8" w:rsidR="004E4C91" w:rsidRDefault="004E4C91" w:rsidP="004E4C91">
      <w:pPr>
        <w:spacing w:after="160" w:line="259" w:lineRule="auto"/>
        <w:contextualSpacing/>
        <w:jc w:val="both"/>
        <w:rPr>
          <w:rFonts w:eastAsia="Calibri"/>
          <w:sz w:val="22"/>
          <w:szCs w:val="22"/>
        </w:rPr>
      </w:pPr>
    </w:p>
    <w:p w14:paraId="21FE452E" w14:textId="2B88461E" w:rsidR="009D7914" w:rsidRDefault="004E4C91" w:rsidP="00DD4317">
      <w:pPr>
        <w:pStyle w:val="ListParagraph"/>
        <w:numPr>
          <w:ilvl w:val="0"/>
          <w:numId w:val="8"/>
        </w:numPr>
        <w:spacing w:after="160" w:line="259" w:lineRule="auto"/>
        <w:jc w:val="both"/>
        <w:rPr>
          <w:rStyle w:val="BookTitle"/>
          <w:i w:val="0"/>
          <w:sz w:val="22"/>
          <w:szCs w:val="22"/>
        </w:rPr>
      </w:pPr>
      <w:r w:rsidRPr="000B7E8F">
        <w:rPr>
          <w:rFonts w:eastAsia="Calibri"/>
          <w:b/>
          <w:sz w:val="22"/>
          <w:szCs w:val="22"/>
        </w:rPr>
        <w:t xml:space="preserve">According to the Federal Government of Canada’s NHS, there are 12 </w:t>
      </w:r>
      <w:r w:rsidRPr="000B7E8F">
        <w:rPr>
          <w:rStyle w:val="BookTitle"/>
          <w:i w:val="0"/>
          <w:sz w:val="22"/>
          <w:szCs w:val="22"/>
        </w:rPr>
        <w:t xml:space="preserve">priority groups. The current definition includes survivors (especially women and their children fleeing domestic violence); seniors; Indigenous peoples; people with disabilities; people dealing with mental health and addiction issues; veterans; 2SLGBTQIA+; racialized groups; recent immigrants (including refugees); and people experiencing </w:t>
      </w:r>
      <w:r w:rsidR="00D05017">
        <w:rPr>
          <w:rStyle w:val="BookTitle"/>
          <w:i w:val="0"/>
          <w:sz w:val="22"/>
          <w:szCs w:val="22"/>
        </w:rPr>
        <w:t>homelessness. The NHS</w:t>
      </w:r>
      <w:r w:rsidRPr="000B7E8F">
        <w:rPr>
          <w:rStyle w:val="BookTitle"/>
          <w:i w:val="0"/>
          <w:sz w:val="22"/>
          <w:szCs w:val="22"/>
        </w:rPr>
        <w:t xml:space="preserve"> recognize</w:t>
      </w:r>
      <w:r w:rsidR="00D05017">
        <w:rPr>
          <w:rStyle w:val="BookTitle"/>
          <w:i w:val="0"/>
          <w:sz w:val="22"/>
          <w:szCs w:val="22"/>
        </w:rPr>
        <w:t>s</w:t>
      </w:r>
      <w:r w:rsidRPr="000B7E8F">
        <w:rPr>
          <w:rStyle w:val="BookTitle"/>
          <w:i w:val="0"/>
          <w:sz w:val="22"/>
          <w:szCs w:val="22"/>
        </w:rPr>
        <w:t xml:space="preserve"> that people often live with multiple experiences of marginalization and thus an intersectional lens should be applied in discussion of each of these vulnerable groups.</w:t>
      </w:r>
      <w:r w:rsidR="00DF2E1D">
        <w:rPr>
          <w:rStyle w:val="BookTitle"/>
          <w:i w:val="0"/>
          <w:sz w:val="22"/>
          <w:szCs w:val="22"/>
        </w:rPr>
        <w:t xml:space="preserve"> </w:t>
      </w:r>
    </w:p>
    <w:p w14:paraId="25F6BD60" w14:textId="6646D2F6" w:rsidR="00DF2E1D" w:rsidRPr="00222E86" w:rsidRDefault="00B13694" w:rsidP="00222E86">
      <w:pPr>
        <w:spacing w:after="160" w:line="259" w:lineRule="auto"/>
        <w:ind w:left="1440"/>
        <w:jc w:val="both"/>
        <w:rPr>
          <w:rStyle w:val="BookTitle"/>
          <w:rFonts w:eastAsia="Calibri"/>
          <w:b w:val="0"/>
          <w:bCs w:val="0"/>
          <w:i w:val="0"/>
          <w:iCs w:val="0"/>
          <w:spacing w:val="0"/>
          <w:sz w:val="22"/>
          <w:szCs w:val="22"/>
        </w:rPr>
      </w:pPr>
      <w:hyperlink r:id="rId30" w:history="1">
        <w:r w:rsidR="00DF2E1D" w:rsidRPr="00DF2E1D">
          <w:rPr>
            <w:rStyle w:val="Hyperlink"/>
            <w:rFonts w:eastAsia="Calibri"/>
            <w:sz w:val="22"/>
            <w:szCs w:val="22"/>
          </w:rPr>
          <w:t>https://www.cmhc-schl.gc.ca/en/nhs/guidepage-strategy/glossary</w:t>
        </w:r>
      </w:hyperlink>
    </w:p>
    <w:p w14:paraId="65C4175C" w14:textId="54F04E72" w:rsidR="009D7914" w:rsidRDefault="004E4C91" w:rsidP="009D7914">
      <w:pPr>
        <w:pStyle w:val="ListParagraph"/>
        <w:spacing w:after="160" w:line="259" w:lineRule="auto"/>
        <w:ind w:left="1440"/>
        <w:jc w:val="both"/>
        <w:rPr>
          <w:rStyle w:val="BookTitle"/>
          <w:i w:val="0"/>
          <w:sz w:val="22"/>
          <w:szCs w:val="22"/>
        </w:rPr>
      </w:pPr>
      <w:r w:rsidRPr="000B7E8F">
        <w:rPr>
          <w:rStyle w:val="BookTitle"/>
          <w:i w:val="0"/>
          <w:sz w:val="22"/>
          <w:szCs w:val="22"/>
        </w:rPr>
        <w:t xml:space="preserve"> </w:t>
      </w:r>
    </w:p>
    <w:p w14:paraId="0786EA84" w14:textId="25AE8873" w:rsidR="004E4C91" w:rsidRPr="00FA2960" w:rsidRDefault="009D7914" w:rsidP="00DD4317">
      <w:pPr>
        <w:pStyle w:val="ListParagraph"/>
        <w:numPr>
          <w:ilvl w:val="0"/>
          <w:numId w:val="8"/>
        </w:numPr>
        <w:spacing w:after="160" w:line="259" w:lineRule="auto"/>
        <w:jc w:val="both"/>
        <w:rPr>
          <w:rStyle w:val="Heading1Char"/>
          <w:sz w:val="22"/>
          <w:szCs w:val="22"/>
        </w:rPr>
      </w:pPr>
      <w:r w:rsidRPr="00FA2960">
        <w:rPr>
          <w:rStyle w:val="BookTitle"/>
          <w:i w:val="0"/>
          <w:sz w:val="22"/>
          <w:szCs w:val="22"/>
        </w:rPr>
        <w:t xml:space="preserve">This list is by no means exhaustive. Many civil society groups concerned with the right to housing have identified vulnerable segments of the population </w:t>
      </w:r>
      <w:r w:rsidR="00FA2960">
        <w:rPr>
          <w:rStyle w:val="BookTitle"/>
          <w:i w:val="0"/>
          <w:sz w:val="22"/>
          <w:szCs w:val="22"/>
        </w:rPr>
        <w:t>that were not prioritized by the NHS. S</w:t>
      </w:r>
      <w:r w:rsidRPr="00FA2960">
        <w:rPr>
          <w:rStyle w:val="BookTitle"/>
          <w:i w:val="0"/>
          <w:sz w:val="22"/>
          <w:szCs w:val="22"/>
        </w:rPr>
        <w:t xml:space="preserve">uch as </w:t>
      </w:r>
      <w:r w:rsidR="00FA2960" w:rsidRPr="00FA2960">
        <w:rPr>
          <w:rStyle w:val="Heading1Char"/>
          <w:sz w:val="22"/>
          <w:szCs w:val="22"/>
        </w:rPr>
        <w:t>p</w:t>
      </w:r>
      <w:r w:rsidRPr="00FA2960">
        <w:rPr>
          <w:rStyle w:val="Heading1Char"/>
          <w:sz w:val="22"/>
          <w:szCs w:val="22"/>
        </w:rPr>
        <w:t xml:space="preserve">ersons with precarious immigration status, </w:t>
      </w:r>
      <w:r w:rsidR="00AF0A2C">
        <w:rPr>
          <w:b/>
          <w:bCs/>
          <w:sz w:val="22"/>
          <w:szCs w:val="22"/>
        </w:rPr>
        <w:t>p</w:t>
      </w:r>
      <w:r w:rsidR="00FA2960" w:rsidRPr="00FA2960">
        <w:rPr>
          <w:b/>
          <w:bCs/>
          <w:sz w:val="22"/>
          <w:szCs w:val="22"/>
        </w:rPr>
        <w:t xml:space="preserve">ersons who have interacted with the criminal justice system, and, finally, </w:t>
      </w:r>
      <w:r w:rsidR="00FA2960" w:rsidRPr="00FA2960">
        <w:rPr>
          <w:b/>
          <w:sz w:val="22"/>
          <w:szCs w:val="22"/>
        </w:rPr>
        <w:t xml:space="preserve">low-income women and lone caregivers disproportionately experience hidden homelessness.  </w:t>
      </w:r>
      <w:r w:rsidR="00FA2960" w:rsidRPr="00FA2960">
        <w:rPr>
          <w:b/>
          <w:bCs/>
          <w:sz w:val="22"/>
          <w:szCs w:val="22"/>
        </w:rPr>
        <w:t xml:space="preserve"> </w:t>
      </w:r>
      <w:r w:rsidRPr="00FA2960">
        <w:rPr>
          <w:rStyle w:val="Heading1Char"/>
          <w:b w:val="0"/>
          <w:sz w:val="22"/>
          <w:szCs w:val="22"/>
        </w:rPr>
        <w:t xml:space="preserve"> </w:t>
      </w:r>
    </w:p>
    <w:p w14:paraId="7445F52D" w14:textId="77777777" w:rsidR="00A83B64" w:rsidRPr="00737659" w:rsidRDefault="00A83B64" w:rsidP="00A83B64">
      <w:pPr>
        <w:spacing w:after="160" w:line="259" w:lineRule="auto"/>
        <w:ind w:left="720"/>
        <w:contextualSpacing/>
        <w:jc w:val="both"/>
        <w:rPr>
          <w:rFonts w:eastAsia="Calibri"/>
          <w:sz w:val="22"/>
          <w:szCs w:val="22"/>
        </w:rPr>
      </w:pPr>
    </w:p>
    <w:p w14:paraId="3ADBBEA7" w14:textId="77777777" w:rsidR="00A83B64" w:rsidRPr="00737659"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1B2DD786" w14:textId="005600C8" w:rsidR="00A83B64" w:rsidRDefault="00A83B64" w:rsidP="00A83B64">
      <w:pPr>
        <w:spacing w:after="160" w:line="259" w:lineRule="auto"/>
        <w:ind w:left="720"/>
        <w:jc w:val="both"/>
        <w:rPr>
          <w:rFonts w:eastAsia="Calibri"/>
          <w:sz w:val="22"/>
          <w:szCs w:val="22"/>
        </w:rPr>
      </w:pPr>
    </w:p>
    <w:p w14:paraId="6F181795" w14:textId="1AEEE225" w:rsidR="00584B8A" w:rsidRPr="000B7E8F" w:rsidRDefault="00D05017" w:rsidP="00DD4317">
      <w:pPr>
        <w:pStyle w:val="BodyText"/>
        <w:numPr>
          <w:ilvl w:val="0"/>
          <w:numId w:val="8"/>
        </w:numPr>
      </w:pPr>
      <w:r>
        <w:t>D</w:t>
      </w:r>
      <w:r w:rsidR="00584B8A" w:rsidRPr="000B7E8F">
        <w:t xml:space="preserve">isaggregated data with respect to certain demographic categories in the housing sector (e.g. gender, disability, ethnicity, etc.) experiencing core housing need and enduring inadequate housing, tends to be poorly represented in national data bases on </w:t>
      </w:r>
      <w:r w:rsidR="00E951DC" w:rsidRPr="000B7E8F">
        <w:t>housing affordability. S</w:t>
      </w:r>
      <w:r w:rsidR="00584B8A" w:rsidRPr="000B7E8F">
        <w:t xml:space="preserve">ome civil society and academic think tanks are starting to take up the challenge of filling in the gaps. </w:t>
      </w:r>
    </w:p>
    <w:p w14:paraId="0A4DA538" w14:textId="77777777" w:rsidR="00584B8A" w:rsidRPr="000B7E8F" w:rsidRDefault="00584B8A" w:rsidP="00584B8A">
      <w:pPr>
        <w:pStyle w:val="BodyText"/>
      </w:pPr>
    </w:p>
    <w:p w14:paraId="355B243C" w14:textId="4894A6BC" w:rsidR="0079769A" w:rsidRDefault="0079769A" w:rsidP="00DD4317">
      <w:pPr>
        <w:pStyle w:val="BodyText"/>
        <w:numPr>
          <w:ilvl w:val="0"/>
          <w:numId w:val="8"/>
        </w:numPr>
      </w:pPr>
      <w:r>
        <w:t xml:space="preserve">The Office of the Federal Housing Advocate attempted to fill this gap in its work with Statistics Canada to publish a series of fact sheets on </w:t>
      </w:r>
      <w:hyperlink r:id="rId31" w:history="1">
        <w:r w:rsidRPr="0079769A">
          <w:rPr>
            <w:rStyle w:val="Hyperlink"/>
          </w:rPr>
          <w:t>Housing Experiences in Canada</w:t>
        </w:r>
      </w:hyperlink>
      <w:r>
        <w:t xml:space="preserve"> addressing 24 different sub-populations.  More work, however, is needed to obtain the type of disaggregated data needed to inform policy.</w:t>
      </w:r>
    </w:p>
    <w:p w14:paraId="7C6E7B29" w14:textId="77777777" w:rsidR="0079769A" w:rsidRDefault="0079769A" w:rsidP="0079769A">
      <w:pPr>
        <w:pStyle w:val="ListParagraph"/>
      </w:pPr>
    </w:p>
    <w:p w14:paraId="5FC81302" w14:textId="5DC6F969" w:rsidR="00584B8A" w:rsidRPr="000B7E8F" w:rsidRDefault="00584B8A" w:rsidP="00DD4317">
      <w:pPr>
        <w:pStyle w:val="BodyText"/>
        <w:numPr>
          <w:ilvl w:val="0"/>
          <w:numId w:val="8"/>
        </w:numPr>
      </w:pPr>
      <w:r w:rsidRPr="000B7E8F">
        <w:t xml:space="preserve">One such example is the Housing Affordability </w:t>
      </w:r>
      <w:r w:rsidR="00B651F5" w:rsidRPr="000B7E8F">
        <w:t>Resource Tool</w:t>
      </w:r>
      <w:r w:rsidR="00D05017">
        <w:t xml:space="preserve"> (HART)</w:t>
      </w:r>
      <w:r w:rsidR="00B651F5" w:rsidRPr="000B7E8F">
        <w:t>, launched with f</w:t>
      </w:r>
      <w:r w:rsidRPr="000B7E8F">
        <w:t xml:space="preserve">ederal funding and affiliated with the </w:t>
      </w:r>
      <w:r w:rsidR="00D05017">
        <w:t>University of British Columbia.</w:t>
      </w:r>
      <w:r w:rsidRPr="000B7E8F">
        <w:t xml:space="preserve"> HART</w:t>
      </w:r>
      <w:r w:rsidR="00B651F5" w:rsidRPr="000B7E8F">
        <w:t>’s</w:t>
      </w:r>
      <w:r w:rsidRPr="000B7E8F">
        <w:t xml:space="preserve"> mission is to fund and research data-based solutions to Canada’s housing crisis. </w:t>
      </w:r>
    </w:p>
    <w:p w14:paraId="3188E43A" w14:textId="77777777" w:rsidR="008D13DD" w:rsidRPr="000B7E8F" w:rsidRDefault="00B13694" w:rsidP="008D13DD">
      <w:pPr>
        <w:pStyle w:val="BodyText"/>
        <w:ind w:left="1440"/>
        <w:rPr>
          <w:b w:val="0"/>
        </w:rPr>
      </w:pPr>
      <w:hyperlink r:id="rId32" w:history="1">
        <w:r w:rsidR="008D13DD" w:rsidRPr="000B7E8F">
          <w:rPr>
            <w:rStyle w:val="Hyperlink"/>
            <w:b w:val="0"/>
          </w:rPr>
          <w:t>https://hart.ubc.ca/</w:t>
        </w:r>
      </w:hyperlink>
    </w:p>
    <w:p w14:paraId="57D52F02" w14:textId="7D164819" w:rsidR="00E951DC" w:rsidRPr="000B7E8F" w:rsidRDefault="00E951DC" w:rsidP="00E951DC">
      <w:pPr>
        <w:pStyle w:val="BodyText"/>
        <w:ind w:left="1440"/>
      </w:pPr>
    </w:p>
    <w:p w14:paraId="6A278894" w14:textId="3D0250A7" w:rsidR="008D13DD" w:rsidRPr="000B7E8F" w:rsidRDefault="00E951DC" w:rsidP="00E951DC">
      <w:pPr>
        <w:pStyle w:val="BodyText"/>
        <w:numPr>
          <w:ilvl w:val="0"/>
          <w:numId w:val="8"/>
        </w:numPr>
      </w:pPr>
      <w:r w:rsidRPr="000B7E8F">
        <w:t xml:space="preserve">The CMHC recently published </w:t>
      </w:r>
      <w:r w:rsidR="008D13DD" w:rsidRPr="000B7E8F">
        <w:t>a study of evictions across the country. The evidence collected</w:t>
      </w:r>
      <w:r w:rsidR="006A521C" w:rsidRPr="000B7E8F">
        <w:t>, including thousands of interviews with evicted tenants,</w:t>
      </w:r>
      <w:r w:rsidR="008D13DD" w:rsidRPr="000B7E8F">
        <w:t xml:space="preserve"> indicates that racialized and Indigenous participants were four times more likely</w:t>
      </w:r>
      <w:r w:rsidR="006A521C" w:rsidRPr="000B7E8F">
        <w:t xml:space="preserve"> than w</w:t>
      </w:r>
      <w:r w:rsidR="008D13DD" w:rsidRPr="000B7E8F">
        <w:t xml:space="preserve">hite participants, to cite racial discrimination as a reason for their eviction. </w:t>
      </w:r>
    </w:p>
    <w:p w14:paraId="5E035DD3" w14:textId="531A260F" w:rsidR="008D13DD" w:rsidRPr="000B7E8F" w:rsidRDefault="00B13694" w:rsidP="008D13DD">
      <w:pPr>
        <w:pStyle w:val="BodyText"/>
        <w:ind w:left="1440"/>
      </w:pPr>
      <w:hyperlink r:id="rId33" w:history="1">
        <w:r w:rsidR="008D13DD" w:rsidRPr="000B7E8F">
          <w:rPr>
            <w:rStyle w:val="Hyperlink"/>
          </w:rPr>
          <w:t>https://www.cmhc-schl.gc.ca/en/professionals/housing-markets-data-and-research/housing-research/research-reports/housing-needs/lived-experiences-eviction-canada</w:t>
        </w:r>
      </w:hyperlink>
    </w:p>
    <w:p w14:paraId="198E2060" w14:textId="77777777" w:rsidR="00584B8A" w:rsidRPr="00860369" w:rsidRDefault="00584B8A" w:rsidP="00584B8A">
      <w:pPr>
        <w:pStyle w:val="BodyText"/>
        <w:rPr>
          <w:b w:val="0"/>
        </w:rPr>
      </w:pPr>
    </w:p>
    <w:p w14:paraId="10BAD406" w14:textId="5C9495D9" w:rsidR="00584B8A" w:rsidRPr="00737659" w:rsidRDefault="00584B8A" w:rsidP="00A83B64">
      <w:pPr>
        <w:spacing w:after="160" w:line="259" w:lineRule="auto"/>
        <w:ind w:left="720"/>
        <w:jc w:val="both"/>
        <w:rPr>
          <w:rFonts w:eastAsia="Calibri"/>
          <w:sz w:val="22"/>
          <w:szCs w:val="22"/>
        </w:rPr>
      </w:pPr>
    </w:p>
    <w:p w14:paraId="48B1F4C3"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14:paraId="45ECA297" w14:textId="77777777" w:rsidR="00B9601F" w:rsidRPr="006F046C" w:rsidRDefault="00B9601F" w:rsidP="00A83B64">
      <w:pPr>
        <w:spacing w:after="160" w:line="259" w:lineRule="auto"/>
        <w:ind w:left="720"/>
        <w:jc w:val="both"/>
        <w:rPr>
          <w:rFonts w:eastAsia="Calibri"/>
          <w:szCs w:val="22"/>
        </w:rPr>
      </w:pPr>
    </w:p>
    <w:p w14:paraId="5ED4673C" w14:textId="23AB26EA" w:rsidR="00B9601F" w:rsidRPr="000B7E8F" w:rsidRDefault="00B9601F" w:rsidP="00DD4317">
      <w:pPr>
        <w:pStyle w:val="BodyTextIndent"/>
        <w:numPr>
          <w:ilvl w:val="0"/>
          <w:numId w:val="11"/>
        </w:numPr>
      </w:pPr>
      <w:r w:rsidRPr="000B7E8F">
        <w:t>Historically, data collected on people experiencing homeless</w:t>
      </w:r>
      <w:r w:rsidR="00D05017">
        <w:t>ness</w:t>
      </w:r>
      <w:r w:rsidRPr="000B7E8F">
        <w:t xml:space="preserve"> in Canada has not been centralized or organized by the Federal Government. R</w:t>
      </w:r>
      <w:r w:rsidR="009D2DE8" w:rsidRPr="000B7E8F">
        <w:t>ather, in the last decade it has</w:t>
      </w:r>
      <w:r w:rsidRPr="000B7E8F">
        <w:t xml:space="preserve"> become more common for municipal governments, in conjunction with civil society and volunteer-based organizations,</w:t>
      </w:r>
      <w:r w:rsidR="009D2DE8" w:rsidRPr="000B7E8F">
        <w:t xml:space="preserve"> to compile and carry out Point–in-Time</w:t>
      </w:r>
      <w:r w:rsidR="0051219D" w:rsidRPr="000B7E8F">
        <w:t xml:space="preserve"> </w:t>
      </w:r>
      <w:r w:rsidR="009D2DE8" w:rsidRPr="000B7E8F">
        <w:t>counts</w:t>
      </w:r>
      <w:r w:rsidRPr="000B7E8F">
        <w:t xml:space="preserve"> on a local level, often p</w:t>
      </w:r>
      <w:r w:rsidR="00B651F5" w:rsidRPr="000B7E8F">
        <w:t>ublishing and sharing their results</w:t>
      </w:r>
      <w:r w:rsidRPr="000B7E8F">
        <w:t xml:space="preserve"> with other orders of government and the public.   </w:t>
      </w:r>
    </w:p>
    <w:p w14:paraId="0A71B0E2" w14:textId="242B5E14" w:rsidR="009D2DE8" w:rsidRPr="000B7E8F" w:rsidRDefault="009D2DE8" w:rsidP="00DD4317">
      <w:pPr>
        <w:pStyle w:val="BodyTextIndent"/>
        <w:numPr>
          <w:ilvl w:val="0"/>
          <w:numId w:val="11"/>
        </w:numPr>
      </w:pPr>
      <w:r w:rsidRPr="000B7E8F">
        <w:t xml:space="preserve">One such </w:t>
      </w:r>
      <w:hyperlink r:id="rId34" w:history="1">
        <w:r w:rsidRPr="00D05017">
          <w:rPr>
            <w:rStyle w:val="Hyperlink"/>
          </w:rPr>
          <w:t>study</w:t>
        </w:r>
      </w:hyperlink>
      <w:r w:rsidRPr="000B7E8F">
        <w:t xml:space="preserve"> occurred in 2016, and focused on the segment of the population using emergency shelters across Canada.  </w:t>
      </w:r>
    </w:p>
    <w:p w14:paraId="3C2FA592" w14:textId="48775D8A" w:rsidR="00D05017" w:rsidRDefault="009D2DE8" w:rsidP="00D05017">
      <w:pPr>
        <w:pStyle w:val="ListParagraph"/>
        <w:numPr>
          <w:ilvl w:val="0"/>
          <w:numId w:val="12"/>
        </w:numPr>
        <w:spacing w:after="160" w:line="259" w:lineRule="auto"/>
        <w:jc w:val="both"/>
        <w:rPr>
          <w:rFonts w:eastAsia="Calibri"/>
          <w:b/>
          <w:sz w:val="22"/>
          <w:szCs w:val="22"/>
        </w:rPr>
      </w:pPr>
      <w:r w:rsidRPr="000B7E8F">
        <w:rPr>
          <w:rFonts w:eastAsia="Calibri"/>
          <w:b/>
          <w:sz w:val="22"/>
          <w:szCs w:val="22"/>
        </w:rPr>
        <w:t>The Homelessness Hub, an academic think-tank based out of York U</w:t>
      </w:r>
      <w:r w:rsidR="0051219D" w:rsidRPr="000B7E8F">
        <w:rPr>
          <w:rFonts w:eastAsia="Calibri"/>
          <w:b/>
          <w:sz w:val="22"/>
          <w:szCs w:val="22"/>
        </w:rPr>
        <w:t>niversity, describes the challenge of collecting data</w:t>
      </w:r>
      <w:r w:rsidRPr="000B7E8F">
        <w:rPr>
          <w:rFonts w:eastAsia="Calibri"/>
          <w:b/>
          <w:sz w:val="22"/>
          <w:szCs w:val="22"/>
        </w:rPr>
        <w:t xml:space="preserve"> on their website. </w:t>
      </w:r>
    </w:p>
    <w:p w14:paraId="264C5E63" w14:textId="77777777" w:rsidR="00D05017" w:rsidRPr="00D05017" w:rsidRDefault="00D05017" w:rsidP="00D05017">
      <w:pPr>
        <w:pStyle w:val="ListParagraph"/>
        <w:spacing w:after="160" w:line="259" w:lineRule="auto"/>
        <w:ind w:left="1440"/>
        <w:jc w:val="both"/>
        <w:rPr>
          <w:rFonts w:eastAsia="Calibri"/>
          <w:b/>
          <w:sz w:val="22"/>
          <w:szCs w:val="22"/>
        </w:rPr>
      </w:pPr>
    </w:p>
    <w:p w14:paraId="417EB36A" w14:textId="4DB355F7" w:rsidR="009D2DE8" w:rsidRPr="000B7E8F" w:rsidRDefault="009D2DE8" w:rsidP="00D05017">
      <w:pPr>
        <w:pStyle w:val="ListParagraph"/>
        <w:numPr>
          <w:ilvl w:val="0"/>
          <w:numId w:val="12"/>
        </w:numPr>
        <w:jc w:val="both"/>
        <w:rPr>
          <w:b/>
          <w:sz w:val="22"/>
          <w:szCs w:val="22"/>
          <w:shd w:val="clear" w:color="auto" w:fill="FFFFFF"/>
        </w:rPr>
      </w:pPr>
      <w:r w:rsidRPr="000B7E8F">
        <w:rPr>
          <w:rFonts w:eastAsia="Calibri"/>
          <w:b/>
          <w:sz w:val="22"/>
          <w:szCs w:val="22"/>
        </w:rPr>
        <w:t>“</w:t>
      </w:r>
      <w:r w:rsidRPr="000B7E8F">
        <w:rPr>
          <w:b/>
          <w:sz w:val="22"/>
          <w:szCs w:val="22"/>
          <w:shd w:val="clear" w:color="auto" w:fill="FFFFFF"/>
        </w:rPr>
        <w:t>Estimating the number of people experiencing h</w:t>
      </w:r>
      <w:r w:rsidR="00DD4317" w:rsidRPr="000B7E8F">
        <w:rPr>
          <w:b/>
          <w:sz w:val="22"/>
          <w:szCs w:val="22"/>
          <w:shd w:val="clear" w:color="auto" w:fill="FFFFFF"/>
        </w:rPr>
        <w:t xml:space="preserve">omelessness in Canada has been </w:t>
      </w:r>
      <w:r w:rsidRPr="000B7E8F">
        <w:rPr>
          <w:b/>
          <w:sz w:val="22"/>
          <w:szCs w:val="22"/>
          <w:shd w:val="clear" w:color="auto" w:fill="FFFFFF"/>
        </w:rPr>
        <w:t>a source of debate for years. The Homelessn</w:t>
      </w:r>
      <w:r w:rsidR="0051219D" w:rsidRPr="000B7E8F">
        <w:rPr>
          <w:b/>
          <w:sz w:val="22"/>
          <w:szCs w:val="22"/>
          <w:shd w:val="clear" w:color="auto" w:fill="FFFFFF"/>
        </w:rPr>
        <w:t>ess Partnering Secretariat</w:t>
      </w:r>
      <w:r w:rsidRPr="000B7E8F">
        <w:rPr>
          <w:b/>
          <w:sz w:val="22"/>
          <w:szCs w:val="22"/>
          <w:shd w:val="clear" w:color="auto" w:fill="FFFFFF"/>
        </w:rPr>
        <w:t xml:space="preserve"> has regularly used the estimate that between 150,000 </w:t>
      </w:r>
      <w:r w:rsidR="00DD4317" w:rsidRPr="000B7E8F">
        <w:rPr>
          <w:b/>
          <w:sz w:val="22"/>
          <w:szCs w:val="22"/>
          <w:shd w:val="clear" w:color="auto" w:fill="FFFFFF"/>
        </w:rPr>
        <w:t xml:space="preserve">and 300,000 individuals </w:t>
      </w:r>
      <w:r w:rsidRPr="000B7E8F">
        <w:rPr>
          <w:b/>
          <w:sz w:val="22"/>
          <w:szCs w:val="22"/>
          <w:shd w:val="clear" w:color="auto" w:fill="FFFFFF"/>
        </w:rPr>
        <w:t>experience homelessness in Canada each year, with</w:t>
      </w:r>
      <w:r w:rsidR="00DD4317" w:rsidRPr="000B7E8F">
        <w:rPr>
          <w:b/>
          <w:sz w:val="22"/>
          <w:szCs w:val="22"/>
          <w:shd w:val="clear" w:color="auto" w:fill="FFFFFF"/>
        </w:rPr>
        <w:t xml:space="preserve"> advocates often employing the </w:t>
      </w:r>
      <w:r w:rsidRPr="000B7E8F">
        <w:rPr>
          <w:b/>
          <w:sz w:val="22"/>
          <w:szCs w:val="22"/>
          <w:shd w:val="clear" w:color="auto" w:fill="FFFFFF"/>
        </w:rPr>
        <w:t>higher number. However, there has never be</w:t>
      </w:r>
      <w:r w:rsidR="00DD4317" w:rsidRPr="000B7E8F">
        <w:rPr>
          <w:b/>
          <w:sz w:val="22"/>
          <w:szCs w:val="22"/>
          <w:shd w:val="clear" w:color="auto" w:fill="FFFFFF"/>
        </w:rPr>
        <w:t xml:space="preserve">en a concerted, coordinated or </w:t>
      </w:r>
      <w:r w:rsidRPr="000B7E8F">
        <w:rPr>
          <w:b/>
          <w:sz w:val="22"/>
          <w:szCs w:val="22"/>
          <w:shd w:val="clear" w:color="auto" w:fill="FFFFFF"/>
        </w:rPr>
        <w:t xml:space="preserve">consistent effort to enumerate homelessness in Canada. </w:t>
      </w:r>
      <w:r w:rsidR="00DD4317" w:rsidRPr="000B7E8F">
        <w:rPr>
          <w:b/>
          <w:sz w:val="22"/>
          <w:szCs w:val="22"/>
          <w:shd w:val="clear" w:color="auto" w:fill="FFFFFF"/>
        </w:rPr>
        <w:t xml:space="preserve">Until recently we have </w:t>
      </w:r>
      <w:r w:rsidRPr="000B7E8F">
        <w:rPr>
          <w:b/>
          <w:sz w:val="22"/>
          <w:szCs w:val="22"/>
          <w:shd w:val="clear" w:color="auto" w:fill="FFFFFF"/>
        </w:rPr>
        <w:t>relied on ball-park estimates, based on unreliable and incomplete data.”</w:t>
      </w:r>
    </w:p>
    <w:p w14:paraId="13FE7531" w14:textId="77777777" w:rsidR="00DD4317" w:rsidRDefault="00DD4317" w:rsidP="009D2DE8"/>
    <w:p w14:paraId="76911E74" w14:textId="7A1508C5" w:rsidR="009D2DE8" w:rsidRDefault="00B13694" w:rsidP="009D2DE8">
      <w:pPr>
        <w:rPr>
          <w:b/>
          <w:sz w:val="22"/>
          <w:shd w:val="clear" w:color="auto" w:fill="FFFFFF"/>
        </w:rPr>
      </w:pPr>
      <w:hyperlink r:id="rId35" w:history="1">
        <w:r w:rsidR="0051219D" w:rsidRPr="005F163F">
          <w:rPr>
            <w:rStyle w:val="Hyperlink"/>
            <w:b/>
            <w:sz w:val="22"/>
            <w:shd w:val="clear" w:color="auto" w:fill="FFFFFF"/>
          </w:rPr>
          <w:t>https://www.homelesshub.ca/about-homelessness/homelessness-101/how-many-people-are-homeless-canada</w:t>
        </w:r>
      </w:hyperlink>
    </w:p>
    <w:p w14:paraId="79248F9C" w14:textId="77777777" w:rsidR="0051219D" w:rsidRPr="0051219D" w:rsidRDefault="0051219D" w:rsidP="009D2DE8">
      <w:pPr>
        <w:rPr>
          <w:b/>
          <w:sz w:val="22"/>
          <w:shd w:val="clear" w:color="auto" w:fill="FFFFFF"/>
        </w:rPr>
      </w:pPr>
    </w:p>
    <w:p w14:paraId="1F179935" w14:textId="222F2B2D" w:rsidR="00E951DC" w:rsidRPr="00737659" w:rsidRDefault="00E951DC" w:rsidP="00A83B64">
      <w:pPr>
        <w:spacing w:after="160" w:line="259" w:lineRule="auto"/>
        <w:ind w:left="720"/>
        <w:jc w:val="both"/>
        <w:rPr>
          <w:rFonts w:eastAsia="Calibri"/>
          <w:sz w:val="22"/>
          <w:szCs w:val="22"/>
        </w:rPr>
      </w:pPr>
    </w:p>
    <w:p w14:paraId="3BAFA396"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14:paraId="5C238B08" w14:textId="2E754394" w:rsidR="00A83B64" w:rsidRPr="000B7E8F" w:rsidRDefault="00A83B64" w:rsidP="00A83B64">
      <w:pPr>
        <w:numPr>
          <w:ilvl w:val="0"/>
          <w:numId w:val="1"/>
        </w:numPr>
        <w:spacing w:after="160" w:line="259" w:lineRule="auto"/>
        <w:contextualSpacing/>
        <w:jc w:val="both"/>
        <w:rPr>
          <w:rFonts w:eastAsia="Calibri"/>
          <w:sz w:val="22"/>
          <w:szCs w:val="22"/>
        </w:rPr>
      </w:pPr>
      <w:r w:rsidRPr="000B7E8F">
        <w:rPr>
          <w:rFonts w:eastAsia="Calibri"/>
          <w:sz w:val="22"/>
          <w:szCs w:val="22"/>
          <w:lang w:val="en-US"/>
        </w:rPr>
        <w:t xml:space="preserve">What are main reasons why housing is unaffordable to certain persons or groups in your country? </w:t>
      </w:r>
      <w:r w:rsidRPr="000B7E8F">
        <w:rPr>
          <w:rFonts w:eastAsia="Calibri"/>
          <w:sz w:val="22"/>
          <w:szCs w:val="22"/>
        </w:rPr>
        <w:t xml:space="preserve">Please provide if possible as well links to (scientific) studies that have analysed such reasons. </w:t>
      </w:r>
    </w:p>
    <w:p w14:paraId="63AE3ED5" w14:textId="50CEB07E" w:rsidR="00ED1C6A" w:rsidRPr="000B7E8F" w:rsidRDefault="00E86E92" w:rsidP="00ED1C6A">
      <w:pPr>
        <w:spacing w:after="160" w:line="259" w:lineRule="auto"/>
        <w:contextualSpacing/>
        <w:jc w:val="both"/>
        <w:rPr>
          <w:rFonts w:eastAsia="Calibri"/>
          <w:sz w:val="22"/>
          <w:szCs w:val="22"/>
        </w:rPr>
      </w:pPr>
      <w:r w:rsidRPr="000B7E8F">
        <w:rPr>
          <w:rFonts w:eastAsia="Calibri"/>
          <w:sz w:val="22"/>
          <w:szCs w:val="22"/>
        </w:rPr>
        <w:tab/>
      </w:r>
    </w:p>
    <w:p w14:paraId="6F72B3EC" w14:textId="72C712E5" w:rsidR="00E86E92" w:rsidRPr="000B7E8F" w:rsidRDefault="00E86E92" w:rsidP="00D05017">
      <w:pPr>
        <w:pStyle w:val="ListParagraph"/>
        <w:numPr>
          <w:ilvl w:val="0"/>
          <w:numId w:val="13"/>
        </w:numPr>
        <w:jc w:val="both"/>
        <w:rPr>
          <w:b/>
          <w:sz w:val="22"/>
          <w:szCs w:val="22"/>
        </w:rPr>
      </w:pPr>
      <w:r w:rsidRPr="000B7E8F">
        <w:rPr>
          <w:b/>
          <w:sz w:val="22"/>
          <w:szCs w:val="22"/>
        </w:rPr>
        <w:t>Financialization is a term used to describe how housing is treated as a commodity – a vehicle for wealth and investment – rather than a human right and a social good for people and communities.</w:t>
      </w:r>
    </w:p>
    <w:p w14:paraId="642CD04C" w14:textId="77777777" w:rsidR="00E86E92" w:rsidRPr="000B7E8F" w:rsidRDefault="00E86E92" w:rsidP="00E86E92">
      <w:pPr>
        <w:pStyle w:val="ListParagraph"/>
        <w:rPr>
          <w:b/>
          <w:sz w:val="22"/>
          <w:szCs w:val="22"/>
        </w:rPr>
      </w:pPr>
    </w:p>
    <w:p w14:paraId="1E6D465E" w14:textId="79821194" w:rsidR="00E86E92" w:rsidRPr="000B7E8F" w:rsidRDefault="00E86E92" w:rsidP="00D05017">
      <w:pPr>
        <w:pStyle w:val="ListParagraph"/>
        <w:numPr>
          <w:ilvl w:val="0"/>
          <w:numId w:val="13"/>
        </w:numPr>
        <w:jc w:val="both"/>
        <w:rPr>
          <w:b/>
          <w:sz w:val="22"/>
          <w:szCs w:val="22"/>
        </w:rPr>
      </w:pPr>
      <w:r w:rsidRPr="000B7E8F">
        <w:rPr>
          <w:b/>
          <w:sz w:val="22"/>
          <w:szCs w:val="22"/>
        </w:rPr>
        <w:t>Globally and in Canada, investment firms have been purchasing rental buildings and then upgrading them and raising rents, forcing low-income tenants out of their homes. Because the business model associated with financialization demands short-term high yield profits, there is pressure placed on locating and purchasing housing that is deemed “undervalued”, which often means housing that is affordable and hence where the most disadvantaged and low-income communities are located. Financialization also affects other sectors of the housing system, including single-family homes, retirement communities, and long-term care homes.</w:t>
      </w:r>
    </w:p>
    <w:p w14:paraId="0DE964A3" w14:textId="77777777" w:rsidR="00E86E92" w:rsidRPr="000B7E8F" w:rsidRDefault="00E86E92" w:rsidP="00D05017">
      <w:pPr>
        <w:pStyle w:val="ListParagraph"/>
        <w:jc w:val="both"/>
        <w:rPr>
          <w:b/>
          <w:sz w:val="22"/>
          <w:szCs w:val="22"/>
        </w:rPr>
      </w:pPr>
    </w:p>
    <w:p w14:paraId="613151B3" w14:textId="0F4E738C" w:rsidR="00E86E92" w:rsidRPr="000B7E8F" w:rsidRDefault="00E86E92" w:rsidP="00D05017">
      <w:pPr>
        <w:pStyle w:val="ListParagraph"/>
        <w:numPr>
          <w:ilvl w:val="0"/>
          <w:numId w:val="13"/>
        </w:numPr>
        <w:jc w:val="both"/>
        <w:rPr>
          <w:b/>
          <w:sz w:val="22"/>
          <w:szCs w:val="22"/>
        </w:rPr>
      </w:pPr>
      <w:r w:rsidRPr="000B7E8F">
        <w:rPr>
          <w:b/>
          <w:sz w:val="22"/>
          <w:szCs w:val="22"/>
        </w:rPr>
        <w:t>This trend worsened during the economic crisis caused by the COVID-19 pandemic. Real estate became a safe profit-making opportunity for large investors in a volatile market, further driving up prices and putting affordability at risk for those most in need.</w:t>
      </w:r>
    </w:p>
    <w:p w14:paraId="4FB3788C" w14:textId="77777777" w:rsidR="00E86E92" w:rsidRPr="000B7E8F" w:rsidRDefault="00E86E92" w:rsidP="00D05017">
      <w:pPr>
        <w:pStyle w:val="ListParagraph"/>
        <w:jc w:val="both"/>
        <w:rPr>
          <w:b/>
          <w:sz w:val="22"/>
          <w:szCs w:val="22"/>
        </w:rPr>
      </w:pPr>
    </w:p>
    <w:p w14:paraId="3C1819CB" w14:textId="1443ABD0" w:rsidR="00E86E92" w:rsidRPr="000B7E8F" w:rsidRDefault="00E86E92" w:rsidP="00D05017">
      <w:pPr>
        <w:pStyle w:val="ListParagraph"/>
        <w:numPr>
          <w:ilvl w:val="0"/>
          <w:numId w:val="13"/>
        </w:numPr>
        <w:jc w:val="both"/>
        <w:rPr>
          <w:b/>
          <w:sz w:val="22"/>
          <w:szCs w:val="22"/>
        </w:rPr>
      </w:pPr>
      <w:r w:rsidRPr="000B7E8F">
        <w:rPr>
          <w:b/>
          <w:sz w:val="22"/>
          <w:szCs w:val="22"/>
        </w:rPr>
        <w:t>Financialization is a human rights issue. It has significant consequences for the affordability, security of tenure, and habitable conditions of rental housing for tenants. It is associated with elevated risks of illness and death for seniors and people with disabilities in long-term care facilities.</w:t>
      </w:r>
    </w:p>
    <w:p w14:paraId="03231665" w14:textId="57267C88" w:rsidR="00E86E92" w:rsidRPr="000B7E8F" w:rsidRDefault="00E86E92" w:rsidP="00D05017">
      <w:pPr>
        <w:pStyle w:val="ListParagraph"/>
        <w:jc w:val="both"/>
        <w:rPr>
          <w:b/>
          <w:sz w:val="22"/>
          <w:szCs w:val="22"/>
        </w:rPr>
      </w:pPr>
    </w:p>
    <w:p w14:paraId="7A844AB0" w14:textId="66515971" w:rsidR="00E86E92" w:rsidRPr="000B7E8F" w:rsidRDefault="00E86E92" w:rsidP="00D05017">
      <w:pPr>
        <w:pStyle w:val="ListParagraph"/>
        <w:numPr>
          <w:ilvl w:val="0"/>
          <w:numId w:val="13"/>
        </w:numPr>
        <w:jc w:val="both"/>
        <w:rPr>
          <w:b/>
          <w:color w:val="222222"/>
          <w:sz w:val="22"/>
          <w:szCs w:val="22"/>
          <w:shd w:val="clear" w:color="auto" w:fill="FFFFFF"/>
        </w:rPr>
      </w:pPr>
      <w:r w:rsidRPr="000B7E8F">
        <w:rPr>
          <w:b/>
          <w:color w:val="222222"/>
          <w:sz w:val="22"/>
          <w:szCs w:val="22"/>
          <w:shd w:val="clear" w:color="auto" w:fill="FFFFFF"/>
        </w:rPr>
        <w:t xml:space="preserve">The research estimates that about one-third of all seniors’ housing in Canada has been </w:t>
      </w:r>
      <w:proofErr w:type="spellStart"/>
      <w:r w:rsidRPr="000B7E8F">
        <w:rPr>
          <w:b/>
          <w:color w:val="222222"/>
          <w:sz w:val="22"/>
          <w:szCs w:val="22"/>
          <w:shd w:val="clear" w:color="auto" w:fill="FFFFFF"/>
        </w:rPr>
        <w:t>financialized</w:t>
      </w:r>
      <w:proofErr w:type="spellEnd"/>
      <w:r w:rsidRPr="000B7E8F">
        <w:rPr>
          <w:b/>
          <w:color w:val="222222"/>
          <w:sz w:val="22"/>
          <w:szCs w:val="22"/>
          <w:shd w:val="clear" w:color="auto" w:fill="FFFFFF"/>
        </w:rPr>
        <w:t>, along with 20-30 percent of purpose-built rental buildings. Financialization of purpose-built rental has expanded dramatically in Canada since the late 1990s, with an estimated 340,000 units in multi-residential rental buildings now owned by large financial firms, and an estimated 20-30 percent of Canada’s purpose-built rental housing now owned by institutional investors. The acquisition of purpose-built rental portfolios by institutional investors has accelerated in the wake of the COVID-19 pandemic, with rental housing identified as a safe investment during a period of economic instability. The experts warn that a lack of transparent ownership data prevents researchers and policy-makers from knowing the full extent of financialization of housing in Canada.</w:t>
      </w:r>
    </w:p>
    <w:p w14:paraId="59E12947" w14:textId="38ABB50E" w:rsidR="00E86E92" w:rsidRPr="000B7E8F" w:rsidRDefault="00E86E92" w:rsidP="00D05017">
      <w:pPr>
        <w:pStyle w:val="ListParagraph"/>
        <w:jc w:val="both"/>
        <w:rPr>
          <w:b/>
          <w:color w:val="222222"/>
          <w:sz w:val="22"/>
          <w:szCs w:val="22"/>
          <w:shd w:val="clear" w:color="auto" w:fill="FFFFFF"/>
        </w:rPr>
      </w:pPr>
    </w:p>
    <w:p w14:paraId="1C87A287" w14:textId="35162D7A" w:rsidR="00E86E92" w:rsidRPr="000B7E8F" w:rsidRDefault="00E86E92" w:rsidP="00D05017">
      <w:pPr>
        <w:pStyle w:val="ListParagraph"/>
        <w:numPr>
          <w:ilvl w:val="0"/>
          <w:numId w:val="13"/>
        </w:numPr>
        <w:jc w:val="both"/>
        <w:rPr>
          <w:b/>
          <w:sz w:val="22"/>
          <w:szCs w:val="22"/>
        </w:rPr>
      </w:pPr>
      <w:r w:rsidRPr="000B7E8F">
        <w:rPr>
          <w:b/>
          <w:sz w:val="22"/>
          <w:szCs w:val="22"/>
        </w:rPr>
        <w:t>The Office of the Federal Housing Advocate led a research project that brought together five researchers to examine the growing role of private equity and investment firms in the residential real estate market and long-term care in Canada.</w:t>
      </w:r>
    </w:p>
    <w:p w14:paraId="2EDB7804" w14:textId="77777777" w:rsidR="00E86E92" w:rsidRPr="000B7E8F" w:rsidRDefault="00E86E92" w:rsidP="00D05017">
      <w:pPr>
        <w:pStyle w:val="ListParagraph"/>
        <w:jc w:val="both"/>
        <w:rPr>
          <w:b/>
          <w:sz w:val="22"/>
          <w:szCs w:val="22"/>
        </w:rPr>
      </w:pPr>
    </w:p>
    <w:p w14:paraId="1A72E0B9" w14:textId="77777777" w:rsidR="00E86E92" w:rsidRPr="000B7E8F" w:rsidRDefault="00E86E92" w:rsidP="00D05017">
      <w:pPr>
        <w:pStyle w:val="ListParagraph"/>
        <w:numPr>
          <w:ilvl w:val="0"/>
          <w:numId w:val="13"/>
        </w:numPr>
        <w:jc w:val="both"/>
        <w:rPr>
          <w:b/>
          <w:sz w:val="22"/>
          <w:szCs w:val="22"/>
        </w:rPr>
      </w:pPr>
      <w:r w:rsidRPr="000B7E8F">
        <w:rPr>
          <w:b/>
          <w:sz w:val="22"/>
          <w:szCs w:val="22"/>
        </w:rPr>
        <w:t>The research demonstrates that the financialization of purpose-built rentals and long-term care have had significant impacts for tenants, seniors, workers, and communities. It also points to actions that governments at all levels can take to curb financialization and mitigate its impacts.</w:t>
      </w:r>
    </w:p>
    <w:p w14:paraId="4093435F" w14:textId="77777777" w:rsidR="00E86E92" w:rsidRPr="000B7E8F" w:rsidRDefault="00E86E92" w:rsidP="00D05017">
      <w:pPr>
        <w:pStyle w:val="ListParagraph"/>
        <w:jc w:val="both"/>
        <w:rPr>
          <w:b/>
          <w:sz w:val="22"/>
          <w:szCs w:val="22"/>
        </w:rPr>
      </w:pPr>
    </w:p>
    <w:p w14:paraId="4423DE37" w14:textId="0C4DE350" w:rsidR="00E86E92" w:rsidRPr="000B7E8F" w:rsidRDefault="00E86E92" w:rsidP="00D05017">
      <w:pPr>
        <w:pStyle w:val="ListParagraph"/>
        <w:numPr>
          <w:ilvl w:val="0"/>
          <w:numId w:val="13"/>
        </w:numPr>
        <w:jc w:val="both"/>
        <w:rPr>
          <w:b/>
          <w:sz w:val="22"/>
          <w:szCs w:val="22"/>
        </w:rPr>
      </w:pPr>
      <w:r w:rsidRPr="000B7E8F">
        <w:rPr>
          <w:b/>
          <w:sz w:val="22"/>
          <w:szCs w:val="22"/>
        </w:rPr>
        <w:t>This research and engagement will help the Federal Housing Advocate to develop legislative and policy recommendations for government to implement better protections against the financialization of housing and its impacts on people, disadvantaged groups, and communities. Measures to address financialization must put human rights first.</w:t>
      </w:r>
    </w:p>
    <w:p w14:paraId="231623B8" w14:textId="3D871EB5" w:rsidR="00E86E92" w:rsidRPr="000B7E8F" w:rsidRDefault="00E86E92" w:rsidP="00E86E92">
      <w:pPr>
        <w:pStyle w:val="ListParagraph"/>
        <w:rPr>
          <w:b/>
          <w:sz w:val="22"/>
          <w:szCs w:val="22"/>
        </w:rPr>
      </w:pPr>
    </w:p>
    <w:p w14:paraId="03B1D542" w14:textId="218BC795" w:rsidR="00E86E92" w:rsidRPr="000B7E8F" w:rsidRDefault="00B13694" w:rsidP="00E86E92">
      <w:pPr>
        <w:pStyle w:val="ListParagraph"/>
        <w:rPr>
          <w:b/>
          <w:sz w:val="22"/>
          <w:szCs w:val="22"/>
        </w:rPr>
      </w:pPr>
      <w:hyperlink r:id="rId36" w:history="1">
        <w:r w:rsidR="00E86E92" w:rsidRPr="000B7E8F">
          <w:rPr>
            <w:rStyle w:val="Hyperlink"/>
            <w:b/>
            <w:sz w:val="22"/>
            <w:szCs w:val="22"/>
          </w:rPr>
          <w:t>https://www.housingchrc.ca/en/financialization-housing</w:t>
        </w:r>
      </w:hyperlink>
    </w:p>
    <w:p w14:paraId="2455C58A" w14:textId="4A3C6119" w:rsidR="00E86E92" w:rsidRPr="00E86E92" w:rsidRDefault="00E86E92" w:rsidP="00ED1C6A">
      <w:pPr>
        <w:spacing w:after="160" w:line="259" w:lineRule="auto"/>
        <w:contextualSpacing/>
        <w:jc w:val="both"/>
        <w:rPr>
          <w:rFonts w:eastAsia="Calibri"/>
          <w:b/>
          <w:szCs w:val="22"/>
          <w:lang w:val="en-CA"/>
        </w:rPr>
      </w:pPr>
    </w:p>
    <w:p w14:paraId="5A998E11" w14:textId="77777777" w:rsidR="00A83B64" w:rsidRPr="00737659" w:rsidRDefault="00A83B64" w:rsidP="00A83B64">
      <w:pPr>
        <w:spacing w:after="160" w:line="259" w:lineRule="auto"/>
        <w:ind w:left="720"/>
        <w:jc w:val="both"/>
        <w:rPr>
          <w:rFonts w:eastAsia="Calibri"/>
          <w:sz w:val="22"/>
          <w:szCs w:val="22"/>
        </w:rPr>
      </w:pPr>
    </w:p>
    <w:p w14:paraId="4FEC0C0C" w14:textId="1D6DFCBB" w:rsidR="00A83B64" w:rsidRPr="000B7E8F" w:rsidRDefault="00A83B64" w:rsidP="00A83B64">
      <w:pPr>
        <w:numPr>
          <w:ilvl w:val="0"/>
          <w:numId w:val="1"/>
        </w:numPr>
        <w:spacing w:after="160" w:line="259" w:lineRule="auto"/>
        <w:contextualSpacing/>
        <w:jc w:val="both"/>
        <w:rPr>
          <w:rFonts w:eastAsia="Calibri"/>
          <w:sz w:val="22"/>
          <w:szCs w:val="22"/>
        </w:rPr>
      </w:pPr>
      <w:r w:rsidRPr="000B7E8F">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14:paraId="6DED329E" w14:textId="62958263" w:rsidR="004674E6" w:rsidRPr="000B7E8F" w:rsidRDefault="00DD4317" w:rsidP="00DF2E1D">
      <w:pPr>
        <w:pStyle w:val="ListParagraph"/>
        <w:numPr>
          <w:ilvl w:val="0"/>
          <w:numId w:val="15"/>
        </w:numPr>
        <w:spacing w:after="160" w:line="259" w:lineRule="auto"/>
        <w:ind w:left="1440"/>
        <w:jc w:val="both"/>
        <w:rPr>
          <w:rFonts w:eastAsia="Calibri"/>
          <w:b/>
          <w:sz w:val="22"/>
          <w:szCs w:val="22"/>
        </w:rPr>
      </w:pPr>
      <w:r w:rsidRPr="000B7E8F">
        <w:rPr>
          <w:rFonts w:eastAsia="Calibri"/>
          <w:b/>
          <w:sz w:val="22"/>
          <w:szCs w:val="22"/>
        </w:rPr>
        <w:t>In Canada the vast majority of land is controlled by the state</w:t>
      </w:r>
      <w:r w:rsidR="00D05017">
        <w:rPr>
          <w:rFonts w:eastAsia="Calibri"/>
          <w:b/>
          <w:sz w:val="22"/>
          <w:szCs w:val="22"/>
        </w:rPr>
        <w:t>s</w:t>
      </w:r>
      <w:r w:rsidRPr="000B7E8F">
        <w:rPr>
          <w:rFonts w:eastAsia="Calibri"/>
          <w:b/>
          <w:sz w:val="22"/>
          <w:szCs w:val="22"/>
        </w:rPr>
        <w:t xml:space="preserve"> of various orders of government (federal, provincial, territorial</w:t>
      </w:r>
      <w:r w:rsidR="00D05017">
        <w:rPr>
          <w:rFonts w:eastAsia="Calibri"/>
          <w:b/>
          <w:sz w:val="22"/>
          <w:szCs w:val="22"/>
        </w:rPr>
        <w:t>,</w:t>
      </w:r>
      <w:r w:rsidRPr="000B7E8F">
        <w:rPr>
          <w:rFonts w:eastAsia="Calibri"/>
          <w:b/>
          <w:sz w:val="22"/>
          <w:szCs w:val="22"/>
        </w:rPr>
        <w:t xml:space="preserve"> municipal</w:t>
      </w:r>
      <w:r w:rsidR="00D05017">
        <w:rPr>
          <w:rFonts w:eastAsia="Calibri"/>
          <w:b/>
          <w:sz w:val="22"/>
          <w:szCs w:val="22"/>
        </w:rPr>
        <w:t xml:space="preserve">, and Indigenous </w:t>
      </w:r>
      <w:proofErr w:type="spellStart"/>
      <w:r w:rsidR="00D05017">
        <w:rPr>
          <w:rFonts w:eastAsia="Calibri"/>
          <w:b/>
          <w:sz w:val="22"/>
          <w:szCs w:val="22"/>
        </w:rPr>
        <w:t>self government</w:t>
      </w:r>
      <w:proofErr w:type="spellEnd"/>
      <w:r w:rsidRPr="000B7E8F">
        <w:rPr>
          <w:rFonts w:eastAsia="Calibri"/>
          <w:b/>
          <w:sz w:val="22"/>
          <w:szCs w:val="22"/>
        </w:rPr>
        <w:t>)</w:t>
      </w:r>
      <w:r w:rsidR="004674E6" w:rsidRPr="000B7E8F">
        <w:rPr>
          <w:rFonts w:eastAsia="Calibri"/>
          <w:b/>
          <w:sz w:val="22"/>
          <w:szCs w:val="22"/>
        </w:rPr>
        <w:t>. This land is known as “Crown land”</w:t>
      </w:r>
      <w:r w:rsidR="0006014B" w:rsidRPr="000B7E8F">
        <w:rPr>
          <w:rFonts w:eastAsia="Calibri"/>
          <w:b/>
          <w:sz w:val="22"/>
          <w:szCs w:val="22"/>
        </w:rPr>
        <w:t xml:space="preserve"> and is to be </w:t>
      </w:r>
      <w:r w:rsidR="00D05017" w:rsidRPr="000B7E8F">
        <w:rPr>
          <w:rFonts w:eastAsia="Calibri"/>
          <w:b/>
          <w:sz w:val="22"/>
          <w:szCs w:val="22"/>
        </w:rPr>
        <w:t>distinguished</w:t>
      </w:r>
      <w:r w:rsidR="0006014B" w:rsidRPr="000B7E8F">
        <w:rPr>
          <w:rFonts w:eastAsia="Calibri"/>
          <w:b/>
          <w:sz w:val="22"/>
          <w:szCs w:val="22"/>
        </w:rPr>
        <w:t xml:space="preserve"> from</w:t>
      </w:r>
      <w:r w:rsidR="004674E6" w:rsidRPr="000B7E8F">
        <w:rPr>
          <w:rFonts w:eastAsia="Calibri"/>
          <w:b/>
          <w:sz w:val="22"/>
          <w:szCs w:val="22"/>
        </w:rPr>
        <w:t xml:space="preserve"> privately owned land. </w:t>
      </w:r>
    </w:p>
    <w:p w14:paraId="59135031" w14:textId="77777777" w:rsidR="006F046C" w:rsidRPr="000B7E8F" w:rsidRDefault="006F046C" w:rsidP="00DF2E1D">
      <w:pPr>
        <w:pStyle w:val="ListParagraph"/>
        <w:spacing w:after="160" w:line="259" w:lineRule="auto"/>
        <w:ind w:left="1440"/>
        <w:jc w:val="both"/>
        <w:rPr>
          <w:rFonts w:eastAsia="Calibri"/>
          <w:b/>
          <w:sz w:val="22"/>
          <w:szCs w:val="22"/>
        </w:rPr>
      </w:pPr>
    </w:p>
    <w:p w14:paraId="1F854569" w14:textId="0E871BC0" w:rsidR="00DD4317" w:rsidRPr="000B7E8F" w:rsidRDefault="004674E6" w:rsidP="00DF2E1D">
      <w:pPr>
        <w:pStyle w:val="ListParagraph"/>
        <w:numPr>
          <w:ilvl w:val="0"/>
          <w:numId w:val="15"/>
        </w:numPr>
        <w:ind w:left="1440"/>
        <w:rPr>
          <w:rFonts w:eastAsia="Calibri"/>
          <w:b/>
          <w:sz w:val="22"/>
          <w:szCs w:val="22"/>
        </w:rPr>
      </w:pPr>
      <w:r w:rsidRPr="000B7E8F">
        <w:rPr>
          <w:rFonts w:eastAsia="Calibri"/>
          <w:b/>
          <w:sz w:val="22"/>
          <w:szCs w:val="22"/>
        </w:rPr>
        <w:t>“</w:t>
      </w:r>
      <w:r w:rsidRPr="000B7E8F">
        <w:rPr>
          <w:b/>
          <w:sz w:val="22"/>
          <w:szCs w:val="22"/>
        </w:rPr>
        <w:t>Crown land is the term used to describe land owned by the federal or provinc</w:t>
      </w:r>
      <w:r w:rsidR="00D05017">
        <w:rPr>
          <w:b/>
          <w:sz w:val="22"/>
          <w:szCs w:val="22"/>
        </w:rPr>
        <w:t>ial government</w:t>
      </w:r>
      <w:r w:rsidRPr="000B7E8F">
        <w:rPr>
          <w:b/>
          <w:sz w:val="22"/>
          <w:szCs w:val="22"/>
        </w:rPr>
        <w:t>. Authority for control of these public lands rests w</w:t>
      </w:r>
      <w:r w:rsidR="0006014B" w:rsidRPr="000B7E8F">
        <w:rPr>
          <w:b/>
          <w:sz w:val="22"/>
          <w:szCs w:val="22"/>
        </w:rPr>
        <w:t>ith the Crown of Canada,</w:t>
      </w:r>
      <w:r w:rsidRPr="000B7E8F">
        <w:rPr>
          <w:b/>
          <w:sz w:val="22"/>
          <w:szCs w:val="22"/>
        </w:rPr>
        <w:t xml:space="preserve"> Less than 11% of Canada's land is in private hands; 41% is federal crown land and 48% is provincial crown land.”</w:t>
      </w:r>
      <w:r w:rsidR="00DD4317" w:rsidRPr="000B7E8F">
        <w:rPr>
          <w:rFonts w:eastAsia="Calibri"/>
          <w:b/>
          <w:sz w:val="22"/>
          <w:szCs w:val="22"/>
        </w:rPr>
        <w:t xml:space="preserve">  </w:t>
      </w:r>
    </w:p>
    <w:p w14:paraId="10F3B6A0" w14:textId="10A6EE26" w:rsidR="004674E6" w:rsidRPr="000B7E8F" w:rsidRDefault="004674E6" w:rsidP="004674E6">
      <w:pPr>
        <w:pStyle w:val="ListParagraph"/>
        <w:rPr>
          <w:rFonts w:eastAsia="Calibri"/>
          <w:b/>
          <w:sz w:val="28"/>
          <w:szCs w:val="22"/>
        </w:rPr>
      </w:pPr>
    </w:p>
    <w:p w14:paraId="6F0ADD00" w14:textId="6334F7B8" w:rsidR="004674E6" w:rsidRPr="004674E6" w:rsidRDefault="00B13694" w:rsidP="004674E6">
      <w:pPr>
        <w:pStyle w:val="ListParagraph"/>
        <w:rPr>
          <w:rFonts w:eastAsia="Calibri"/>
          <w:b/>
          <w:sz w:val="24"/>
          <w:szCs w:val="22"/>
        </w:rPr>
      </w:pPr>
      <w:hyperlink r:id="rId37" w:history="1">
        <w:r w:rsidR="004674E6" w:rsidRPr="004674E6">
          <w:rPr>
            <w:rStyle w:val="Hyperlink"/>
            <w:rFonts w:eastAsia="Calibri"/>
            <w:b/>
            <w:sz w:val="24"/>
            <w:szCs w:val="22"/>
          </w:rPr>
          <w:t>https://www.thecanadianencyclopedia.ca/en/article/crown-land</w:t>
        </w:r>
      </w:hyperlink>
    </w:p>
    <w:p w14:paraId="2D971B73" w14:textId="77777777" w:rsidR="00A83B64" w:rsidRDefault="00A83B64" w:rsidP="00A83B64">
      <w:pPr>
        <w:pStyle w:val="ListParagraph"/>
        <w:rPr>
          <w:rFonts w:eastAsia="Calibri"/>
          <w:sz w:val="22"/>
          <w:szCs w:val="22"/>
        </w:rPr>
      </w:pPr>
    </w:p>
    <w:p w14:paraId="1904E49E" w14:textId="3144E5C5"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 </w:t>
      </w:r>
    </w:p>
    <w:p w14:paraId="3B2F81F2" w14:textId="796A90FE" w:rsidR="004674E6" w:rsidRDefault="004674E6" w:rsidP="004674E6">
      <w:pPr>
        <w:spacing w:after="160" w:line="259" w:lineRule="auto"/>
        <w:ind w:left="720"/>
        <w:contextualSpacing/>
        <w:jc w:val="both"/>
        <w:rPr>
          <w:rFonts w:eastAsia="Calibri"/>
          <w:sz w:val="22"/>
          <w:szCs w:val="22"/>
        </w:rPr>
      </w:pPr>
    </w:p>
    <w:p w14:paraId="0849559D" w14:textId="64B47E5B" w:rsidR="004674E6" w:rsidRPr="000B7E8F" w:rsidRDefault="007E2638" w:rsidP="007E2638">
      <w:pPr>
        <w:pStyle w:val="ListParagraph"/>
        <w:numPr>
          <w:ilvl w:val="0"/>
          <w:numId w:val="16"/>
        </w:numPr>
        <w:spacing w:after="160" w:line="259" w:lineRule="auto"/>
        <w:jc w:val="both"/>
        <w:rPr>
          <w:rStyle w:val="SubtleEmphasis"/>
          <w:rFonts w:eastAsia="Calibri"/>
          <w:b/>
          <w:i w:val="0"/>
          <w:color w:val="000000" w:themeColor="text1"/>
          <w:sz w:val="24"/>
        </w:rPr>
      </w:pPr>
      <w:r w:rsidRPr="000B7E8F">
        <w:rPr>
          <w:rFonts w:eastAsia="Calibri"/>
          <w:b/>
          <w:color w:val="000000" w:themeColor="text1"/>
          <w:sz w:val="22"/>
          <w:szCs w:val="22"/>
        </w:rPr>
        <w:t xml:space="preserve">Data on evictions at a national/federal level, tend to be incomplete, and there is no comprehensive national data base which collects such information. As a result, </w:t>
      </w:r>
      <w:r w:rsidRPr="000B7E8F">
        <w:rPr>
          <w:rStyle w:val="SubtleEmphasis"/>
          <w:b/>
          <w:i w:val="0"/>
          <w:color w:val="000000" w:themeColor="text1"/>
          <w:sz w:val="22"/>
        </w:rPr>
        <w:t>housing researchers have expressed concerns about the lack of data on evictions available in Canada for at least the past decade. While some provincial and territorial governments may share data with the public, these gaps remain.</w:t>
      </w:r>
    </w:p>
    <w:p w14:paraId="488A5029" w14:textId="77777777" w:rsidR="006F046C" w:rsidRPr="000B7E8F" w:rsidRDefault="006F046C" w:rsidP="006F046C">
      <w:pPr>
        <w:pStyle w:val="ListParagraph"/>
        <w:spacing w:after="160" w:line="259" w:lineRule="auto"/>
        <w:ind w:left="1440"/>
        <w:jc w:val="both"/>
        <w:rPr>
          <w:rStyle w:val="SubtleEmphasis"/>
          <w:rFonts w:eastAsia="Calibri"/>
          <w:b/>
          <w:i w:val="0"/>
          <w:color w:val="000000" w:themeColor="text1"/>
          <w:sz w:val="24"/>
        </w:rPr>
      </w:pPr>
    </w:p>
    <w:p w14:paraId="132B4772" w14:textId="132B7D62" w:rsidR="007E2638" w:rsidRPr="000B7E8F" w:rsidRDefault="006F046C" w:rsidP="007E2638">
      <w:pPr>
        <w:pStyle w:val="ListParagraph"/>
        <w:numPr>
          <w:ilvl w:val="0"/>
          <w:numId w:val="16"/>
        </w:numPr>
        <w:spacing w:after="160" w:line="259" w:lineRule="auto"/>
        <w:jc w:val="both"/>
        <w:rPr>
          <w:rFonts w:eastAsia="Calibri"/>
          <w:b/>
          <w:iCs/>
          <w:color w:val="000000" w:themeColor="text1"/>
          <w:sz w:val="24"/>
        </w:rPr>
      </w:pPr>
      <w:r w:rsidRPr="000B7E8F">
        <w:rPr>
          <w:rFonts w:eastAsia="Calibri"/>
          <w:b/>
          <w:color w:val="000000" w:themeColor="text1"/>
          <w:sz w:val="22"/>
          <w:szCs w:val="22"/>
        </w:rPr>
        <w:t xml:space="preserve">According to a literature review from 2020, produced by the Institute of Urban Studies (University of Winnipeg) </w:t>
      </w:r>
      <w:r w:rsidRPr="000B7E8F">
        <w:rPr>
          <w:rFonts w:eastAsia="Calibri"/>
          <w:b/>
          <w:color w:val="000000" w:themeColor="text1"/>
          <w:sz w:val="24"/>
          <w:szCs w:val="22"/>
        </w:rPr>
        <w:t>“</w:t>
      </w:r>
      <w:r w:rsidRPr="000B7E8F">
        <w:rPr>
          <w:b/>
          <w:sz w:val="22"/>
        </w:rPr>
        <w:t>Some general demographic trends emerge from these studies. For one, these studies point to affordability challenges (a high percentage of income spent on rent) as a primary factor leading to eviction. Poverty (along with discrimination) is cited as a key factor in housing instability. Sub-populations most likely to be at risk of eviction include youth, Indigenous people, older adults, recent immigrants, and single</w:t>
      </w:r>
      <w:r w:rsidR="00175D52" w:rsidRPr="000B7E8F">
        <w:rPr>
          <w:b/>
          <w:sz w:val="22"/>
        </w:rPr>
        <w:t xml:space="preserve"> </w:t>
      </w:r>
      <w:r w:rsidRPr="000B7E8F">
        <w:rPr>
          <w:b/>
          <w:sz w:val="22"/>
        </w:rPr>
        <w:t>parent families—all of whom experience poverty at higher rates.”</w:t>
      </w:r>
      <w:r w:rsidRPr="000B7E8F">
        <w:rPr>
          <w:rFonts w:eastAsia="Calibri"/>
          <w:b/>
          <w:color w:val="000000" w:themeColor="text1"/>
          <w:sz w:val="24"/>
          <w:szCs w:val="22"/>
        </w:rPr>
        <w:t xml:space="preserve"> </w:t>
      </w:r>
    </w:p>
    <w:p w14:paraId="14FDED90" w14:textId="77777777" w:rsidR="006F046C" w:rsidRDefault="006F046C" w:rsidP="006F046C">
      <w:pPr>
        <w:pStyle w:val="ListParagraph"/>
        <w:spacing w:after="160" w:line="259" w:lineRule="auto"/>
        <w:ind w:left="1440"/>
        <w:jc w:val="both"/>
        <w:rPr>
          <w:rStyle w:val="SubtleEmphasis"/>
          <w:rFonts w:eastAsia="Calibri"/>
          <w:b/>
          <w:i w:val="0"/>
          <w:color w:val="000000" w:themeColor="text1"/>
          <w:sz w:val="24"/>
        </w:rPr>
      </w:pPr>
    </w:p>
    <w:p w14:paraId="0F7D500A" w14:textId="0C636D82" w:rsidR="006F046C" w:rsidRPr="007E2638" w:rsidRDefault="00B13694" w:rsidP="006F046C">
      <w:pPr>
        <w:pStyle w:val="ListParagraph"/>
        <w:spacing w:after="160" w:line="259" w:lineRule="auto"/>
        <w:ind w:left="1440"/>
        <w:jc w:val="both"/>
        <w:rPr>
          <w:rStyle w:val="SubtleEmphasis"/>
          <w:rFonts w:eastAsia="Calibri"/>
          <w:b/>
          <w:i w:val="0"/>
          <w:color w:val="000000" w:themeColor="text1"/>
          <w:sz w:val="24"/>
        </w:rPr>
      </w:pPr>
      <w:hyperlink r:id="rId38" w:history="1">
        <w:r w:rsidR="006F046C">
          <w:rPr>
            <w:rStyle w:val="Hyperlink"/>
            <w:rFonts w:eastAsia="Calibri"/>
            <w:b/>
            <w:sz w:val="24"/>
          </w:rPr>
          <w:t>Evictions and Eviction Prevention in Canada</w:t>
        </w:r>
      </w:hyperlink>
    </w:p>
    <w:p w14:paraId="6BC35311" w14:textId="77777777" w:rsidR="00A83B64" w:rsidRDefault="00A83B64" w:rsidP="00A83B64">
      <w:pPr>
        <w:pStyle w:val="ListParagraph"/>
        <w:rPr>
          <w:rFonts w:eastAsia="Calibri"/>
          <w:sz w:val="22"/>
          <w:szCs w:val="22"/>
        </w:rPr>
      </w:pPr>
    </w:p>
    <w:p w14:paraId="3F56B2EE" w14:textId="5700EAB3"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14:paraId="589B97D0" w14:textId="4A757923" w:rsidR="00882733" w:rsidRPr="00737659" w:rsidRDefault="00882733" w:rsidP="00882733">
      <w:pPr>
        <w:spacing w:after="160" w:line="259" w:lineRule="auto"/>
        <w:ind w:left="720"/>
        <w:contextualSpacing/>
        <w:jc w:val="both"/>
        <w:rPr>
          <w:rFonts w:eastAsia="Calibri"/>
          <w:sz w:val="22"/>
          <w:szCs w:val="22"/>
        </w:rPr>
      </w:pPr>
    </w:p>
    <w:p w14:paraId="3EBA2347" w14:textId="182B9EC3" w:rsidR="00C75FE3" w:rsidRPr="00023990" w:rsidRDefault="00C75FE3" w:rsidP="00C75FE3">
      <w:pPr>
        <w:pStyle w:val="ListParagraph"/>
        <w:numPr>
          <w:ilvl w:val="0"/>
          <w:numId w:val="17"/>
        </w:numPr>
        <w:spacing w:after="160" w:line="259" w:lineRule="auto"/>
        <w:jc w:val="both"/>
        <w:rPr>
          <w:rFonts w:eastAsia="Calibri"/>
          <w:b/>
          <w:sz w:val="24"/>
          <w:szCs w:val="22"/>
        </w:rPr>
      </w:pPr>
      <w:r>
        <w:rPr>
          <w:b/>
          <w:color w:val="333333"/>
          <w:sz w:val="22"/>
          <w:shd w:val="clear" w:color="auto" w:fill="FFFFFF"/>
        </w:rPr>
        <w:t>A massive</w:t>
      </w:r>
      <w:r w:rsidR="00175D52" w:rsidRPr="00175D52">
        <w:rPr>
          <w:b/>
          <w:color w:val="333333"/>
          <w:sz w:val="22"/>
          <w:shd w:val="clear" w:color="auto" w:fill="FFFFFF"/>
        </w:rPr>
        <w:t xml:space="preserve"> shortage of housing that is affordable, safe</w:t>
      </w:r>
      <w:r w:rsidR="00D05017">
        <w:rPr>
          <w:b/>
          <w:color w:val="333333"/>
          <w:sz w:val="22"/>
          <w:shd w:val="clear" w:color="auto" w:fill="FFFFFF"/>
        </w:rPr>
        <w:t>,</w:t>
      </w:r>
      <w:r w:rsidR="00175D52" w:rsidRPr="00175D52">
        <w:rPr>
          <w:b/>
          <w:color w:val="333333"/>
          <w:sz w:val="22"/>
          <w:shd w:val="clear" w:color="auto" w:fill="FFFFFF"/>
        </w:rPr>
        <w:t xml:space="preserve"> and stable directly c</w:t>
      </w:r>
      <w:r w:rsidR="00D05017">
        <w:rPr>
          <w:b/>
          <w:color w:val="333333"/>
          <w:sz w:val="22"/>
          <w:shd w:val="clear" w:color="auto" w:fill="FFFFFF"/>
        </w:rPr>
        <w:t>ontributes to homelessness. M</w:t>
      </w:r>
      <w:r w:rsidR="00175D52" w:rsidRPr="00175D52">
        <w:rPr>
          <w:b/>
          <w:color w:val="333333"/>
          <w:sz w:val="22"/>
          <w:shd w:val="clear" w:color="auto" w:fill="FFFFFF"/>
        </w:rPr>
        <w:t>illions of Canadian families and individuals living in "</w:t>
      </w:r>
      <w:r w:rsidR="00175D52" w:rsidRPr="00175D52">
        <w:rPr>
          <w:b/>
          <w:sz w:val="22"/>
          <w:shd w:val="clear" w:color="auto" w:fill="FFFFFF"/>
        </w:rPr>
        <w:t>core need</w:t>
      </w:r>
      <w:r>
        <w:rPr>
          <w:b/>
          <w:color w:val="333333"/>
          <w:sz w:val="22"/>
          <w:shd w:val="clear" w:color="auto" w:fill="FFFFFF"/>
        </w:rPr>
        <w:t>" (paying more than 30</w:t>
      </w:r>
      <w:r w:rsidR="00175D52" w:rsidRPr="00175D52">
        <w:rPr>
          <w:b/>
          <w:color w:val="333333"/>
          <w:sz w:val="22"/>
          <w:shd w:val="clear" w:color="auto" w:fill="FFFFFF"/>
        </w:rPr>
        <w:t>% of their income on housing) are at serious risk of homelessness</w:t>
      </w:r>
      <w:r>
        <w:rPr>
          <w:b/>
          <w:color w:val="333333"/>
          <w:sz w:val="22"/>
          <w:shd w:val="clear" w:color="auto" w:fill="FFFFFF"/>
        </w:rPr>
        <w:t>. Arguably, the biggest driver of this phenomenon</w:t>
      </w:r>
      <w:r w:rsidR="00175D52" w:rsidRPr="00175D52">
        <w:rPr>
          <w:b/>
          <w:color w:val="333333"/>
          <w:sz w:val="22"/>
          <w:shd w:val="clear" w:color="auto" w:fill="FFFFFF"/>
        </w:rPr>
        <w:t xml:space="preserve"> is the lack of</w:t>
      </w:r>
      <w:r>
        <w:rPr>
          <w:b/>
          <w:color w:val="333333"/>
          <w:sz w:val="22"/>
          <w:shd w:val="clear" w:color="auto" w:fill="FFFFFF"/>
        </w:rPr>
        <w:t xml:space="preserve"> affordable housing across Canada.</w:t>
      </w:r>
    </w:p>
    <w:p w14:paraId="67163AB3" w14:textId="77777777" w:rsidR="00C75FE3" w:rsidRPr="00C75FE3" w:rsidRDefault="00C75FE3" w:rsidP="00C75FE3">
      <w:pPr>
        <w:pStyle w:val="ListParagraph"/>
        <w:spacing w:after="160" w:line="259" w:lineRule="auto"/>
        <w:ind w:left="1440"/>
        <w:jc w:val="both"/>
        <w:rPr>
          <w:rFonts w:eastAsia="Calibri"/>
          <w:b/>
          <w:sz w:val="24"/>
          <w:szCs w:val="22"/>
        </w:rPr>
      </w:pPr>
    </w:p>
    <w:p w14:paraId="6B71484B" w14:textId="00B11543" w:rsidR="00C75FE3" w:rsidRPr="00175D52" w:rsidRDefault="00C75FE3" w:rsidP="00175D52">
      <w:pPr>
        <w:pStyle w:val="ListParagraph"/>
        <w:numPr>
          <w:ilvl w:val="0"/>
          <w:numId w:val="17"/>
        </w:numPr>
        <w:spacing w:after="160" w:line="259" w:lineRule="auto"/>
        <w:jc w:val="both"/>
        <w:rPr>
          <w:rFonts w:eastAsia="Calibri"/>
          <w:b/>
          <w:sz w:val="24"/>
          <w:szCs w:val="22"/>
        </w:rPr>
      </w:pPr>
      <w:r>
        <w:rPr>
          <w:b/>
          <w:color w:val="333333"/>
          <w:sz w:val="22"/>
          <w:shd w:val="clear" w:color="auto" w:fill="FFFFFF"/>
        </w:rPr>
        <w:t xml:space="preserve">While </w:t>
      </w:r>
      <w:r w:rsidR="000B7E8F">
        <w:rPr>
          <w:b/>
          <w:color w:val="333333"/>
          <w:sz w:val="22"/>
          <w:shd w:val="clear" w:color="auto" w:fill="FFFFFF"/>
        </w:rPr>
        <w:t>it is</w:t>
      </w:r>
      <w:r>
        <w:rPr>
          <w:b/>
          <w:color w:val="333333"/>
          <w:sz w:val="22"/>
          <w:shd w:val="clear" w:color="auto" w:fill="FFFFFF"/>
        </w:rPr>
        <w:t xml:space="preserve"> difficult to calculate the precise figure of families, households and individuals that have experienced homelessness as a result of the housing sector</w:t>
      </w:r>
      <w:r w:rsidR="008B7F8F">
        <w:rPr>
          <w:b/>
          <w:color w:val="333333"/>
          <w:sz w:val="22"/>
          <w:shd w:val="clear" w:color="auto" w:fill="FFFFFF"/>
        </w:rPr>
        <w:t>s</w:t>
      </w:r>
      <w:r>
        <w:rPr>
          <w:b/>
          <w:color w:val="333333"/>
          <w:sz w:val="22"/>
          <w:shd w:val="clear" w:color="auto" w:fill="FFFFFF"/>
        </w:rPr>
        <w:t xml:space="preserve"> systemic failures and other factors associated with the decline of affordable</w:t>
      </w:r>
      <w:r w:rsidR="00023990">
        <w:rPr>
          <w:b/>
          <w:color w:val="333333"/>
          <w:sz w:val="22"/>
          <w:shd w:val="clear" w:color="auto" w:fill="FFFFFF"/>
        </w:rPr>
        <w:t xml:space="preserve"> housing</w:t>
      </w:r>
      <w:r>
        <w:rPr>
          <w:b/>
          <w:color w:val="333333"/>
          <w:sz w:val="22"/>
          <w:shd w:val="clear" w:color="auto" w:fill="FFFFFF"/>
        </w:rPr>
        <w:t xml:space="preserve"> stock, particularly in rental housing sector, </w:t>
      </w:r>
      <w:r w:rsidR="008B7F8F">
        <w:rPr>
          <w:b/>
          <w:color w:val="333333"/>
          <w:sz w:val="22"/>
          <w:shd w:val="clear" w:color="auto" w:fill="FFFFFF"/>
        </w:rPr>
        <w:t xml:space="preserve">some estimates have been made. </w:t>
      </w:r>
      <w:r>
        <w:rPr>
          <w:b/>
          <w:color w:val="333333"/>
          <w:sz w:val="22"/>
          <w:shd w:val="clear" w:color="auto" w:fill="FFFFFF"/>
        </w:rPr>
        <w:t xml:space="preserve"> </w:t>
      </w:r>
    </w:p>
    <w:p w14:paraId="597C14E6" w14:textId="77777777" w:rsidR="00175D52" w:rsidRPr="00737659" w:rsidRDefault="00175D52" w:rsidP="00A83B64">
      <w:pPr>
        <w:spacing w:after="160" w:line="259" w:lineRule="auto"/>
        <w:ind w:left="720"/>
        <w:jc w:val="both"/>
        <w:rPr>
          <w:rFonts w:eastAsia="Calibri"/>
          <w:sz w:val="22"/>
          <w:szCs w:val="22"/>
        </w:rPr>
      </w:pPr>
    </w:p>
    <w:p w14:paraId="38116590" w14:textId="64CDBFF5"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w:t>
      </w:r>
      <w:r w:rsidR="000B7E8F" w:rsidRPr="00737659">
        <w:rPr>
          <w:rFonts w:eastAsia="Calibri"/>
          <w:sz w:val="22"/>
          <w:szCs w:val="22"/>
        </w:rPr>
        <w:t>affects</w:t>
      </w:r>
      <w:r w:rsidRPr="00737659">
        <w:rPr>
          <w:rFonts w:eastAsia="Calibri"/>
          <w:sz w:val="22"/>
          <w:szCs w:val="22"/>
        </w:rPr>
        <w:t xml:space="preserve">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14:paraId="2CD64429" w14:textId="77777777" w:rsidR="00F54F42" w:rsidRDefault="00F54F42" w:rsidP="00F54F42">
      <w:pPr>
        <w:pStyle w:val="ListParagraph"/>
        <w:rPr>
          <w:rFonts w:eastAsia="Calibri"/>
          <w:sz w:val="22"/>
          <w:szCs w:val="22"/>
        </w:rPr>
      </w:pPr>
    </w:p>
    <w:p w14:paraId="197A0C8A" w14:textId="4664056A"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Encampments in Canada are one of the most visible and most serious failures of governments to protect the human right to adequate housing.</w:t>
      </w:r>
    </w:p>
    <w:p w14:paraId="7A3FD9B5"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Since the start of the pandemic, there has been a noticeable rise in encampments across Canada. Housing is becoming increasingly unaffordable and inaccessible. People are losing their livelihoods and their homes. Many social services and shelters are at maximum capacity.</w:t>
      </w:r>
    </w:p>
    <w:p w14:paraId="7E8FE1D9"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As a result, more people than ever before are having to live in tents or informal shelters to survive. Many have nowhere else to go.</w:t>
      </w:r>
    </w:p>
    <w:p w14:paraId="70D82DA7" w14:textId="5D175B1D"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Although courts and human rights bodies are increasingly recognizing unsheltered homelessness as a human rights issue, people living in encampments face violations of their human rights on many fronts. Their dignity and rights are frequently ignored</w:t>
      </w:r>
      <w:r w:rsidR="000B7E8F">
        <w:rPr>
          <w:b/>
          <w:color w:val="222222"/>
          <w:sz w:val="22"/>
          <w:szCs w:val="26"/>
        </w:rPr>
        <w:t xml:space="preserve"> by municipal and other authorities</w:t>
      </w:r>
      <w:r w:rsidRPr="00F54F42">
        <w:rPr>
          <w:b/>
          <w:color w:val="222222"/>
          <w:sz w:val="22"/>
          <w:szCs w:val="26"/>
        </w:rPr>
        <w:t>.</w:t>
      </w:r>
    </w:p>
    <w:p w14:paraId="305C4832"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The conditions in encampments, coupled with the underlying failure of governments at all levels to ensure people can access adequate housing, are a violation of fundamental human rights, including the human right to housing.</w:t>
      </w:r>
    </w:p>
    <w:p w14:paraId="5F4A68A0"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This human rights crisis is not going away. Canada must do better at meeting people's vital needs for shelter and safety. All levels of government have responsibility to find sustainable solutions that reinforce people's dignity and their human rights, particularly their right to adequate housing.</w:t>
      </w:r>
    </w:p>
    <w:p w14:paraId="18E57A30"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To better understand this critical issue, the Office of the Federal Housing Advocate led a research project to provide critical information on the issue of encampments in five regions of Canada.</w:t>
      </w:r>
    </w:p>
    <w:p w14:paraId="368D3CFC" w14:textId="77777777" w:rsidR="00F54F42" w:rsidRPr="00F54F42" w:rsidRDefault="00F54F42" w:rsidP="00DF2E1D">
      <w:pPr>
        <w:pStyle w:val="NormalWeb"/>
        <w:numPr>
          <w:ilvl w:val="0"/>
          <w:numId w:val="14"/>
        </w:numPr>
        <w:shd w:val="clear" w:color="auto" w:fill="FFFFFF"/>
        <w:spacing w:before="0" w:beforeAutospacing="0" w:after="300" w:afterAutospacing="0"/>
        <w:ind w:left="1440"/>
        <w:rPr>
          <w:b/>
          <w:color w:val="222222"/>
          <w:sz w:val="22"/>
          <w:szCs w:val="26"/>
        </w:rPr>
      </w:pPr>
      <w:r w:rsidRPr="00F54F42">
        <w:rPr>
          <w:b/>
          <w:color w:val="222222"/>
          <w:sz w:val="22"/>
          <w:szCs w:val="26"/>
        </w:rPr>
        <w:t>The reports confirm that a punitive approach to encampments is failing. Tearing down encampments is unsafe and can amount to forced eviction, which is a serious violation of human rights. The researchers note that this approach does not address the underlying conditions that have led to the growth of encampments in the first place, and it does not respect the rights or increase the safety or housing security of encampment residents. Critically, a punitive approach also removes choice from encampment residents and destroys the mutual aid and community connections they have built to care for one another within a broken system.</w:t>
      </w:r>
    </w:p>
    <w:p w14:paraId="625B5846" w14:textId="4EE1DCA7" w:rsidR="00F54F42" w:rsidRPr="00F54F42" w:rsidRDefault="00B13694" w:rsidP="00DF2E1D">
      <w:pPr>
        <w:spacing w:after="160" w:line="259" w:lineRule="auto"/>
        <w:ind w:left="720"/>
        <w:contextualSpacing/>
        <w:jc w:val="both"/>
        <w:rPr>
          <w:rFonts w:eastAsia="Calibri"/>
          <w:sz w:val="22"/>
          <w:szCs w:val="22"/>
          <w:lang w:val="en-CA"/>
        </w:rPr>
      </w:pPr>
      <w:hyperlink r:id="rId39" w:history="1">
        <w:r w:rsidR="00F54F42" w:rsidRPr="00F54F42">
          <w:rPr>
            <w:rStyle w:val="Hyperlink"/>
            <w:rFonts w:eastAsia="Calibri"/>
            <w:sz w:val="22"/>
            <w:szCs w:val="22"/>
            <w:lang w:val="en-CA"/>
          </w:rPr>
          <w:t>https://www.homelesshub.ca/resource/overview-encampments-across-canada-right-housing-approach</w:t>
        </w:r>
      </w:hyperlink>
    </w:p>
    <w:p w14:paraId="0E720D2C" w14:textId="77777777" w:rsidR="00A83B64" w:rsidRPr="00737659" w:rsidRDefault="00A83B64" w:rsidP="00A83B64">
      <w:pPr>
        <w:spacing w:after="160" w:line="259" w:lineRule="auto"/>
        <w:ind w:left="720"/>
        <w:jc w:val="both"/>
        <w:rPr>
          <w:rFonts w:eastAsia="Calibri"/>
          <w:sz w:val="22"/>
          <w:szCs w:val="22"/>
        </w:rPr>
      </w:pPr>
    </w:p>
    <w:p w14:paraId="48700BE1"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14:paraId="0D8487BD" w14:textId="77777777"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14:paraId="30581EB3" w14:textId="09CEF7F8" w:rsidR="00A83B64" w:rsidRDefault="00A83B64" w:rsidP="00A83B64">
      <w:pPr>
        <w:spacing w:after="160" w:line="259" w:lineRule="auto"/>
        <w:ind w:left="720"/>
        <w:jc w:val="both"/>
        <w:rPr>
          <w:rFonts w:eastAsia="Calibri"/>
          <w:sz w:val="22"/>
          <w:szCs w:val="22"/>
          <w:lang w:val="en-US"/>
        </w:rPr>
      </w:pPr>
      <w:r w:rsidRPr="00737659">
        <w:rPr>
          <w:rFonts w:eastAsia="Calibri"/>
          <w:sz w:val="22"/>
          <w:szCs w:val="22"/>
          <w:lang w:val="en-US"/>
        </w:rPr>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 xml:space="preserve">). </w:t>
      </w:r>
    </w:p>
    <w:p w14:paraId="6BCC098B" w14:textId="77777777" w:rsidR="00770FEF" w:rsidRDefault="00770FEF" w:rsidP="00A83B64">
      <w:pPr>
        <w:spacing w:after="160" w:line="259" w:lineRule="auto"/>
        <w:ind w:left="720"/>
        <w:jc w:val="both"/>
        <w:rPr>
          <w:rFonts w:eastAsia="Calibri"/>
          <w:sz w:val="22"/>
          <w:szCs w:val="22"/>
          <w:lang w:val="en-US"/>
        </w:rPr>
      </w:pPr>
    </w:p>
    <w:p w14:paraId="640B99D7" w14:textId="3746A3D3" w:rsidR="00DD4317" w:rsidRDefault="00770FEF" w:rsidP="00770FEF">
      <w:pPr>
        <w:pStyle w:val="ListParagraph"/>
        <w:numPr>
          <w:ilvl w:val="0"/>
          <w:numId w:val="18"/>
        </w:numPr>
        <w:spacing w:after="160" w:line="259" w:lineRule="auto"/>
        <w:jc w:val="both"/>
        <w:rPr>
          <w:rFonts w:eastAsia="Calibri"/>
          <w:b/>
          <w:sz w:val="22"/>
          <w:szCs w:val="22"/>
          <w:lang w:val="en-US"/>
        </w:rPr>
      </w:pPr>
      <w:r w:rsidRPr="00770FEF">
        <w:rPr>
          <w:rFonts w:eastAsia="Calibri"/>
          <w:b/>
          <w:sz w:val="22"/>
          <w:szCs w:val="22"/>
          <w:lang w:val="en-US"/>
        </w:rPr>
        <w:t>As we are submitting to you on behalf of the Federal Housing Advocate, we will limit ourselves to an ove</w:t>
      </w:r>
      <w:r w:rsidR="00B146CF">
        <w:rPr>
          <w:rFonts w:eastAsia="Calibri"/>
          <w:b/>
          <w:sz w:val="22"/>
          <w:szCs w:val="22"/>
          <w:lang w:val="en-US"/>
        </w:rPr>
        <w:t xml:space="preserve">rview of federal laws, policies, </w:t>
      </w:r>
      <w:r w:rsidRPr="00770FEF">
        <w:rPr>
          <w:rFonts w:eastAsia="Calibri"/>
          <w:b/>
          <w:sz w:val="22"/>
          <w:szCs w:val="22"/>
          <w:lang w:val="en-US"/>
        </w:rPr>
        <w:t>programs</w:t>
      </w:r>
      <w:r w:rsidR="00B146CF">
        <w:rPr>
          <w:rFonts w:eastAsia="Calibri"/>
          <w:b/>
          <w:sz w:val="22"/>
          <w:szCs w:val="22"/>
          <w:lang w:val="en-US"/>
        </w:rPr>
        <w:t>,</w:t>
      </w:r>
      <w:r w:rsidRPr="00770FEF">
        <w:rPr>
          <w:rFonts w:eastAsia="Calibri"/>
          <w:b/>
          <w:sz w:val="22"/>
          <w:szCs w:val="22"/>
          <w:lang w:val="en-US"/>
        </w:rPr>
        <w:t xml:space="preserve"> and practices adopted over the last decade. </w:t>
      </w:r>
    </w:p>
    <w:p w14:paraId="2C07B350" w14:textId="77777777" w:rsidR="00B146CF" w:rsidRDefault="00B146CF" w:rsidP="00B146CF">
      <w:pPr>
        <w:pStyle w:val="ListParagraph"/>
        <w:spacing w:after="160" w:line="259" w:lineRule="auto"/>
        <w:ind w:left="1440"/>
        <w:jc w:val="both"/>
        <w:rPr>
          <w:rFonts w:eastAsia="Calibri"/>
          <w:b/>
          <w:sz w:val="22"/>
          <w:szCs w:val="22"/>
          <w:lang w:val="en-US"/>
        </w:rPr>
      </w:pPr>
    </w:p>
    <w:p w14:paraId="19642CFF" w14:textId="77777777" w:rsidR="00B146CF" w:rsidRDefault="00E951DC" w:rsidP="00B146CF">
      <w:pPr>
        <w:pStyle w:val="ListParagraph"/>
        <w:numPr>
          <w:ilvl w:val="0"/>
          <w:numId w:val="18"/>
        </w:numPr>
        <w:spacing w:after="160" w:line="259" w:lineRule="auto"/>
        <w:jc w:val="both"/>
        <w:rPr>
          <w:rFonts w:eastAsia="Calibri"/>
          <w:b/>
          <w:sz w:val="22"/>
          <w:szCs w:val="22"/>
          <w:lang w:val="en-US"/>
        </w:rPr>
      </w:pPr>
      <w:r>
        <w:rPr>
          <w:rFonts w:eastAsia="Calibri"/>
          <w:b/>
          <w:sz w:val="22"/>
          <w:szCs w:val="22"/>
          <w:lang w:val="en-US"/>
        </w:rPr>
        <w:t>Significantly</w:t>
      </w:r>
      <w:r w:rsidR="00770FEF">
        <w:rPr>
          <w:rFonts w:eastAsia="Calibri"/>
          <w:b/>
          <w:sz w:val="22"/>
          <w:szCs w:val="22"/>
          <w:lang w:val="en-US"/>
        </w:rPr>
        <w:t xml:space="preserve">, the passing of the </w:t>
      </w:r>
      <w:hyperlink r:id="rId40" w:anchor="sec13.2" w:history="1">
        <w:r w:rsidR="00770FEF" w:rsidRPr="00770FEF">
          <w:rPr>
            <w:rStyle w:val="Hyperlink"/>
            <w:rFonts w:eastAsia="Calibri"/>
            <w:b/>
            <w:sz w:val="22"/>
            <w:szCs w:val="22"/>
            <w:lang w:val="en-US"/>
          </w:rPr>
          <w:t>National Housing Strategies Act</w:t>
        </w:r>
      </w:hyperlink>
      <w:r w:rsidR="00770FEF">
        <w:rPr>
          <w:rFonts w:eastAsia="Calibri"/>
          <w:b/>
          <w:sz w:val="22"/>
          <w:szCs w:val="22"/>
          <w:lang w:val="en-US"/>
        </w:rPr>
        <w:t xml:space="preserve">, represented a shift in the Federal government’s strategy on affordable housing towards a more human rights-based approach. </w:t>
      </w:r>
    </w:p>
    <w:p w14:paraId="370EDB58" w14:textId="31D6D2DD" w:rsidR="00770FEF" w:rsidRPr="00B146CF" w:rsidRDefault="00770FEF" w:rsidP="00B146CF">
      <w:pPr>
        <w:pStyle w:val="ListParagraph"/>
        <w:spacing w:after="160" w:line="259" w:lineRule="auto"/>
        <w:ind w:left="1440"/>
        <w:jc w:val="both"/>
        <w:rPr>
          <w:rFonts w:eastAsia="Calibri"/>
          <w:b/>
          <w:sz w:val="22"/>
          <w:szCs w:val="22"/>
          <w:lang w:val="en-US"/>
        </w:rPr>
      </w:pPr>
      <w:r w:rsidRPr="00B146CF">
        <w:rPr>
          <w:rFonts w:eastAsia="Calibri"/>
          <w:b/>
          <w:sz w:val="22"/>
          <w:szCs w:val="22"/>
          <w:lang w:val="en-US"/>
        </w:rPr>
        <w:t xml:space="preserve"> </w:t>
      </w:r>
    </w:p>
    <w:p w14:paraId="639AFE27" w14:textId="7EF20B95" w:rsidR="00222E86" w:rsidRDefault="0037379D" w:rsidP="00222E86">
      <w:pPr>
        <w:pStyle w:val="ListParagraph"/>
        <w:numPr>
          <w:ilvl w:val="0"/>
          <w:numId w:val="18"/>
        </w:numPr>
        <w:spacing w:after="160" w:line="259" w:lineRule="auto"/>
        <w:jc w:val="both"/>
        <w:rPr>
          <w:rFonts w:eastAsia="Calibri"/>
          <w:b/>
          <w:sz w:val="22"/>
          <w:szCs w:val="22"/>
          <w:lang w:val="en-US"/>
        </w:rPr>
      </w:pPr>
      <w:r>
        <w:rPr>
          <w:rFonts w:eastAsia="Calibri"/>
          <w:b/>
          <w:sz w:val="22"/>
          <w:szCs w:val="22"/>
          <w:lang w:val="en-US"/>
        </w:rPr>
        <w:t>This statute</w:t>
      </w:r>
      <w:r w:rsidR="00770FEF">
        <w:rPr>
          <w:rFonts w:eastAsia="Calibri"/>
          <w:b/>
          <w:sz w:val="22"/>
          <w:szCs w:val="22"/>
          <w:lang w:val="en-US"/>
        </w:rPr>
        <w:t xml:space="preserve"> established the office of the </w:t>
      </w:r>
      <w:hyperlink r:id="rId41" w:history="1">
        <w:r w:rsidR="00770FEF" w:rsidRPr="006167E3">
          <w:rPr>
            <w:rStyle w:val="Hyperlink"/>
            <w:rFonts w:eastAsia="Calibri"/>
            <w:b/>
            <w:sz w:val="22"/>
            <w:szCs w:val="22"/>
            <w:lang w:val="en-US"/>
          </w:rPr>
          <w:t>Federal Housing Advocate</w:t>
        </w:r>
      </w:hyperlink>
      <w:r>
        <w:rPr>
          <w:rFonts w:eastAsia="Calibri"/>
          <w:b/>
          <w:sz w:val="22"/>
          <w:szCs w:val="22"/>
          <w:lang w:val="en-US"/>
        </w:rPr>
        <w:t>,</w:t>
      </w:r>
      <w:r w:rsidR="00770FEF">
        <w:rPr>
          <w:rFonts w:eastAsia="Calibri"/>
          <w:b/>
          <w:sz w:val="22"/>
          <w:szCs w:val="22"/>
          <w:lang w:val="en-US"/>
        </w:rPr>
        <w:t xml:space="preserve"> as well as the </w:t>
      </w:r>
      <w:hyperlink r:id="rId42" w:history="1">
        <w:r w:rsidR="00770FEF" w:rsidRPr="006167E3">
          <w:rPr>
            <w:rStyle w:val="Hyperlink"/>
            <w:rFonts w:eastAsia="Calibri"/>
            <w:b/>
            <w:sz w:val="22"/>
            <w:szCs w:val="22"/>
            <w:lang w:val="en-US"/>
          </w:rPr>
          <w:t>National Housing Council</w:t>
        </w:r>
      </w:hyperlink>
      <w:r w:rsidR="00770FEF">
        <w:rPr>
          <w:rFonts w:eastAsia="Calibri"/>
          <w:b/>
          <w:sz w:val="22"/>
          <w:szCs w:val="22"/>
          <w:lang w:val="en-US"/>
        </w:rPr>
        <w:t>, two bodies that</w:t>
      </w:r>
      <w:r w:rsidR="00B146CF">
        <w:rPr>
          <w:rFonts w:eastAsia="Calibri"/>
          <w:b/>
          <w:sz w:val="22"/>
          <w:szCs w:val="22"/>
          <w:lang w:val="en-US"/>
        </w:rPr>
        <w:t xml:space="preserve"> are</w:t>
      </w:r>
      <w:r w:rsidR="00770FEF">
        <w:rPr>
          <w:rFonts w:eastAsia="Calibri"/>
          <w:b/>
          <w:sz w:val="22"/>
          <w:szCs w:val="22"/>
          <w:lang w:val="en-US"/>
        </w:rPr>
        <w:t xml:space="preserve"> mandated to provide greater accountability</w:t>
      </w:r>
      <w:r w:rsidR="006167E3">
        <w:rPr>
          <w:rFonts w:eastAsia="Calibri"/>
          <w:b/>
          <w:sz w:val="22"/>
          <w:szCs w:val="22"/>
          <w:lang w:val="en-US"/>
        </w:rPr>
        <w:t>, research</w:t>
      </w:r>
      <w:r w:rsidR="00B146CF">
        <w:rPr>
          <w:rFonts w:eastAsia="Calibri"/>
          <w:b/>
          <w:sz w:val="22"/>
          <w:szCs w:val="22"/>
          <w:lang w:val="en-US"/>
        </w:rPr>
        <w:t>,</w:t>
      </w:r>
      <w:r w:rsidR="00770FEF">
        <w:rPr>
          <w:rFonts w:eastAsia="Calibri"/>
          <w:b/>
          <w:sz w:val="22"/>
          <w:szCs w:val="22"/>
          <w:lang w:val="en-US"/>
        </w:rPr>
        <w:t xml:space="preserve"> and </w:t>
      </w:r>
      <w:r w:rsidR="006167E3">
        <w:rPr>
          <w:rFonts w:eastAsia="Calibri"/>
          <w:b/>
          <w:sz w:val="22"/>
          <w:szCs w:val="22"/>
          <w:lang w:val="en-US"/>
        </w:rPr>
        <w:t>reporting</w:t>
      </w:r>
      <w:r w:rsidR="00770FEF">
        <w:rPr>
          <w:rFonts w:eastAsia="Calibri"/>
          <w:b/>
          <w:sz w:val="22"/>
          <w:szCs w:val="22"/>
          <w:lang w:val="en-US"/>
        </w:rPr>
        <w:t xml:space="preserve"> with respect to housing rights violations in Canada.  </w:t>
      </w:r>
    </w:p>
    <w:p w14:paraId="26B35249" w14:textId="77777777" w:rsidR="00222E86" w:rsidRPr="00222E86" w:rsidRDefault="00222E86" w:rsidP="00222E86">
      <w:pPr>
        <w:pStyle w:val="ListParagraph"/>
        <w:spacing w:after="160" w:line="259" w:lineRule="auto"/>
        <w:ind w:left="1440"/>
        <w:jc w:val="both"/>
        <w:rPr>
          <w:rFonts w:eastAsia="Calibri"/>
          <w:b/>
          <w:sz w:val="22"/>
          <w:szCs w:val="22"/>
          <w:lang w:val="en-US"/>
        </w:rPr>
      </w:pPr>
    </w:p>
    <w:p w14:paraId="1CC45FDE" w14:textId="7752E83E" w:rsidR="006167E3" w:rsidRDefault="00770FEF" w:rsidP="00770FEF">
      <w:pPr>
        <w:pStyle w:val="ListParagraph"/>
        <w:numPr>
          <w:ilvl w:val="0"/>
          <w:numId w:val="18"/>
        </w:numPr>
        <w:spacing w:after="160" w:line="259" w:lineRule="auto"/>
        <w:jc w:val="both"/>
        <w:rPr>
          <w:rFonts w:eastAsia="Calibri"/>
          <w:b/>
          <w:sz w:val="22"/>
          <w:szCs w:val="22"/>
          <w:lang w:val="en-US"/>
        </w:rPr>
      </w:pPr>
      <w:r>
        <w:rPr>
          <w:rFonts w:eastAsia="Calibri"/>
          <w:b/>
          <w:sz w:val="22"/>
          <w:szCs w:val="22"/>
          <w:lang w:val="en-US"/>
        </w:rPr>
        <w:t>The NHSA was preceded by the announcement in 2017, by the Federal government, on a new policy framework</w:t>
      </w:r>
      <w:r w:rsidR="00B146CF">
        <w:rPr>
          <w:rFonts w:eastAsia="Calibri"/>
          <w:b/>
          <w:sz w:val="22"/>
          <w:szCs w:val="22"/>
          <w:lang w:val="en-US"/>
        </w:rPr>
        <w:t xml:space="preserve"> (the NHS</w:t>
      </w:r>
      <w:r w:rsidR="006167E3">
        <w:rPr>
          <w:rFonts w:eastAsia="Calibri"/>
          <w:b/>
          <w:sz w:val="22"/>
          <w:szCs w:val="22"/>
          <w:lang w:val="en-US"/>
        </w:rPr>
        <w:t>)</w:t>
      </w:r>
      <w:r>
        <w:rPr>
          <w:rFonts w:eastAsia="Calibri"/>
          <w:b/>
          <w:sz w:val="22"/>
          <w:szCs w:val="22"/>
          <w:lang w:val="en-US"/>
        </w:rPr>
        <w:t xml:space="preserve"> that </w:t>
      </w:r>
      <w:r w:rsidR="006167E3">
        <w:rPr>
          <w:rFonts w:eastAsia="Calibri"/>
          <w:b/>
          <w:sz w:val="22"/>
          <w:szCs w:val="22"/>
          <w:lang w:val="en-US"/>
        </w:rPr>
        <w:t>introduce</w:t>
      </w:r>
      <w:r w:rsidR="00B146CF">
        <w:rPr>
          <w:rFonts w:eastAsia="Calibri"/>
          <w:b/>
          <w:sz w:val="22"/>
          <w:szCs w:val="22"/>
          <w:lang w:val="en-US"/>
        </w:rPr>
        <w:t>d</w:t>
      </w:r>
      <w:r w:rsidR="006167E3">
        <w:rPr>
          <w:rFonts w:eastAsia="Calibri"/>
          <w:b/>
          <w:sz w:val="22"/>
          <w:szCs w:val="22"/>
          <w:lang w:val="en-US"/>
        </w:rPr>
        <w:t xml:space="preserve"> a number of programs aimed at improving </w:t>
      </w:r>
      <w:r w:rsidR="00B146CF">
        <w:rPr>
          <w:rFonts w:eastAsia="Calibri"/>
          <w:b/>
          <w:sz w:val="22"/>
          <w:szCs w:val="22"/>
          <w:lang w:val="en-US"/>
        </w:rPr>
        <w:t>housing affordability, accessibility, and adequacy</w:t>
      </w:r>
      <w:r w:rsidR="006167E3">
        <w:rPr>
          <w:rFonts w:eastAsia="Calibri"/>
          <w:b/>
          <w:sz w:val="22"/>
          <w:szCs w:val="22"/>
          <w:lang w:val="en-US"/>
        </w:rPr>
        <w:t xml:space="preserve">. </w:t>
      </w:r>
    </w:p>
    <w:p w14:paraId="62241973" w14:textId="77777777" w:rsidR="00B146CF" w:rsidRDefault="00B146CF" w:rsidP="00B146CF">
      <w:pPr>
        <w:pStyle w:val="ListParagraph"/>
        <w:spacing w:after="160" w:line="259" w:lineRule="auto"/>
        <w:ind w:left="1440"/>
        <w:jc w:val="both"/>
        <w:rPr>
          <w:rFonts w:eastAsia="Calibri"/>
          <w:b/>
          <w:sz w:val="22"/>
          <w:szCs w:val="22"/>
          <w:lang w:val="en-US"/>
        </w:rPr>
      </w:pPr>
    </w:p>
    <w:p w14:paraId="3A9FF480" w14:textId="67DEE22F" w:rsidR="00770FEF" w:rsidRDefault="00256059" w:rsidP="00770FEF">
      <w:pPr>
        <w:pStyle w:val="ListParagraph"/>
        <w:numPr>
          <w:ilvl w:val="0"/>
          <w:numId w:val="18"/>
        </w:numPr>
        <w:spacing w:after="160" w:line="259" w:lineRule="auto"/>
        <w:jc w:val="both"/>
        <w:rPr>
          <w:rFonts w:eastAsia="Calibri"/>
          <w:b/>
          <w:sz w:val="22"/>
          <w:szCs w:val="22"/>
          <w:lang w:val="en-US"/>
        </w:rPr>
      </w:pPr>
      <w:r>
        <w:rPr>
          <w:rFonts w:eastAsia="Calibri"/>
          <w:b/>
          <w:sz w:val="22"/>
          <w:szCs w:val="22"/>
          <w:lang w:val="en-US"/>
        </w:rPr>
        <w:t>Among the proposed programs that were included in the</w:t>
      </w:r>
      <w:r w:rsidR="00B146CF">
        <w:rPr>
          <w:rFonts w:eastAsia="Calibri"/>
          <w:b/>
          <w:sz w:val="22"/>
          <w:szCs w:val="22"/>
          <w:lang w:val="en-US"/>
        </w:rPr>
        <w:t xml:space="preserve"> initial</w:t>
      </w:r>
      <w:r>
        <w:rPr>
          <w:rFonts w:eastAsia="Calibri"/>
          <w:b/>
          <w:sz w:val="22"/>
          <w:szCs w:val="22"/>
          <w:lang w:val="en-US"/>
        </w:rPr>
        <w:t xml:space="preserve"> </w:t>
      </w:r>
      <w:proofErr w:type="gramStart"/>
      <w:r>
        <w:rPr>
          <w:rFonts w:eastAsia="Calibri"/>
          <w:b/>
          <w:sz w:val="22"/>
          <w:szCs w:val="22"/>
          <w:lang w:val="en-US"/>
        </w:rPr>
        <w:t>$82 billion dollar</w:t>
      </w:r>
      <w:proofErr w:type="gramEnd"/>
      <w:r w:rsidR="00B146CF">
        <w:rPr>
          <w:rFonts w:eastAsia="Calibri"/>
          <w:b/>
          <w:sz w:val="22"/>
          <w:szCs w:val="22"/>
          <w:lang w:val="en-US"/>
        </w:rPr>
        <w:t xml:space="preserve"> Federal</w:t>
      </w:r>
      <w:r>
        <w:rPr>
          <w:rFonts w:eastAsia="Calibri"/>
          <w:b/>
          <w:sz w:val="22"/>
          <w:szCs w:val="22"/>
          <w:lang w:val="en-US"/>
        </w:rPr>
        <w:t xml:space="preserve"> investment, some were more focused on</w:t>
      </w:r>
      <w:r w:rsidR="003E0206">
        <w:rPr>
          <w:rFonts w:eastAsia="Calibri"/>
          <w:b/>
          <w:sz w:val="22"/>
          <w:szCs w:val="22"/>
          <w:lang w:val="en-US"/>
        </w:rPr>
        <w:t xml:space="preserve"> access to</w:t>
      </w:r>
      <w:r>
        <w:rPr>
          <w:rFonts w:eastAsia="Calibri"/>
          <w:b/>
          <w:sz w:val="22"/>
          <w:szCs w:val="22"/>
          <w:lang w:val="en-US"/>
        </w:rPr>
        <w:t xml:space="preserve"> affordable housing than others. The most critical of these were the </w:t>
      </w:r>
      <w:hyperlink r:id="rId43" w:history="1">
        <w:r w:rsidRPr="003E0206">
          <w:rPr>
            <w:rStyle w:val="Hyperlink"/>
            <w:rFonts w:eastAsia="Calibri"/>
            <w:b/>
            <w:sz w:val="22"/>
            <w:szCs w:val="22"/>
            <w:lang w:val="en-US"/>
          </w:rPr>
          <w:t>Rapid Housing Initiative</w:t>
        </w:r>
      </w:hyperlink>
      <w:r>
        <w:rPr>
          <w:rFonts w:eastAsia="Calibri"/>
          <w:b/>
          <w:sz w:val="22"/>
          <w:szCs w:val="22"/>
          <w:lang w:val="en-US"/>
        </w:rPr>
        <w:t xml:space="preserve"> and the</w:t>
      </w:r>
      <w:r w:rsidR="003E0206">
        <w:rPr>
          <w:rFonts w:eastAsia="Calibri"/>
          <w:b/>
          <w:sz w:val="22"/>
          <w:szCs w:val="22"/>
          <w:lang w:val="en-US"/>
        </w:rPr>
        <w:t xml:space="preserve"> </w:t>
      </w:r>
      <w:hyperlink r:id="rId44" w:history="1">
        <w:r w:rsidR="003E0206" w:rsidRPr="003E0206">
          <w:rPr>
            <w:rStyle w:val="Hyperlink"/>
            <w:rFonts w:eastAsia="Calibri"/>
            <w:b/>
            <w:sz w:val="22"/>
            <w:szCs w:val="22"/>
            <w:lang w:val="en-US"/>
          </w:rPr>
          <w:t>National</w:t>
        </w:r>
        <w:r w:rsidRPr="003E0206">
          <w:rPr>
            <w:rStyle w:val="Hyperlink"/>
            <w:rFonts w:eastAsia="Calibri"/>
            <w:b/>
            <w:sz w:val="22"/>
            <w:szCs w:val="22"/>
            <w:lang w:val="en-US"/>
          </w:rPr>
          <w:t xml:space="preserve"> Housing Co Investment Fund</w:t>
        </w:r>
      </w:hyperlink>
      <w:r>
        <w:rPr>
          <w:rFonts w:eastAsia="Calibri"/>
          <w:b/>
          <w:sz w:val="22"/>
          <w:szCs w:val="22"/>
          <w:lang w:val="en-US"/>
        </w:rPr>
        <w:t xml:space="preserve">.    </w:t>
      </w:r>
      <w:r w:rsidR="006167E3">
        <w:rPr>
          <w:rFonts w:eastAsia="Calibri"/>
          <w:b/>
          <w:sz w:val="22"/>
          <w:szCs w:val="22"/>
          <w:lang w:val="en-US"/>
        </w:rPr>
        <w:t xml:space="preserve">  </w:t>
      </w:r>
    </w:p>
    <w:p w14:paraId="70C6E78E" w14:textId="77777777" w:rsidR="00A83B64" w:rsidRPr="00737659" w:rsidRDefault="00A83B64" w:rsidP="00A83B64">
      <w:pPr>
        <w:spacing w:after="160" w:line="259" w:lineRule="auto"/>
        <w:jc w:val="both"/>
        <w:rPr>
          <w:rFonts w:eastAsia="Calibri"/>
          <w:sz w:val="22"/>
          <w:szCs w:val="22"/>
          <w:lang w:val="en-US"/>
        </w:rPr>
      </w:pPr>
    </w:p>
    <w:p w14:paraId="3F86B691" w14:textId="77777777"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2E169DFC" w14:textId="77777777" w:rsidR="00A83B64" w:rsidRDefault="00A83B64" w:rsidP="00A83B64">
      <w:pPr>
        <w:spacing w:after="160" w:line="259" w:lineRule="auto"/>
        <w:contextualSpacing/>
        <w:rPr>
          <w:rFonts w:eastAsia="Calibri"/>
          <w:sz w:val="22"/>
          <w:szCs w:val="22"/>
          <w:lang w:val="en-US"/>
        </w:rPr>
      </w:pPr>
    </w:p>
    <w:p w14:paraId="174ADF97" w14:textId="3FEDF793" w:rsidR="00AE2EF7" w:rsidRDefault="009912EA" w:rsidP="00DD530A">
      <w:pPr>
        <w:pStyle w:val="ListParagraph"/>
        <w:numPr>
          <w:ilvl w:val="0"/>
          <w:numId w:val="19"/>
        </w:numPr>
        <w:spacing w:after="160" w:line="259" w:lineRule="auto"/>
        <w:rPr>
          <w:rFonts w:eastAsia="Calibri"/>
          <w:b/>
          <w:sz w:val="22"/>
          <w:szCs w:val="22"/>
          <w:lang w:val="en-US"/>
        </w:rPr>
      </w:pPr>
      <w:r w:rsidRPr="00DD530A">
        <w:rPr>
          <w:rFonts w:eastAsia="Calibri"/>
          <w:b/>
          <w:sz w:val="22"/>
          <w:szCs w:val="22"/>
          <w:lang w:val="en-US"/>
        </w:rPr>
        <w:t>The NHS</w:t>
      </w:r>
      <w:r w:rsidR="00AE2EF7">
        <w:rPr>
          <w:rFonts w:eastAsia="Calibri"/>
          <w:b/>
          <w:sz w:val="22"/>
          <w:szCs w:val="22"/>
          <w:lang w:val="en-US"/>
        </w:rPr>
        <w:t xml:space="preserve"> and the framework it </w:t>
      </w:r>
      <w:r w:rsidR="008729EF">
        <w:rPr>
          <w:rFonts w:eastAsia="Calibri"/>
          <w:b/>
          <w:sz w:val="22"/>
          <w:szCs w:val="22"/>
          <w:lang w:val="en-US"/>
        </w:rPr>
        <w:t>created</w:t>
      </w:r>
      <w:r w:rsidRPr="00DD530A">
        <w:rPr>
          <w:rFonts w:eastAsia="Calibri"/>
          <w:b/>
          <w:sz w:val="22"/>
          <w:szCs w:val="22"/>
          <w:lang w:val="en-US"/>
        </w:rPr>
        <w:t xml:space="preserve"> </w:t>
      </w:r>
      <w:r w:rsidR="009368AD">
        <w:rPr>
          <w:rFonts w:eastAsia="Calibri"/>
          <w:b/>
          <w:sz w:val="22"/>
          <w:szCs w:val="22"/>
          <w:lang w:val="en-US"/>
        </w:rPr>
        <w:t>are</w:t>
      </w:r>
      <w:r w:rsidR="00B146CF">
        <w:rPr>
          <w:rFonts w:eastAsia="Calibri"/>
          <w:b/>
          <w:sz w:val="22"/>
          <w:szCs w:val="22"/>
          <w:lang w:val="en-US"/>
        </w:rPr>
        <w:t xml:space="preserve"> over five</w:t>
      </w:r>
      <w:r w:rsidR="00DD530A">
        <w:rPr>
          <w:rFonts w:eastAsia="Calibri"/>
          <w:b/>
          <w:sz w:val="22"/>
          <w:szCs w:val="22"/>
          <w:lang w:val="en-US"/>
        </w:rPr>
        <w:t xml:space="preserve"> years old now</w:t>
      </w:r>
      <w:r w:rsidR="00B146CF">
        <w:rPr>
          <w:rFonts w:eastAsia="Calibri"/>
          <w:b/>
          <w:sz w:val="22"/>
          <w:szCs w:val="22"/>
          <w:lang w:val="en-US"/>
        </w:rPr>
        <w:t xml:space="preserve"> (the halfway point in its ten year</w:t>
      </w:r>
      <w:r w:rsidR="008729EF">
        <w:rPr>
          <w:rFonts w:eastAsia="Calibri"/>
          <w:b/>
          <w:sz w:val="22"/>
          <w:szCs w:val="22"/>
          <w:lang w:val="en-US"/>
        </w:rPr>
        <w:t xml:space="preserve"> lifespan) </w:t>
      </w:r>
      <w:r w:rsidR="00AE2EF7">
        <w:rPr>
          <w:rFonts w:eastAsia="Calibri"/>
          <w:b/>
          <w:sz w:val="22"/>
          <w:szCs w:val="22"/>
          <w:lang w:val="en-US"/>
        </w:rPr>
        <w:t>and continues to enjoy the support of the Federal government</w:t>
      </w:r>
      <w:r w:rsidR="008729EF">
        <w:rPr>
          <w:rFonts w:eastAsia="Calibri"/>
          <w:b/>
          <w:sz w:val="22"/>
          <w:szCs w:val="22"/>
          <w:lang w:val="en-US"/>
        </w:rPr>
        <w:t>,</w:t>
      </w:r>
      <w:r w:rsidR="00AE2EF7">
        <w:rPr>
          <w:rFonts w:eastAsia="Calibri"/>
          <w:b/>
          <w:sz w:val="22"/>
          <w:szCs w:val="22"/>
          <w:lang w:val="en-US"/>
        </w:rPr>
        <w:t xml:space="preserve"> civil society groups</w:t>
      </w:r>
      <w:r w:rsidR="009368AD">
        <w:rPr>
          <w:rFonts w:eastAsia="Calibri"/>
          <w:b/>
          <w:sz w:val="22"/>
          <w:szCs w:val="22"/>
          <w:lang w:val="en-US"/>
        </w:rPr>
        <w:t>,</w:t>
      </w:r>
      <w:r w:rsidR="00AE2EF7">
        <w:rPr>
          <w:rFonts w:eastAsia="Calibri"/>
          <w:b/>
          <w:sz w:val="22"/>
          <w:szCs w:val="22"/>
          <w:lang w:val="en-US"/>
        </w:rPr>
        <w:t xml:space="preserve"> as</w:t>
      </w:r>
      <w:r w:rsidR="009368AD">
        <w:rPr>
          <w:rFonts w:eastAsia="Calibri"/>
          <w:b/>
          <w:sz w:val="22"/>
          <w:szCs w:val="22"/>
          <w:lang w:val="en-US"/>
        </w:rPr>
        <w:t xml:space="preserve"> well as</w:t>
      </w:r>
      <w:r w:rsidR="00AE2EF7">
        <w:rPr>
          <w:rFonts w:eastAsia="Calibri"/>
          <w:b/>
          <w:sz w:val="22"/>
          <w:szCs w:val="22"/>
          <w:lang w:val="en-US"/>
        </w:rPr>
        <w:t xml:space="preserve"> many in the media</w:t>
      </w:r>
      <w:r w:rsidR="008729EF">
        <w:rPr>
          <w:rFonts w:eastAsia="Calibri"/>
          <w:b/>
          <w:sz w:val="22"/>
          <w:szCs w:val="22"/>
          <w:lang w:val="en-US"/>
        </w:rPr>
        <w:t xml:space="preserve"> and the public</w:t>
      </w:r>
      <w:r w:rsidR="00AE2EF7">
        <w:rPr>
          <w:rFonts w:eastAsia="Calibri"/>
          <w:b/>
          <w:sz w:val="22"/>
          <w:szCs w:val="22"/>
          <w:lang w:val="en-US"/>
        </w:rPr>
        <w:t>. However,</w:t>
      </w:r>
      <w:r w:rsidR="00DD530A">
        <w:rPr>
          <w:rFonts w:eastAsia="Calibri"/>
          <w:b/>
          <w:sz w:val="22"/>
          <w:szCs w:val="22"/>
          <w:lang w:val="en-US"/>
        </w:rPr>
        <w:t xml:space="preserve"> lately</w:t>
      </w:r>
      <w:r w:rsidR="00AE2EF7">
        <w:rPr>
          <w:rFonts w:eastAsia="Calibri"/>
          <w:b/>
          <w:sz w:val="22"/>
          <w:szCs w:val="22"/>
          <w:lang w:val="en-US"/>
        </w:rPr>
        <w:t>, it</w:t>
      </w:r>
      <w:r w:rsidR="00DD530A">
        <w:rPr>
          <w:rFonts w:eastAsia="Calibri"/>
          <w:b/>
          <w:sz w:val="22"/>
          <w:szCs w:val="22"/>
          <w:lang w:val="en-US"/>
        </w:rPr>
        <w:t xml:space="preserve"> has</w:t>
      </w:r>
      <w:r w:rsidR="00AE2EF7">
        <w:rPr>
          <w:rFonts w:eastAsia="Calibri"/>
          <w:b/>
          <w:sz w:val="22"/>
          <w:szCs w:val="22"/>
          <w:lang w:val="en-US"/>
        </w:rPr>
        <w:t xml:space="preserve"> been</w:t>
      </w:r>
      <w:r w:rsidR="009368AD">
        <w:rPr>
          <w:rFonts w:eastAsia="Calibri"/>
          <w:b/>
          <w:sz w:val="22"/>
          <w:szCs w:val="22"/>
          <w:lang w:val="en-US"/>
        </w:rPr>
        <w:t xml:space="preserve"> the</w:t>
      </w:r>
      <w:r w:rsidR="00AE2EF7">
        <w:rPr>
          <w:rFonts w:eastAsia="Calibri"/>
          <w:b/>
          <w:sz w:val="22"/>
          <w:szCs w:val="22"/>
          <w:lang w:val="en-US"/>
        </w:rPr>
        <w:t xml:space="preserve"> subject of vigorous </w:t>
      </w:r>
      <w:r w:rsidRPr="00DD530A">
        <w:rPr>
          <w:rFonts w:eastAsia="Calibri"/>
          <w:b/>
          <w:sz w:val="22"/>
          <w:szCs w:val="22"/>
          <w:lang w:val="en-US"/>
        </w:rPr>
        <w:t>criticism from many housing rights advocates</w:t>
      </w:r>
      <w:r w:rsidR="00DD530A">
        <w:rPr>
          <w:rFonts w:eastAsia="Calibri"/>
          <w:b/>
          <w:sz w:val="22"/>
          <w:szCs w:val="22"/>
          <w:lang w:val="en-US"/>
        </w:rPr>
        <w:t xml:space="preserve"> and state institutions (the </w:t>
      </w:r>
      <w:hyperlink r:id="rId45" w:history="1">
        <w:r w:rsidR="00AE2EF7" w:rsidRPr="00AE2EF7">
          <w:rPr>
            <w:rStyle w:val="Hyperlink"/>
            <w:rFonts w:eastAsia="Calibri"/>
            <w:b/>
            <w:sz w:val="22"/>
            <w:szCs w:val="22"/>
            <w:lang w:val="en-US"/>
          </w:rPr>
          <w:t>Auditor General of Canada's report on homelessness</w:t>
        </w:r>
      </w:hyperlink>
      <w:r w:rsidR="00DD530A">
        <w:rPr>
          <w:rFonts w:eastAsia="Calibri"/>
          <w:b/>
          <w:sz w:val="22"/>
          <w:szCs w:val="22"/>
          <w:lang w:val="en-US"/>
        </w:rPr>
        <w:t xml:space="preserve">, for instance) </w:t>
      </w:r>
      <w:r w:rsidRPr="00DD530A">
        <w:rPr>
          <w:rFonts w:eastAsia="Calibri"/>
          <w:b/>
          <w:sz w:val="22"/>
          <w:szCs w:val="22"/>
          <w:lang w:val="en-US"/>
        </w:rPr>
        <w:t>for failing to live up to its promise</w:t>
      </w:r>
      <w:r w:rsidR="008729EF">
        <w:rPr>
          <w:rFonts w:eastAsia="Calibri"/>
          <w:b/>
          <w:sz w:val="22"/>
          <w:szCs w:val="22"/>
          <w:lang w:val="en-US"/>
        </w:rPr>
        <w:t>, thus far</w:t>
      </w:r>
      <w:r w:rsidRPr="00DD530A">
        <w:rPr>
          <w:rFonts w:eastAsia="Calibri"/>
          <w:b/>
          <w:sz w:val="22"/>
          <w:szCs w:val="22"/>
          <w:lang w:val="en-US"/>
        </w:rPr>
        <w:t xml:space="preserve">. </w:t>
      </w:r>
    </w:p>
    <w:p w14:paraId="16C0B955" w14:textId="77777777" w:rsidR="00AE2EF7" w:rsidRDefault="00AE2EF7" w:rsidP="00AE2EF7">
      <w:pPr>
        <w:pStyle w:val="ListParagraph"/>
        <w:spacing w:after="160" w:line="259" w:lineRule="auto"/>
        <w:rPr>
          <w:rFonts w:eastAsia="Calibri"/>
          <w:b/>
          <w:sz w:val="22"/>
          <w:szCs w:val="22"/>
          <w:lang w:val="en-US"/>
        </w:rPr>
      </w:pPr>
    </w:p>
    <w:p w14:paraId="0EA46962" w14:textId="4C074430" w:rsidR="009368AD" w:rsidRDefault="009912EA" w:rsidP="009368AD">
      <w:pPr>
        <w:pStyle w:val="ListParagraph"/>
        <w:numPr>
          <w:ilvl w:val="0"/>
          <w:numId w:val="19"/>
        </w:numPr>
        <w:spacing w:after="160" w:line="259" w:lineRule="auto"/>
        <w:rPr>
          <w:rFonts w:eastAsia="Calibri"/>
          <w:b/>
          <w:sz w:val="22"/>
          <w:szCs w:val="22"/>
          <w:lang w:val="en-US"/>
        </w:rPr>
      </w:pPr>
      <w:r w:rsidRPr="00DD530A">
        <w:rPr>
          <w:rFonts w:eastAsia="Calibri"/>
          <w:b/>
          <w:sz w:val="22"/>
          <w:szCs w:val="22"/>
          <w:lang w:val="en-US"/>
        </w:rPr>
        <w:t>In a</w:t>
      </w:r>
      <w:r w:rsidR="00E16F20">
        <w:rPr>
          <w:rFonts w:eastAsia="Calibri"/>
          <w:b/>
          <w:sz w:val="22"/>
          <w:szCs w:val="22"/>
          <w:lang w:val="en-US"/>
        </w:rPr>
        <w:t>n</w:t>
      </w:r>
      <w:r w:rsidR="00AF0A2C">
        <w:rPr>
          <w:rFonts w:eastAsia="Calibri"/>
          <w:b/>
          <w:sz w:val="22"/>
          <w:szCs w:val="22"/>
          <w:lang w:val="en-US"/>
        </w:rPr>
        <w:t xml:space="preserve"> </w:t>
      </w:r>
      <w:hyperlink r:id="rId46" w:history="1">
        <w:r w:rsidR="00AF0A2C" w:rsidRPr="0086505B">
          <w:rPr>
            <w:rStyle w:val="Hyperlink"/>
            <w:rFonts w:eastAsia="Calibri"/>
            <w:b/>
            <w:sz w:val="22"/>
            <w:szCs w:val="22"/>
            <w:lang w:val="en-US"/>
          </w:rPr>
          <w:t>opinion piece</w:t>
        </w:r>
      </w:hyperlink>
      <w:r w:rsidR="00AE2EF7">
        <w:rPr>
          <w:rFonts w:eastAsia="Calibri"/>
          <w:b/>
          <w:sz w:val="22"/>
          <w:szCs w:val="22"/>
          <w:lang w:val="en-US"/>
        </w:rPr>
        <w:t xml:space="preserve"> published</w:t>
      </w:r>
      <w:r w:rsidR="00DD530A">
        <w:rPr>
          <w:rFonts w:eastAsia="Calibri"/>
          <w:b/>
          <w:sz w:val="22"/>
          <w:szCs w:val="22"/>
          <w:lang w:val="en-US"/>
        </w:rPr>
        <w:t xml:space="preserve"> last November</w:t>
      </w:r>
      <w:r w:rsidRPr="00DD530A">
        <w:rPr>
          <w:rFonts w:eastAsia="Calibri"/>
          <w:b/>
          <w:sz w:val="22"/>
          <w:szCs w:val="22"/>
          <w:lang w:val="en-US"/>
        </w:rPr>
        <w:t>, the</w:t>
      </w:r>
      <w:r w:rsidR="009368AD">
        <w:rPr>
          <w:rFonts w:eastAsia="Calibri"/>
          <w:b/>
          <w:sz w:val="22"/>
          <w:szCs w:val="22"/>
          <w:lang w:val="en-US"/>
        </w:rPr>
        <w:t xml:space="preserve"> </w:t>
      </w:r>
      <w:r w:rsidRPr="00DD530A">
        <w:rPr>
          <w:rFonts w:eastAsia="Calibri"/>
          <w:b/>
          <w:sz w:val="22"/>
          <w:szCs w:val="22"/>
          <w:lang w:val="en-US"/>
        </w:rPr>
        <w:t>Advocate</w:t>
      </w:r>
      <w:r w:rsidR="00DD530A">
        <w:rPr>
          <w:rFonts w:eastAsia="Calibri"/>
          <w:b/>
          <w:sz w:val="22"/>
          <w:szCs w:val="22"/>
          <w:lang w:val="en-US"/>
        </w:rPr>
        <w:t xml:space="preserve"> listed these shortcomings</w:t>
      </w:r>
      <w:r w:rsidR="00DD2FF2">
        <w:rPr>
          <w:rFonts w:eastAsia="Calibri"/>
          <w:b/>
          <w:sz w:val="22"/>
          <w:szCs w:val="22"/>
          <w:lang w:val="en-US"/>
        </w:rPr>
        <w:t>:</w:t>
      </w:r>
    </w:p>
    <w:p w14:paraId="1F2EC20D" w14:textId="77777777" w:rsidR="009368AD" w:rsidRDefault="009368AD" w:rsidP="009368AD">
      <w:pPr>
        <w:pStyle w:val="ListParagraph"/>
        <w:spacing w:after="160" w:line="259" w:lineRule="auto"/>
        <w:rPr>
          <w:rFonts w:eastAsia="Calibri"/>
          <w:b/>
          <w:sz w:val="22"/>
          <w:szCs w:val="22"/>
          <w:lang w:val="en-US"/>
        </w:rPr>
      </w:pPr>
    </w:p>
    <w:p w14:paraId="205EA91B" w14:textId="41DE6BBC" w:rsidR="009368AD" w:rsidRDefault="009368AD" w:rsidP="00222E86">
      <w:pPr>
        <w:pStyle w:val="ListParagraph"/>
        <w:numPr>
          <w:ilvl w:val="0"/>
          <w:numId w:val="19"/>
        </w:numPr>
        <w:spacing w:after="160" w:line="259" w:lineRule="auto"/>
        <w:ind w:left="1080"/>
        <w:rPr>
          <w:rFonts w:eastAsia="Calibri"/>
          <w:b/>
          <w:sz w:val="22"/>
          <w:szCs w:val="22"/>
          <w:lang w:val="en-US"/>
        </w:rPr>
      </w:pPr>
      <w:r>
        <w:rPr>
          <w:rFonts w:eastAsia="Calibri"/>
          <w:b/>
          <w:sz w:val="22"/>
          <w:szCs w:val="22"/>
          <w:lang w:val="en-US"/>
        </w:rPr>
        <w:t>A</w:t>
      </w:r>
      <w:r w:rsidR="00DD2FF2">
        <w:rPr>
          <w:rFonts w:eastAsia="Calibri"/>
          <w:b/>
          <w:sz w:val="22"/>
          <w:szCs w:val="22"/>
          <w:lang w:val="en-US"/>
        </w:rPr>
        <w:t xml:space="preserve"> failure to</w:t>
      </w:r>
      <w:r>
        <w:rPr>
          <w:rFonts w:eastAsia="Calibri"/>
          <w:b/>
          <w:sz w:val="22"/>
          <w:szCs w:val="22"/>
          <w:lang w:val="en-US"/>
        </w:rPr>
        <w:t xml:space="preserve"> significantly</w:t>
      </w:r>
      <w:r w:rsidR="00DD2FF2">
        <w:rPr>
          <w:rFonts w:eastAsia="Calibri"/>
          <w:b/>
          <w:sz w:val="22"/>
          <w:szCs w:val="22"/>
          <w:lang w:val="en-US"/>
        </w:rPr>
        <w:t xml:space="preserve"> reduce </w:t>
      </w:r>
      <w:r>
        <w:rPr>
          <w:rFonts w:eastAsia="Calibri"/>
          <w:b/>
          <w:sz w:val="22"/>
          <w:szCs w:val="22"/>
          <w:lang w:val="en-US"/>
        </w:rPr>
        <w:t>core-housing</w:t>
      </w:r>
      <w:r w:rsidR="00DD2FF2">
        <w:rPr>
          <w:rFonts w:eastAsia="Calibri"/>
          <w:b/>
          <w:sz w:val="22"/>
          <w:szCs w:val="22"/>
          <w:lang w:val="en-US"/>
        </w:rPr>
        <w:t xml:space="preserve"> need (the NHS called for 500,000 households to be removed from this category, by </w:t>
      </w:r>
      <w:r>
        <w:rPr>
          <w:rFonts w:eastAsia="Calibri"/>
          <w:b/>
          <w:sz w:val="22"/>
          <w:szCs w:val="22"/>
          <w:lang w:val="en-US"/>
        </w:rPr>
        <w:t xml:space="preserve">2030). </w:t>
      </w:r>
    </w:p>
    <w:p w14:paraId="5851F168" w14:textId="77777777" w:rsidR="009368AD" w:rsidRDefault="009368AD" w:rsidP="00222E86">
      <w:pPr>
        <w:pStyle w:val="ListParagraph"/>
        <w:spacing w:after="160" w:line="259" w:lineRule="auto"/>
        <w:ind w:left="1080"/>
        <w:rPr>
          <w:rFonts w:eastAsia="Calibri"/>
          <w:b/>
          <w:sz w:val="22"/>
          <w:szCs w:val="22"/>
          <w:lang w:val="en-US"/>
        </w:rPr>
      </w:pPr>
    </w:p>
    <w:p w14:paraId="516DC80C" w14:textId="77777777" w:rsidR="009368AD" w:rsidRDefault="009368AD" w:rsidP="00222E86">
      <w:pPr>
        <w:pStyle w:val="ListParagraph"/>
        <w:numPr>
          <w:ilvl w:val="0"/>
          <w:numId w:val="19"/>
        </w:numPr>
        <w:spacing w:after="160" w:line="259" w:lineRule="auto"/>
        <w:ind w:left="1080"/>
        <w:rPr>
          <w:rFonts w:eastAsia="Calibri"/>
          <w:b/>
          <w:sz w:val="22"/>
          <w:szCs w:val="22"/>
          <w:lang w:val="en-US"/>
        </w:rPr>
      </w:pPr>
      <w:r>
        <w:rPr>
          <w:rFonts w:eastAsia="Calibri"/>
          <w:b/>
          <w:sz w:val="22"/>
          <w:szCs w:val="22"/>
          <w:lang w:val="en-US"/>
        </w:rPr>
        <w:t>T</w:t>
      </w:r>
      <w:r w:rsidR="00DD2FF2">
        <w:rPr>
          <w:rFonts w:eastAsia="Calibri"/>
          <w:b/>
          <w:sz w:val="22"/>
          <w:szCs w:val="22"/>
          <w:lang w:val="en-US"/>
        </w:rPr>
        <w:t>he number of Indigenous peoples experiencing homelessness continues to be disproportionat</w:t>
      </w:r>
      <w:r>
        <w:rPr>
          <w:rFonts w:eastAsia="Calibri"/>
          <w:b/>
          <w:sz w:val="22"/>
          <w:szCs w:val="22"/>
          <w:lang w:val="en-US"/>
        </w:rPr>
        <w:t>ely large.</w:t>
      </w:r>
    </w:p>
    <w:p w14:paraId="76DA257E" w14:textId="3E1BF409" w:rsidR="009368AD" w:rsidRDefault="009368AD" w:rsidP="00222E86">
      <w:pPr>
        <w:pStyle w:val="ListParagraph"/>
        <w:spacing w:after="160" w:line="259" w:lineRule="auto"/>
        <w:ind w:left="1080"/>
        <w:rPr>
          <w:rFonts w:eastAsia="Calibri"/>
          <w:b/>
          <w:sz w:val="22"/>
          <w:szCs w:val="22"/>
          <w:lang w:val="en-US"/>
        </w:rPr>
      </w:pPr>
      <w:r>
        <w:rPr>
          <w:rFonts w:eastAsia="Calibri"/>
          <w:b/>
          <w:sz w:val="22"/>
          <w:szCs w:val="22"/>
          <w:lang w:val="en-US"/>
        </w:rPr>
        <w:t xml:space="preserve"> </w:t>
      </w:r>
    </w:p>
    <w:p w14:paraId="50DBC240" w14:textId="0C5EF6EC" w:rsidR="008729EF" w:rsidRDefault="009368AD" w:rsidP="00222E86">
      <w:pPr>
        <w:pStyle w:val="ListParagraph"/>
        <w:numPr>
          <w:ilvl w:val="0"/>
          <w:numId w:val="19"/>
        </w:numPr>
        <w:spacing w:after="160" w:line="259" w:lineRule="auto"/>
        <w:ind w:left="1080"/>
        <w:rPr>
          <w:rFonts w:eastAsia="Calibri"/>
          <w:b/>
          <w:sz w:val="22"/>
          <w:szCs w:val="22"/>
          <w:lang w:val="en-US"/>
        </w:rPr>
      </w:pPr>
      <w:r w:rsidRPr="00B146CF">
        <w:rPr>
          <w:rFonts w:eastAsia="Calibri"/>
          <w:b/>
          <w:sz w:val="22"/>
          <w:szCs w:val="22"/>
          <w:lang w:val="en-US"/>
        </w:rPr>
        <w:t>T</w:t>
      </w:r>
      <w:r w:rsidR="00B00B36" w:rsidRPr="00B146CF">
        <w:rPr>
          <w:rFonts w:eastAsia="Calibri"/>
          <w:b/>
          <w:sz w:val="22"/>
          <w:szCs w:val="22"/>
          <w:lang w:val="en-US"/>
        </w:rPr>
        <w:t>he NHS has</w:t>
      </w:r>
      <w:r w:rsidR="00DD2FF2" w:rsidRPr="00B146CF">
        <w:rPr>
          <w:rFonts w:eastAsia="Calibri"/>
          <w:b/>
          <w:sz w:val="22"/>
          <w:szCs w:val="22"/>
          <w:lang w:val="en-US"/>
        </w:rPr>
        <w:t xml:space="preserve"> been unable to measure empirically whether the programs it implemented are </w:t>
      </w:r>
      <w:r w:rsidR="00B00B36" w:rsidRPr="00B146CF">
        <w:rPr>
          <w:rFonts w:eastAsia="Calibri"/>
          <w:b/>
          <w:sz w:val="22"/>
          <w:szCs w:val="22"/>
          <w:lang w:val="en-US"/>
        </w:rPr>
        <w:t>benefiting</w:t>
      </w:r>
      <w:r w:rsidR="00DD2FF2" w:rsidRPr="00B146CF">
        <w:rPr>
          <w:rFonts w:eastAsia="Calibri"/>
          <w:b/>
          <w:sz w:val="22"/>
          <w:szCs w:val="22"/>
          <w:lang w:val="en-US"/>
        </w:rPr>
        <w:t xml:space="preserve"> priority groups</w:t>
      </w:r>
      <w:r w:rsidRPr="00B146CF">
        <w:rPr>
          <w:rFonts w:eastAsia="Calibri"/>
          <w:b/>
          <w:sz w:val="22"/>
          <w:szCs w:val="22"/>
          <w:lang w:val="en-US"/>
        </w:rPr>
        <w:t xml:space="preserve"> (seniors, people with </w:t>
      </w:r>
      <w:r w:rsidR="00B146CF" w:rsidRPr="00B146CF">
        <w:rPr>
          <w:rFonts w:eastAsia="Calibri"/>
          <w:b/>
          <w:sz w:val="22"/>
          <w:szCs w:val="22"/>
          <w:lang w:val="en-US"/>
        </w:rPr>
        <w:t>disabilities</w:t>
      </w:r>
      <w:r w:rsidRPr="00B146CF">
        <w:rPr>
          <w:rFonts w:eastAsia="Calibri"/>
          <w:b/>
          <w:sz w:val="22"/>
          <w:szCs w:val="22"/>
          <w:lang w:val="en-US"/>
        </w:rPr>
        <w:t>, etc.)</w:t>
      </w:r>
      <w:r w:rsidR="00B146CF" w:rsidRPr="00B146CF">
        <w:rPr>
          <w:rFonts w:eastAsia="Calibri"/>
          <w:b/>
          <w:sz w:val="22"/>
          <w:szCs w:val="22"/>
          <w:lang w:val="en-US"/>
        </w:rPr>
        <w:t xml:space="preserve"> </w:t>
      </w:r>
      <w:r w:rsidR="00DD2FF2" w:rsidRPr="00B146CF">
        <w:rPr>
          <w:rFonts w:eastAsia="Calibri"/>
          <w:b/>
          <w:sz w:val="22"/>
          <w:szCs w:val="22"/>
          <w:lang w:val="en-US"/>
        </w:rPr>
        <w:t xml:space="preserve"> identified as being in grea</w:t>
      </w:r>
      <w:r w:rsidR="00B146CF">
        <w:rPr>
          <w:rFonts w:eastAsia="Calibri"/>
          <w:b/>
          <w:sz w:val="22"/>
          <w:szCs w:val="22"/>
          <w:lang w:val="en-US"/>
        </w:rPr>
        <w:t>test need of affordable housing.</w:t>
      </w:r>
    </w:p>
    <w:p w14:paraId="32336F10" w14:textId="77777777" w:rsidR="00B146CF" w:rsidRPr="00B146CF" w:rsidRDefault="00B146CF" w:rsidP="00222E86">
      <w:pPr>
        <w:pStyle w:val="ListParagraph"/>
        <w:spacing w:after="160" w:line="259" w:lineRule="auto"/>
        <w:ind w:left="1080"/>
        <w:rPr>
          <w:rFonts w:eastAsia="Calibri"/>
          <w:b/>
          <w:sz w:val="22"/>
          <w:szCs w:val="22"/>
          <w:lang w:val="en-US"/>
        </w:rPr>
      </w:pPr>
    </w:p>
    <w:p w14:paraId="0DE78F39" w14:textId="6127C543" w:rsidR="000F69BD" w:rsidRDefault="008729EF" w:rsidP="00222E86">
      <w:pPr>
        <w:pStyle w:val="ListParagraph"/>
        <w:numPr>
          <w:ilvl w:val="0"/>
          <w:numId w:val="19"/>
        </w:numPr>
        <w:spacing w:after="160" w:line="259" w:lineRule="auto"/>
        <w:ind w:left="1080"/>
        <w:rPr>
          <w:rFonts w:eastAsia="Calibri"/>
          <w:b/>
          <w:sz w:val="22"/>
          <w:szCs w:val="22"/>
          <w:lang w:val="en-US"/>
        </w:rPr>
      </w:pPr>
      <w:r>
        <w:rPr>
          <w:rFonts w:eastAsia="Calibri"/>
          <w:b/>
          <w:sz w:val="22"/>
          <w:szCs w:val="22"/>
          <w:lang w:val="en-US"/>
        </w:rPr>
        <w:t>In fact</w:t>
      </w:r>
      <w:r w:rsidR="000F69BD">
        <w:rPr>
          <w:rFonts w:eastAsia="Calibri"/>
          <w:b/>
          <w:sz w:val="22"/>
          <w:szCs w:val="22"/>
          <w:lang w:val="en-US"/>
        </w:rPr>
        <w:t xml:space="preserve">, </w:t>
      </w:r>
      <w:r w:rsidR="00D20A3F">
        <w:rPr>
          <w:rFonts w:eastAsia="Calibri"/>
          <w:b/>
          <w:sz w:val="22"/>
          <w:szCs w:val="22"/>
          <w:lang w:val="en-US"/>
        </w:rPr>
        <w:t xml:space="preserve">the Advocate’s </w:t>
      </w:r>
      <w:hyperlink r:id="rId47" w:history="1">
        <w:r w:rsidRPr="006B4D63">
          <w:rPr>
            <w:rStyle w:val="Hyperlink"/>
            <w:rFonts w:eastAsia="Calibri"/>
            <w:b/>
            <w:sz w:val="22"/>
            <w:szCs w:val="22"/>
            <w:lang w:val="en-US"/>
          </w:rPr>
          <w:t>reports</w:t>
        </w:r>
      </w:hyperlink>
      <w:r>
        <w:rPr>
          <w:rFonts w:eastAsia="Calibri"/>
          <w:b/>
          <w:sz w:val="22"/>
          <w:szCs w:val="22"/>
          <w:lang w:val="en-US"/>
        </w:rPr>
        <w:t xml:space="preserve"> suggest that just the opposite has occurred. Wi</w:t>
      </w:r>
      <w:r w:rsidR="000F69BD">
        <w:rPr>
          <w:rFonts w:eastAsia="Calibri"/>
          <w:b/>
          <w:sz w:val="22"/>
          <w:szCs w:val="22"/>
          <w:lang w:val="en-US"/>
        </w:rPr>
        <w:t>th NHS housing progra</w:t>
      </w:r>
      <w:r w:rsidR="00FD1705">
        <w:rPr>
          <w:rFonts w:eastAsia="Calibri"/>
          <w:b/>
          <w:sz w:val="22"/>
          <w:szCs w:val="22"/>
          <w:lang w:val="en-US"/>
        </w:rPr>
        <w:t>ms expanding the financialization</w:t>
      </w:r>
      <w:r w:rsidR="000F69BD">
        <w:rPr>
          <w:rFonts w:eastAsia="Calibri"/>
          <w:b/>
          <w:sz w:val="22"/>
          <w:szCs w:val="22"/>
          <w:lang w:val="en-US"/>
        </w:rPr>
        <w:t xml:space="preserve"> of housing and contributing to the erosion of affordable, multi-family, purpose built rental stock</w:t>
      </w:r>
      <w:r w:rsidR="00B146CF">
        <w:rPr>
          <w:rFonts w:eastAsia="Calibri"/>
          <w:b/>
          <w:sz w:val="22"/>
          <w:szCs w:val="22"/>
          <w:lang w:val="en-US"/>
        </w:rPr>
        <w:t>, mainly</w:t>
      </w:r>
      <w:r w:rsidR="000F69BD">
        <w:rPr>
          <w:rFonts w:eastAsia="Calibri"/>
          <w:b/>
          <w:sz w:val="22"/>
          <w:szCs w:val="22"/>
          <w:lang w:val="en-US"/>
        </w:rPr>
        <w:t xml:space="preserve"> by emphasizing low interest loans to private developers building rental housing.  </w:t>
      </w:r>
    </w:p>
    <w:p w14:paraId="5BAA6938" w14:textId="77777777" w:rsidR="00B00B36" w:rsidRDefault="00B00B36" w:rsidP="00B00B36">
      <w:pPr>
        <w:pStyle w:val="ListParagraph"/>
        <w:spacing w:after="160" w:line="259" w:lineRule="auto"/>
        <w:rPr>
          <w:rFonts w:eastAsia="Calibri"/>
          <w:b/>
          <w:sz w:val="22"/>
          <w:szCs w:val="22"/>
          <w:lang w:val="en-US"/>
        </w:rPr>
      </w:pPr>
    </w:p>
    <w:p w14:paraId="25CE72F8" w14:textId="415DD9B8" w:rsidR="004A2AD1" w:rsidRDefault="00B00B36" w:rsidP="009368AD">
      <w:pPr>
        <w:pStyle w:val="ListParagraph"/>
        <w:numPr>
          <w:ilvl w:val="0"/>
          <w:numId w:val="19"/>
        </w:numPr>
        <w:spacing w:after="160" w:line="259" w:lineRule="auto"/>
        <w:rPr>
          <w:rFonts w:eastAsia="Calibri"/>
          <w:b/>
          <w:sz w:val="22"/>
          <w:szCs w:val="22"/>
          <w:lang w:val="en-US"/>
        </w:rPr>
      </w:pPr>
      <w:r>
        <w:rPr>
          <w:rFonts w:eastAsia="Calibri"/>
          <w:b/>
          <w:sz w:val="22"/>
          <w:szCs w:val="22"/>
          <w:lang w:val="en-US"/>
        </w:rPr>
        <w:t xml:space="preserve">Having said all this, the Advocate tempers her critique of the NHS with a measure of optimism. </w:t>
      </w:r>
      <w:r w:rsidR="00FD1705">
        <w:rPr>
          <w:rFonts w:eastAsia="Calibri"/>
          <w:b/>
          <w:sz w:val="22"/>
          <w:szCs w:val="22"/>
          <w:lang w:val="en-US"/>
        </w:rPr>
        <w:t>Indeed, the NHS ought to</w:t>
      </w:r>
      <w:r>
        <w:rPr>
          <w:rFonts w:eastAsia="Calibri"/>
          <w:b/>
          <w:sz w:val="22"/>
          <w:szCs w:val="22"/>
          <w:lang w:val="en-US"/>
        </w:rPr>
        <w:t xml:space="preserve"> be redesigned to better reflect the obligation to</w:t>
      </w:r>
      <w:r w:rsidR="004A2AD1">
        <w:rPr>
          <w:rFonts w:eastAsia="Calibri"/>
          <w:b/>
          <w:sz w:val="22"/>
          <w:szCs w:val="22"/>
          <w:lang w:val="en-US"/>
        </w:rPr>
        <w:t>, among other things,</w:t>
      </w:r>
      <w:r>
        <w:rPr>
          <w:rFonts w:eastAsia="Calibri"/>
          <w:b/>
          <w:sz w:val="22"/>
          <w:szCs w:val="22"/>
          <w:lang w:val="en-US"/>
        </w:rPr>
        <w:t xml:space="preserve"> progressively realiz</w:t>
      </w:r>
      <w:r w:rsidR="004A2AD1">
        <w:rPr>
          <w:rFonts w:eastAsia="Calibri"/>
          <w:b/>
          <w:sz w:val="22"/>
          <w:szCs w:val="22"/>
          <w:lang w:val="en-US"/>
        </w:rPr>
        <w:t>e the right to adequate housing</w:t>
      </w:r>
      <w:r w:rsidR="00AA7A4C">
        <w:rPr>
          <w:rFonts w:eastAsia="Calibri"/>
          <w:b/>
          <w:sz w:val="22"/>
          <w:szCs w:val="22"/>
          <w:lang w:val="en-US"/>
        </w:rPr>
        <w:t xml:space="preserve"> enacted into law by</w:t>
      </w:r>
      <w:r w:rsidR="004A2AD1">
        <w:rPr>
          <w:rFonts w:eastAsia="Calibri"/>
          <w:b/>
          <w:sz w:val="22"/>
          <w:szCs w:val="22"/>
          <w:lang w:val="en-US"/>
        </w:rPr>
        <w:t xml:space="preserve"> the NHSA.</w:t>
      </w:r>
    </w:p>
    <w:p w14:paraId="673107D8" w14:textId="006B0C95" w:rsidR="009368AD" w:rsidRDefault="004A2AD1" w:rsidP="004A2AD1">
      <w:pPr>
        <w:pStyle w:val="ListParagraph"/>
        <w:spacing w:after="160" w:line="259" w:lineRule="auto"/>
        <w:rPr>
          <w:rFonts w:eastAsia="Calibri"/>
          <w:b/>
          <w:sz w:val="22"/>
          <w:szCs w:val="22"/>
          <w:lang w:val="en-US"/>
        </w:rPr>
      </w:pPr>
      <w:r>
        <w:rPr>
          <w:rFonts w:eastAsia="Calibri"/>
          <w:b/>
          <w:sz w:val="22"/>
          <w:szCs w:val="22"/>
          <w:lang w:val="en-US"/>
        </w:rPr>
        <w:t xml:space="preserve"> </w:t>
      </w:r>
      <w:r w:rsidR="00B00B36">
        <w:rPr>
          <w:rFonts w:eastAsia="Calibri"/>
          <w:b/>
          <w:sz w:val="22"/>
          <w:szCs w:val="22"/>
          <w:lang w:val="en-US"/>
        </w:rPr>
        <w:t xml:space="preserve"> </w:t>
      </w:r>
    </w:p>
    <w:p w14:paraId="4418A846" w14:textId="3B84381C" w:rsidR="00FD1705" w:rsidRDefault="004A2AD1" w:rsidP="00FD1705">
      <w:pPr>
        <w:pStyle w:val="ListParagraph"/>
        <w:numPr>
          <w:ilvl w:val="0"/>
          <w:numId w:val="19"/>
        </w:numPr>
        <w:spacing w:after="160" w:line="259" w:lineRule="auto"/>
        <w:rPr>
          <w:rFonts w:eastAsia="Calibri"/>
          <w:b/>
          <w:sz w:val="22"/>
          <w:szCs w:val="22"/>
          <w:lang w:val="en-US"/>
        </w:rPr>
      </w:pPr>
      <w:r>
        <w:rPr>
          <w:rFonts w:eastAsia="Calibri"/>
          <w:b/>
          <w:sz w:val="22"/>
          <w:szCs w:val="22"/>
          <w:lang w:val="en-US"/>
        </w:rPr>
        <w:t>This could be done</w:t>
      </w:r>
      <w:r w:rsidR="008729EF">
        <w:rPr>
          <w:rFonts w:eastAsia="Calibri"/>
          <w:b/>
          <w:sz w:val="22"/>
          <w:szCs w:val="22"/>
          <w:lang w:val="en-US"/>
        </w:rPr>
        <w:t xml:space="preserve"> by revising the NHS architecture in four key areas: </w:t>
      </w:r>
      <w:r>
        <w:rPr>
          <w:rFonts w:eastAsia="Calibri"/>
          <w:b/>
          <w:sz w:val="22"/>
          <w:szCs w:val="22"/>
          <w:lang w:val="en-US"/>
        </w:rPr>
        <w:t xml:space="preserve"> </w:t>
      </w:r>
    </w:p>
    <w:p w14:paraId="5A695493" w14:textId="5051E77A" w:rsidR="00FD1705" w:rsidRPr="000B7E8F" w:rsidRDefault="00FD1705" w:rsidP="00FD1705">
      <w:pPr>
        <w:pStyle w:val="ListParagraph"/>
        <w:numPr>
          <w:ilvl w:val="0"/>
          <w:numId w:val="19"/>
        </w:numPr>
        <w:spacing w:after="160" w:line="259" w:lineRule="auto"/>
        <w:rPr>
          <w:rStyle w:val="BookTitle"/>
          <w:rFonts w:eastAsia="Calibri"/>
          <w:i w:val="0"/>
          <w:sz w:val="24"/>
          <w:lang w:val="en-US"/>
        </w:rPr>
      </w:pPr>
      <w:r w:rsidRPr="00FD1705">
        <w:rPr>
          <w:rStyle w:val="BookTitle"/>
          <w:rFonts w:eastAsia="Calibri"/>
          <w:i w:val="0"/>
          <w:sz w:val="22"/>
        </w:rPr>
        <w:t>1-</w:t>
      </w:r>
      <w:r w:rsidRPr="00FD1705">
        <w:rPr>
          <w:rStyle w:val="BookTitle"/>
          <w:i w:val="0"/>
          <w:sz w:val="22"/>
        </w:rPr>
        <w:t> Provide better housing for Indigenous people, no matter where they live. The Strategy must address Canada's legacy of colonialism that results in systemic housing inequality for Indigenous people.</w:t>
      </w:r>
    </w:p>
    <w:p w14:paraId="712A03B7" w14:textId="77777777" w:rsidR="000B7E8F" w:rsidRPr="00FD1705" w:rsidRDefault="000B7E8F" w:rsidP="000B7E8F">
      <w:pPr>
        <w:pStyle w:val="ListParagraph"/>
        <w:spacing w:after="160" w:line="259" w:lineRule="auto"/>
        <w:rPr>
          <w:rStyle w:val="BookTitle"/>
          <w:rFonts w:eastAsia="Calibri"/>
          <w:i w:val="0"/>
          <w:sz w:val="24"/>
          <w:lang w:val="en-US"/>
        </w:rPr>
      </w:pPr>
    </w:p>
    <w:p w14:paraId="4AAEA0A7" w14:textId="46B7D026" w:rsidR="00FD1705" w:rsidRPr="000B7E8F" w:rsidRDefault="00FD1705" w:rsidP="00FD1705">
      <w:pPr>
        <w:pStyle w:val="ListParagraph"/>
        <w:numPr>
          <w:ilvl w:val="0"/>
          <w:numId w:val="19"/>
        </w:numPr>
        <w:spacing w:after="160" w:line="259" w:lineRule="auto"/>
        <w:rPr>
          <w:rStyle w:val="BookTitle"/>
          <w:rFonts w:eastAsia="Calibri"/>
          <w:i w:val="0"/>
          <w:sz w:val="22"/>
          <w:lang w:val="en-US"/>
        </w:rPr>
      </w:pPr>
      <w:r w:rsidRPr="00FD1705">
        <w:rPr>
          <w:rStyle w:val="BookTitle"/>
          <w:rFonts w:eastAsia="Calibri"/>
          <w:i w:val="0"/>
          <w:sz w:val="22"/>
        </w:rPr>
        <w:t>2-</w:t>
      </w:r>
      <w:r>
        <w:rPr>
          <w:rStyle w:val="BookTitle"/>
          <w:rFonts w:eastAsia="Calibri"/>
          <w:i w:val="0"/>
          <w:sz w:val="22"/>
        </w:rPr>
        <w:t xml:space="preserve"> </w:t>
      </w:r>
      <w:r w:rsidRPr="00FD1705">
        <w:rPr>
          <w:rStyle w:val="BookTitle"/>
          <w:i w:val="0"/>
          <w:sz w:val="22"/>
        </w:rPr>
        <w:t>Make programs purpose-built to address the needs of people experiencing inadequate housing and homelessness, and ensure that they show measurable results for people most in need, including the Strategy's priority groups.</w:t>
      </w:r>
      <w:r w:rsidRPr="00FD1705">
        <w:rPr>
          <w:rStyle w:val="BookTitle"/>
          <w:rFonts w:eastAsia="Calibri"/>
          <w:i w:val="0"/>
          <w:sz w:val="22"/>
        </w:rPr>
        <w:t xml:space="preserve"> </w:t>
      </w:r>
    </w:p>
    <w:p w14:paraId="14B91CC6" w14:textId="77777777" w:rsidR="000B7E8F" w:rsidRPr="00FD1705" w:rsidRDefault="000B7E8F" w:rsidP="000B7E8F">
      <w:pPr>
        <w:pStyle w:val="ListParagraph"/>
        <w:spacing w:after="160" w:line="259" w:lineRule="auto"/>
        <w:rPr>
          <w:rStyle w:val="BookTitle"/>
          <w:rFonts w:eastAsia="Calibri"/>
          <w:i w:val="0"/>
          <w:sz w:val="22"/>
          <w:lang w:val="en-US"/>
        </w:rPr>
      </w:pPr>
    </w:p>
    <w:p w14:paraId="75F3B0FD" w14:textId="4EBAE680" w:rsidR="00FD1705" w:rsidRPr="00FD1705" w:rsidRDefault="00FD1705" w:rsidP="00FD1705">
      <w:pPr>
        <w:pStyle w:val="ListParagraph"/>
        <w:numPr>
          <w:ilvl w:val="0"/>
          <w:numId w:val="19"/>
        </w:numPr>
        <w:spacing w:after="160" w:line="259" w:lineRule="auto"/>
        <w:rPr>
          <w:rStyle w:val="BookTitle"/>
          <w:rFonts w:eastAsia="Calibri"/>
          <w:i w:val="0"/>
          <w:sz w:val="22"/>
          <w:lang w:val="en-US"/>
        </w:rPr>
      </w:pPr>
      <w:r>
        <w:rPr>
          <w:rStyle w:val="BookTitle"/>
          <w:rFonts w:eastAsia="Calibri"/>
          <w:i w:val="0"/>
          <w:sz w:val="22"/>
        </w:rPr>
        <w:t>3-</w:t>
      </w:r>
      <w:r w:rsidRPr="00FD1705">
        <w:rPr>
          <w:rStyle w:val="BookTitle"/>
        </w:rPr>
        <w:t xml:space="preserve"> </w:t>
      </w:r>
      <w:r w:rsidRPr="00FD1705">
        <w:rPr>
          <w:rStyle w:val="BookTitle"/>
          <w:i w:val="0"/>
          <w:sz w:val="22"/>
        </w:rPr>
        <w:t xml:space="preserve">Prioritize the development and acquisition of housing supply that is permanently affordable and provides community value. Research shows that fewer than five percent of housing units produced by the largest NHS capital programs are affordable to households experiencing core housing need and homelessness. Instead of unnecessarily financing what the market is already producing, NHS investments must return community value through housing that is affordable, </w:t>
      </w:r>
      <w:r w:rsidR="00B146CF">
        <w:rPr>
          <w:rStyle w:val="BookTitle"/>
          <w:i w:val="0"/>
          <w:sz w:val="22"/>
        </w:rPr>
        <w:t>accessible, and adequate</w:t>
      </w:r>
      <w:r w:rsidRPr="00FD1705">
        <w:rPr>
          <w:rStyle w:val="BookTitle"/>
          <w:i w:val="0"/>
          <w:sz w:val="22"/>
        </w:rPr>
        <w:t xml:space="preserve"> for people excluded from the housing system.</w:t>
      </w:r>
      <w:r w:rsidRPr="00FD1705">
        <w:rPr>
          <w:rStyle w:val="BookTitle"/>
          <w:sz w:val="22"/>
        </w:rPr>
        <w:t> </w:t>
      </w:r>
    </w:p>
    <w:p w14:paraId="64ADC6F5" w14:textId="77777777" w:rsidR="00FD1705" w:rsidRDefault="00FD1705" w:rsidP="00FD1705">
      <w:pPr>
        <w:pStyle w:val="ListParagraph"/>
        <w:spacing w:after="160" w:line="259" w:lineRule="auto"/>
        <w:rPr>
          <w:rStyle w:val="BookTitle"/>
          <w:rFonts w:eastAsia="Calibri"/>
          <w:i w:val="0"/>
          <w:sz w:val="22"/>
          <w:lang w:val="en-US"/>
        </w:rPr>
      </w:pPr>
    </w:p>
    <w:p w14:paraId="6C39CDB3" w14:textId="0242CE7D" w:rsidR="00FD1705" w:rsidRPr="00FD1705" w:rsidRDefault="00FD1705" w:rsidP="00FD1705">
      <w:pPr>
        <w:pStyle w:val="ListParagraph"/>
        <w:numPr>
          <w:ilvl w:val="0"/>
          <w:numId w:val="19"/>
        </w:numPr>
        <w:spacing w:after="160" w:line="259" w:lineRule="auto"/>
        <w:rPr>
          <w:rFonts w:eastAsia="Calibri"/>
          <w:b/>
          <w:bCs/>
          <w:iCs/>
          <w:spacing w:val="5"/>
          <w:sz w:val="22"/>
          <w:lang w:val="en-US"/>
        </w:rPr>
      </w:pPr>
      <w:r w:rsidRPr="00FD1705">
        <w:rPr>
          <w:rStyle w:val="BookTitle"/>
          <w:rFonts w:eastAsia="Calibri"/>
          <w:bCs w:val="0"/>
          <w:i w:val="0"/>
          <w:iCs w:val="0"/>
          <w:spacing w:val="0"/>
          <w:sz w:val="22"/>
        </w:rPr>
        <w:t>4-</w:t>
      </w:r>
      <w:r w:rsidRPr="00FD1705">
        <w:rPr>
          <w:rStyle w:val="BookTitle"/>
          <w:rFonts w:eastAsia="Calibri"/>
          <w:b w:val="0"/>
          <w:bCs w:val="0"/>
          <w:i w:val="0"/>
          <w:iCs w:val="0"/>
          <w:spacing w:val="0"/>
          <w:sz w:val="22"/>
        </w:rPr>
        <w:t xml:space="preserve"> </w:t>
      </w:r>
      <w:r w:rsidRPr="00FD1705">
        <w:rPr>
          <w:b/>
          <w:sz w:val="22"/>
        </w:rPr>
        <w:t>Demonstr</w:t>
      </w:r>
      <w:r w:rsidR="00EC7784">
        <w:rPr>
          <w:b/>
          <w:sz w:val="22"/>
        </w:rPr>
        <w:t>ate the leadership role of the F</w:t>
      </w:r>
      <w:r w:rsidRPr="00FD1705">
        <w:rPr>
          <w:b/>
          <w:sz w:val="22"/>
        </w:rPr>
        <w:t>ederal government and a coordinated approach to involve all levels of government in solving the housing crisis. The Strategy requires concerted action and leadership from the federal government as well as other orders of government to end the housing crisis. </w:t>
      </w:r>
    </w:p>
    <w:p w14:paraId="735B6E52" w14:textId="77777777" w:rsidR="0067523D" w:rsidRDefault="0067523D"/>
    <w:sectPr w:rsidR="0067523D" w:rsidSect="00656423">
      <w:headerReference w:type="default" r:id="rId48"/>
      <w:footerReference w:type="default" r:id="rId49"/>
      <w:headerReference w:type="first" r:id="rId50"/>
      <w:footerReference w:type="first" r:id="rId5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1372" w14:textId="77777777" w:rsidR="00A83B64" w:rsidRDefault="00A83B64" w:rsidP="00A83B64">
      <w:r>
        <w:separator/>
      </w:r>
    </w:p>
  </w:endnote>
  <w:endnote w:type="continuationSeparator" w:id="0">
    <w:p w14:paraId="2EC0D1E3" w14:textId="77777777" w:rsidR="00A83B64" w:rsidRDefault="00A83B64"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Nova-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354214A9" w14:textId="76088A7C" w:rsidR="00A83B64" w:rsidRDefault="00A83B64">
        <w:pPr>
          <w:pStyle w:val="Footer"/>
          <w:jc w:val="center"/>
        </w:pPr>
        <w:r>
          <w:fldChar w:fldCharType="begin"/>
        </w:r>
        <w:r>
          <w:instrText xml:space="preserve"> PAGE   \* MERGEFORMAT </w:instrText>
        </w:r>
        <w:r>
          <w:fldChar w:fldCharType="separate"/>
        </w:r>
        <w:r w:rsidR="00B13694">
          <w:rPr>
            <w:noProof/>
          </w:rPr>
          <w:t>11</w:t>
        </w:r>
        <w:r>
          <w:rPr>
            <w:noProof/>
          </w:rPr>
          <w:fldChar w:fldCharType="end"/>
        </w:r>
      </w:p>
    </w:sdtContent>
  </w:sdt>
  <w:p w14:paraId="431F58E2" w14:textId="77777777" w:rsidR="000D44ED" w:rsidRDefault="00B1369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6194E8F5" w14:textId="07320512" w:rsidR="00A83B64" w:rsidRDefault="00A83B64">
        <w:pPr>
          <w:pStyle w:val="Footer"/>
          <w:jc w:val="center"/>
        </w:pPr>
        <w:r>
          <w:fldChar w:fldCharType="begin"/>
        </w:r>
        <w:r>
          <w:instrText xml:space="preserve"> PAGE   \* MERGEFORMAT </w:instrText>
        </w:r>
        <w:r>
          <w:fldChar w:fldCharType="separate"/>
        </w:r>
        <w:r w:rsidR="00B13694">
          <w:rPr>
            <w:noProof/>
          </w:rPr>
          <w:t>1</w:t>
        </w:r>
        <w:r>
          <w:rPr>
            <w:noProof/>
          </w:rPr>
          <w:fldChar w:fldCharType="end"/>
        </w:r>
      </w:p>
    </w:sdtContent>
  </w:sdt>
  <w:p w14:paraId="28B9E4E8" w14:textId="77777777" w:rsidR="00C17B65" w:rsidRPr="002873B2" w:rsidRDefault="00B13694"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5422" w14:textId="77777777" w:rsidR="00A83B64" w:rsidRDefault="00A83B64" w:rsidP="00A83B64">
      <w:r>
        <w:separator/>
      </w:r>
    </w:p>
  </w:footnote>
  <w:footnote w:type="continuationSeparator" w:id="0">
    <w:p w14:paraId="6E6C86F4" w14:textId="77777777" w:rsidR="00A83B64" w:rsidRDefault="00A83B64"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897C" w14:textId="77777777" w:rsidR="000D44ED" w:rsidRPr="00AD4CA9" w:rsidRDefault="00B13694" w:rsidP="00656423">
    <w:pPr>
      <w:pStyle w:val="Header"/>
      <w:tabs>
        <w:tab w:val="clear" w:pos="4153"/>
        <w:tab w:val="clear" w:pos="8306"/>
        <w:tab w:val="right" w:pos="9214"/>
      </w:tabs>
      <w:spacing w:before="360" w:after="840"/>
      <w:jc w:val="right"/>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5284" w14:textId="77777777"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03DA89D" wp14:editId="187A7132">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AD37FE0" w14:textId="77777777" w:rsidR="000D44ED" w:rsidRPr="00B73FD1" w:rsidRDefault="00B13694"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786"/>
    <w:multiLevelType w:val="hybridMultilevel"/>
    <w:tmpl w:val="C7A476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EF09CB"/>
    <w:multiLevelType w:val="hybridMultilevel"/>
    <w:tmpl w:val="8340B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168D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5C7354"/>
    <w:multiLevelType w:val="hybridMultilevel"/>
    <w:tmpl w:val="4F98F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8D38ED"/>
    <w:multiLevelType w:val="hybridMultilevel"/>
    <w:tmpl w:val="95B275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6F40B9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6906E8"/>
    <w:multiLevelType w:val="multilevel"/>
    <w:tmpl w:val="D58C1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B6092"/>
    <w:multiLevelType w:val="multilevel"/>
    <w:tmpl w:val="129E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8463A"/>
    <w:multiLevelType w:val="hybridMultilevel"/>
    <w:tmpl w:val="B686A60C"/>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9" w15:restartNumberingAfterBreak="0">
    <w:nsid w:val="37294D3A"/>
    <w:multiLevelType w:val="multilevel"/>
    <w:tmpl w:val="BCE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01409"/>
    <w:multiLevelType w:val="hybridMultilevel"/>
    <w:tmpl w:val="ACF0F2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B53103B"/>
    <w:multiLevelType w:val="hybridMultilevel"/>
    <w:tmpl w:val="AA90C6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C51E0"/>
    <w:multiLevelType w:val="hybridMultilevel"/>
    <w:tmpl w:val="7CECC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4C3FE5"/>
    <w:multiLevelType w:val="hybridMultilevel"/>
    <w:tmpl w:val="E266EF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7C93E8B"/>
    <w:multiLevelType w:val="hybridMultilevel"/>
    <w:tmpl w:val="58005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D0198D"/>
    <w:multiLevelType w:val="multilevel"/>
    <w:tmpl w:val="D58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F743F"/>
    <w:multiLevelType w:val="hybridMultilevel"/>
    <w:tmpl w:val="B18859F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D823C34"/>
    <w:multiLevelType w:val="hybridMultilevel"/>
    <w:tmpl w:val="F432A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267CF3"/>
    <w:multiLevelType w:val="hybridMultilevel"/>
    <w:tmpl w:val="93BAB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1FF3AB2"/>
    <w:multiLevelType w:val="multilevel"/>
    <w:tmpl w:val="D58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15910"/>
    <w:multiLevelType w:val="hybridMultilevel"/>
    <w:tmpl w:val="7F0454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9081B1D"/>
    <w:multiLevelType w:val="hybridMultilevel"/>
    <w:tmpl w:val="908CDE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EAF4379"/>
    <w:multiLevelType w:val="hybridMultilevel"/>
    <w:tmpl w:val="11321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3"/>
  </w:num>
  <w:num w:numId="5">
    <w:abstractNumId w:val="16"/>
  </w:num>
  <w:num w:numId="6">
    <w:abstractNumId w:val="20"/>
  </w:num>
  <w:num w:numId="7">
    <w:abstractNumId w:val="6"/>
  </w:num>
  <w:num w:numId="8">
    <w:abstractNumId w:val="0"/>
  </w:num>
  <w:num w:numId="9">
    <w:abstractNumId w:val="9"/>
  </w:num>
  <w:num w:numId="10">
    <w:abstractNumId w:val="17"/>
  </w:num>
  <w:num w:numId="11">
    <w:abstractNumId w:val="4"/>
  </w:num>
  <w:num w:numId="12">
    <w:abstractNumId w:val="22"/>
  </w:num>
  <w:num w:numId="13">
    <w:abstractNumId w:val="21"/>
  </w:num>
  <w:num w:numId="14">
    <w:abstractNumId w:val="18"/>
  </w:num>
  <w:num w:numId="15">
    <w:abstractNumId w:val="23"/>
  </w:num>
  <w:num w:numId="16">
    <w:abstractNumId w:val="3"/>
  </w:num>
  <w:num w:numId="17">
    <w:abstractNumId w:val="19"/>
  </w:num>
  <w:num w:numId="18">
    <w:abstractNumId w:val="11"/>
  </w:num>
  <w:num w:numId="19">
    <w:abstractNumId w:val="1"/>
  </w:num>
  <w:num w:numId="20">
    <w:abstractNumId w:val="2"/>
  </w:num>
  <w:num w:numId="21">
    <w:abstractNumId w:val="5"/>
  </w:num>
  <w:num w:numId="22">
    <w:abstractNumId w:val="1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14865"/>
    <w:rsid w:val="00023990"/>
    <w:rsid w:val="0006014B"/>
    <w:rsid w:val="000B7E8F"/>
    <w:rsid w:val="000F588C"/>
    <w:rsid w:val="000F69BD"/>
    <w:rsid w:val="00175D52"/>
    <w:rsid w:val="001B7668"/>
    <w:rsid w:val="001E68D8"/>
    <w:rsid w:val="00222E86"/>
    <w:rsid w:val="00230D34"/>
    <w:rsid w:val="00256059"/>
    <w:rsid w:val="0028623D"/>
    <w:rsid w:val="002C6806"/>
    <w:rsid w:val="002F10FA"/>
    <w:rsid w:val="00336C84"/>
    <w:rsid w:val="0037379D"/>
    <w:rsid w:val="003E0206"/>
    <w:rsid w:val="003F2E46"/>
    <w:rsid w:val="00425E7B"/>
    <w:rsid w:val="004674E6"/>
    <w:rsid w:val="004A2AD1"/>
    <w:rsid w:val="004E4C91"/>
    <w:rsid w:val="0051219D"/>
    <w:rsid w:val="00584B8A"/>
    <w:rsid w:val="00586693"/>
    <w:rsid w:val="006167E3"/>
    <w:rsid w:val="006510A9"/>
    <w:rsid w:val="0067523D"/>
    <w:rsid w:val="0067699D"/>
    <w:rsid w:val="0069549C"/>
    <w:rsid w:val="00695754"/>
    <w:rsid w:val="006A521C"/>
    <w:rsid w:val="006B4D63"/>
    <w:rsid w:val="006F046C"/>
    <w:rsid w:val="006F13AA"/>
    <w:rsid w:val="007471B6"/>
    <w:rsid w:val="00770FEF"/>
    <w:rsid w:val="0078424D"/>
    <w:rsid w:val="0079769A"/>
    <w:rsid w:val="007E2638"/>
    <w:rsid w:val="007E7464"/>
    <w:rsid w:val="007F0FFF"/>
    <w:rsid w:val="00860369"/>
    <w:rsid w:val="0086505B"/>
    <w:rsid w:val="008729EF"/>
    <w:rsid w:val="00876917"/>
    <w:rsid w:val="00882733"/>
    <w:rsid w:val="008A6431"/>
    <w:rsid w:val="008B7F8F"/>
    <w:rsid w:val="008D13DD"/>
    <w:rsid w:val="008E3F98"/>
    <w:rsid w:val="0090232F"/>
    <w:rsid w:val="009368AD"/>
    <w:rsid w:val="00940BE2"/>
    <w:rsid w:val="00946241"/>
    <w:rsid w:val="00964B63"/>
    <w:rsid w:val="009912EA"/>
    <w:rsid w:val="009D2DE8"/>
    <w:rsid w:val="009D7914"/>
    <w:rsid w:val="009E034B"/>
    <w:rsid w:val="00A83B64"/>
    <w:rsid w:val="00AA7A4C"/>
    <w:rsid w:val="00AE2EF7"/>
    <w:rsid w:val="00AF0A2C"/>
    <w:rsid w:val="00B00B36"/>
    <w:rsid w:val="00B13694"/>
    <w:rsid w:val="00B146CF"/>
    <w:rsid w:val="00B42409"/>
    <w:rsid w:val="00B4414D"/>
    <w:rsid w:val="00B51E45"/>
    <w:rsid w:val="00B651F5"/>
    <w:rsid w:val="00B9601F"/>
    <w:rsid w:val="00BB599D"/>
    <w:rsid w:val="00BB7284"/>
    <w:rsid w:val="00BE30F9"/>
    <w:rsid w:val="00C70B62"/>
    <w:rsid w:val="00C75FE3"/>
    <w:rsid w:val="00D05017"/>
    <w:rsid w:val="00D105CA"/>
    <w:rsid w:val="00D20A3F"/>
    <w:rsid w:val="00DD2FF2"/>
    <w:rsid w:val="00DD4317"/>
    <w:rsid w:val="00DD530A"/>
    <w:rsid w:val="00DF2E1D"/>
    <w:rsid w:val="00E16F20"/>
    <w:rsid w:val="00E86E92"/>
    <w:rsid w:val="00E9126F"/>
    <w:rsid w:val="00E951DC"/>
    <w:rsid w:val="00EB7FF5"/>
    <w:rsid w:val="00EC7784"/>
    <w:rsid w:val="00ED1C6A"/>
    <w:rsid w:val="00F15755"/>
    <w:rsid w:val="00F51AE1"/>
    <w:rsid w:val="00F54F42"/>
    <w:rsid w:val="00FA2960"/>
    <w:rsid w:val="00F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2E9C"/>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B7E8F"/>
    <w:pPr>
      <w:keepNext/>
      <w:spacing w:after="160" w:line="259" w:lineRule="auto"/>
      <w:jc w:val="both"/>
      <w:outlineLvl w:val="0"/>
    </w:pPr>
    <w:rPr>
      <w:rFonts w:eastAsia="Calibri"/>
      <w:b/>
      <w:sz w:val="22"/>
      <w:szCs w:val="22"/>
    </w:rPr>
  </w:style>
  <w:style w:type="paragraph" w:styleId="Heading2">
    <w:name w:val="heading 2"/>
    <w:basedOn w:val="Normal"/>
    <w:link w:val="Heading2Char"/>
    <w:uiPriority w:val="9"/>
    <w:qFormat/>
    <w:rsid w:val="00230D3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unhideWhenUsed/>
    <w:qFormat/>
    <w:rsid w:val="00EC7784"/>
    <w:pPr>
      <w:keepNext/>
      <w:spacing w:after="160" w:line="259" w:lineRule="auto"/>
      <w:jc w:val="center"/>
      <w:outlineLvl w:val="2"/>
    </w:pPr>
    <w:rPr>
      <w:rFonts w:eastAsia="Calibri"/>
      <w:b/>
      <w:sz w:val="36"/>
      <w:szCs w:val="22"/>
      <w:lang w:val="en-US"/>
    </w:rPr>
  </w:style>
  <w:style w:type="paragraph" w:styleId="Heading5">
    <w:name w:val="heading 5"/>
    <w:basedOn w:val="Normal"/>
    <w:next w:val="Normal"/>
    <w:link w:val="Heading5Char"/>
    <w:uiPriority w:val="9"/>
    <w:semiHidden/>
    <w:unhideWhenUsed/>
    <w:qFormat/>
    <w:rsid w:val="008603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CommentReference">
    <w:name w:val="annotation reference"/>
    <w:basedOn w:val="DefaultParagraphFont"/>
    <w:uiPriority w:val="99"/>
    <w:semiHidden/>
    <w:unhideWhenUsed/>
    <w:rsid w:val="00E9126F"/>
    <w:rPr>
      <w:sz w:val="16"/>
      <w:szCs w:val="16"/>
    </w:rPr>
  </w:style>
  <w:style w:type="paragraph" w:styleId="CommentText">
    <w:name w:val="annotation text"/>
    <w:basedOn w:val="Normal"/>
    <w:link w:val="CommentTextChar"/>
    <w:uiPriority w:val="99"/>
    <w:semiHidden/>
    <w:unhideWhenUsed/>
    <w:rsid w:val="00E9126F"/>
  </w:style>
  <w:style w:type="character" w:customStyle="1" w:styleId="CommentTextChar">
    <w:name w:val="Comment Text Char"/>
    <w:basedOn w:val="DefaultParagraphFont"/>
    <w:link w:val="CommentText"/>
    <w:uiPriority w:val="99"/>
    <w:semiHidden/>
    <w:rsid w:val="00E91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9126F"/>
    <w:rPr>
      <w:b/>
      <w:bCs/>
    </w:rPr>
  </w:style>
  <w:style w:type="character" w:customStyle="1" w:styleId="CommentSubjectChar">
    <w:name w:val="Comment Subject Char"/>
    <w:basedOn w:val="CommentTextChar"/>
    <w:link w:val="CommentSubject"/>
    <w:uiPriority w:val="99"/>
    <w:rsid w:val="00E912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1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6F"/>
    <w:rPr>
      <w:rFonts w:ascii="Segoe UI" w:eastAsia="Times New Roman" w:hAnsi="Segoe UI" w:cs="Segoe UI"/>
      <w:sz w:val="18"/>
      <w:szCs w:val="18"/>
    </w:rPr>
  </w:style>
  <w:style w:type="character" w:styleId="Emphasis">
    <w:name w:val="Emphasis"/>
    <w:basedOn w:val="DefaultParagraphFont"/>
    <w:uiPriority w:val="20"/>
    <w:qFormat/>
    <w:rsid w:val="00F15755"/>
    <w:rPr>
      <w:i/>
      <w:iCs/>
    </w:rPr>
  </w:style>
  <w:style w:type="character" w:styleId="BookTitle">
    <w:name w:val="Book Title"/>
    <w:basedOn w:val="DefaultParagraphFont"/>
    <w:uiPriority w:val="33"/>
    <w:qFormat/>
    <w:rsid w:val="00F15755"/>
    <w:rPr>
      <w:b/>
      <w:bCs/>
      <w:i/>
      <w:iCs/>
      <w:spacing w:val="5"/>
    </w:rPr>
  </w:style>
  <w:style w:type="character" w:styleId="Hyperlink">
    <w:name w:val="Hyperlink"/>
    <w:basedOn w:val="DefaultParagraphFont"/>
    <w:uiPriority w:val="99"/>
    <w:unhideWhenUsed/>
    <w:rsid w:val="00F15755"/>
    <w:rPr>
      <w:color w:val="0563C1" w:themeColor="hyperlink"/>
      <w:u w:val="single"/>
    </w:rPr>
  </w:style>
  <w:style w:type="paragraph" w:customStyle="1" w:styleId="subsection">
    <w:name w:val="subsection"/>
    <w:basedOn w:val="Normal"/>
    <w:rsid w:val="000F588C"/>
    <w:pPr>
      <w:spacing w:before="100" w:beforeAutospacing="1" w:after="100" w:afterAutospacing="1"/>
    </w:pPr>
    <w:rPr>
      <w:sz w:val="24"/>
      <w:szCs w:val="24"/>
      <w:lang w:val="en-CA" w:eastAsia="en-CA"/>
    </w:rPr>
  </w:style>
  <w:style w:type="paragraph" w:customStyle="1" w:styleId="paragraph">
    <w:name w:val="paragraph"/>
    <w:basedOn w:val="Normal"/>
    <w:rsid w:val="000F588C"/>
    <w:pPr>
      <w:spacing w:before="100" w:beforeAutospacing="1" w:after="100" w:afterAutospacing="1"/>
    </w:pPr>
    <w:rPr>
      <w:sz w:val="24"/>
      <w:szCs w:val="24"/>
      <w:lang w:val="en-CA" w:eastAsia="en-CA"/>
    </w:rPr>
  </w:style>
  <w:style w:type="character" w:customStyle="1" w:styleId="lawlabel">
    <w:name w:val="lawlabel"/>
    <w:basedOn w:val="DefaultParagraphFont"/>
    <w:rsid w:val="000F588C"/>
  </w:style>
  <w:style w:type="character" w:customStyle="1" w:styleId="Heading2Char">
    <w:name w:val="Heading 2 Char"/>
    <w:basedOn w:val="DefaultParagraphFont"/>
    <w:link w:val="Heading2"/>
    <w:uiPriority w:val="9"/>
    <w:rsid w:val="00230D34"/>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30D34"/>
    <w:pPr>
      <w:spacing w:before="100" w:beforeAutospacing="1" w:after="100" w:afterAutospacing="1"/>
    </w:pPr>
    <w:rPr>
      <w:sz w:val="24"/>
      <w:szCs w:val="24"/>
      <w:lang w:val="en-CA" w:eastAsia="en-CA"/>
    </w:rPr>
  </w:style>
  <w:style w:type="character" w:customStyle="1" w:styleId="reflex2-link">
    <w:name w:val="reflex2-link"/>
    <w:basedOn w:val="DefaultParagraphFont"/>
    <w:rsid w:val="0090232F"/>
  </w:style>
  <w:style w:type="paragraph" w:styleId="Subtitle">
    <w:name w:val="Subtitle"/>
    <w:basedOn w:val="Normal"/>
    <w:next w:val="Normal"/>
    <w:link w:val="SubtitleChar"/>
    <w:uiPriority w:val="11"/>
    <w:qFormat/>
    <w:rsid w:val="001B76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7668"/>
    <w:rPr>
      <w:rFonts w:eastAsiaTheme="minorEastAsia"/>
      <w:color w:val="5A5A5A" w:themeColor="text1" w:themeTint="A5"/>
      <w:spacing w:val="15"/>
    </w:rPr>
  </w:style>
  <w:style w:type="paragraph" w:styleId="BodyTextIndent">
    <w:name w:val="Body Text Indent"/>
    <w:basedOn w:val="Normal"/>
    <w:link w:val="BodyTextIndentChar"/>
    <w:uiPriority w:val="99"/>
    <w:unhideWhenUsed/>
    <w:rsid w:val="00F51AE1"/>
    <w:pPr>
      <w:spacing w:after="160" w:line="259" w:lineRule="auto"/>
      <w:ind w:left="720"/>
      <w:jc w:val="both"/>
    </w:pPr>
    <w:rPr>
      <w:rFonts w:eastAsia="Calibri"/>
      <w:b/>
      <w:sz w:val="22"/>
      <w:szCs w:val="22"/>
    </w:rPr>
  </w:style>
  <w:style w:type="character" w:customStyle="1" w:styleId="BodyTextIndentChar">
    <w:name w:val="Body Text Indent Char"/>
    <w:basedOn w:val="DefaultParagraphFont"/>
    <w:link w:val="BodyTextIndent"/>
    <w:uiPriority w:val="99"/>
    <w:rsid w:val="00F51AE1"/>
    <w:rPr>
      <w:rFonts w:ascii="Times New Roman" w:eastAsia="Calibri" w:hAnsi="Times New Roman" w:cs="Times New Roman"/>
      <w:b/>
    </w:rPr>
  </w:style>
  <w:style w:type="character" w:styleId="FollowedHyperlink">
    <w:name w:val="FollowedHyperlink"/>
    <w:basedOn w:val="DefaultParagraphFont"/>
    <w:uiPriority w:val="99"/>
    <w:semiHidden/>
    <w:unhideWhenUsed/>
    <w:rsid w:val="004E4C91"/>
    <w:rPr>
      <w:color w:val="954F72" w:themeColor="followedHyperlink"/>
      <w:u w:val="single"/>
    </w:rPr>
  </w:style>
  <w:style w:type="paragraph" w:styleId="BodyText">
    <w:name w:val="Body Text"/>
    <w:basedOn w:val="Normal"/>
    <w:link w:val="BodyTextChar"/>
    <w:uiPriority w:val="99"/>
    <w:unhideWhenUsed/>
    <w:rsid w:val="00860369"/>
    <w:pPr>
      <w:spacing w:after="160" w:line="259" w:lineRule="auto"/>
      <w:contextualSpacing/>
      <w:jc w:val="both"/>
    </w:pPr>
    <w:rPr>
      <w:rFonts w:eastAsia="Calibri"/>
      <w:b/>
      <w:sz w:val="22"/>
      <w:szCs w:val="22"/>
    </w:rPr>
  </w:style>
  <w:style w:type="character" w:customStyle="1" w:styleId="BodyTextChar">
    <w:name w:val="Body Text Char"/>
    <w:basedOn w:val="DefaultParagraphFont"/>
    <w:link w:val="BodyText"/>
    <w:uiPriority w:val="99"/>
    <w:rsid w:val="00860369"/>
    <w:rPr>
      <w:rFonts w:ascii="Times New Roman" w:eastAsia="Calibri" w:hAnsi="Times New Roman" w:cs="Times New Roman"/>
      <w:b/>
    </w:rPr>
  </w:style>
  <w:style w:type="character" w:customStyle="1" w:styleId="Heading5Char">
    <w:name w:val="Heading 5 Char"/>
    <w:basedOn w:val="DefaultParagraphFont"/>
    <w:link w:val="Heading5"/>
    <w:uiPriority w:val="9"/>
    <w:semiHidden/>
    <w:rsid w:val="00860369"/>
    <w:rPr>
      <w:rFonts w:asciiTheme="majorHAnsi" w:eastAsiaTheme="majorEastAsia" w:hAnsiTheme="majorHAnsi" w:cstheme="majorBidi"/>
      <w:color w:val="2E74B5" w:themeColor="accent1" w:themeShade="BF"/>
      <w:sz w:val="20"/>
      <w:szCs w:val="20"/>
    </w:rPr>
  </w:style>
  <w:style w:type="character" w:styleId="Strong">
    <w:name w:val="Strong"/>
    <w:basedOn w:val="DefaultParagraphFont"/>
    <w:uiPriority w:val="22"/>
    <w:qFormat/>
    <w:rsid w:val="00860369"/>
    <w:rPr>
      <w:b/>
      <w:bCs/>
    </w:rPr>
  </w:style>
  <w:style w:type="character" w:styleId="SubtleEmphasis">
    <w:name w:val="Subtle Emphasis"/>
    <w:basedOn w:val="DefaultParagraphFont"/>
    <w:uiPriority w:val="19"/>
    <w:qFormat/>
    <w:rsid w:val="007E2638"/>
    <w:rPr>
      <w:i/>
      <w:iCs/>
      <w:color w:val="404040" w:themeColor="text1" w:themeTint="BF"/>
    </w:rPr>
  </w:style>
  <w:style w:type="character" w:customStyle="1" w:styleId="fontstyle01">
    <w:name w:val="fontstyle01"/>
    <w:basedOn w:val="DefaultParagraphFont"/>
    <w:rsid w:val="008D13DD"/>
    <w:rPr>
      <w:rFonts w:ascii="GillSansNova-Book" w:hAnsi="GillSansNova-Book" w:hint="default"/>
      <w:b w:val="0"/>
      <w:bCs w:val="0"/>
      <w:i w:val="0"/>
      <w:iCs w:val="0"/>
      <w:color w:val="000000"/>
      <w:sz w:val="20"/>
      <w:szCs w:val="20"/>
    </w:rPr>
  </w:style>
  <w:style w:type="character" w:customStyle="1" w:styleId="Heading1Char">
    <w:name w:val="Heading 1 Char"/>
    <w:basedOn w:val="DefaultParagraphFont"/>
    <w:link w:val="Heading1"/>
    <w:uiPriority w:val="9"/>
    <w:rsid w:val="000B7E8F"/>
    <w:rPr>
      <w:rFonts w:ascii="Times New Roman" w:eastAsia="Calibri" w:hAnsi="Times New Roman" w:cs="Times New Roman"/>
      <w:b/>
    </w:rPr>
  </w:style>
  <w:style w:type="character" w:customStyle="1" w:styleId="Heading3Char">
    <w:name w:val="Heading 3 Char"/>
    <w:basedOn w:val="DefaultParagraphFont"/>
    <w:link w:val="Heading3"/>
    <w:uiPriority w:val="9"/>
    <w:rsid w:val="00EC7784"/>
    <w:rPr>
      <w:rFonts w:ascii="Times New Roman" w:eastAsia="Calibri" w:hAnsi="Times New Roman" w:cs="Times New Roman"/>
      <w:b/>
      <w:sz w:val="36"/>
      <w:lang w:val="en-US"/>
    </w:rPr>
  </w:style>
  <w:style w:type="paragraph" w:customStyle="1" w:styleId="marginalnote">
    <w:name w:val="marginalnote"/>
    <w:basedOn w:val="Normal"/>
    <w:rsid w:val="0067699D"/>
    <w:pPr>
      <w:spacing w:before="100" w:beforeAutospacing="1" w:after="100" w:afterAutospacing="1"/>
    </w:pPr>
    <w:rPr>
      <w:sz w:val="24"/>
      <w:szCs w:val="24"/>
      <w:lang w:val="en-CA" w:eastAsia="en-CA"/>
    </w:rPr>
  </w:style>
  <w:style w:type="paragraph" w:customStyle="1" w:styleId="section">
    <w:name w:val="section"/>
    <w:basedOn w:val="Normal"/>
    <w:rsid w:val="0067699D"/>
    <w:pPr>
      <w:spacing w:before="100" w:beforeAutospacing="1" w:after="100" w:afterAutospacing="1"/>
    </w:pPr>
    <w:rPr>
      <w:sz w:val="24"/>
      <w:szCs w:val="24"/>
      <w:lang w:val="en-CA" w:eastAsia="en-CA"/>
    </w:rPr>
  </w:style>
  <w:style w:type="character" w:customStyle="1" w:styleId="canliisection">
    <w:name w:val="canlii_section"/>
    <w:basedOn w:val="DefaultParagraphFont"/>
    <w:rsid w:val="0067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364">
      <w:bodyDiv w:val="1"/>
      <w:marLeft w:val="0"/>
      <w:marRight w:val="0"/>
      <w:marTop w:val="0"/>
      <w:marBottom w:val="0"/>
      <w:divBdr>
        <w:top w:val="none" w:sz="0" w:space="0" w:color="auto"/>
        <w:left w:val="none" w:sz="0" w:space="0" w:color="auto"/>
        <w:bottom w:val="none" w:sz="0" w:space="0" w:color="auto"/>
        <w:right w:val="none" w:sz="0" w:space="0" w:color="auto"/>
      </w:divBdr>
    </w:div>
    <w:div w:id="132409011">
      <w:bodyDiv w:val="1"/>
      <w:marLeft w:val="0"/>
      <w:marRight w:val="0"/>
      <w:marTop w:val="0"/>
      <w:marBottom w:val="0"/>
      <w:divBdr>
        <w:top w:val="none" w:sz="0" w:space="0" w:color="auto"/>
        <w:left w:val="none" w:sz="0" w:space="0" w:color="auto"/>
        <w:bottom w:val="none" w:sz="0" w:space="0" w:color="auto"/>
        <w:right w:val="none" w:sz="0" w:space="0" w:color="auto"/>
      </w:divBdr>
    </w:div>
    <w:div w:id="184639087">
      <w:bodyDiv w:val="1"/>
      <w:marLeft w:val="0"/>
      <w:marRight w:val="0"/>
      <w:marTop w:val="0"/>
      <w:marBottom w:val="0"/>
      <w:divBdr>
        <w:top w:val="none" w:sz="0" w:space="0" w:color="auto"/>
        <w:left w:val="none" w:sz="0" w:space="0" w:color="auto"/>
        <w:bottom w:val="none" w:sz="0" w:space="0" w:color="auto"/>
        <w:right w:val="none" w:sz="0" w:space="0" w:color="auto"/>
      </w:divBdr>
    </w:div>
    <w:div w:id="573902539">
      <w:bodyDiv w:val="1"/>
      <w:marLeft w:val="0"/>
      <w:marRight w:val="0"/>
      <w:marTop w:val="0"/>
      <w:marBottom w:val="0"/>
      <w:divBdr>
        <w:top w:val="none" w:sz="0" w:space="0" w:color="auto"/>
        <w:left w:val="none" w:sz="0" w:space="0" w:color="auto"/>
        <w:bottom w:val="none" w:sz="0" w:space="0" w:color="auto"/>
        <w:right w:val="none" w:sz="0" w:space="0" w:color="auto"/>
      </w:divBdr>
    </w:div>
    <w:div w:id="724911717">
      <w:bodyDiv w:val="1"/>
      <w:marLeft w:val="0"/>
      <w:marRight w:val="0"/>
      <w:marTop w:val="0"/>
      <w:marBottom w:val="0"/>
      <w:divBdr>
        <w:top w:val="none" w:sz="0" w:space="0" w:color="auto"/>
        <w:left w:val="none" w:sz="0" w:space="0" w:color="auto"/>
        <w:bottom w:val="none" w:sz="0" w:space="0" w:color="auto"/>
        <w:right w:val="none" w:sz="0" w:space="0" w:color="auto"/>
      </w:divBdr>
    </w:div>
    <w:div w:id="854003433">
      <w:bodyDiv w:val="1"/>
      <w:marLeft w:val="0"/>
      <w:marRight w:val="0"/>
      <w:marTop w:val="0"/>
      <w:marBottom w:val="0"/>
      <w:divBdr>
        <w:top w:val="none" w:sz="0" w:space="0" w:color="auto"/>
        <w:left w:val="none" w:sz="0" w:space="0" w:color="auto"/>
        <w:bottom w:val="none" w:sz="0" w:space="0" w:color="auto"/>
        <w:right w:val="none" w:sz="0" w:space="0" w:color="auto"/>
      </w:divBdr>
    </w:div>
    <w:div w:id="992215335">
      <w:bodyDiv w:val="1"/>
      <w:marLeft w:val="0"/>
      <w:marRight w:val="0"/>
      <w:marTop w:val="0"/>
      <w:marBottom w:val="0"/>
      <w:divBdr>
        <w:top w:val="none" w:sz="0" w:space="0" w:color="auto"/>
        <w:left w:val="none" w:sz="0" w:space="0" w:color="auto"/>
        <w:bottom w:val="none" w:sz="0" w:space="0" w:color="auto"/>
        <w:right w:val="none" w:sz="0" w:space="0" w:color="auto"/>
      </w:divBdr>
    </w:div>
    <w:div w:id="1048920194">
      <w:bodyDiv w:val="1"/>
      <w:marLeft w:val="0"/>
      <w:marRight w:val="0"/>
      <w:marTop w:val="0"/>
      <w:marBottom w:val="0"/>
      <w:divBdr>
        <w:top w:val="none" w:sz="0" w:space="0" w:color="auto"/>
        <w:left w:val="none" w:sz="0" w:space="0" w:color="auto"/>
        <w:bottom w:val="none" w:sz="0" w:space="0" w:color="auto"/>
        <w:right w:val="none" w:sz="0" w:space="0" w:color="auto"/>
      </w:divBdr>
    </w:div>
    <w:div w:id="1677076151">
      <w:bodyDiv w:val="1"/>
      <w:marLeft w:val="0"/>
      <w:marRight w:val="0"/>
      <w:marTop w:val="0"/>
      <w:marBottom w:val="0"/>
      <w:divBdr>
        <w:top w:val="none" w:sz="0" w:space="0" w:color="auto"/>
        <w:left w:val="none" w:sz="0" w:space="0" w:color="auto"/>
        <w:bottom w:val="none" w:sz="0" w:space="0" w:color="auto"/>
        <w:right w:val="none" w:sz="0" w:space="0" w:color="auto"/>
      </w:divBdr>
      <w:divsChild>
        <w:div w:id="440879334">
          <w:marLeft w:val="0"/>
          <w:marRight w:val="0"/>
          <w:marTop w:val="0"/>
          <w:marBottom w:val="0"/>
          <w:divBdr>
            <w:top w:val="none" w:sz="0" w:space="0" w:color="auto"/>
            <w:left w:val="none" w:sz="0" w:space="0" w:color="auto"/>
            <w:bottom w:val="none" w:sz="0" w:space="0" w:color="auto"/>
            <w:right w:val="none" w:sz="0" w:space="0" w:color="auto"/>
          </w:divBdr>
        </w:div>
      </w:divsChild>
    </w:div>
    <w:div w:id="1975014636">
      <w:bodyDiv w:val="1"/>
      <w:marLeft w:val="0"/>
      <w:marRight w:val="0"/>
      <w:marTop w:val="0"/>
      <w:marBottom w:val="0"/>
      <w:divBdr>
        <w:top w:val="none" w:sz="0" w:space="0" w:color="auto"/>
        <w:left w:val="none" w:sz="0" w:space="0" w:color="auto"/>
        <w:bottom w:val="none" w:sz="0" w:space="0" w:color="auto"/>
        <w:right w:val="none" w:sz="0" w:space="0" w:color="auto"/>
      </w:divBdr>
    </w:div>
    <w:div w:id="2029990453">
      <w:bodyDiv w:val="1"/>
      <w:marLeft w:val="0"/>
      <w:marRight w:val="0"/>
      <w:marTop w:val="0"/>
      <w:marBottom w:val="0"/>
      <w:divBdr>
        <w:top w:val="none" w:sz="0" w:space="0" w:color="auto"/>
        <w:left w:val="none" w:sz="0" w:space="0" w:color="auto"/>
        <w:bottom w:val="none" w:sz="0" w:space="0" w:color="auto"/>
        <w:right w:val="none" w:sz="0" w:space="0" w:color="auto"/>
      </w:divBdr>
    </w:div>
    <w:div w:id="21433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ca/laws/stat/schedule-b-to-the-canada-act-1982-uk-1982-c-11/latest/schedule-b-to-the-canada-act-1982-uk-1982-c-11.html" TargetMode="External"/><Relationship Id="rId18" Type="http://schemas.openxmlformats.org/officeDocument/2006/relationships/hyperlink" Target="https://www.canlii.org/en/ca/laws/stat/schedule-b-to-the-canada-act-1982-uk-1982-c-11/latest/schedule-b-to-the-canada-act-1982-uk-1982-c-11.html" TargetMode="External"/><Relationship Id="rId26" Type="http://schemas.openxmlformats.org/officeDocument/2006/relationships/hyperlink" Target="https://www.cmhc-schl.gc.ca/en/professionals/housing-markets-data-and-research/housing-research/core-housing-need" TargetMode="External"/><Relationship Id="rId39" Type="http://schemas.openxmlformats.org/officeDocument/2006/relationships/hyperlink" Target="https://www.homelesshub.ca/resource/overview-encampments-across-canada-right-housing-approach" TargetMode="External"/><Relationship Id="rId3" Type="http://schemas.openxmlformats.org/officeDocument/2006/relationships/styles" Target="styles.xml"/><Relationship Id="rId21" Type="http://schemas.openxmlformats.org/officeDocument/2006/relationships/hyperlink" Target="https://www.canlii.org/en/ca/laws/stat/schedule-b-to-the-canada-act-1982-uk-1982-c-11/latest/schedule-b-to-the-canada-act-1982-uk-1982-c-11.html" TargetMode="External"/><Relationship Id="rId34" Type="http://schemas.openxmlformats.org/officeDocument/2006/relationships/hyperlink" Target="http://homelesshub.ca/sites/default/files/SOHC16_final_20Oct2016.pdf" TargetMode="External"/><Relationship Id="rId42" Type="http://schemas.openxmlformats.org/officeDocument/2006/relationships/hyperlink" Target="https://nhc-cnl.ca/publications/post/analysis-of-progress-of-bilateral-national-housing-strategy-programs-research-report" TargetMode="External"/><Relationship Id="rId47" Type="http://schemas.openxmlformats.org/officeDocument/2006/relationships/hyperlink" Target="https://www.homelesshub.ca/resource/financialization-housing-canada-project-summary-report"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nlii.org/en/on/onsc/doc/2013/2013onsc5410/2013onsc5410.html" TargetMode="External"/><Relationship Id="rId17" Type="http://schemas.openxmlformats.org/officeDocument/2006/relationships/hyperlink" Target="https://www.canlii.org/en/ca/laws/stat/schedule-b-to-the-canada-act-1982-uk-1982-c-11/latest/schedule-b-to-the-canada-act-1982-uk-1982-c-11.html" TargetMode="External"/><Relationship Id="rId25" Type="http://schemas.openxmlformats.org/officeDocument/2006/relationships/hyperlink" Target="https://www.canlii.org/en/bc/bcsc/doc/2021/2021bcsc2089/2021bcsc2089.html" TargetMode="External"/><Relationship Id="rId33" Type="http://schemas.openxmlformats.org/officeDocument/2006/relationships/hyperlink" Target="https://www.cmhc-schl.gc.ca/en/professionals/housing-markets-data-and-research/housing-research/research-reports/housing-needs/lived-experiences-eviction-canada" TargetMode="External"/><Relationship Id="rId38" Type="http://schemas.openxmlformats.org/officeDocument/2006/relationships/hyperlink" Target="https://eppdscrmssa01.blob.core.windows.net/cmhcprodcontainer/sf/project/archive/research_6/evictions-and-eviction-prevention-in-canada.pdf" TargetMode="External"/><Relationship Id="rId46" Type="http://schemas.openxmlformats.org/officeDocument/2006/relationships/hyperlink" Target="https://www.housingchrc.ca/en/we-need-a-new-plan-to-end-Canadas-housing-and-homelessness-crisis" TargetMode="External"/><Relationship Id="rId2" Type="http://schemas.openxmlformats.org/officeDocument/2006/relationships/numbering" Target="numbering.xml"/><Relationship Id="rId16" Type="http://schemas.openxmlformats.org/officeDocument/2006/relationships/hyperlink" Target="https://www.canlii.org/en/ca/laws/stat/schedule-b-to-the-canada-act-1982-uk-1982-c-11/latest/schedule-b-to-the-canada-act-1982-uk-1982-c-11.html" TargetMode="External"/><Relationship Id="rId20" Type="http://schemas.openxmlformats.org/officeDocument/2006/relationships/hyperlink" Target="https://www.canlii.org/en/ca/laws/stat/schedule-b-to-the-canada-act-1982-uk-1982-c-11/latest/schedule-b-to-the-canada-act-1982-uk-1982-c-11.html" TargetMode="External"/><Relationship Id="rId29" Type="http://schemas.openxmlformats.org/officeDocument/2006/relationships/hyperlink" Target="https://www.cmhc-schl.gc.ca/en/professionals/housing-markets-data-and-research/housing-research/research-reports/nhs-outcomes" TargetMode="External"/><Relationship Id="rId41" Type="http://schemas.openxmlformats.org/officeDocument/2006/relationships/hyperlink" Target="https://www.housingchrc.ca/en/about-us/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ytree.com/publications/modernizing-core-housing-need/" TargetMode="External"/><Relationship Id="rId24" Type="http://schemas.openxmlformats.org/officeDocument/2006/relationships/hyperlink" Target="https://www.canlii.org/en/bc/bcsc/doc/2022/2022bcsc282/2022bcsc282.html" TargetMode="External"/><Relationship Id="rId32" Type="http://schemas.openxmlformats.org/officeDocument/2006/relationships/hyperlink" Target="https://hart.ubc.ca/" TargetMode="External"/><Relationship Id="rId37" Type="http://schemas.openxmlformats.org/officeDocument/2006/relationships/hyperlink" Target="https://www.thecanadianencyclopedia.ca/en/article/crown-land" TargetMode="External"/><Relationship Id="rId40" Type="http://schemas.openxmlformats.org/officeDocument/2006/relationships/hyperlink" Target="https://www.canlii.org/en/ca/laws/stat/sc-2019-c-29-s-313/latest/sc-2019-c-29-s-313.html" TargetMode="External"/><Relationship Id="rId45" Type="http://schemas.openxmlformats.org/officeDocument/2006/relationships/hyperlink" Target="https://www.oag-bvg.gc.ca/internet/English/parl_oag_202211_05_e_44151.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ca/laws/stat/schedule-b-to-the-canada-act-1982-uk-1982-c-11/latest/schedule-b-to-the-canada-act-1982-uk-1982-c-11.html"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theglobeandmail.com/opinion/article-governments-across-canada-need-common-income-based-definition-of/" TargetMode="External"/><Relationship Id="rId36" Type="http://schemas.openxmlformats.org/officeDocument/2006/relationships/hyperlink" Target="https://www.housingchrc.ca/en/financialization-housing" TargetMode="External"/><Relationship Id="rId49" Type="http://schemas.openxmlformats.org/officeDocument/2006/relationships/footer" Target="footer1.xml"/><Relationship Id="rId10" Type="http://schemas.openxmlformats.org/officeDocument/2006/relationships/hyperlink" Target="https://www.cmhc-schl.gc.ca/en/professionals/housing-markets-data-and-research/housing-research/core-housing-need" TargetMode="External"/><Relationship Id="rId19" Type="http://schemas.openxmlformats.org/officeDocument/2006/relationships/hyperlink" Target="https://www.canlii.org/en/on/onsc/doc/2023/2023onsc670/2023onsc670.html" TargetMode="External"/><Relationship Id="rId31" Type="http://schemas.openxmlformats.org/officeDocument/2006/relationships/hyperlink" Target="https://www150.statcan.gc.ca/n1/pub/46-28-0001/462800012021001-eng.htm" TargetMode="External"/><Relationship Id="rId44" Type="http://schemas.openxmlformats.org/officeDocument/2006/relationships/hyperlink" Target="https://www.cmhc-schl.gc.ca/en/professionals/project-funding-and-mortgage-financing/funding-programs/all-funding-programs/co-investment-fun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cmhc-schl.gc.ca/sf/project/placetocallhome/pdfs/canada-national-housing-strategy.pdf" TargetMode="External"/><Relationship Id="rId14" Type="http://schemas.openxmlformats.org/officeDocument/2006/relationships/hyperlink" Target="https://www.canlii.org/en/ca/laws/stat/schedule-b-to-the-canada-act-1982-uk-1982-c-11/latest/schedule-b-to-the-canada-act-1982-uk-1982-c-11.html" TargetMode="External"/><Relationship Id="rId22" Type="http://schemas.openxmlformats.org/officeDocument/2006/relationships/hyperlink" Target="https://www.canlii.org/en/ca/laws/stat/schedule-b-to-the-canada-act-1982-uk-1982-c-11/latest/schedule-b-to-the-canada-act-1982-uk-1982-c-11.html" TargetMode="External"/><Relationship Id="rId27" Type="http://schemas.openxmlformats.org/officeDocument/2006/relationships/hyperlink" Target="https://www.statcan.gc.ca/en/subjects-start/housing" TargetMode="External"/><Relationship Id="rId30" Type="http://schemas.openxmlformats.org/officeDocument/2006/relationships/hyperlink" Target="https://www.cmhc-schl.gc.ca/en/nhs/guidepage-strategy/glossary" TargetMode="External"/><Relationship Id="rId35" Type="http://schemas.openxmlformats.org/officeDocument/2006/relationships/hyperlink" Target="https://www.homelesshub.ca/about-homelessness/homelessness-101/how-many-people-are-homeless-canada" TargetMode="External"/><Relationship Id="rId43" Type="http://schemas.openxmlformats.org/officeDocument/2006/relationships/hyperlink" Target="https://www.cmhc-schl.gc.ca/en/professionals/project-funding-and-mortgage-financing/funding-programs/all-funding-programs/rapid-housing" TargetMode="External"/><Relationship Id="rId48" Type="http://schemas.openxmlformats.org/officeDocument/2006/relationships/header" Target="header1.xml"/><Relationship Id="rId8" Type="http://schemas.openxmlformats.org/officeDocument/2006/relationships/hyperlink" Target="https://laws-lois.justice.gc.ca/eng/acts/N-11.2/FullText.html" TargetMode="External"/><Relationship Id="rId5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6D6F-916B-4A4C-9975-F2D20C7E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4899</Words>
  <Characters>27927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2023-05-01T11:49:00Z</dcterms:created>
  <dcterms:modified xsi:type="dcterms:W3CDTF">2023-05-01T11:49:00Z</dcterms:modified>
</cp:coreProperties>
</file>