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mbria" w:cs="Cambria" w:eastAsia="Cambria" w:hAnsi="Cambria"/>
          <w:b w:val="1"/>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4038600</wp:posOffset>
            </wp:positionH>
            <wp:positionV relativeFrom="paragraph">
              <wp:posOffset>114300</wp:posOffset>
            </wp:positionV>
            <wp:extent cx="1843088" cy="734298"/>
            <wp:effectExtent b="0" l="0" r="0" t="0"/>
            <wp:wrapSquare wrapText="bothSides" distB="114300" distT="114300" distL="114300" distR="114300"/>
            <wp:docPr id="1"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1843088" cy="734298"/>
                    </a:xfrm>
                    <a:prstGeom prst="rect"/>
                    <a:ln/>
                  </pic:spPr>
                </pic:pic>
              </a:graphicData>
            </a:graphic>
          </wp:anchor>
        </w:drawing>
      </w:r>
    </w:p>
    <w:p w:rsidR="00000000" w:rsidDel="00000000" w:rsidP="00000000" w:rsidRDefault="00000000" w:rsidRPr="00000000" w14:paraId="00000002">
      <w:pPr>
        <w:jc w:val="center"/>
        <w:rPr>
          <w:rFonts w:ascii="Cambria" w:cs="Cambria" w:eastAsia="Cambria" w:hAnsi="Cambria"/>
          <w:b w:val="1"/>
        </w:rPr>
      </w:pPr>
      <w:r w:rsidDel="00000000" w:rsidR="00000000" w:rsidRPr="00000000">
        <w:rPr>
          <w:rtl w:val="0"/>
        </w:rPr>
      </w:r>
    </w:p>
    <w:p w:rsidR="00000000" w:rsidDel="00000000" w:rsidP="00000000" w:rsidRDefault="00000000" w:rsidRPr="00000000" w14:paraId="00000003">
      <w:pPr>
        <w:jc w:val="center"/>
        <w:rPr>
          <w:rFonts w:ascii="Cambria" w:cs="Cambria" w:eastAsia="Cambria" w:hAnsi="Cambria"/>
          <w:b w:val="1"/>
        </w:rPr>
      </w:pPr>
      <w:r w:rsidDel="00000000" w:rsidR="00000000" w:rsidRPr="00000000">
        <w:rPr>
          <w:rtl w:val="0"/>
        </w:rPr>
      </w:r>
    </w:p>
    <w:p w:rsidR="00000000" w:rsidDel="00000000" w:rsidP="00000000" w:rsidRDefault="00000000" w:rsidRPr="00000000" w14:paraId="00000004">
      <w:pPr>
        <w:jc w:val="center"/>
        <w:rPr>
          <w:rFonts w:ascii="Cambria" w:cs="Cambria" w:eastAsia="Cambria" w:hAnsi="Cambria"/>
          <w:b w:val="1"/>
        </w:rPr>
      </w:pPr>
      <w:r w:rsidDel="00000000" w:rsidR="00000000" w:rsidRPr="00000000">
        <w:rPr>
          <w:rtl w:val="0"/>
        </w:rPr>
      </w:r>
    </w:p>
    <w:p w:rsidR="00000000" w:rsidDel="00000000" w:rsidP="00000000" w:rsidRDefault="00000000" w:rsidRPr="00000000" w14:paraId="00000005">
      <w:pPr>
        <w:jc w:val="center"/>
        <w:rPr>
          <w:rFonts w:ascii="Cambria" w:cs="Cambria" w:eastAsia="Cambria" w:hAnsi="Cambria"/>
          <w:b w:val="1"/>
        </w:rPr>
      </w:pPr>
      <w:r w:rsidDel="00000000" w:rsidR="00000000" w:rsidRPr="00000000">
        <w:rPr>
          <w:rtl w:val="0"/>
        </w:rPr>
      </w:r>
    </w:p>
    <w:p w:rsidR="00000000" w:rsidDel="00000000" w:rsidP="00000000" w:rsidRDefault="00000000" w:rsidRPr="00000000" w14:paraId="00000006">
      <w:pPr>
        <w:jc w:val="center"/>
        <w:rPr>
          <w:rFonts w:ascii="Cambria" w:cs="Cambria" w:eastAsia="Cambria" w:hAnsi="Cambria"/>
        </w:rPr>
      </w:pPr>
      <w:r w:rsidDel="00000000" w:rsidR="00000000" w:rsidRPr="00000000">
        <w:rPr>
          <w:rtl w:val="0"/>
        </w:rPr>
      </w:r>
    </w:p>
    <w:p w:rsidR="00000000" w:rsidDel="00000000" w:rsidP="00000000" w:rsidRDefault="00000000" w:rsidRPr="00000000" w14:paraId="00000007">
      <w:pPr>
        <w:jc w:val="right"/>
        <w:rPr>
          <w:rFonts w:ascii="Cambria" w:cs="Cambria" w:eastAsia="Cambria" w:hAnsi="Cambria"/>
        </w:rPr>
      </w:pPr>
      <w:r w:rsidDel="00000000" w:rsidR="00000000" w:rsidRPr="00000000">
        <w:rPr>
          <w:rFonts w:ascii="Cambria" w:cs="Cambria" w:eastAsia="Cambria" w:hAnsi="Cambria"/>
          <w:rtl w:val="0"/>
        </w:rPr>
        <w:t xml:space="preserve">Buenos Aires, 11 de mayo de 2023</w:t>
      </w:r>
    </w:p>
    <w:p w:rsidR="00000000" w:rsidDel="00000000" w:rsidP="00000000" w:rsidRDefault="00000000" w:rsidRPr="00000000" w14:paraId="00000008">
      <w:pPr>
        <w:jc w:val="right"/>
        <w:rPr>
          <w:rFonts w:ascii="Cambria" w:cs="Cambria" w:eastAsia="Cambria" w:hAnsi="Cambria"/>
        </w:rPr>
      </w:pPr>
      <w:r w:rsidDel="00000000" w:rsidR="00000000" w:rsidRPr="00000000">
        <w:rPr>
          <w:rtl w:val="0"/>
        </w:rPr>
      </w:r>
    </w:p>
    <w:p w:rsidR="00000000" w:rsidDel="00000000" w:rsidP="00000000" w:rsidRDefault="00000000" w:rsidRPr="00000000" w14:paraId="00000009">
      <w:pPr>
        <w:jc w:val="right"/>
        <w:rPr>
          <w:rFonts w:ascii="Cambria" w:cs="Cambria" w:eastAsia="Cambria" w:hAnsi="Cambria"/>
        </w:rPr>
      </w:pPr>
      <w:r w:rsidDel="00000000" w:rsidR="00000000" w:rsidRPr="00000000">
        <w:rPr>
          <w:rtl w:val="0"/>
        </w:rPr>
      </w:r>
    </w:p>
    <w:p w:rsidR="00000000" w:rsidDel="00000000" w:rsidP="00000000" w:rsidRDefault="00000000" w:rsidRPr="00000000" w14:paraId="0000000A">
      <w:pPr>
        <w:rPr>
          <w:rFonts w:ascii="Cambria" w:cs="Cambria" w:eastAsia="Cambria" w:hAnsi="Cambria"/>
        </w:rPr>
      </w:pPr>
      <w:r w:rsidDel="00000000" w:rsidR="00000000" w:rsidRPr="00000000">
        <w:rPr>
          <w:rFonts w:ascii="Cambria" w:cs="Cambria" w:eastAsia="Cambria" w:hAnsi="Cambria"/>
          <w:rtl w:val="0"/>
        </w:rPr>
        <w:t xml:space="preserve">Sr. Balakrishnan Rajagopal</w:t>
      </w:r>
    </w:p>
    <w:p w:rsidR="00000000" w:rsidDel="00000000" w:rsidP="00000000" w:rsidRDefault="00000000" w:rsidRPr="00000000" w14:paraId="0000000B">
      <w:pPr>
        <w:rPr>
          <w:rFonts w:ascii="Cambria" w:cs="Cambria" w:eastAsia="Cambria" w:hAnsi="Cambria"/>
        </w:rPr>
      </w:pPr>
      <w:r w:rsidDel="00000000" w:rsidR="00000000" w:rsidRPr="00000000">
        <w:rPr>
          <w:rFonts w:ascii="Cambria" w:cs="Cambria" w:eastAsia="Cambria" w:hAnsi="Cambria"/>
          <w:rtl w:val="0"/>
        </w:rPr>
        <w:t xml:space="preserve">Relator Especial de las Naciones Unidas</w:t>
      </w:r>
    </w:p>
    <w:p w:rsidR="00000000" w:rsidDel="00000000" w:rsidP="00000000" w:rsidRDefault="00000000" w:rsidRPr="00000000" w14:paraId="0000000C">
      <w:pPr>
        <w:rPr>
          <w:rFonts w:ascii="Cambria" w:cs="Cambria" w:eastAsia="Cambria" w:hAnsi="Cambria"/>
        </w:rPr>
      </w:pPr>
      <w:r w:rsidDel="00000000" w:rsidR="00000000" w:rsidRPr="00000000">
        <w:rPr>
          <w:rFonts w:ascii="Cambria" w:cs="Cambria" w:eastAsia="Cambria" w:hAnsi="Cambria"/>
          <w:rtl w:val="0"/>
        </w:rPr>
        <w:t xml:space="preserve">el derecho a una vivienda adecuada</w:t>
      </w:r>
    </w:p>
    <w:p w:rsidR="00000000" w:rsidDel="00000000" w:rsidP="00000000" w:rsidRDefault="00000000" w:rsidRPr="00000000" w14:paraId="0000000D">
      <w:pPr>
        <w:rPr>
          <w:rFonts w:ascii="Cambria" w:cs="Cambria" w:eastAsia="Cambria" w:hAnsi="Cambria"/>
        </w:rPr>
      </w:pPr>
      <w:r w:rsidDel="00000000" w:rsidR="00000000" w:rsidRPr="00000000">
        <w:rPr>
          <w:rtl w:val="0"/>
        </w:rPr>
      </w:r>
    </w:p>
    <w:p w:rsidR="00000000" w:rsidDel="00000000" w:rsidP="00000000" w:rsidRDefault="00000000" w:rsidRPr="00000000" w14:paraId="0000000E">
      <w:pPr>
        <w:rPr>
          <w:rFonts w:ascii="Cambria" w:cs="Cambria" w:eastAsia="Cambria" w:hAnsi="Cambria"/>
        </w:rPr>
      </w:pPr>
      <w:r w:rsidDel="00000000" w:rsidR="00000000" w:rsidRPr="00000000">
        <w:rPr>
          <w:rtl w:val="0"/>
        </w:rPr>
      </w:r>
    </w:p>
    <w:p w:rsidR="00000000" w:rsidDel="00000000" w:rsidP="00000000" w:rsidRDefault="00000000" w:rsidRPr="00000000" w14:paraId="0000000F">
      <w:pPr>
        <w:ind w:left="3600" w:firstLine="0"/>
        <w:jc w:val="left"/>
        <w:rPr>
          <w:rFonts w:ascii="Cambria" w:cs="Cambria" w:eastAsia="Cambria" w:hAnsi="Cambria"/>
          <w:b w:val="1"/>
        </w:rPr>
      </w:pPr>
      <w:r w:rsidDel="00000000" w:rsidR="00000000" w:rsidRPr="00000000">
        <w:rPr>
          <w:rFonts w:ascii="Cambria" w:cs="Cambria" w:eastAsia="Cambria" w:hAnsi="Cambria"/>
          <w:b w:val="1"/>
          <w:rtl w:val="0"/>
        </w:rPr>
        <w:t xml:space="preserve">Ref.: Contribuciones de la Sociedad Civil al informe del relator “Un lugar para vivir con dignidad para todos: Que la vivienda sea asequible</w:t>
      </w:r>
    </w:p>
    <w:p w:rsidR="00000000" w:rsidDel="00000000" w:rsidP="00000000" w:rsidRDefault="00000000" w:rsidRPr="00000000" w14:paraId="00000010">
      <w:pPr>
        <w:ind w:left="3600" w:firstLine="720"/>
        <w:jc w:val="left"/>
        <w:rPr>
          <w:rFonts w:ascii="Cambria" w:cs="Cambria" w:eastAsia="Cambria" w:hAnsi="Cambria"/>
          <w:b w:val="1"/>
        </w:rPr>
      </w:pPr>
      <w:r w:rsidDel="00000000" w:rsidR="00000000" w:rsidRPr="00000000">
        <w:rPr>
          <w:rtl w:val="0"/>
        </w:rPr>
      </w:r>
    </w:p>
    <w:p w:rsidR="00000000" w:rsidDel="00000000" w:rsidP="00000000" w:rsidRDefault="00000000" w:rsidRPr="00000000" w14:paraId="00000011">
      <w:pPr>
        <w:jc w:val="right"/>
        <w:rPr>
          <w:rFonts w:ascii="Cambria" w:cs="Cambria" w:eastAsia="Cambria" w:hAnsi="Cambria"/>
        </w:rPr>
      </w:pPr>
      <w:r w:rsidDel="00000000" w:rsidR="00000000" w:rsidRPr="00000000">
        <w:rPr>
          <w:rtl w:val="0"/>
        </w:rPr>
      </w:r>
    </w:p>
    <w:p w:rsidR="00000000" w:rsidDel="00000000" w:rsidP="00000000" w:rsidRDefault="00000000" w:rsidRPr="00000000" w14:paraId="00000012">
      <w:pPr>
        <w:jc w:val="right"/>
        <w:rPr>
          <w:rFonts w:ascii="Cambria" w:cs="Cambria" w:eastAsia="Cambria" w:hAnsi="Cambria"/>
        </w:rPr>
      </w:pPr>
      <w:r w:rsidDel="00000000" w:rsidR="00000000" w:rsidRPr="00000000">
        <w:rPr>
          <w:rtl w:val="0"/>
        </w:rPr>
      </w:r>
    </w:p>
    <w:p w:rsidR="00000000" w:rsidDel="00000000" w:rsidP="00000000" w:rsidRDefault="00000000" w:rsidRPr="00000000" w14:paraId="00000013">
      <w:pPr>
        <w:jc w:val="right"/>
        <w:rPr>
          <w:rFonts w:ascii="Cambria" w:cs="Cambria" w:eastAsia="Cambria" w:hAnsi="Cambria"/>
        </w:rPr>
      </w:pPr>
      <w:r w:rsidDel="00000000" w:rsidR="00000000" w:rsidRPr="00000000">
        <w:rPr>
          <w:rtl w:val="0"/>
        </w:rPr>
      </w:r>
    </w:p>
    <w:p w:rsidR="00000000" w:rsidDel="00000000" w:rsidP="00000000" w:rsidRDefault="00000000" w:rsidRPr="00000000" w14:paraId="00000014">
      <w:pPr>
        <w:jc w:val="both"/>
        <w:rPr>
          <w:rFonts w:ascii="Cambria" w:cs="Cambria" w:eastAsia="Cambria" w:hAnsi="Cambria"/>
        </w:rPr>
      </w:pPr>
      <w:r w:rsidDel="00000000" w:rsidR="00000000" w:rsidRPr="00000000">
        <w:rPr>
          <w:rFonts w:ascii="Cambria" w:cs="Cambria" w:eastAsia="Cambria" w:hAnsi="Cambria"/>
          <w:rtl w:val="0"/>
        </w:rPr>
        <w:t xml:space="preserve">De nuestra mayor consideración, </w:t>
      </w:r>
    </w:p>
    <w:p w:rsidR="00000000" w:rsidDel="00000000" w:rsidP="00000000" w:rsidRDefault="00000000" w:rsidRPr="00000000" w14:paraId="00000015">
      <w:pPr>
        <w:jc w:val="both"/>
        <w:rPr>
          <w:rFonts w:ascii="Cambria" w:cs="Cambria" w:eastAsia="Cambria" w:hAnsi="Cambria"/>
        </w:rPr>
      </w:pPr>
      <w:r w:rsidDel="00000000" w:rsidR="00000000" w:rsidRPr="00000000">
        <w:rPr>
          <w:rFonts w:ascii="Cambria" w:cs="Cambria" w:eastAsia="Cambria" w:hAnsi="Cambria"/>
          <w:rtl w:val="0"/>
        </w:rPr>
        <w:t xml:space="preserve">Nos dirigimos a Ud. desde el Centro de Estudios Legales y Sociales (CELS) para presentar información relativa a la situación habitacional de la Argentina en términos de asequibilidad. Esperamos que la información enviada resulte útil a la hora de elaborar su próximo informe que se presentará en el 78º período de sesiones de la Asamblea General de las Naciones Unidas</w:t>
      </w:r>
    </w:p>
    <w:p w:rsidR="00000000" w:rsidDel="00000000" w:rsidP="00000000" w:rsidRDefault="00000000" w:rsidRPr="00000000" w14:paraId="00000016">
      <w:pPr>
        <w:rPr>
          <w:rFonts w:ascii="Cambria" w:cs="Cambria" w:eastAsia="Cambria" w:hAnsi="Cambria"/>
        </w:rPr>
      </w:pPr>
      <w:r w:rsidDel="00000000" w:rsidR="00000000" w:rsidRPr="00000000">
        <w:rPr>
          <w:rtl w:val="0"/>
        </w:rPr>
      </w:r>
    </w:p>
    <w:p w:rsidR="00000000" w:rsidDel="00000000" w:rsidP="00000000" w:rsidRDefault="00000000" w:rsidRPr="00000000" w14:paraId="00000017">
      <w:pPr>
        <w:rPr>
          <w:rFonts w:ascii="Cambria" w:cs="Cambria" w:eastAsia="Cambria" w:hAnsi="Cambria"/>
        </w:rPr>
      </w:pPr>
      <w:r w:rsidDel="00000000" w:rsidR="00000000" w:rsidRPr="00000000">
        <w:rPr>
          <w:rtl w:val="0"/>
        </w:rPr>
      </w:r>
    </w:p>
    <w:p w:rsidR="00000000" w:rsidDel="00000000" w:rsidP="00000000" w:rsidRDefault="00000000" w:rsidRPr="00000000" w14:paraId="00000018">
      <w:pPr>
        <w:jc w:val="center"/>
        <w:rPr>
          <w:rFonts w:ascii="Cambria" w:cs="Cambria" w:eastAsia="Cambria" w:hAnsi="Cambria"/>
        </w:rPr>
      </w:pPr>
      <w:r w:rsidDel="00000000" w:rsidR="00000000" w:rsidRPr="00000000">
        <w:rPr>
          <w:rtl w:val="0"/>
        </w:rPr>
      </w:r>
    </w:p>
    <w:p w:rsidR="00000000" w:rsidDel="00000000" w:rsidP="00000000" w:rsidRDefault="00000000" w:rsidRPr="00000000" w14:paraId="00000019">
      <w:pPr>
        <w:rPr>
          <w:rFonts w:ascii="Cambria" w:cs="Cambria" w:eastAsia="Cambria" w:hAnsi="Cambria"/>
          <w:b w:val="1"/>
        </w:rPr>
      </w:pPr>
      <w:r w:rsidDel="00000000" w:rsidR="00000000" w:rsidRPr="00000000">
        <w:rPr>
          <w:rtl w:val="0"/>
        </w:rPr>
      </w:r>
    </w:p>
    <w:p w:rsidR="00000000" w:rsidDel="00000000" w:rsidP="00000000" w:rsidRDefault="00000000" w:rsidRPr="00000000" w14:paraId="0000001A">
      <w:pPr>
        <w:rPr>
          <w:rFonts w:ascii="Cambria" w:cs="Cambria" w:eastAsia="Cambria" w:hAnsi="Cambria"/>
          <w:b w:val="1"/>
        </w:rPr>
      </w:pPr>
      <w:r w:rsidDel="00000000" w:rsidR="00000000" w:rsidRPr="00000000">
        <w:rPr>
          <w:rtl w:val="0"/>
        </w:rPr>
      </w:r>
    </w:p>
    <w:p w:rsidR="00000000" w:rsidDel="00000000" w:rsidP="00000000" w:rsidRDefault="00000000" w:rsidRPr="00000000" w14:paraId="0000001B">
      <w:pPr>
        <w:spacing w:after="240" w:before="240" w:line="360" w:lineRule="auto"/>
        <w:ind w:left="720" w:firstLine="0"/>
        <w:jc w:val="both"/>
        <w:rPr>
          <w:rFonts w:ascii="Cambria" w:cs="Cambria" w:eastAsia="Cambria" w:hAnsi="Cambria"/>
        </w:rPr>
      </w:pPr>
      <w:r w:rsidDel="00000000" w:rsidR="00000000" w:rsidRPr="00000000">
        <w:br w:type="page"/>
      </w:r>
      <w:r w:rsidDel="00000000" w:rsidR="00000000" w:rsidRPr="00000000">
        <w:rPr>
          <w:rtl w:val="0"/>
        </w:rPr>
      </w:r>
    </w:p>
    <w:p w:rsidR="00000000" w:rsidDel="00000000" w:rsidP="00000000" w:rsidRDefault="00000000" w:rsidRPr="00000000" w14:paraId="0000001C">
      <w:pPr>
        <w:numPr>
          <w:ilvl w:val="0"/>
          <w:numId w:val="1"/>
        </w:numPr>
        <w:spacing w:after="0" w:afterAutospacing="0" w:before="240" w:line="360" w:lineRule="auto"/>
        <w:ind w:left="720" w:hanging="360"/>
        <w:jc w:val="both"/>
        <w:rPr>
          <w:rFonts w:ascii="Cambria" w:cs="Cambria" w:eastAsia="Cambria" w:hAnsi="Cambria"/>
        </w:rPr>
      </w:pPr>
      <w:r w:rsidDel="00000000" w:rsidR="00000000" w:rsidRPr="00000000">
        <w:rPr>
          <w:rFonts w:ascii="Cambria" w:cs="Cambria" w:eastAsia="Cambria" w:hAnsi="Cambria"/>
          <w:rtl w:val="0"/>
        </w:rPr>
        <w:t xml:space="preserve">A</w:t>
      </w:r>
      <w:r w:rsidDel="00000000" w:rsidR="00000000" w:rsidRPr="00000000">
        <w:rPr>
          <w:rFonts w:ascii="Cambria" w:cs="Cambria" w:eastAsia="Cambria" w:hAnsi="Cambria"/>
          <w:rtl w:val="0"/>
        </w:rPr>
        <w:t xml:space="preserve">rgentina tiene un déficit habitacional que se estima en más de 3,5 millones de viviendas: 2,2 millones son viviendas deficitarias y más de un millón tiene hacinamiento</w:t>
      </w:r>
      <w:r w:rsidDel="00000000" w:rsidR="00000000" w:rsidRPr="00000000">
        <w:rPr>
          <w:rFonts w:ascii="Cambria" w:cs="Cambria" w:eastAsia="Cambria" w:hAnsi="Cambria"/>
          <w:vertAlign w:val="superscript"/>
        </w:rPr>
        <w:footnoteReference w:customMarkFollows="0" w:id="0"/>
      </w:r>
      <w:r w:rsidDel="00000000" w:rsidR="00000000" w:rsidRPr="00000000">
        <w:rPr>
          <w:rFonts w:ascii="Cambria" w:cs="Cambria" w:eastAsia="Cambria" w:hAnsi="Cambria"/>
          <w:rtl w:val="0"/>
        </w:rPr>
        <w:t xml:space="preserve">. </w:t>
      </w:r>
    </w:p>
    <w:p w:rsidR="00000000" w:rsidDel="00000000" w:rsidP="00000000" w:rsidRDefault="00000000" w:rsidRPr="00000000" w14:paraId="0000001D">
      <w:pPr>
        <w:numPr>
          <w:ilvl w:val="0"/>
          <w:numId w:val="1"/>
        </w:numPr>
        <w:spacing w:after="240" w:before="0" w:beforeAutospacing="0" w:line="360" w:lineRule="auto"/>
        <w:ind w:left="720" w:hanging="360"/>
        <w:jc w:val="both"/>
        <w:rPr>
          <w:rFonts w:ascii="Cambria" w:cs="Cambria" w:eastAsia="Cambria" w:hAnsi="Cambria"/>
        </w:rPr>
      </w:pPr>
      <w:r w:rsidDel="00000000" w:rsidR="00000000" w:rsidRPr="00000000">
        <w:rPr>
          <w:rFonts w:ascii="Cambria" w:cs="Cambria" w:eastAsia="Cambria" w:hAnsi="Cambria"/>
          <w:rtl w:val="0"/>
        </w:rPr>
        <w:t xml:space="preserve">Según la información que elabora el Instituto Nacional de Estadísticas y Censos, en el año 2001 el 11,1% de la población argentina accedía a una vivienda vía arrendamiento. A 2022 esa población ascendió al 20,8%</w:t>
      </w:r>
      <w:r w:rsidDel="00000000" w:rsidR="00000000" w:rsidRPr="00000000">
        <w:rPr>
          <w:rFonts w:ascii="Cambria" w:cs="Cambria" w:eastAsia="Cambria" w:hAnsi="Cambria"/>
          <w:vertAlign w:val="superscript"/>
        </w:rPr>
        <w:footnoteReference w:customMarkFollows="0" w:id="1"/>
      </w:r>
      <w:r w:rsidDel="00000000" w:rsidR="00000000" w:rsidRPr="00000000">
        <w:rPr>
          <w:rFonts w:ascii="Cambria" w:cs="Cambria" w:eastAsia="Cambria" w:hAnsi="Cambria"/>
          <w:rtl w:val="0"/>
        </w:rPr>
        <w:t xml:space="preserve">. Por otro lado, existen en Argentina 5.687 asentamientos informales donde residen aproximadamente 5.000.000 de personas. La mitad de estos asentamientos surgió a partir del año 2000</w:t>
      </w:r>
      <w:r w:rsidDel="00000000" w:rsidR="00000000" w:rsidRPr="00000000">
        <w:rPr>
          <w:rFonts w:ascii="Cambria" w:cs="Cambria" w:eastAsia="Cambria" w:hAnsi="Cambria"/>
          <w:vertAlign w:val="superscript"/>
        </w:rPr>
        <w:footnoteReference w:customMarkFollows="0" w:id="2"/>
      </w:r>
      <w:r w:rsidDel="00000000" w:rsidR="00000000" w:rsidRPr="00000000">
        <w:rPr>
          <w:rFonts w:ascii="Cambria" w:cs="Cambria" w:eastAsia="Cambria" w:hAnsi="Cambria"/>
          <w:rtl w:val="0"/>
        </w:rPr>
        <w:t xml:space="preserve">. </w:t>
      </w:r>
    </w:p>
    <w:p w:rsidR="00000000" w:rsidDel="00000000" w:rsidP="00000000" w:rsidRDefault="00000000" w:rsidRPr="00000000" w14:paraId="0000001E">
      <w:pPr>
        <w:spacing w:after="240" w:before="240" w:line="360" w:lineRule="auto"/>
        <w:ind w:left="0" w:firstLine="0"/>
        <w:jc w:val="both"/>
        <w:rPr>
          <w:rFonts w:ascii="Cambria" w:cs="Cambria" w:eastAsia="Cambria" w:hAnsi="Cambria"/>
          <w:i w:val="1"/>
        </w:rPr>
      </w:pPr>
      <w:r w:rsidDel="00000000" w:rsidR="00000000" w:rsidRPr="00000000">
        <w:rPr>
          <w:rFonts w:ascii="Cambria" w:cs="Cambria" w:eastAsia="Cambria" w:hAnsi="Cambria"/>
          <w:i w:val="1"/>
          <w:rtl w:val="0"/>
        </w:rPr>
        <w:t xml:space="preserve">Dolarización del mercado inmobiliario </w:t>
      </w:r>
    </w:p>
    <w:p w:rsidR="00000000" w:rsidDel="00000000" w:rsidP="00000000" w:rsidRDefault="00000000" w:rsidRPr="00000000" w14:paraId="0000001F">
      <w:pPr>
        <w:numPr>
          <w:ilvl w:val="0"/>
          <w:numId w:val="1"/>
        </w:numPr>
        <w:spacing w:after="240" w:before="240" w:line="360" w:lineRule="auto"/>
        <w:ind w:left="720" w:hanging="360"/>
        <w:jc w:val="both"/>
        <w:rPr>
          <w:rFonts w:ascii="Cambria" w:cs="Cambria" w:eastAsia="Cambria" w:hAnsi="Cambria"/>
        </w:rPr>
      </w:pPr>
      <w:r w:rsidDel="00000000" w:rsidR="00000000" w:rsidRPr="00000000">
        <w:rPr>
          <w:rFonts w:ascii="Cambria" w:cs="Cambria" w:eastAsia="Cambria" w:hAnsi="Cambria"/>
          <w:rtl w:val="0"/>
        </w:rPr>
        <w:t xml:space="preserve">El mercado de vivienda de Argentina se encuentra dolarizado desde la década del ´70 mientras que el resto de la economía, incluídos los salarios, utilizan la moneda local. Este fenómeno opera como una barrera para la opción de compra de viviendas. Desde 2019, debido a la escasez de dólares, existe una política de restricción de compra de divisas para el ahorro personal. No está habilitado comprar más de 200 dólares por mes. Esto consolida la concepción de la vivienda como un bien de inversión, de ahorro o especulación. Quienes tienen excedente de pesos en su economía personal, utilizan el mercado inmobiliario como un vehículo para dolarizar sus ahorros. Invierten en pesos en proyectos de construcción y luego venden esos inmuebles en dólares. </w:t>
      </w:r>
    </w:p>
    <w:p w:rsidR="00000000" w:rsidDel="00000000" w:rsidP="00000000" w:rsidRDefault="00000000" w:rsidRPr="00000000" w14:paraId="00000020">
      <w:pPr>
        <w:spacing w:after="240" w:before="240" w:line="360" w:lineRule="auto"/>
        <w:ind w:left="720" w:firstLine="0"/>
        <w:jc w:val="both"/>
        <w:rPr>
          <w:rFonts w:ascii="Cambria" w:cs="Cambria" w:eastAsia="Cambria" w:hAnsi="Cambria"/>
        </w:rPr>
      </w:pPr>
      <w:r w:rsidDel="00000000" w:rsidR="00000000" w:rsidRPr="00000000">
        <w:rPr>
          <w:rFonts w:ascii="Cambria" w:cs="Cambria" w:eastAsia="Cambria" w:hAnsi="Cambria"/>
          <w:rtl w:val="0"/>
        </w:rPr>
        <w:t xml:space="preserve"> Es importante tener en cuenta la situación reciente de la macroeconomía del país. En los últimos años, Argentina entró en una espiral inflacionaria de los precios de la economía. Se pasó de una inflación anualizada del 25% en el año 2015 a 52,5% en el 2019 y de 94,8% en el año 2022. </w:t>
      </w:r>
    </w:p>
    <w:p w:rsidR="00000000" w:rsidDel="00000000" w:rsidP="00000000" w:rsidRDefault="00000000" w:rsidRPr="00000000" w14:paraId="00000021">
      <w:pPr>
        <w:numPr>
          <w:ilvl w:val="0"/>
          <w:numId w:val="1"/>
        </w:numPr>
        <w:spacing w:after="0" w:afterAutospacing="0" w:before="240" w:line="360" w:lineRule="auto"/>
        <w:ind w:left="720" w:hanging="360"/>
        <w:jc w:val="both"/>
        <w:rPr>
          <w:rFonts w:ascii="Cambria" w:cs="Cambria" w:eastAsia="Cambria" w:hAnsi="Cambria"/>
        </w:rPr>
      </w:pPr>
      <w:r w:rsidDel="00000000" w:rsidR="00000000" w:rsidRPr="00000000">
        <w:rPr>
          <w:rFonts w:ascii="Cambria" w:cs="Cambria" w:eastAsia="Cambria" w:hAnsi="Cambria"/>
          <w:rtl w:val="0"/>
        </w:rPr>
        <w:t xml:space="preserve">Por otro lado, el crédito hipotecario en Argentina es casi inexistente. En los últimos 20 años ha pasado de ocupar casi el 6% del Producto Bruto Interno a menos del 1% en 2021</w:t>
      </w:r>
      <w:r w:rsidDel="00000000" w:rsidR="00000000" w:rsidRPr="00000000">
        <w:rPr>
          <w:rFonts w:ascii="Cambria" w:cs="Cambria" w:eastAsia="Cambria" w:hAnsi="Cambria"/>
          <w:vertAlign w:val="superscript"/>
        </w:rPr>
        <w:footnoteReference w:customMarkFollows="0" w:id="3"/>
      </w:r>
      <w:r w:rsidDel="00000000" w:rsidR="00000000" w:rsidRPr="00000000">
        <w:rPr>
          <w:rFonts w:ascii="Cambria" w:cs="Cambria" w:eastAsia="Cambria" w:hAnsi="Cambria"/>
          <w:rtl w:val="0"/>
        </w:rPr>
        <w:t xml:space="preserve">. La última herramienta financiera que el Estado Nacional lanzó para la compra de viviendas fue en el año 2016, cuando creó la Unidad de Valor Adquisitivo (UVA)</w:t>
      </w:r>
      <w:r w:rsidDel="00000000" w:rsidR="00000000" w:rsidRPr="00000000">
        <w:rPr>
          <w:rFonts w:ascii="Cambria" w:cs="Cambria" w:eastAsia="Cambria" w:hAnsi="Cambria"/>
          <w:vertAlign w:val="superscript"/>
        </w:rPr>
        <w:footnoteReference w:customMarkFollows="0" w:id="4"/>
      </w:r>
      <w:r w:rsidDel="00000000" w:rsidR="00000000" w:rsidRPr="00000000">
        <w:rPr>
          <w:rFonts w:ascii="Cambria" w:cs="Cambria" w:eastAsia="Cambria" w:hAnsi="Cambria"/>
          <w:rtl w:val="0"/>
        </w:rPr>
        <w:t xml:space="preserve">. Se trata de una herramienta ideada para utilizar como unidad de transacción de bienes inmuebles. El valor de la UVA se actualiza de manera diaria y varía de acuerdo a la evolución de los precios del consumidor (bienes y servicios necesarios para la subsistencia de las personas). </w:t>
      </w:r>
    </w:p>
    <w:p w:rsidR="00000000" w:rsidDel="00000000" w:rsidP="00000000" w:rsidRDefault="00000000" w:rsidRPr="00000000" w14:paraId="00000022">
      <w:pPr>
        <w:numPr>
          <w:ilvl w:val="0"/>
          <w:numId w:val="1"/>
        </w:numPr>
        <w:spacing w:after="240" w:before="0" w:beforeAutospacing="0" w:line="360" w:lineRule="auto"/>
        <w:ind w:left="720" w:hanging="360"/>
        <w:jc w:val="both"/>
        <w:rPr>
          <w:rFonts w:ascii="Cambria" w:cs="Cambria" w:eastAsia="Cambria" w:hAnsi="Cambria"/>
        </w:rPr>
      </w:pPr>
      <w:r w:rsidDel="00000000" w:rsidR="00000000" w:rsidRPr="00000000">
        <w:rPr>
          <w:rFonts w:ascii="Cambria" w:cs="Cambria" w:eastAsia="Cambria" w:hAnsi="Cambria"/>
          <w:rtl w:val="0"/>
        </w:rPr>
        <w:t xml:space="preserve">El principal problema que tuvo esta unidad para funcionar como una herramienta de acceso a la vivienda fue el alto índice de inflación. Los precios de la economía en general -y en particular de los precios al consumidor- aumentaron de manera exponencial, muy por encima de los salarios. </w:t>
      </w:r>
    </w:p>
    <w:p w:rsidR="00000000" w:rsidDel="00000000" w:rsidP="00000000" w:rsidRDefault="00000000" w:rsidRPr="00000000" w14:paraId="00000023">
      <w:pPr>
        <w:spacing w:after="240" w:before="240" w:line="360" w:lineRule="auto"/>
        <w:ind w:left="720" w:firstLine="0"/>
        <w:jc w:val="both"/>
        <w:rPr>
          <w:rFonts w:ascii="Cambria" w:cs="Cambria" w:eastAsia="Cambria" w:hAnsi="Cambria"/>
        </w:rPr>
      </w:pPr>
      <w:r w:rsidDel="00000000" w:rsidR="00000000" w:rsidRPr="00000000">
        <w:rPr>
          <w:rFonts w:ascii="Cambria" w:cs="Cambria" w:eastAsia="Cambria" w:hAnsi="Cambria"/>
          <w:rtl w:val="0"/>
        </w:rPr>
        <w:t xml:space="preserve">Recientemente existieron dos fallos judiciales provinciales para que el valor de las cuotas se mantenga accesible. En Tierra del Fuego, el Poder Judicial ordenó una medida cautelar para que la cuota del crédito no supere el 35% de los ingresos de los deudores</w:t>
      </w:r>
      <w:r w:rsidDel="00000000" w:rsidR="00000000" w:rsidRPr="00000000">
        <w:rPr>
          <w:rFonts w:ascii="Cambria" w:cs="Cambria" w:eastAsia="Cambria" w:hAnsi="Cambria"/>
          <w:vertAlign w:val="superscript"/>
        </w:rPr>
        <w:footnoteReference w:customMarkFollows="0" w:id="5"/>
      </w:r>
      <w:r w:rsidDel="00000000" w:rsidR="00000000" w:rsidRPr="00000000">
        <w:rPr>
          <w:rFonts w:ascii="Cambria" w:cs="Cambria" w:eastAsia="Cambria" w:hAnsi="Cambria"/>
          <w:rtl w:val="0"/>
        </w:rPr>
        <w:t xml:space="preserve">. En la provincia de Mendoza, la Justicia Federal dio lugar a un pedido de un deudor para que se cambie la forma de indexar la variación de la unidad y que la cuota no supere el 30%</w:t>
      </w:r>
      <w:r w:rsidDel="00000000" w:rsidR="00000000" w:rsidRPr="00000000">
        <w:rPr>
          <w:rFonts w:ascii="Cambria" w:cs="Cambria" w:eastAsia="Cambria" w:hAnsi="Cambria"/>
          <w:vertAlign w:val="superscript"/>
        </w:rPr>
        <w:footnoteReference w:customMarkFollows="0" w:id="6"/>
      </w:r>
      <w:r w:rsidDel="00000000" w:rsidR="00000000" w:rsidRPr="00000000">
        <w:rPr>
          <w:rFonts w:ascii="Cambria" w:cs="Cambria" w:eastAsia="Cambria" w:hAnsi="Cambria"/>
          <w:rtl w:val="0"/>
        </w:rPr>
        <w:t xml:space="preserve">.</w:t>
      </w:r>
    </w:p>
    <w:p w:rsidR="00000000" w:rsidDel="00000000" w:rsidP="00000000" w:rsidRDefault="00000000" w:rsidRPr="00000000" w14:paraId="00000024">
      <w:pPr>
        <w:spacing w:after="240" w:before="240" w:line="360" w:lineRule="auto"/>
        <w:ind w:left="0" w:firstLine="0"/>
        <w:jc w:val="both"/>
        <w:rPr>
          <w:rFonts w:ascii="Cambria" w:cs="Cambria" w:eastAsia="Cambria" w:hAnsi="Cambria"/>
          <w:i w:val="1"/>
        </w:rPr>
      </w:pPr>
      <w:r w:rsidDel="00000000" w:rsidR="00000000" w:rsidRPr="00000000">
        <w:rPr>
          <w:rFonts w:ascii="Cambria" w:cs="Cambria" w:eastAsia="Cambria" w:hAnsi="Cambria"/>
          <w:i w:val="1"/>
          <w:rtl w:val="0"/>
        </w:rPr>
        <w:t xml:space="preserve">Mercado de alquileres</w:t>
      </w:r>
    </w:p>
    <w:p w:rsidR="00000000" w:rsidDel="00000000" w:rsidP="00000000" w:rsidRDefault="00000000" w:rsidRPr="00000000" w14:paraId="00000025">
      <w:pPr>
        <w:numPr>
          <w:ilvl w:val="0"/>
          <w:numId w:val="1"/>
        </w:numPr>
        <w:spacing w:after="0" w:afterAutospacing="0" w:before="240" w:line="360" w:lineRule="auto"/>
        <w:ind w:left="720" w:hanging="360"/>
        <w:jc w:val="both"/>
        <w:rPr>
          <w:rFonts w:ascii="Cambria" w:cs="Cambria" w:eastAsia="Cambria" w:hAnsi="Cambria"/>
        </w:rPr>
      </w:pPr>
      <w:r w:rsidDel="00000000" w:rsidR="00000000" w:rsidRPr="00000000">
        <w:rPr>
          <w:rFonts w:ascii="Cambria" w:cs="Cambria" w:eastAsia="Cambria" w:hAnsi="Cambria"/>
          <w:rtl w:val="0"/>
        </w:rPr>
        <w:t xml:space="preserve">La imposibilidad de acceder a la vivienda a través del mercado de compra venta aumentó la presión sobre el mercado de alquileres. Así, el modo en que funciona este mercado fue ganando protagonismo en la discusión pública de los últimos años. </w:t>
      </w:r>
    </w:p>
    <w:p w:rsidR="00000000" w:rsidDel="00000000" w:rsidP="00000000" w:rsidRDefault="00000000" w:rsidRPr="00000000" w14:paraId="00000026">
      <w:pPr>
        <w:numPr>
          <w:ilvl w:val="0"/>
          <w:numId w:val="1"/>
        </w:numPr>
        <w:spacing w:after="0" w:afterAutospacing="0" w:before="0" w:beforeAutospacing="0" w:line="360" w:lineRule="auto"/>
        <w:ind w:left="720" w:hanging="360"/>
        <w:jc w:val="both"/>
        <w:rPr>
          <w:rFonts w:ascii="Cambria" w:cs="Cambria" w:eastAsia="Cambria" w:hAnsi="Cambria"/>
        </w:rPr>
      </w:pPr>
      <w:r w:rsidDel="00000000" w:rsidR="00000000" w:rsidRPr="00000000">
        <w:rPr>
          <w:rFonts w:ascii="Cambria" w:cs="Cambria" w:eastAsia="Cambria" w:hAnsi="Cambria"/>
          <w:rtl w:val="0"/>
        </w:rPr>
        <w:t xml:space="preserve">En el año 2020, el Congreso Nacional aprobó la llamada “Ley de Alquileres”</w:t>
      </w:r>
      <w:r w:rsidDel="00000000" w:rsidR="00000000" w:rsidRPr="00000000">
        <w:rPr>
          <w:rFonts w:ascii="Cambria" w:cs="Cambria" w:eastAsia="Cambria" w:hAnsi="Cambria"/>
          <w:vertAlign w:val="superscript"/>
        </w:rPr>
        <w:footnoteReference w:customMarkFollows="0" w:id="7"/>
      </w:r>
      <w:r w:rsidDel="00000000" w:rsidR="00000000" w:rsidRPr="00000000">
        <w:rPr>
          <w:rFonts w:ascii="Cambria" w:cs="Cambria" w:eastAsia="Cambria" w:hAnsi="Cambria"/>
          <w:rtl w:val="0"/>
        </w:rPr>
        <w:t xml:space="preserve"> que mejoró sustancialmente las condiciones de alquilar para les inquilinos. Concretamente, la ley amplió la duración mínima del contrato, amplió el abanico de garantías a presentar, dispuso la creación de un programa de alquiler social, entre otras medidas. En cuanto a la accesibilidad del alquiler, la ley regula los aumentos de precios. En lugar de que los aumentos queden librados a la libre negociación entre locador y locatario (una negociación entre dos partes muy desiguales); la ley crea un índice para definir los aumentos, que promedia entre el aumento de precios y el aumento de los salarios. Además establece que los aumentos no pueden darse con más frecuencia que una vez por año. Esto es particularmente relevante en un contexto de altísima inflación. </w:t>
      </w:r>
    </w:p>
    <w:p w:rsidR="00000000" w:rsidDel="00000000" w:rsidP="00000000" w:rsidRDefault="00000000" w:rsidRPr="00000000" w14:paraId="00000027">
      <w:pPr>
        <w:numPr>
          <w:ilvl w:val="0"/>
          <w:numId w:val="1"/>
        </w:numPr>
        <w:spacing w:after="240" w:before="0" w:beforeAutospacing="0" w:line="360" w:lineRule="auto"/>
        <w:ind w:left="720" w:hanging="360"/>
        <w:jc w:val="both"/>
        <w:rPr>
          <w:rFonts w:ascii="Cambria" w:cs="Cambria" w:eastAsia="Cambria" w:hAnsi="Cambria"/>
        </w:rPr>
      </w:pPr>
      <w:r w:rsidDel="00000000" w:rsidR="00000000" w:rsidRPr="00000000">
        <w:rPr>
          <w:rFonts w:ascii="Cambria" w:cs="Cambria" w:eastAsia="Cambria" w:hAnsi="Cambria"/>
          <w:rtl w:val="0"/>
        </w:rPr>
        <w:t xml:space="preserve">Sin embargo, desde su sanción, ninguna oficina del Estado Nacional -tampoco ninguna agencia de ningún gobierno local- se hizo cargo de hacer cumplir la ley. En una encuesta telefónica que hizo el CELS junto con organizaciones aliadas a hogares inquilinos de Área Metropolitana de Buenos Aires, el 60% respondió que asume aumentos por encima de lo que establece la ley</w:t>
      </w:r>
      <w:r w:rsidDel="00000000" w:rsidR="00000000" w:rsidRPr="00000000">
        <w:rPr>
          <w:rFonts w:ascii="Cambria" w:cs="Cambria" w:eastAsia="Cambria" w:hAnsi="Cambria"/>
          <w:vertAlign w:val="superscript"/>
        </w:rPr>
        <w:footnoteReference w:customMarkFollows="0" w:id="8"/>
      </w:r>
      <w:r w:rsidDel="00000000" w:rsidR="00000000" w:rsidRPr="00000000">
        <w:rPr>
          <w:rFonts w:ascii="Cambria" w:cs="Cambria" w:eastAsia="Cambria" w:hAnsi="Cambria"/>
          <w:rtl w:val="0"/>
        </w:rPr>
        <w:t xml:space="preserve">. Tampoco se avanzó en la implementación del Programa de Alquiler Social, creado por la ley. </w:t>
      </w:r>
    </w:p>
    <w:p w:rsidR="00000000" w:rsidDel="00000000" w:rsidP="00000000" w:rsidRDefault="00000000" w:rsidRPr="00000000" w14:paraId="00000028">
      <w:pPr>
        <w:spacing w:after="240" w:before="240" w:line="360" w:lineRule="auto"/>
        <w:jc w:val="both"/>
        <w:rPr>
          <w:rFonts w:ascii="Cambria" w:cs="Cambria" w:eastAsia="Cambria" w:hAnsi="Cambria"/>
          <w:i w:val="1"/>
        </w:rPr>
      </w:pPr>
      <w:r w:rsidDel="00000000" w:rsidR="00000000" w:rsidRPr="00000000">
        <w:rPr>
          <w:rFonts w:ascii="Cambria" w:cs="Cambria" w:eastAsia="Cambria" w:hAnsi="Cambria"/>
          <w:i w:val="1"/>
          <w:rtl w:val="0"/>
        </w:rPr>
        <w:t xml:space="preserve">La situación de la Ciudad Autónoma de Buenos Aires</w:t>
      </w:r>
    </w:p>
    <w:p w:rsidR="00000000" w:rsidDel="00000000" w:rsidP="00000000" w:rsidRDefault="00000000" w:rsidRPr="00000000" w14:paraId="00000029">
      <w:pPr>
        <w:numPr>
          <w:ilvl w:val="0"/>
          <w:numId w:val="1"/>
        </w:numPr>
        <w:spacing w:after="0" w:afterAutospacing="0" w:before="240" w:line="360" w:lineRule="auto"/>
        <w:ind w:left="720" w:hanging="360"/>
        <w:jc w:val="both"/>
        <w:rPr>
          <w:rFonts w:ascii="Cambria" w:cs="Cambria" w:eastAsia="Cambria" w:hAnsi="Cambria"/>
        </w:rPr>
      </w:pPr>
      <w:r w:rsidDel="00000000" w:rsidR="00000000" w:rsidRPr="00000000">
        <w:rPr>
          <w:rFonts w:ascii="Cambria" w:cs="Cambria" w:eastAsia="Cambria" w:hAnsi="Cambria"/>
          <w:rtl w:val="0"/>
        </w:rPr>
        <w:t xml:space="preserve">La ciudad de Buenos Aires concentra la mayor cantidad de inquilinos de todo el país. Más de un millón de personas acceden a la vivienda a través del mercado de alquileres.</w:t>
      </w:r>
      <w:r w:rsidDel="00000000" w:rsidR="00000000" w:rsidRPr="00000000">
        <w:rPr>
          <w:rtl w:val="0"/>
        </w:rPr>
      </w:r>
    </w:p>
    <w:p w:rsidR="00000000" w:rsidDel="00000000" w:rsidP="00000000" w:rsidRDefault="00000000" w:rsidRPr="00000000" w14:paraId="0000002A">
      <w:pPr>
        <w:numPr>
          <w:ilvl w:val="0"/>
          <w:numId w:val="1"/>
        </w:numPr>
        <w:spacing w:after="0" w:afterAutospacing="0" w:before="0" w:beforeAutospacing="0" w:line="360" w:lineRule="auto"/>
        <w:ind w:left="720" w:hanging="360"/>
        <w:jc w:val="both"/>
        <w:rPr>
          <w:rFonts w:ascii="Cambria" w:cs="Cambria" w:eastAsia="Cambria" w:hAnsi="Cambria"/>
        </w:rPr>
      </w:pPr>
      <w:r w:rsidDel="00000000" w:rsidR="00000000" w:rsidRPr="00000000">
        <w:rPr>
          <w:rFonts w:ascii="Cambria" w:cs="Cambria" w:eastAsia="Cambria" w:hAnsi="Cambria"/>
          <w:rtl w:val="0"/>
        </w:rPr>
        <w:t xml:space="preserve">Durante 2022, la publicación de anuncios de alquiler tradicional en la Ciudad de Buenos Aires en dólares pasó de representar un 13% (en enero) a un 24% (en diciembre) del total</w:t>
      </w:r>
      <w:r w:rsidDel="00000000" w:rsidR="00000000" w:rsidRPr="00000000">
        <w:rPr>
          <w:rFonts w:ascii="Cambria" w:cs="Cambria" w:eastAsia="Cambria" w:hAnsi="Cambria"/>
          <w:vertAlign w:val="superscript"/>
        </w:rPr>
        <w:footnoteReference w:customMarkFollows="0" w:id="9"/>
      </w:r>
      <w:r w:rsidDel="00000000" w:rsidR="00000000" w:rsidRPr="00000000">
        <w:rPr>
          <w:rFonts w:ascii="Cambria" w:cs="Cambria" w:eastAsia="Cambria" w:hAnsi="Cambria"/>
          <w:rtl w:val="0"/>
        </w:rPr>
        <w:t xml:space="preserve">. En febrero de 2023 se registraron 17.823 propiedades completas ofrecidas en la plataforma </w:t>
      </w:r>
      <w:r w:rsidDel="00000000" w:rsidR="00000000" w:rsidRPr="00000000">
        <w:rPr>
          <w:rFonts w:ascii="Cambria" w:cs="Cambria" w:eastAsia="Cambria" w:hAnsi="Cambria"/>
          <w:i w:val="1"/>
          <w:rtl w:val="0"/>
        </w:rPr>
        <w:t xml:space="preserve">Airbnb</w:t>
      </w:r>
      <w:r w:rsidDel="00000000" w:rsidR="00000000" w:rsidRPr="00000000">
        <w:rPr>
          <w:rFonts w:ascii="Cambria" w:cs="Cambria" w:eastAsia="Cambria" w:hAnsi="Cambria"/>
          <w:rtl w:val="0"/>
        </w:rPr>
        <w:t xml:space="preserve"> en la Ciudad de Buenos Aires, superando los niveles de oferta anteriores a la pandemia. Se trata de unidades que se retiran del parque habitacional y dejan de estar disponibles para los y las residentes permanentes y presiona sobre las condiciones del conjunto de la oferta. </w:t>
      </w:r>
      <w:r w:rsidDel="00000000" w:rsidR="00000000" w:rsidRPr="00000000">
        <w:rPr>
          <w:rFonts w:ascii="Cambria" w:cs="Cambria" w:eastAsia="Cambria" w:hAnsi="Cambria"/>
          <w:rtl w:val="0"/>
        </w:rPr>
        <w:t xml:space="preserve"> </w:t>
      </w:r>
    </w:p>
    <w:p w:rsidR="00000000" w:rsidDel="00000000" w:rsidP="00000000" w:rsidRDefault="00000000" w:rsidRPr="00000000" w14:paraId="0000002B">
      <w:pPr>
        <w:numPr>
          <w:ilvl w:val="0"/>
          <w:numId w:val="1"/>
        </w:numPr>
        <w:spacing w:after="0" w:afterAutospacing="0" w:before="0" w:beforeAutospacing="0" w:line="360" w:lineRule="auto"/>
        <w:ind w:left="720" w:hanging="360"/>
        <w:jc w:val="both"/>
        <w:rPr>
          <w:rFonts w:ascii="Cambria" w:cs="Cambria" w:eastAsia="Cambria" w:hAnsi="Cambria"/>
        </w:rPr>
      </w:pPr>
      <w:r w:rsidDel="00000000" w:rsidR="00000000" w:rsidRPr="00000000">
        <w:rPr>
          <w:rFonts w:ascii="Cambria" w:cs="Cambria" w:eastAsia="Cambria" w:hAnsi="Cambria"/>
          <w:rtl w:val="0"/>
        </w:rPr>
        <w:t xml:space="preserve">La consolidación de la plataforma </w:t>
      </w:r>
      <w:r w:rsidDel="00000000" w:rsidR="00000000" w:rsidRPr="00000000">
        <w:rPr>
          <w:rFonts w:ascii="Cambria" w:cs="Cambria" w:eastAsia="Cambria" w:hAnsi="Cambria"/>
          <w:i w:val="1"/>
          <w:rtl w:val="0"/>
        </w:rPr>
        <w:t xml:space="preserve">Airbnb </w:t>
      </w:r>
      <w:r w:rsidDel="00000000" w:rsidR="00000000" w:rsidRPr="00000000">
        <w:rPr>
          <w:rFonts w:ascii="Cambria" w:cs="Cambria" w:eastAsia="Cambria" w:hAnsi="Cambria"/>
          <w:rtl w:val="0"/>
        </w:rPr>
        <w:t xml:space="preserve">como mercado de alquiler temporal, fue promovida desde el Gobierno de la Ciudad. En 2019 firmó un convenio con la plataforma por medio del cual se comprometió a legalizar su actividad y no realizar acciones en su contra. Además, el gobierno de la ciudad creó un registro de inmuebles ofrecidos para el mercado turístico. Sin embargo, según información que trascendió públicamente</w:t>
      </w:r>
      <w:r w:rsidDel="00000000" w:rsidR="00000000" w:rsidRPr="00000000">
        <w:rPr>
          <w:rFonts w:ascii="Cambria" w:cs="Cambria" w:eastAsia="Cambria" w:hAnsi="Cambria"/>
          <w:vertAlign w:val="superscript"/>
        </w:rPr>
        <w:footnoteReference w:customMarkFollows="0" w:id="10"/>
      </w:r>
      <w:r w:rsidDel="00000000" w:rsidR="00000000" w:rsidRPr="00000000">
        <w:rPr>
          <w:rFonts w:ascii="Cambria" w:cs="Cambria" w:eastAsia="Cambria" w:hAnsi="Cambria"/>
          <w:rtl w:val="0"/>
        </w:rPr>
        <w:t xml:space="preserve">, el registro sólo contiene 357 viviendas, casi el 2% de la totalidad ofrecidas en </w:t>
      </w:r>
      <w:r w:rsidDel="00000000" w:rsidR="00000000" w:rsidRPr="00000000">
        <w:rPr>
          <w:rFonts w:ascii="Cambria" w:cs="Cambria" w:eastAsia="Cambria" w:hAnsi="Cambria"/>
          <w:i w:val="1"/>
          <w:rtl w:val="0"/>
        </w:rPr>
        <w:t xml:space="preserve">Airbnb</w:t>
      </w:r>
      <w:r w:rsidDel="00000000" w:rsidR="00000000" w:rsidRPr="00000000">
        <w:rPr>
          <w:rFonts w:ascii="Cambria" w:cs="Cambria" w:eastAsia="Cambria" w:hAnsi="Cambria"/>
          <w:rtl w:val="0"/>
        </w:rPr>
        <w:t xml:space="preserve">. </w:t>
      </w:r>
    </w:p>
    <w:p w:rsidR="00000000" w:rsidDel="00000000" w:rsidP="00000000" w:rsidRDefault="00000000" w:rsidRPr="00000000" w14:paraId="0000002C">
      <w:pPr>
        <w:numPr>
          <w:ilvl w:val="0"/>
          <w:numId w:val="1"/>
        </w:numPr>
        <w:spacing w:after="0" w:afterAutospacing="0" w:before="0" w:beforeAutospacing="0" w:line="360" w:lineRule="auto"/>
        <w:ind w:left="720" w:hanging="360"/>
        <w:jc w:val="both"/>
        <w:rPr>
          <w:rFonts w:ascii="Cambria" w:cs="Cambria" w:eastAsia="Cambria" w:hAnsi="Cambria"/>
        </w:rPr>
      </w:pPr>
      <w:r w:rsidDel="00000000" w:rsidR="00000000" w:rsidRPr="00000000">
        <w:rPr>
          <w:rFonts w:ascii="Cambria" w:cs="Cambria" w:eastAsia="Cambria" w:hAnsi="Cambria"/>
          <w:rtl w:val="0"/>
        </w:rPr>
        <w:t xml:space="preserve">La Ciudad de Buenos Aires cuenta con una política de subsidios habitacionales para personas que no tienen donde vivir. A través del </w:t>
      </w:r>
      <w:r w:rsidDel="00000000" w:rsidR="00000000" w:rsidRPr="00000000">
        <w:rPr>
          <w:rFonts w:ascii="Cambria" w:cs="Cambria" w:eastAsia="Cambria" w:hAnsi="Cambria"/>
          <w:rtl w:val="0"/>
        </w:rPr>
        <w:t xml:space="preserve">Decreto N° 690, el gobierno entrega subsidios a aquellas familias que atestiguan no tener vivienda, generalmente desalojados. Desde octubre de 2022 el monto promedio en los beneficiarios totales es de </w:t>
      </w:r>
      <w:r w:rsidDel="00000000" w:rsidR="00000000" w:rsidRPr="00000000">
        <w:rPr>
          <w:rFonts w:ascii="Cambria" w:cs="Cambria" w:eastAsia="Cambria" w:hAnsi="Cambria"/>
          <w:rtl w:val="0"/>
        </w:rPr>
        <w:t xml:space="preserve">$20.313</w:t>
      </w:r>
      <w:r w:rsidDel="00000000" w:rsidR="00000000" w:rsidRPr="00000000">
        <w:rPr>
          <w:rFonts w:ascii="Cambria" w:cs="Cambria" w:eastAsia="Cambria" w:hAnsi="Cambria"/>
          <w:vertAlign w:val="superscript"/>
        </w:rPr>
        <w:footnoteReference w:customMarkFollows="0" w:id="11"/>
      </w:r>
      <w:r w:rsidDel="00000000" w:rsidR="00000000" w:rsidRPr="00000000">
        <w:rPr>
          <w:rFonts w:ascii="Cambria" w:cs="Cambria" w:eastAsia="Cambria" w:hAnsi="Cambria"/>
          <w:rtl w:val="0"/>
        </w:rPr>
        <w:t xml:space="preserve">. Según el relevamiento que realiza el Centro de Estudios Scalabrini Ortiz, para ese mismo período un monoambiente -sin incluir expensas- rondaba los $60.000. Es decir, el monto del subsidio no alcanza para cubrir el gasto de un departamento pequeño en la Ciudad. </w:t>
      </w:r>
    </w:p>
    <w:p w:rsidR="00000000" w:rsidDel="00000000" w:rsidP="00000000" w:rsidRDefault="00000000" w:rsidRPr="00000000" w14:paraId="0000002D">
      <w:pPr>
        <w:numPr>
          <w:ilvl w:val="0"/>
          <w:numId w:val="1"/>
        </w:numPr>
        <w:spacing w:after="0" w:afterAutospacing="0" w:before="0" w:beforeAutospacing="0" w:line="360" w:lineRule="auto"/>
        <w:ind w:left="720" w:hanging="360"/>
        <w:jc w:val="both"/>
        <w:rPr>
          <w:rFonts w:ascii="Cambria" w:cs="Cambria" w:eastAsia="Cambria" w:hAnsi="Cambria"/>
        </w:rPr>
      </w:pPr>
      <w:r w:rsidDel="00000000" w:rsidR="00000000" w:rsidRPr="00000000">
        <w:rPr>
          <w:rFonts w:ascii="Cambria" w:cs="Cambria" w:eastAsia="Cambria" w:hAnsi="Cambria"/>
          <w:rtl w:val="0"/>
        </w:rPr>
        <w:t xml:space="preserve">Aquellos hogares inquilinos que judicializan el decreto nro. 690 logran obtener otros montos subsidiados. Si bien los montos son muy diversos puesto que buscan cubrir la totalidad del alquiler, para mayo de 2022, variaba entre los $30.000 y $50.000 pesos mensuales.</w:t>
      </w:r>
      <w:r w:rsidDel="00000000" w:rsidR="00000000" w:rsidRPr="00000000">
        <w:rPr>
          <w:rFonts w:ascii="Cambria" w:cs="Cambria" w:eastAsia="Cambria" w:hAnsi="Cambria"/>
          <w:rtl w:val="0"/>
        </w:rPr>
        <w:t xml:space="preserve"> </w:t>
      </w:r>
    </w:p>
    <w:p w:rsidR="00000000" w:rsidDel="00000000" w:rsidP="00000000" w:rsidRDefault="00000000" w:rsidRPr="00000000" w14:paraId="0000002E">
      <w:pPr>
        <w:numPr>
          <w:ilvl w:val="0"/>
          <w:numId w:val="1"/>
        </w:numPr>
        <w:spacing w:after="0" w:afterAutospacing="0" w:before="0" w:beforeAutospacing="0" w:line="360" w:lineRule="auto"/>
        <w:ind w:left="720" w:hanging="360"/>
        <w:jc w:val="both"/>
        <w:rPr>
          <w:rFonts w:ascii="Cambria" w:cs="Cambria" w:eastAsia="Cambria" w:hAnsi="Cambria"/>
        </w:rPr>
      </w:pPr>
      <w:r w:rsidDel="00000000" w:rsidR="00000000" w:rsidRPr="00000000">
        <w:rPr>
          <w:rFonts w:ascii="Cambria" w:cs="Cambria" w:eastAsia="Cambria" w:hAnsi="Cambria"/>
          <w:rtl w:val="0"/>
        </w:rPr>
        <w:t xml:space="preserve">Recientemente, el Gobierno de la Ciudad de Buenos Aires lanzó un programa de créditos para los hogares inquilinos con los objetivos de: afrontar los gastos de ingreso (pago adelantado, depósito y gastos que puedan surgir); que los propietarios puedan arreglar sus viviendas y volcarlas al mercado y  que los propios inquilinos sean quienes arreglen la vivienda que van a alquilar</w:t>
      </w:r>
      <w:r w:rsidDel="00000000" w:rsidR="00000000" w:rsidRPr="00000000">
        <w:rPr>
          <w:rFonts w:ascii="Cambria" w:cs="Cambria" w:eastAsia="Cambria" w:hAnsi="Cambria"/>
          <w:vertAlign w:val="superscript"/>
        </w:rPr>
        <w:footnoteReference w:customMarkFollows="0" w:id="12"/>
      </w:r>
      <w:r w:rsidDel="00000000" w:rsidR="00000000" w:rsidRPr="00000000">
        <w:rPr>
          <w:rFonts w:ascii="Cambria" w:cs="Cambria" w:eastAsia="Cambria" w:hAnsi="Cambria"/>
          <w:rtl w:val="0"/>
        </w:rPr>
        <w:t xml:space="preserve">. Se trata de una enfoque monetarista del problema, donde el Estado aparece </w:t>
      </w:r>
      <w:r w:rsidDel="00000000" w:rsidR="00000000" w:rsidRPr="00000000">
        <w:rPr>
          <w:rFonts w:ascii="Cambria" w:cs="Cambria" w:eastAsia="Cambria" w:hAnsi="Cambria"/>
          <w:rtl w:val="0"/>
        </w:rPr>
        <w:t xml:space="preserve">únicamente</w:t>
      </w:r>
      <w:r w:rsidDel="00000000" w:rsidR="00000000" w:rsidRPr="00000000">
        <w:rPr>
          <w:rFonts w:ascii="Cambria" w:cs="Cambria" w:eastAsia="Cambria" w:hAnsi="Cambria"/>
          <w:rtl w:val="0"/>
        </w:rPr>
        <w:t xml:space="preserve"> con un rol de financiamiento. Sin embargo, la medida no toma en cuenta la situación financiera de la mayoría de los inquilinos. Según la encuesta que realizamos junto a otras organizaciones</w:t>
      </w:r>
      <w:r w:rsidDel="00000000" w:rsidR="00000000" w:rsidRPr="00000000">
        <w:rPr>
          <w:rFonts w:ascii="Cambria" w:cs="Cambria" w:eastAsia="Cambria" w:hAnsi="Cambria"/>
          <w:vertAlign w:val="superscript"/>
        </w:rPr>
        <w:footnoteReference w:customMarkFollows="0" w:id="13"/>
      </w:r>
      <w:r w:rsidDel="00000000" w:rsidR="00000000" w:rsidRPr="00000000">
        <w:rPr>
          <w:rFonts w:ascii="Cambria" w:cs="Cambria" w:eastAsia="Cambria" w:hAnsi="Cambria"/>
          <w:rtl w:val="0"/>
        </w:rPr>
        <w:t xml:space="preserve">, más del 60% de los hogares inquilinos del Área Metropolitana de Buenos Aires se encuentra endeudado. Estos hogares inquilinos que toman deuda, la usan principalmente para pagar el alquiler. </w:t>
      </w:r>
    </w:p>
    <w:p w:rsidR="00000000" w:rsidDel="00000000" w:rsidP="00000000" w:rsidRDefault="00000000" w:rsidRPr="00000000" w14:paraId="0000002F">
      <w:pPr>
        <w:numPr>
          <w:ilvl w:val="0"/>
          <w:numId w:val="1"/>
        </w:numPr>
        <w:spacing w:after="160" w:before="0" w:beforeAutospacing="0" w:line="360" w:lineRule="auto"/>
        <w:ind w:left="720" w:hanging="360"/>
        <w:jc w:val="both"/>
        <w:rPr>
          <w:rFonts w:ascii="Cambria" w:cs="Cambria" w:eastAsia="Cambria" w:hAnsi="Cambria"/>
        </w:rPr>
      </w:pPr>
      <w:r w:rsidDel="00000000" w:rsidR="00000000" w:rsidRPr="00000000">
        <w:rPr>
          <w:rFonts w:ascii="Cambria" w:cs="Cambria" w:eastAsia="Cambria" w:hAnsi="Cambria"/>
          <w:rtl w:val="0"/>
        </w:rPr>
        <w:t xml:space="preserve">Además, si bien los inquilinos se encuentran con mayor nivel de ocupación que el año pasado, destinan más ingresos para poder pagar el alquiler. Según la encuesta, mientras que en 2021 el 24% de los hogares destinaron más de la mitad de sus ingresos para pagar el alquiler</w:t>
      </w:r>
      <w:r w:rsidDel="00000000" w:rsidR="00000000" w:rsidRPr="00000000">
        <w:rPr>
          <w:rFonts w:ascii="Cambria" w:cs="Cambria" w:eastAsia="Cambria" w:hAnsi="Cambria"/>
          <w:vertAlign w:val="superscript"/>
        </w:rPr>
        <w:footnoteReference w:customMarkFollows="0" w:id="14"/>
      </w:r>
      <w:r w:rsidDel="00000000" w:rsidR="00000000" w:rsidRPr="00000000">
        <w:rPr>
          <w:rFonts w:ascii="Cambria" w:cs="Cambria" w:eastAsia="Cambria" w:hAnsi="Cambria"/>
          <w:rtl w:val="0"/>
        </w:rPr>
        <w:t xml:space="preserve">, en 2022 este porcentaje llegó al 32%. </w:t>
      </w:r>
      <w:r w:rsidDel="00000000" w:rsidR="00000000" w:rsidRPr="00000000">
        <w:rPr>
          <w:rtl w:val="0"/>
        </w:rPr>
      </w:r>
    </w:p>
    <w:p w:rsidR="00000000" w:rsidDel="00000000" w:rsidP="00000000" w:rsidRDefault="00000000" w:rsidRPr="00000000" w14:paraId="00000030">
      <w:pPr>
        <w:spacing w:after="280" w:before="280" w:lineRule="auto"/>
        <w:ind w:left="0" w:firstLine="0"/>
        <w:jc w:val="both"/>
        <w:rPr>
          <w:rFonts w:ascii="Cambria" w:cs="Cambria" w:eastAsia="Cambria" w:hAnsi="Cambria"/>
        </w:rPr>
      </w:pPr>
      <w:r w:rsidDel="00000000" w:rsidR="00000000" w:rsidRPr="00000000">
        <w:rPr>
          <w:rtl w:val="0"/>
        </w:rPr>
      </w:r>
    </w:p>
    <w:p w:rsidR="00000000" w:rsidDel="00000000" w:rsidP="00000000" w:rsidRDefault="00000000" w:rsidRPr="00000000" w14:paraId="00000031">
      <w:pPr>
        <w:rPr>
          <w:rFonts w:ascii="Cambria" w:cs="Cambria" w:eastAsia="Cambria" w:hAnsi="Cambria"/>
          <w:b w:val="1"/>
        </w:rPr>
      </w:pPr>
      <w:r w:rsidDel="00000000" w:rsidR="00000000" w:rsidRPr="00000000">
        <w:rPr>
          <w:rtl w:val="0"/>
        </w:rPr>
      </w:r>
    </w:p>
    <w:p w:rsidR="00000000" w:rsidDel="00000000" w:rsidP="00000000" w:rsidRDefault="00000000" w:rsidRPr="00000000" w14:paraId="00000032">
      <w:pPr>
        <w:rPr>
          <w:rFonts w:ascii="Cambria" w:cs="Cambria" w:eastAsia="Cambria" w:hAnsi="Cambria"/>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3">
    <w:p w:rsidR="00000000" w:rsidDel="00000000" w:rsidP="00000000" w:rsidRDefault="00000000" w:rsidRPr="00000000" w14:paraId="00000033">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sz w:val="20"/>
          <w:szCs w:val="20"/>
          <w:rtl w:val="0"/>
        </w:rPr>
        <w:t xml:space="preserve">Gonzalez Rouco (2021), “Dueños o Inquilinos”, Editorial Unión. </w:t>
      </w:r>
      <w:r w:rsidDel="00000000" w:rsidR="00000000" w:rsidRPr="00000000">
        <w:rPr>
          <w:rtl w:val="0"/>
        </w:rPr>
      </w:r>
    </w:p>
  </w:footnote>
  <w:footnote w:id="4">
    <w:p w:rsidR="00000000" w:rsidDel="00000000" w:rsidP="00000000" w:rsidRDefault="00000000" w:rsidRPr="00000000" w14:paraId="00000034">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1">
        <w:r w:rsidDel="00000000" w:rsidR="00000000" w:rsidRPr="00000000">
          <w:rPr>
            <w:color w:val="1155cc"/>
            <w:sz w:val="20"/>
            <w:szCs w:val="20"/>
            <w:u w:val="single"/>
            <w:rtl w:val="0"/>
          </w:rPr>
          <w:t xml:space="preserve">https://observatorio.unr.edu.ar/unidad-en-valor-adquisitivo-uva/</w:t>
        </w:r>
      </w:hyperlink>
      <w:r w:rsidDel="00000000" w:rsidR="00000000" w:rsidRPr="00000000">
        <w:rPr>
          <w:sz w:val="20"/>
          <w:szCs w:val="20"/>
          <w:rtl w:val="0"/>
        </w:rPr>
        <w:t xml:space="preserve"> </w:t>
      </w:r>
    </w:p>
  </w:footnote>
  <w:footnote w:id="1">
    <w:p w:rsidR="00000000" w:rsidDel="00000000" w:rsidP="00000000" w:rsidRDefault="00000000" w:rsidRPr="00000000" w14:paraId="00000035">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Resultados de la Encuesta Permanente de Hogares, tercer trimestre del año 2022, Instituto Nacional de Estadísticas y Censos. </w:t>
      </w:r>
    </w:p>
  </w:footnote>
  <w:footnote w:id="2">
    <w:p w:rsidR="00000000" w:rsidDel="00000000" w:rsidP="00000000" w:rsidRDefault="00000000" w:rsidRPr="00000000" w14:paraId="00000036">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Información resultante del Registro Nacional de Barrios Populares (RENABAP) actualizado el año 2020. Disponible en: </w:t>
      </w:r>
      <w:hyperlink r:id="rId2">
        <w:r w:rsidDel="00000000" w:rsidR="00000000" w:rsidRPr="00000000">
          <w:rPr>
            <w:color w:val="1155cc"/>
            <w:sz w:val="20"/>
            <w:szCs w:val="20"/>
            <w:u w:val="single"/>
            <w:rtl w:val="0"/>
          </w:rPr>
          <w:t xml:space="preserve">https://argentina.techo.org/renabap/</w:t>
        </w:r>
      </w:hyperlink>
      <w:r w:rsidDel="00000000" w:rsidR="00000000" w:rsidRPr="00000000">
        <w:rPr>
          <w:sz w:val="20"/>
          <w:szCs w:val="20"/>
          <w:rtl w:val="0"/>
        </w:rPr>
        <w:t xml:space="preserve"> </w:t>
      </w:r>
    </w:p>
  </w:footnote>
  <w:footnote w:id="7">
    <w:p w:rsidR="00000000" w:rsidDel="00000000" w:rsidP="00000000" w:rsidRDefault="00000000" w:rsidRPr="00000000" w14:paraId="00000037">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Detalle de la norma disponible en: </w:t>
      </w:r>
      <w:hyperlink r:id="rId3">
        <w:r w:rsidDel="00000000" w:rsidR="00000000" w:rsidRPr="00000000">
          <w:rPr>
            <w:color w:val="1155cc"/>
            <w:sz w:val="20"/>
            <w:szCs w:val="20"/>
            <w:u w:val="single"/>
            <w:rtl w:val="0"/>
          </w:rPr>
          <w:t xml:space="preserve">https://www.argentina.gob.ar/justicia/derechofacil/leysimple/alquileres</w:t>
        </w:r>
      </w:hyperlink>
      <w:r w:rsidDel="00000000" w:rsidR="00000000" w:rsidRPr="00000000">
        <w:rPr>
          <w:sz w:val="20"/>
          <w:szCs w:val="20"/>
          <w:rtl w:val="0"/>
        </w:rPr>
        <w:t xml:space="preserve"> </w:t>
      </w:r>
    </w:p>
  </w:footnote>
  <w:footnote w:id="9">
    <w:p w:rsidR="00000000" w:rsidDel="00000000" w:rsidP="00000000" w:rsidRDefault="00000000" w:rsidRPr="00000000" w14:paraId="00000038">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Relevamiento realizado por Sergio Rosanovich a publicarse proximamente. </w:t>
      </w:r>
    </w:p>
  </w:footnote>
  <w:footnote w:id="10">
    <w:p w:rsidR="00000000" w:rsidDel="00000000" w:rsidP="00000000" w:rsidRDefault="00000000" w:rsidRPr="00000000" w14:paraId="00000039">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4">
        <w:r w:rsidDel="00000000" w:rsidR="00000000" w:rsidRPr="00000000">
          <w:rPr>
            <w:color w:val="1155cc"/>
            <w:sz w:val="20"/>
            <w:szCs w:val="20"/>
            <w:u w:val="single"/>
            <w:rtl w:val="0"/>
          </w:rPr>
          <w:t xml:space="preserve">https://www.pagina12.com.ar/525652-alquiler-para-pocos-sin-control-estatal</w:t>
        </w:r>
      </w:hyperlink>
      <w:r w:rsidDel="00000000" w:rsidR="00000000" w:rsidRPr="00000000">
        <w:rPr>
          <w:sz w:val="20"/>
          <w:szCs w:val="20"/>
          <w:rtl w:val="0"/>
        </w:rPr>
        <w:t xml:space="preserve"> </w:t>
      </w:r>
    </w:p>
  </w:footnote>
  <w:footnote w:id="11">
    <w:p w:rsidR="00000000" w:rsidDel="00000000" w:rsidP="00000000" w:rsidRDefault="00000000" w:rsidRPr="00000000" w14:paraId="0000003A">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Según Decreto N° 248/22 del Gobierno de la Ciudad de Buenos Aires.</w:t>
      </w:r>
    </w:p>
  </w:footnote>
  <w:footnote w:id="12">
    <w:p w:rsidR="00000000" w:rsidDel="00000000" w:rsidP="00000000" w:rsidRDefault="00000000" w:rsidRPr="00000000" w14:paraId="0000003B">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5">
        <w:r w:rsidDel="00000000" w:rsidR="00000000" w:rsidRPr="00000000">
          <w:rPr>
            <w:color w:val="1155cc"/>
            <w:sz w:val="20"/>
            <w:szCs w:val="20"/>
            <w:u w:val="single"/>
            <w:rtl w:val="0"/>
          </w:rPr>
          <w:t xml:space="preserve">https://vivienda.buenosaires.gob.ar/#top</w:t>
        </w:r>
      </w:hyperlink>
      <w:r w:rsidDel="00000000" w:rsidR="00000000" w:rsidRPr="00000000">
        <w:rPr>
          <w:sz w:val="20"/>
          <w:szCs w:val="20"/>
          <w:rtl w:val="0"/>
        </w:rPr>
        <w:t xml:space="preserve"> </w:t>
      </w:r>
    </w:p>
  </w:footnote>
  <w:footnote w:id="0">
    <w:p w:rsidR="00000000" w:rsidDel="00000000" w:rsidP="00000000" w:rsidRDefault="00000000" w:rsidRPr="00000000" w14:paraId="0000003C">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Subsecretaría de Vivienda (2018) en Documento de Trabajo n° 181, “La política habitacional en Argentina. Una mirada a través de los Institutos de vivienda”, Centro de Implementación de Políticas Públicas para la Equidad y el Crecimiento (2018).</w:t>
      </w:r>
    </w:p>
  </w:footnote>
  <w:footnote w:id="5">
    <w:p w:rsidR="00000000" w:rsidDel="00000000" w:rsidP="00000000" w:rsidRDefault="00000000" w:rsidRPr="00000000" w14:paraId="0000003D">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6">
        <w:r w:rsidDel="00000000" w:rsidR="00000000" w:rsidRPr="00000000">
          <w:rPr>
            <w:color w:val="1155cc"/>
            <w:sz w:val="20"/>
            <w:szCs w:val="20"/>
            <w:u w:val="single"/>
            <w:rtl w:val="0"/>
          </w:rPr>
          <w:t xml:space="preserve">https://www.surenio.com.ar/medida-cautelar-por-los-creditos-uva/</w:t>
        </w:r>
      </w:hyperlink>
      <w:r w:rsidDel="00000000" w:rsidR="00000000" w:rsidRPr="00000000">
        <w:rPr>
          <w:sz w:val="20"/>
          <w:szCs w:val="20"/>
          <w:rtl w:val="0"/>
        </w:rPr>
        <w:t xml:space="preserve"> </w:t>
      </w:r>
    </w:p>
  </w:footnote>
  <w:footnote w:id="6">
    <w:p w:rsidR="00000000" w:rsidDel="00000000" w:rsidP="00000000" w:rsidRDefault="00000000" w:rsidRPr="00000000" w14:paraId="0000003E">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7">
        <w:r w:rsidDel="00000000" w:rsidR="00000000" w:rsidRPr="00000000">
          <w:rPr>
            <w:color w:val="1155cc"/>
            <w:sz w:val="20"/>
            <w:szCs w:val="20"/>
            <w:u w:val="single"/>
            <w:rtl w:val="0"/>
          </w:rPr>
          <w:t xml:space="preserve">https://www.losandes.com.ar/economia/la-justicia-federal-de-mendoza-fallo-a-favor-de-un-deudor-hipotecario-uva-asi-debera-pagar-ahora-sus-cuotas/</w:t>
        </w:r>
      </w:hyperlink>
      <w:r w:rsidDel="00000000" w:rsidR="00000000" w:rsidRPr="00000000">
        <w:rPr>
          <w:sz w:val="20"/>
          <w:szCs w:val="20"/>
          <w:rtl w:val="0"/>
        </w:rPr>
        <w:t xml:space="preserve"> </w:t>
      </w:r>
    </w:p>
  </w:footnote>
  <w:footnote w:id="13">
    <w:p w:rsidR="00000000" w:rsidDel="00000000" w:rsidP="00000000" w:rsidRDefault="00000000" w:rsidRPr="00000000" w14:paraId="0000003F">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Link al informe completo: </w:t>
      </w:r>
      <w:hyperlink r:id="rId8">
        <w:r w:rsidDel="00000000" w:rsidR="00000000" w:rsidRPr="00000000">
          <w:rPr>
            <w:color w:val="1155cc"/>
            <w:sz w:val="20"/>
            <w:szCs w:val="20"/>
            <w:u w:val="single"/>
            <w:rtl w:val="0"/>
          </w:rPr>
          <w:t xml:space="preserve">https://www.cels.org.ar/web/wp-content/uploads/2023/04/version-final.pdf</w:t>
        </w:r>
      </w:hyperlink>
      <w:r w:rsidDel="00000000" w:rsidR="00000000" w:rsidRPr="00000000">
        <w:rPr>
          <w:sz w:val="20"/>
          <w:szCs w:val="20"/>
          <w:rtl w:val="0"/>
        </w:rPr>
        <w:t xml:space="preserve"> </w:t>
      </w:r>
    </w:p>
  </w:footnote>
  <w:footnote w:id="8">
    <w:p w:rsidR="00000000" w:rsidDel="00000000" w:rsidP="00000000" w:rsidRDefault="00000000" w:rsidRPr="00000000" w14:paraId="00000040">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Link al informe completo: </w:t>
      </w:r>
      <w:hyperlink r:id="rId9">
        <w:r w:rsidDel="00000000" w:rsidR="00000000" w:rsidRPr="00000000">
          <w:rPr>
            <w:color w:val="1155cc"/>
            <w:sz w:val="20"/>
            <w:szCs w:val="20"/>
            <w:u w:val="single"/>
            <w:rtl w:val="0"/>
          </w:rPr>
          <w:t xml:space="preserve">https://www.cels.org.ar/web/wp-content/uploads/2023/04/version-final.pdf</w:t>
        </w:r>
      </w:hyperlink>
      <w:r w:rsidDel="00000000" w:rsidR="00000000" w:rsidRPr="00000000">
        <w:rPr>
          <w:sz w:val="20"/>
          <w:szCs w:val="20"/>
          <w:rtl w:val="0"/>
        </w:rPr>
        <w:t xml:space="preserve"> </w:t>
      </w:r>
    </w:p>
  </w:footnote>
  <w:footnote w:id="14">
    <w:p w:rsidR="00000000" w:rsidDel="00000000" w:rsidP="00000000" w:rsidRDefault="00000000" w:rsidRPr="00000000" w14:paraId="00000041">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https://www.cels.org.ar/web/publicaciones/el-indice-de-vulnerabilidad-inquilina-ivi-de-la-escuela-idaes-unsam-y-el-cels/</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fontTable" Target="fontTable.xml"/><Relationship Id="rId7" Type="http://schemas.openxmlformats.org/officeDocument/2006/relationships/image" Target="media/image1.jpg"/><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1" Type="http://schemas.openxmlformats.org/officeDocument/2006/relationships/hyperlink" Target="https://observatorio.unr.edu.ar/unidad-en-valor-adquisitivo-uva/" TargetMode="External"/><Relationship Id="rId2" Type="http://schemas.openxmlformats.org/officeDocument/2006/relationships/hyperlink" Target="https://argentina.techo.org/renabap/" TargetMode="External"/><Relationship Id="rId3" Type="http://schemas.openxmlformats.org/officeDocument/2006/relationships/hyperlink" Target="https://www.argentina.gob.ar/justicia/derechofacil/leysimple/alquileres" TargetMode="External"/><Relationship Id="rId4" Type="http://schemas.openxmlformats.org/officeDocument/2006/relationships/hyperlink" Target="https://www.pagina12.com.ar/525652-alquiler-para-pocos-sin-control-estatal" TargetMode="External"/><Relationship Id="rId9" Type="http://schemas.openxmlformats.org/officeDocument/2006/relationships/hyperlink" Target="https://www.cels.org.ar/web/wp-content/uploads/2023/04/version-final.pdf" TargetMode="External"/><Relationship Id="rId5" Type="http://schemas.openxmlformats.org/officeDocument/2006/relationships/hyperlink" Target="https://vivienda.buenosaires.gob.ar/#top" TargetMode="External"/><Relationship Id="rId6" Type="http://schemas.openxmlformats.org/officeDocument/2006/relationships/hyperlink" Target="https://www.surenio.com.ar/medida-cautelar-por-los-creditos-uva/" TargetMode="External"/><Relationship Id="rId7" Type="http://schemas.openxmlformats.org/officeDocument/2006/relationships/hyperlink" Target="https://www.losandes.com.ar/economia/la-justicia-federal-de-mendoza-fallo-a-favor-de-un-deudor-hipotecario-uva-asi-debera-pagar-ahora-sus-cuotas/" TargetMode="External"/><Relationship Id="rId8" Type="http://schemas.openxmlformats.org/officeDocument/2006/relationships/hyperlink" Target="https://www.cels.org.ar/web/wp-content/uploads/2023/04/version-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C40202FEBBA843BF41687ADE7B54CC" ma:contentTypeVersion="12" ma:contentTypeDescription="Create a new document." ma:contentTypeScope="" ma:versionID="b03a9ca0f58b7180e5670647e9f3ac12">
  <xsd:schema xmlns:xsd="http://www.w3.org/2001/XMLSchema" xmlns:xs="http://www.w3.org/2001/XMLSchema" xmlns:p="http://schemas.microsoft.com/office/2006/metadata/properties" xmlns:ns2="c8192cb1-67bb-4ce5-82db-0b25b399d117" xmlns:ns3="9c2e4527-2efa-4ade-b3d6-b2418af14986" xmlns:ns4="985ec44e-1bab-4c0b-9df0-6ba128686fc9" targetNamespace="http://schemas.microsoft.com/office/2006/metadata/properties" ma:root="true" ma:fieldsID="248b4766c80033b2846011ec563a1e4a" ns2:_="" ns3:_="" ns4:_="">
    <xsd:import namespace="c8192cb1-67bb-4ce5-82db-0b25b399d117"/>
    <xsd:import namespace="9c2e4527-2efa-4ade-b3d6-b2418af14986"/>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192cb1-67bb-4ce5-82db-0b25b399d1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74afd02e-5a56-4f93-83f9-320cd14d78c4}" ma:internalName="TaxCatchAll" ma:showField="CatchAllData" ma:web="9c2e4527-2efa-4ade-b3d6-b2418af1498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c8192cb1-67bb-4ce5-82db-0b25b399d11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84AAB14-B3B2-498D-8845-E325CF1239D0}"/>
</file>

<file path=customXml/itemProps2.xml><?xml version="1.0" encoding="utf-8"?>
<ds:datastoreItem xmlns:ds="http://schemas.openxmlformats.org/officeDocument/2006/customXml" ds:itemID="{E419DE71-19DC-4B3D-BB49-7B10326E2AFD}"/>
</file>

<file path=customXml/itemProps3.xml><?xml version="1.0" encoding="utf-8"?>
<ds:datastoreItem xmlns:ds="http://schemas.openxmlformats.org/officeDocument/2006/customXml" ds:itemID="{482FA66F-7FE4-4696-A8CD-05891CF3F481}"/>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0x0101009DC40202FEBBA843BF41687ADE7B54CC</vt:lpwstr>
  </property>
</Properties>
</file>