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8676A" w14:textId="77777777" w:rsidR="003F7398" w:rsidRPr="00421325" w:rsidRDefault="003F7398" w:rsidP="00421325">
      <w:pPr>
        <w:spacing w:after="0" w:line="240" w:lineRule="auto"/>
        <w:jc w:val="center"/>
        <w:rPr>
          <w:rFonts w:ascii="Arial" w:hAnsi="Arial" w:cs="Arial"/>
          <w:b/>
          <w:sz w:val="16"/>
          <w:szCs w:val="12"/>
        </w:rPr>
      </w:pPr>
    </w:p>
    <w:p w14:paraId="1F7907A7" w14:textId="41B50B95" w:rsidR="00136F3E" w:rsidRDefault="00136F3E" w:rsidP="00421325">
      <w:pPr>
        <w:spacing w:after="120" w:line="240" w:lineRule="auto"/>
        <w:jc w:val="center"/>
        <w:rPr>
          <w:rFonts w:ascii="Arial" w:hAnsi="Arial" w:cs="Arial"/>
          <w:b/>
          <w:sz w:val="28"/>
        </w:rPr>
      </w:pPr>
      <w:r w:rsidRPr="00421325">
        <w:rPr>
          <w:rFonts w:ascii="Arial" w:hAnsi="Arial" w:cs="Arial"/>
          <w:b/>
          <w:sz w:val="28"/>
        </w:rPr>
        <w:t xml:space="preserve">Statement by </w:t>
      </w:r>
      <w:proofErr w:type="spellStart"/>
      <w:r w:rsidRPr="00421325">
        <w:rPr>
          <w:rFonts w:ascii="Arial" w:hAnsi="Arial" w:cs="Arial"/>
          <w:b/>
          <w:sz w:val="28"/>
        </w:rPr>
        <w:t>Torsten</w:t>
      </w:r>
      <w:proofErr w:type="spellEnd"/>
      <w:r w:rsidRPr="00421325">
        <w:rPr>
          <w:rFonts w:ascii="Arial" w:hAnsi="Arial" w:cs="Arial"/>
          <w:b/>
          <w:sz w:val="28"/>
        </w:rPr>
        <w:t xml:space="preserve"> </w:t>
      </w:r>
      <w:proofErr w:type="spellStart"/>
      <w:r w:rsidRPr="00421325">
        <w:rPr>
          <w:rFonts w:ascii="Arial" w:hAnsi="Arial" w:cs="Arial"/>
          <w:b/>
          <w:sz w:val="28"/>
        </w:rPr>
        <w:t>Hjelmar</w:t>
      </w:r>
      <w:proofErr w:type="spellEnd"/>
    </w:p>
    <w:p w14:paraId="79DD181D" w14:textId="3BCC78E8" w:rsidR="00421325" w:rsidRPr="00421325" w:rsidRDefault="00421325" w:rsidP="00421325">
      <w:pPr>
        <w:spacing w:after="120" w:line="240" w:lineRule="auto"/>
        <w:jc w:val="center"/>
        <w:rPr>
          <w:rFonts w:ascii="Arial" w:hAnsi="Arial" w:cs="Arial"/>
          <w:b/>
          <w:sz w:val="28"/>
        </w:rPr>
      </w:pPr>
      <w:r>
        <w:rPr>
          <w:rFonts w:ascii="Arial" w:hAnsi="Arial" w:cs="Arial"/>
          <w:b/>
          <w:sz w:val="28"/>
        </w:rPr>
        <w:t>Citizens Commission on Human Rights Europe</w:t>
      </w:r>
    </w:p>
    <w:p w14:paraId="36745C65" w14:textId="3A99C267" w:rsidR="00136F3E" w:rsidRPr="00421325" w:rsidRDefault="00136F3E" w:rsidP="00421325">
      <w:pPr>
        <w:spacing w:after="120" w:line="240" w:lineRule="auto"/>
        <w:jc w:val="center"/>
        <w:rPr>
          <w:rFonts w:ascii="Arial" w:hAnsi="Arial" w:cs="Arial"/>
          <w:b/>
        </w:rPr>
      </w:pPr>
      <w:r w:rsidRPr="00421325">
        <w:rPr>
          <w:rFonts w:ascii="Arial" w:hAnsi="Arial" w:cs="Arial"/>
          <w:b/>
        </w:rPr>
        <w:t>for</w:t>
      </w:r>
    </w:p>
    <w:p w14:paraId="2D38D949" w14:textId="6CBE1B7B" w:rsidR="00EA1989" w:rsidRPr="00421325" w:rsidRDefault="00EA1989" w:rsidP="00421325">
      <w:pPr>
        <w:tabs>
          <w:tab w:val="center" w:pos="4513"/>
          <w:tab w:val="right" w:pos="9026"/>
        </w:tabs>
        <w:spacing w:after="40" w:line="240" w:lineRule="auto"/>
        <w:jc w:val="center"/>
        <w:rPr>
          <w:rFonts w:ascii="Arial" w:hAnsi="Arial" w:cs="Arial"/>
        </w:rPr>
      </w:pPr>
      <w:r w:rsidRPr="00421325">
        <w:rPr>
          <w:rFonts w:ascii="Arial" w:hAnsi="Arial" w:cs="Arial"/>
          <w:b/>
          <w:sz w:val="36"/>
        </w:rPr>
        <w:t xml:space="preserve">Consultation on </w:t>
      </w:r>
      <w:r w:rsidR="007A3263" w:rsidRPr="00421325">
        <w:rPr>
          <w:rFonts w:ascii="Arial" w:hAnsi="Arial" w:cs="Arial"/>
          <w:b/>
          <w:sz w:val="36"/>
        </w:rPr>
        <w:t>mental health and human rights</w:t>
      </w:r>
    </w:p>
    <w:p w14:paraId="78F49F35" w14:textId="43C88B0C" w:rsidR="00EA1989" w:rsidRPr="00421325" w:rsidRDefault="004F6842" w:rsidP="00421325">
      <w:pPr>
        <w:spacing w:after="0" w:line="240" w:lineRule="auto"/>
        <w:jc w:val="center"/>
        <w:rPr>
          <w:rFonts w:ascii="Arial" w:hAnsi="Arial" w:cs="Arial"/>
          <w:sz w:val="24"/>
        </w:rPr>
      </w:pPr>
      <w:r w:rsidRPr="00421325">
        <w:rPr>
          <w:rFonts w:ascii="Arial" w:hAnsi="Arial" w:cs="Arial"/>
          <w:sz w:val="24"/>
        </w:rPr>
        <w:t>23</w:t>
      </w:r>
      <w:r w:rsidR="00EA1989" w:rsidRPr="00421325">
        <w:rPr>
          <w:rFonts w:ascii="Arial" w:hAnsi="Arial" w:cs="Arial"/>
          <w:sz w:val="24"/>
        </w:rPr>
        <w:t xml:space="preserve"> </w:t>
      </w:r>
      <w:r w:rsidRPr="00421325">
        <w:rPr>
          <w:rFonts w:ascii="Arial" w:hAnsi="Arial" w:cs="Arial"/>
          <w:sz w:val="24"/>
        </w:rPr>
        <w:t>October</w:t>
      </w:r>
      <w:r w:rsidR="00EA1989" w:rsidRPr="00421325">
        <w:rPr>
          <w:rFonts w:ascii="Arial" w:hAnsi="Arial" w:cs="Arial"/>
          <w:sz w:val="24"/>
        </w:rPr>
        <w:t xml:space="preserve"> 202</w:t>
      </w:r>
      <w:r w:rsidRPr="00421325">
        <w:rPr>
          <w:rFonts w:ascii="Arial" w:hAnsi="Arial" w:cs="Arial"/>
          <w:sz w:val="24"/>
        </w:rPr>
        <w:t>4</w:t>
      </w:r>
      <w:r w:rsidR="00EA1989" w:rsidRPr="00421325">
        <w:rPr>
          <w:rFonts w:ascii="Arial" w:hAnsi="Arial" w:cs="Arial"/>
          <w:sz w:val="24"/>
        </w:rPr>
        <w:t xml:space="preserve"> | 10 – 1</w:t>
      </w:r>
      <w:r w:rsidRPr="00421325">
        <w:rPr>
          <w:rFonts w:ascii="Arial" w:hAnsi="Arial" w:cs="Arial"/>
          <w:sz w:val="24"/>
        </w:rPr>
        <w:t>3</w:t>
      </w:r>
      <w:r w:rsidR="00EA1989" w:rsidRPr="00421325">
        <w:rPr>
          <w:rFonts w:ascii="Arial" w:hAnsi="Arial" w:cs="Arial"/>
          <w:sz w:val="24"/>
        </w:rPr>
        <w:t xml:space="preserve"> &amp; 15</w:t>
      </w:r>
      <w:r w:rsidR="007A3263" w:rsidRPr="00421325">
        <w:rPr>
          <w:rFonts w:ascii="Arial" w:hAnsi="Arial" w:cs="Arial"/>
          <w:sz w:val="24"/>
        </w:rPr>
        <w:t xml:space="preserve"> – </w:t>
      </w:r>
      <w:r w:rsidR="00EA1989" w:rsidRPr="00421325">
        <w:rPr>
          <w:rFonts w:ascii="Arial" w:hAnsi="Arial" w:cs="Arial"/>
          <w:sz w:val="24"/>
        </w:rPr>
        <w:t>17</w:t>
      </w:r>
      <w:r w:rsidRPr="00421325">
        <w:rPr>
          <w:rFonts w:ascii="Arial" w:hAnsi="Arial" w:cs="Arial"/>
          <w:sz w:val="24"/>
        </w:rPr>
        <w:t xml:space="preserve"> </w:t>
      </w:r>
      <w:r w:rsidR="00EA1989" w:rsidRPr="00421325">
        <w:rPr>
          <w:rFonts w:ascii="Arial" w:hAnsi="Arial" w:cs="Arial"/>
          <w:sz w:val="24"/>
        </w:rPr>
        <w:t>CEST</w:t>
      </w:r>
    </w:p>
    <w:p w14:paraId="3FF60029" w14:textId="0E621D6E" w:rsidR="00EF5D83" w:rsidRDefault="00EF5D83" w:rsidP="00421325">
      <w:pPr>
        <w:spacing w:after="0" w:line="240" w:lineRule="auto"/>
        <w:jc w:val="both"/>
        <w:rPr>
          <w:rFonts w:ascii="Arial" w:hAnsi="Arial" w:cs="Arial"/>
        </w:rPr>
      </w:pPr>
    </w:p>
    <w:p w14:paraId="650FC506" w14:textId="56BD6BD4" w:rsidR="00606DFF" w:rsidRPr="00042B23" w:rsidRDefault="00606DFF" w:rsidP="00421325">
      <w:pPr>
        <w:spacing w:after="80" w:line="240" w:lineRule="auto"/>
        <w:rPr>
          <w:rFonts w:ascii="inherit" w:hAnsi="inherit" w:cs="Arial"/>
        </w:rPr>
      </w:pPr>
      <w:r w:rsidRPr="00042B23">
        <w:rPr>
          <w:rFonts w:ascii="inherit" w:hAnsi="inherit" w:cs="Arial"/>
        </w:rPr>
        <w:t xml:space="preserve">Dear </w:t>
      </w:r>
      <w:r w:rsidR="00C543CD" w:rsidRPr="00042B23">
        <w:rPr>
          <w:rFonts w:ascii="inherit" w:hAnsi="inherit" w:cs="Arial"/>
        </w:rPr>
        <w:t xml:space="preserve">Excellencies, </w:t>
      </w:r>
      <w:r w:rsidRPr="00042B23">
        <w:rPr>
          <w:rFonts w:ascii="inherit" w:hAnsi="inherit" w:cs="Arial"/>
        </w:rPr>
        <w:t xml:space="preserve">friends, </w:t>
      </w:r>
      <w:r w:rsidR="00C543CD" w:rsidRPr="00042B23">
        <w:rPr>
          <w:rFonts w:ascii="inherit" w:hAnsi="inherit" w:cs="Arial"/>
        </w:rPr>
        <w:t xml:space="preserve">and </w:t>
      </w:r>
      <w:r w:rsidR="004F6842" w:rsidRPr="00042B23">
        <w:rPr>
          <w:rFonts w:ascii="inherit" w:hAnsi="inherit" w:cs="Arial"/>
        </w:rPr>
        <w:t>colleagues</w:t>
      </w:r>
      <w:r w:rsidRPr="00042B23">
        <w:rPr>
          <w:rFonts w:ascii="inherit" w:hAnsi="inherit" w:cs="Arial"/>
        </w:rPr>
        <w:t xml:space="preserve">, </w:t>
      </w:r>
    </w:p>
    <w:p w14:paraId="5EE0FE76" w14:textId="7665CCFF" w:rsidR="001F3FC5" w:rsidRPr="00042B23" w:rsidRDefault="001F3FC5" w:rsidP="00421325">
      <w:pPr>
        <w:autoSpaceDE w:val="0"/>
        <w:autoSpaceDN w:val="0"/>
        <w:adjustRightInd w:val="0"/>
        <w:spacing w:after="80" w:line="240" w:lineRule="auto"/>
        <w:rPr>
          <w:rFonts w:ascii="inherit" w:hAnsi="inherit" w:cs="Arial"/>
        </w:rPr>
      </w:pPr>
      <w:r w:rsidRPr="00042B23">
        <w:rPr>
          <w:rFonts w:ascii="inherit" w:hAnsi="inherit" w:cs="Arial"/>
        </w:rPr>
        <w:t xml:space="preserve">We have advantages and challenges </w:t>
      </w:r>
      <w:r w:rsidR="00560412" w:rsidRPr="00042B23">
        <w:rPr>
          <w:rFonts w:ascii="inherit" w:hAnsi="inherit" w:cs="Arial"/>
        </w:rPr>
        <w:t xml:space="preserve">in </w:t>
      </w:r>
      <w:r w:rsidRPr="00042B23">
        <w:rPr>
          <w:rFonts w:ascii="inherit" w:hAnsi="inherit" w:cs="Arial"/>
        </w:rPr>
        <w:t xml:space="preserve">Europe when advocating for </w:t>
      </w:r>
      <w:r w:rsidR="00560412" w:rsidRPr="00042B23">
        <w:rPr>
          <w:rFonts w:ascii="inherit" w:hAnsi="inherit" w:cs="Arial"/>
        </w:rPr>
        <w:t>human rights in mental health</w:t>
      </w:r>
      <w:r w:rsidR="00560412" w:rsidRPr="00042B23">
        <w:rPr>
          <w:rFonts w:ascii="inherit" w:hAnsi="inherit" w:cs="Arial"/>
        </w:rPr>
        <w:t xml:space="preserve"> </w:t>
      </w:r>
      <w:r w:rsidRPr="00042B23">
        <w:rPr>
          <w:rFonts w:ascii="inherit" w:hAnsi="inherit" w:cs="Arial"/>
        </w:rPr>
        <w:t>a</w:t>
      </w:r>
      <w:r w:rsidR="00375619" w:rsidRPr="00042B23">
        <w:rPr>
          <w:rFonts w:ascii="inherit" w:hAnsi="inherit" w:cs="Arial"/>
        </w:rPr>
        <w:t>s evident from</w:t>
      </w:r>
      <w:r w:rsidRPr="00042B23">
        <w:rPr>
          <w:rFonts w:ascii="inherit" w:hAnsi="inherit" w:cs="Arial"/>
        </w:rPr>
        <w:t xml:space="preserve"> </w:t>
      </w:r>
      <w:r w:rsidR="006317D5">
        <w:rPr>
          <w:rFonts w:ascii="inherit" w:hAnsi="inherit" w:cs="Arial"/>
        </w:rPr>
        <w:t xml:space="preserve">years of </w:t>
      </w:r>
      <w:r w:rsidR="00375619" w:rsidRPr="00042B23">
        <w:rPr>
          <w:rFonts w:ascii="inherit" w:hAnsi="inherit" w:cs="Arial"/>
        </w:rPr>
        <w:t xml:space="preserve">experience </w:t>
      </w:r>
      <w:r w:rsidR="003F5783" w:rsidRPr="00042B23">
        <w:rPr>
          <w:rFonts w:ascii="inherit" w:hAnsi="inherit" w:cs="Arial"/>
        </w:rPr>
        <w:t xml:space="preserve">in 18 European countries </w:t>
      </w:r>
      <w:r w:rsidR="00375619" w:rsidRPr="00042B23">
        <w:rPr>
          <w:rFonts w:ascii="inherit" w:hAnsi="inherit" w:cs="Arial"/>
        </w:rPr>
        <w:t xml:space="preserve">of advocating for and </w:t>
      </w:r>
      <w:r w:rsidRPr="00042B23">
        <w:rPr>
          <w:rFonts w:ascii="inherit" w:hAnsi="inherit" w:cs="Arial"/>
        </w:rPr>
        <w:t xml:space="preserve">dealing with </w:t>
      </w:r>
      <w:r w:rsidR="00375619" w:rsidRPr="00042B23">
        <w:rPr>
          <w:rFonts w:ascii="inherit" w:hAnsi="inherit" w:cs="Arial"/>
        </w:rPr>
        <w:t xml:space="preserve">various </w:t>
      </w:r>
      <w:r w:rsidRPr="00042B23">
        <w:rPr>
          <w:rFonts w:ascii="inherit" w:hAnsi="inherit" w:cs="Arial"/>
        </w:rPr>
        <w:t xml:space="preserve">stakeholders, </w:t>
      </w:r>
      <w:r w:rsidR="003F5783" w:rsidRPr="00042B23">
        <w:rPr>
          <w:rFonts w:ascii="inherit" w:hAnsi="inherit" w:cs="Arial"/>
        </w:rPr>
        <w:t xml:space="preserve">from legislators, </w:t>
      </w:r>
      <w:r w:rsidRPr="00042B23">
        <w:rPr>
          <w:rFonts w:ascii="inherit" w:hAnsi="inherit" w:cs="Arial"/>
        </w:rPr>
        <w:t xml:space="preserve">central administration officials and experts </w:t>
      </w:r>
      <w:r w:rsidR="003F5783" w:rsidRPr="00042B23">
        <w:rPr>
          <w:rFonts w:ascii="inherit" w:hAnsi="inherit" w:cs="Arial"/>
        </w:rPr>
        <w:t>to</w:t>
      </w:r>
      <w:r w:rsidRPr="00042B23">
        <w:rPr>
          <w:rFonts w:ascii="inherit" w:hAnsi="inherit" w:cs="Arial"/>
        </w:rPr>
        <w:t xml:space="preserve"> </w:t>
      </w:r>
      <w:r w:rsidR="003F5783" w:rsidRPr="00042B23">
        <w:rPr>
          <w:rFonts w:ascii="inherit" w:hAnsi="inherit" w:cs="Arial"/>
        </w:rPr>
        <w:t xml:space="preserve">mental </w:t>
      </w:r>
      <w:r w:rsidRPr="00042B23">
        <w:rPr>
          <w:rFonts w:ascii="inherit" w:hAnsi="inherit" w:cs="Arial"/>
        </w:rPr>
        <w:t xml:space="preserve">health care system representatives </w:t>
      </w:r>
      <w:r w:rsidR="00375619" w:rsidRPr="00042B23">
        <w:rPr>
          <w:rFonts w:ascii="inherit" w:hAnsi="inherit" w:cs="Arial"/>
        </w:rPr>
        <w:t xml:space="preserve">and </w:t>
      </w:r>
      <w:r w:rsidRPr="00042B23">
        <w:rPr>
          <w:rFonts w:ascii="inherit" w:hAnsi="inherit" w:cs="Arial"/>
        </w:rPr>
        <w:t>other decisionmakers.</w:t>
      </w:r>
    </w:p>
    <w:p w14:paraId="62CEFC44" w14:textId="13F09AE1" w:rsidR="00B81F9C" w:rsidRPr="00042B23" w:rsidRDefault="00B81F9C" w:rsidP="00421325">
      <w:pPr>
        <w:autoSpaceDE w:val="0"/>
        <w:autoSpaceDN w:val="0"/>
        <w:adjustRightInd w:val="0"/>
        <w:spacing w:after="80" w:line="240" w:lineRule="auto"/>
        <w:rPr>
          <w:rFonts w:ascii="inherit" w:hAnsi="inherit" w:cs="Arial"/>
        </w:rPr>
      </w:pPr>
      <w:r w:rsidRPr="00042B23">
        <w:rPr>
          <w:rFonts w:ascii="inherit" w:hAnsi="inherit" w:cs="Arial"/>
        </w:rPr>
        <w:t xml:space="preserve">I believe we are all painfully aware </w:t>
      </w:r>
      <w:r w:rsidR="00375619" w:rsidRPr="00042B23">
        <w:rPr>
          <w:rFonts w:ascii="inherit" w:hAnsi="inherit" w:cs="Arial"/>
        </w:rPr>
        <w:t xml:space="preserve">of </w:t>
      </w:r>
      <w:r w:rsidRPr="00042B23">
        <w:rPr>
          <w:rFonts w:ascii="inherit" w:hAnsi="inherit" w:cs="Arial"/>
        </w:rPr>
        <w:t xml:space="preserve">and faced with challenges such as stigma and factor related to omission on implementing the Social Determinants of health as well as a psychiatric system that </w:t>
      </w:r>
      <w:r w:rsidR="003F5783" w:rsidRPr="00042B23">
        <w:rPr>
          <w:rFonts w:ascii="inherit" w:hAnsi="inherit" w:cs="Arial"/>
        </w:rPr>
        <w:t xml:space="preserve">still and largely unchanged </w:t>
      </w:r>
      <w:r w:rsidRPr="00042B23">
        <w:rPr>
          <w:rFonts w:ascii="inherit" w:hAnsi="inherit" w:cs="Arial"/>
        </w:rPr>
        <w:t xml:space="preserve">too often relies </w:t>
      </w:r>
      <w:r w:rsidR="00282D0E" w:rsidRPr="00042B23">
        <w:rPr>
          <w:rFonts w:ascii="inherit" w:hAnsi="inherit" w:cs="Arial"/>
        </w:rPr>
        <w:t xml:space="preserve">on </w:t>
      </w:r>
      <w:r w:rsidRPr="00042B23">
        <w:rPr>
          <w:rFonts w:ascii="inherit" w:hAnsi="inherit" w:cs="Arial"/>
        </w:rPr>
        <w:t>inhuman</w:t>
      </w:r>
      <w:r w:rsidR="00282D0E" w:rsidRPr="00042B23">
        <w:rPr>
          <w:rFonts w:ascii="inherit" w:hAnsi="inherit" w:cs="Arial"/>
        </w:rPr>
        <w:t>e</w:t>
      </w:r>
      <w:r w:rsidRPr="00042B23">
        <w:rPr>
          <w:rFonts w:ascii="inherit" w:hAnsi="inherit" w:cs="Arial"/>
        </w:rPr>
        <w:t xml:space="preserve"> and outdated practices such as coercion and the biomedical model.</w:t>
      </w:r>
      <w:r w:rsidR="003F5783" w:rsidRPr="00042B23">
        <w:rPr>
          <w:rFonts w:ascii="inherit" w:hAnsi="inherit" w:cs="Arial"/>
        </w:rPr>
        <w:t xml:space="preserve"> </w:t>
      </w:r>
    </w:p>
    <w:p w14:paraId="49C9985F" w14:textId="6C125F9E" w:rsidR="00D01FDA" w:rsidRPr="00042B23" w:rsidRDefault="003F5783" w:rsidP="00D01FDA">
      <w:pPr>
        <w:autoSpaceDE w:val="0"/>
        <w:autoSpaceDN w:val="0"/>
        <w:adjustRightInd w:val="0"/>
        <w:spacing w:after="80" w:line="240" w:lineRule="auto"/>
        <w:rPr>
          <w:rFonts w:ascii="inherit" w:hAnsi="inherit" w:cs="Arial"/>
        </w:rPr>
      </w:pPr>
      <w:r w:rsidRPr="00042B23">
        <w:rPr>
          <w:rFonts w:ascii="inherit" w:hAnsi="inherit" w:cs="Arial"/>
        </w:rPr>
        <w:t>One of the most important and yet widely unrecognized factors when discussing policy measures</w:t>
      </w:r>
      <w:r w:rsidR="00282D0E" w:rsidRPr="00042B23">
        <w:rPr>
          <w:rFonts w:ascii="inherit" w:hAnsi="inherit" w:cs="Arial"/>
        </w:rPr>
        <w:t xml:space="preserve"> in Europe</w:t>
      </w:r>
      <w:r w:rsidRPr="00042B23">
        <w:rPr>
          <w:rFonts w:ascii="inherit" w:hAnsi="inherit" w:cs="Arial"/>
        </w:rPr>
        <w:t xml:space="preserve"> and the need for </w:t>
      </w:r>
      <w:r w:rsidR="00282D0E" w:rsidRPr="00042B23">
        <w:rPr>
          <w:rFonts w:ascii="inherit" w:hAnsi="inherit" w:cs="Arial"/>
        </w:rPr>
        <w:t xml:space="preserve">the </w:t>
      </w:r>
      <w:r w:rsidRPr="00042B23">
        <w:rPr>
          <w:rFonts w:ascii="inherit" w:hAnsi="inherit" w:cs="Arial"/>
        </w:rPr>
        <w:t xml:space="preserve">realization of the human rights of persons with psychosocial disabilities and users of mental health services is a belief that </w:t>
      </w:r>
      <w:r w:rsidR="00C251AB" w:rsidRPr="00042B23">
        <w:rPr>
          <w:rFonts w:ascii="inherit" w:hAnsi="inherit" w:cs="Arial"/>
        </w:rPr>
        <w:t>what is done is necessary</w:t>
      </w:r>
      <w:r w:rsidR="006317D5">
        <w:rPr>
          <w:rFonts w:ascii="inherit" w:hAnsi="inherit" w:cs="Arial"/>
        </w:rPr>
        <w:t xml:space="preserve"> in some cases</w:t>
      </w:r>
      <w:r w:rsidR="00C251AB" w:rsidRPr="00042B23">
        <w:rPr>
          <w:rFonts w:ascii="inherit" w:hAnsi="inherit" w:cs="Arial"/>
        </w:rPr>
        <w:t xml:space="preserve"> and compliant with human rights.</w:t>
      </w:r>
    </w:p>
    <w:p w14:paraId="68458E15" w14:textId="5B637A72" w:rsidR="00976D20" w:rsidRPr="00042B23" w:rsidRDefault="00421325" w:rsidP="00976D20">
      <w:pPr>
        <w:autoSpaceDE w:val="0"/>
        <w:autoSpaceDN w:val="0"/>
        <w:adjustRightInd w:val="0"/>
        <w:spacing w:after="80" w:line="240" w:lineRule="auto"/>
        <w:rPr>
          <w:rFonts w:ascii="inherit" w:hAnsi="inherit" w:cs="Arial"/>
        </w:rPr>
      </w:pPr>
      <w:r w:rsidRPr="00042B23">
        <w:rPr>
          <w:rFonts w:ascii="inherit" w:hAnsi="inherit" w:cs="Arial"/>
        </w:rPr>
        <w:t>For more than a decade we have had discussions within the Council of Europe related to regulations on the protection of mental health service users during the application o</w:t>
      </w:r>
      <w:proofErr w:type="spellStart"/>
      <w:r w:rsidRPr="00042B23">
        <w:rPr>
          <w:rFonts w:ascii="inherit" w:hAnsi="inherit" w:cs="Arial"/>
        </w:rPr>
        <w:t>f</w:t>
      </w:r>
      <w:proofErr w:type="spellEnd"/>
      <w:r w:rsidRPr="00042B23">
        <w:rPr>
          <w:rFonts w:ascii="inherit" w:hAnsi="inherit" w:cs="Arial"/>
        </w:rPr>
        <w:t xml:space="preserve"> coercive measures in psychiatry. </w:t>
      </w:r>
      <w:r w:rsidR="00D01FDA" w:rsidRPr="00042B23">
        <w:rPr>
          <w:rFonts w:ascii="inherit" w:hAnsi="inherit" w:cs="Arial"/>
        </w:rPr>
        <w:t>The UN</w:t>
      </w:r>
      <w:r w:rsidRPr="00042B23">
        <w:rPr>
          <w:rFonts w:ascii="inherit" w:hAnsi="inherit" w:cs="Arial"/>
        </w:rPr>
        <w:t xml:space="preserve"> </w:t>
      </w:r>
      <w:r w:rsidR="00D01FDA" w:rsidRPr="00042B23">
        <w:rPr>
          <w:rFonts w:ascii="inherit" w:eastAsia="Times New Roman" w:hAnsi="inherit" w:cs="Times New Roman"/>
          <w:bdr w:val="none" w:sz="0" w:space="0" w:color="auto" w:frame="1"/>
          <w:lang/>
        </w:rPr>
        <w:t xml:space="preserve">Committee on the Rights of </w:t>
      </w:r>
      <w:r w:rsidR="001403C7">
        <w:rPr>
          <w:rFonts w:ascii="inherit" w:eastAsia="Times New Roman" w:hAnsi="inherit" w:cs="Times New Roman"/>
          <w:bdr w:val="none" w:sz="0" w:space="0" w:color="auto" w:frame="1"/>
          <w:lang w:val="en-US"/>
        </w:rPr>
        <w:t>P</w:t>
      </w:r>
      <w:r w:rsidR="00D01FDA" w:rsidRPr="00042B23">
        <w:rPr>
          <w:rFonts w:ascii="inherit" w:eastAsia="Times New Roman" w:hAnsi="inherit" w:cs="Times New Roman"/>
          <w:bdr w:val="none" w:sz="0" w:space="0" w:color="auto" w:frame="1"/>
          <w:lang/>
        </w:rPr>
        <w:t>ersons with Disabilities</w:t>
      </w:r>
      <w:r w:rsidR="00D01FDA" w:rsidRPr="00042B23">
        <w:rPr>
          <w:rFonts w:ascii="inherit" w:eastAsia="Times New Roman" w:hAnsi="inherit" w:cs="Times New Roman"/>
          <w:bdr w:val="none" w:sz="0" w:space="0" w:color="auto" w:frame="1"/>
          <w:lang w:val="en-US"/>
        </w:rPr>
        <w:t xml:space="preserve">, the Special procedures and other UN </w:t>
      </w:r>
      <w:r w:rsidR="001403C7">
        <w:rPr>
          <w:rFonts w:ascii="inherit" w:eastAsia="Times New Roman" w:hAnsi="inherit" w:cs="Times New Roman"/>
          <w:bdr w:val="none" w:sz="0" w:space="0" w:color="auto" w:frame="1"/>
          <w:lang w:val="en-US"/>
        </w:rPr>
        <w:t>e</w:t>
      </w:r>
      <w:r w:rsidR="00D01FDA" w:rsidRPr="00042B23">
        <w:rPr>
          <w:rFonts w:ascii="inherit" w:eastAsia="Times New Roman" w:hAnsi="inherit" w:cs="Times New Roman"/>
          <w:bdr w:val="none" w:sz="0" w:space="0" w:color="auto" w:frame="1"/>
          <w:lang w:val="en-US"/>
        </w:rPr>
        <w:t xml:space="preserve">xperts </w:t>
      </w:r>
      <w:r w:rsidR="00D01FDA" w:rsidRPr="00042B23">
        <w:rPr>
          <w:rFonts w:ascii="inherit" w:eastAsia="Times New Roman" w:hAnsi="inherit" w:cs="Times New Roman"/>
          <w:bdr w:val="none" w:sz="0" w:space="0" w:color="auto" w:frame="1"/>
          <w:lang w:val="en-US"/>
        </w:rPr>
        <w:t xml:space="preserve">repeatedly </w:t>
      </w:r>
      <w:r w:rsidR="00D01FDA" w:rsidRPr="00042B23">
        <w:rPr>
          <w:rFonts w:ascii="inherit" w:eastAsia="Times New Roman" w:hAnsi="inherit" w:cs="Times New Roman"/>
          <w:bdr w:val="none" w:sz="0" w:space="0" w:color="auto" w:frame="1"/>
          <w:lang w:val="en-US"/>
        </w:rPr>
        <w:t xml:space="preserve">have addressed this paradox of the Council of Europe from 2015 up to present time. </w:t>
      </w:r>
    </w:p>
    <w:p w14:paraId="423C515F" w14:textId="453ECCAC" w:rsidR="00D01FDA" w:rsidRPr="00042B23" w:rsidRDefault="00D01FDA" w:rsidP="00976D20">
      <w:pPr>
        <w:autoSpaceDE w:val="0"/>
        <w:autoSpaceDN w:val="0"/>
        <w:adjustRightInd w:val="0"/>
        <w:spacing w:after="80" w:line="240" w:lineRule="auto"/>
        <w:rPr>
          <w:rFonts w:ascii="inherit" w:hAnsi="inherit" w:cs="Arial"/>
          <w:lang w:val="en-US"/>
        </w:rPr>
      </w:pPr>
      <w:r w:rsidRPr="00042B23">
        <w:rPr>
          <w:rFonts w:ascii="inherit" w:hAnsi="inherit" w:cs="Arial"/>
          <w:lang w:val="en-US"/>
        </w:rPr>
        <w:t>The final decision on a possible additional protocol to a Council of Europe treaty</w:t>
      </w:r>
      <w:r w:rsidR="00870F9A" w:rsidRPr="00042B23">
        <w:rPr>
          <w:rFonts w:ascii="inherit" w:hAnsi="inherit" w:cs="Arial"/>
          <w:lang w:val="en-US"/>
        </w:rPr>
        <w:t xml:space="preserve">, the </w:t>
      </w:r>
      <w:r w:rsidR="00870F9A" w:rsidRPr="00042B23">
        <w:rPr>
          <w:rFonts w:ascii="inherit" w:eastAsia="Times New Roman" w:hAnsi="inherit" w:cs="Times New Roman"/>
          <w:lang/>
        </w:rPr>
        <w:t>Convention on Human Rights and Biomedicine</w:t>
      </w:r>
      <w:r w:rsidR="00870F9A" w:rsidRPr="00042B23">
        <w:rPr>
          <w:rFonts w:ascii="inherit" w:hAnsi="inherit" w:cs="Arial"/>
          <w:lang w:val="en-US"/>
        </w:rPr>
        <w:t xml:space="preserve"> (Oviedo convention),</w:t>
      </w:r>
      <w:r w:rsidRPr="00042B23">
        <w:rPr>
          <w:rFonts w:ascii="inherit" w:hAnsi="inherit" w:cs="Arial"/>
          <w:lang w:val="en-US"/>
        </w:rPr>
        <w:t xml:space="preserve"> dealing with the regulations on the protective measures</w:t>
      </w:r>
      <w:r w:rsidR="001403C7">
        <w:rPr>
          <w:rFonts w:ascii="inherit" w:hAnsi="inherit" w:cs="Arial"/>
          <w:lang w:val="en-US"/>
        </w:rPr>
        <w:t xml:space="preserve"> during use of coercive measures </w:t>
      </w:r>
      <w:r w:rsidR="00282D0E" w:rsidRPr="00042B23">
        <w:rPr>
          <w:rFonts w:ascii="inherit" w:hAnsi="inherit" w:cs="Arial"/>
          <w:lang w:val="en-US"/>
        </w:rPr>
        <w:t>–</w:t>
      </w:r>
      <w:r w:rsidR="00976D20" w:rsidRPr="00042B23">
        <w:rPr>
          <w:rFonts w:ascii="inherit" w:hAnsi="inherit" w:cs="Arial"/>
          <w:lang w:val="en-US"/>
        </w:rPr>
        <w:t xml:space="preserve"> the</w:t>
      </w:r>
      <w:r w:rsidR="00282D0E" w:rsidRPr="00042B23">
        <w:rPr>
          <w:rFonts w:ascii="inherit" w:hAnsi="inherit" w:cs="Arial"/>
          <w:lang w:val="en-US"/>
        </w:rPr>
        <w:t xml:space="preserve"> </w:t>
      </w:r>
      <w:r w:rsidR="00976D20" w:rsidRPr="00042B23">
        <w:rPr>
          <w:rFonts w:ascii="inherit" w:hAnsi="inherit" w:cs="Arial"/>
          <w:lang w:val="en-US"/>
        </w:rPr>
        <w:t xml:space="preserve">outcome of work done by the </w:t>
      </w:r>
      <w:r w:rsidR="00976D20" w:rsidRPr="00042B23">
        <w:rPr>
          <w:rFonts w:ascii="inherit" w:eastAsia="Times New Roman" w:hAnsi="inherit" w:cs="Times New Roman"/>
          <w:lang/>
        </w:rPr>
        <w:t>Committee on Bioethics of the Council of Europe</w:t>
      </w:r>
      <w:r w:rsidRPr="00042B23">
        <w:rPr>
          <w:rFonts w:ascii="inherit" w:hAnsi="inherit" w:cs="Arial"/>
          <w:lang w:val="en-US"/>
        </w:rPr>
        <w:t xml:space="preserve"> </w:t>
      </w:r>
      <w:r w:rsidR="00282D0E" w:rsidRPr="00042B23">
        <w:rPr>
          <w:rFonts w:ascii="inherit" w:hAnsi="inherit" w:cs="Arial"/>
          <w:lang w:val="en-US"/>
        </w:rPr>
        <w:t xml:space="preserve">– </w:t>
      </w:r>
      <w:r w:rsidRPr="00042B23">
        <w:rPr>
          <w:rFonts w:ascii="inherit" w:hAnsi="inherit" w:cs="Arial"/>
          <w:lang w:val="en-US"/>
        </w:rPr>
        <w:t>is</w:t>
      </w:r>
      <w:r w:rsidR="00282D0E" w:rsidRPr="00042B23">
        <w:rPr>
          <w:rFonts w:ascii="inherit" w:hAnsi="inherit" w:cs="Arial"/>
          <w:lang w:val="en-US"/>
        </w:rPr>
        <w:t xml:space="preserve"> </w:t>
      </w:r>
      <w:r w:rsidRPr="00042B23">
        <w:rPr>
          <w:rFonts w:ascii="inherit" w:hAnsi="inherit" w:cs="Arial"/>
          <w:lang w:val="en-US"/>
        </w:rPr>
        <w:t xml:space="preserve">expected in 2025. </w:t>
      </w:r>
    </w:p>
    <w:p w14:paraId="7F9330B4" w14:textId="2B4FC72D" w:rsidR="00976D20" w:rsidRPr="00042B23" w:rsidRDefault="00976D20" w:rsidP="00976D20">
      <w:pPr>
        <w:autoSpaceDE w:val="0"/>
        <w:autoSpaceDN w:val="0"/>
        <w:adjustRightInd w:val="0"/>
        <w:spacing w:after="80" w:line="240" w:lineRule="auto"/>
        <w:rPr>
          <w:rFonts w:ascii="inherit" w:hAnsi="inherit" w:cs="Arial"/>
          <w:lang w:val="en-US"/>
        </w:rPr>
      </w:pPr>
      <w:r w:rsidRPr="00042B23">
        <w:rPr>
          <w:rFonts w:ascii="inherit" w:hAnsi="inherit" w:cs="Arial"/>
          <w:lang w:val="en-US"/>
        </w:rPr>
        <w:t xml:space="preserve">What has not attracted </w:t>
      </w:r>
      <w:r w:rsidR="00282D0E" w:rsidRPr="00042B23">
        <w:rPr>
          <w:rFonts w:ascii="inherit" w:hAnsi="inherit" w:cs="Arial"/>
          <w:lang w:val="en-US"/>
        </w:rPr>
        <w:t xml:space="preserve">much </w:t>
      </w:r>
      <w:r w:rsidRPr="00042B23">
        <w:rPr>
          <w:rFonts w:ascii="inherit" w:hAnsi="inherit" w:cs="Arial"/>
          <w:lang w:val="en-US"/>
        </w:rPr>
        <w:t>attention is the underlying reason why this work seemingly with the support of many biomedical experts and jurists have been progressing for years with virtually no response up to end of 2021.</w:t>
      </w:r>
      <w:r w:rsidR="00B2202B" w:rsidRPr="00042B23">
        <w:rPr>
          <w:rFonts w:ascii="inherit" w:hAnsi="inherit" w:cs="Arial"/>
          <w:lang w:val="en-US"/>
        </w:rPr>
        <w:t xml:space="preserve"> Since </w:t>
      </w:r>
      <w:r w:rsidR="00282D0E" w:rsidRPr="00042B23">
        <w:rPr>
          <w:rFonts w:ascii="inherit" w:hAnsi="inherit" w:cs="Arial"/>
          <w:lang w:val="en-US"/>
        </w:rPr>
        <w:t>then,</w:t>
      </w:r>
      <w:r w:rsidR="00B2202B" w:rsidRPr="00042B23">
        <w:rPr>
          <w:rFonts w:ascii="inherit" w:hAnsi="inherit" w:cs="Arial"/>
          <w:lang w:val="en-US"/>
        </w:rPr>
        <w:t xml:space="preserve"> there has been an opening with a stronger </w:t>
      </w:r>
      <w:r w:rsidR="001403C7">
        <w:rPr>
          <w:rFonts w:ascii="inherit" w:hAnsi="inherit" w:cs="Arial"/>
          <w:lang w:val="en-US"/>
        </w:rPr>
        <w:t>interest i</w:t>
      </w:r>
      <w:r w:rsidR="00B2202B" w:rsidRPr="00042B23">
        <w:rPr>
          <w:rFonts w:ascii="inherit" w:hAnsi="inherit" w:cs="Arial"/>
          <w:lang w:val="en-US"/>
        </w:rPr>
        <w:t>n voluntary measures, however the decision on the use of involuntary measures is not complete</w:t>
      </w:r>
      <w:r w:rsidR="00282D0E" w:rsidRPr="00042B23">
        <w:rPr>
          <w:rFonts w:ascii="inherit" w:hAnsi="inherit" w:cs="Arial"/>
          <w:lang w:val="en-US"/>
        </w:rPr>
        <w:t>d</w:t>
      </w:r>
      <w:r w:rsidR="00B2202B" w:rsidRPr="00042B23">
        <w:rPr>
          <w:rFonts w:ascii="inherit" w:hAnsi="inherit" w:cs="Arial"/>
          <w:lang w:val="en-US"/>
        </w:rPr>
        <w:t xml:space="preserve"> yet.</w:t>
      </w:r>
    </w:p>
    <w:p w14:paraId="612CD6C2" w14:textId="73AA600A" w:rsidR="00976D20" w:rsidRPr="00042B23" w:rsidRDefault="00976D20" w:rsidP="00976D20">
      <w:pPr>
        <w:autoSpaceDE w:val="0"/>
        <w:autoSpaceDN w:val="0"/>
        <w:adjustRightInd w:val="0"/>
        <w:spacing w:after="80" w:line="240" w:lineRule="auto"/>
        <w:rPr>
          <w:rFonts w:ascii="inherit" w:hAnsi="inherit" w:cs="Arial"/>
          <w:lang w:val="en-US"/>
        </w:rPr>
      </w:pPr>
      <w:r w:rsidRPr="00042B23">
        <w:rPr>
          <w:rFonts w:ascii="inherit" w:hAnsi="inherit" w:cs="Arial"/>
          <w:lang w:val="en-US"/>
        </w:rPr>
        <w:t xml:space="preserve">The reason is a </w:t>
      </w:r>
      <w:r w:rsidRPr="00042B23">
        <w:rPr>
          <w:rFonts w:ascii="inherit" w:hAnsi="inherit" w:cs="Arial"/>
          <w:b/>
          <w:bCs/>
          <w:lang w:val="en-US"/>
        </w:rPr>
        <w:t>double set of standards of human rights</w:t>
      </w:r>
      <w:r w:rsidRPr="00042B23">
        <w:rPr>
          <w:rFonts w:ascii="inherit" w:hAnsi="inherit" w:cs="Arial"/>
          <w:lang w:val="en-US"/>
        </w:rPr>
        <w:t>.</w:t>
      </w:r>
    </w:p>
    <w:p w14:paraId="4D6C8375" w14:textId="7A58BDE1" w:rsidR="00976D20" w:rsidRPr="00042B23" w:rsidRDefault="00870F9A" w:rsidP="00870F9A">
      <w:pPr>
        <w:autoSpaceDE w:val="0"/>
        <w:autoSpaceDN w:val="0"/>
        <w:adjustRightInd w:val="0"/>
        <w:spacing w:after="80" w:line="240" w:lineRule="auto"/>
        <w:rPr>
          <w:rFonts w:ascii="inherit" w:hAnsi="inherit" w:cs="Arial"/>
        </w:rPr>
      </w:pPr>
      <w:r w:rsidRPr="00042B23">
        <w:rPr>
          <w:rFonts w:ascii="inherit" w:hAnsi="inherit" w:cs="Arial"/>
        </w:rPr>
        <w:t xml:space="preserve">This has led to a </w:t>
      </w:r>
      <w:r w:rsidRPr="00042B23">
        <w:rPr>
          <w:rFonts w:ascii="inherit" w:hAnsi="inherit" w:cs="Arial"/>
        </w:rPr>
        <w:t xml:space="preserve">general problem to even understanding or accepting the paradigm shift laid out by the </w:t>
      </w:r>
      <w:r w:rsidR="001403C7">
        <w:rPr>
          <w:rFonts w:ascii="inherit" w:hAnsi="inherit" w:cs="Arial"/>
        </w:rPr>
        <w:t>international</w:t>
      </w:r>
      <w:r w:rsidRPr="00042B23">
        <w:rPr>
          <w:rFonts w:ascii="inherit" w:hAnsi="inherit" w:cs="Arial"/>
        </w:rPr>
        <w:t xml:space="preserve"> human rights, most clearly </w:t>
      </w:r>
      <w:r w:rsidR="00282D0E" w:rsidRPr="00042B23">
        <w:rPr>
          <w:rFonts w:ascii="inherit" w:hAnsi="inherit" w:cs="Arial"/>
        </w:rPr>
        <w:t xml:space="preserve">established </w:t>
      </w:r>
      <w:r w:rsidRPr="00042B23">
        <w:rPr>
          <w:rFonts w:ascii="inherit" w:hAnsi="inherit" w:cs="Arial"/>
        </w:rPr>
        <w:t>through the CRPD and its relevant General Comments and texts</w:t>
      </w:r>
      <w:r w:rsidRPr="00042B23">
        <w:rPr>
          <w:rFonts w:ascii="inherit" w:hAnsi="inherit" w:cs="Arial"/>
        </w:rPr>
        <w:t xml:space="preserve">. </w:t>
      </w:r>
    </w:p>
    <w:p w14:paraId="7BBCBEE0" w14:textId="28E5DCF4" w:rsidR="00870F9A" w:rsidRPr="00042B23" w:rsidRDefault="00870F9A" w:rsidP="00870F9A">
      <w:pPr>
        <w:shd w:val="clear" w:color="auto" w:fill="FFFFFF"/>
        <w:spacing w:after="120" w:line="240" w:lineRule="auto"/>
        <w:textAlignment w:val="baseline"/>
        <w:rPr>
          <w:rFonts w:ascii="inherit" w:eastAsia="Times New Roman" w:hAnsi="inherit" w:cs="Times New Roman"/>
          <w:lang/>
        </w:rPr>
      </w:pPr>
      <w:r w:rsidRPr="00042B23">
        <w:rPr>
          <w:rFonts w:ascii="inherit" w:eastAsia="Times New Roman" w:hAnsi="inherit" w:cs="Times New Roman"/>
          <w:lang/>
        </w:rPr>
        <w:t xml:space="preserve">The reference works for the </w:t>
      </w:r>
      <w:r w:rsidRPr="00042B23">
        <w:rPr>
          <w:rFonts w:ascii="inherit" w:eastAsia="Times New Roman" w:hAnsi="inherit" w:cs="Times New Roman"/>
          <w:lang w:val="en-US"/>
        </w:rPr>
        <w:t xml:space="preserve">possible additional </w:t>
      </w:r>
      <w:r w:rsidR="00681F33">
        <w:rPr>
          <w:rFonts w:ascii="inherit" w:eastAsia="Times New Roman" w:hAnsi="inherit" w:cs="Times New Roman"/>
          <w:lang w:val="en-US"/>
        </w:rPr>
        <w:t>p</w:t>
      </w:r>
      <w:r w:rsidRPr="00042B23">
        <w:rPr>
          <w:rFonts w:ascii="inherit" w:eastAsia="Times New Roman" w:hAnsi="inherit" w:cs="Times New Roman"/>
          <w:lang/>
        </w:rPr>
        <w:t xml:space="preserve">rotocol </w:t>
      </w:r>
      <w:r w:rsidR="00B2202B" w:rsidRPr="00042B23">
        <w:rPr>
          <w:rFonts w:ascii="inherit" w:eastAsia="Times New Roman" w:hAnsi="inherit" w:cs="Times New Roman"/>
          <w:lang w:val="en-US"/>
        </w:rPr>
        <w:t xml:space="preserve">to </w:t>
      </w:r>
      <w:r w:rsidRPr="00042B23">
        <w:rPr>
          <w:rFonts w:ascii="inherit" w:eastAsia="Times New Roman" w:hAnsi="inherit" w:cs="Times New Roman"/>
          <w:lang w:val="en-US"/>
        </w:rPr>
        <w:t xml:space="preserve">the Council of Europe biomedical convention </w:t>
      </w:r>
      <w:r w:rsidRPr="00042B23">
        <w:rPr>
          <w:rFonts w:ascii="inherit" w:eastAsia="Times New Roman" w:hAnsi="inherit" w:cs="Times New Roman"/>
          <w:lang/>
        </w:rPr>
        <w:t>that the Committee on Bioethics work on is Article 7 of the Convention on Human Rights and Biomedicine, which in turn is an elaboration of Article 5 § 1 (e) of the European Convention on Human Rights.</w:t>
      </w:r>
    </w:p>
    <w:p w14:paraId="12F38BD1" w14:textId="77777777" w:rsidR="00870F9A" w:rsidRPr="00042B23" w:rsidRDefault="00870F9A" w:rsidP="00870F9A">
      <w:pPr>
        <w:shd w:val="clear" w:color="auto" w:fill="FFFFFF"/>
        <w:spacing w:after="120" w:line="240" w:lineRule="auto"/>
        <w:textAlignment w:val="baseline"/>
        <w:rPr>
          <w:rFonts w:ascii="inherit" w:eastAsia="Times New Roman" w:hAnsi="inherit" w:cs="Times New Roman"/>
          <w:lang/>
        </w:rPr>
      </w:pPr>
      <w:r w:rsidRPr="00042B23">
        <w:rPr>
          <w:rFonts w:ascii="inherit" w:eastAsia="Times New Roman" w:hAnsi="inherit" w:cs="Times New Roman"/>
          <w:lang/>
        </w:rPr>
        <w:t>The European Convention on Human Rights was drafted in 1949 and 1950. In its section on the right to liberty and security of person, Article 5 § 1 (e), it notes an exception of “persons of unsound mind, alcoholics or drug addicts or vagrants.” The singling out of persons considered affected by such social or personal realities, or differences in viewpoints has its roots in widespread discriminatory viewpoints of the first part of the 1900s.</w:t>
      </w:r>
    </w:p>
    <w:p w14:paraId="24478EE5" w14:textId="1CCB47C4" w:rsidR="00870F9A" w:rsidRPr="00042B23" w:rsidRDefault="00870F9A" w:rsidP="00870F9A">
      <w:pPr>
        <w:shd w:val="clear" w:color="auto" w:fill="FFFFFF"/>
        <w:spacing w:after="120" w:line="240" w:lineRule="auto"/>
        <w:textAlignment w:val="baseline"/>
        <w:rPr>
          <w:rFonts w:ascii="inherit" w:eastAsia="Times New Roman" w:hAnsi="inherit" w:cs="Times New Roman"/>
          <w:lang/>
        </w:rPr>
      </w:pPr>
      <w:r w:rsidRPr="00042B23">
        <w:rPr>
          <w:rFonts w:ascii="inherit" w:eastAsia="Times New Roman" w:hAnsi="inherit" w:cs="Times New Roman"/>
          <w:lang/>
        </w:rPr>
        <w:lastRenderedPageBreak/>
        <w:t>The exception was formulated </w:t>
      </w:r>
      <w:hyperlink r:id="rId11" w:history="1">
        <w:r w:rsidRPr="00681F33">
          <w:rPr>
            <w:rFonts w:ascii="inherit" w:eastAsia="Times New Roman" w:hAnsi="inherit" w:cs="Times New Roman"/>
            <w:bdr w:val="none" w:sz="0" w:space="0" w:color="auto" w:frame="1"/>
            <w:lang/>
          </w:rPr>
          <w:t>by representative of the United Kingdom, Denmark and Sweden</w:t>
        </w:r>
        <w:r w:rsidRPr="00042B23">
          <w:rPr>
            <w:rFonts w:ascii="inherit" w:eastAsia="Times New Roman" w:hAnsi="inherit" w:cs="Times New Roman"/>
            <w:u w:val="single"/>
            <w:bdr w:val="none" w:sz="0" w:space="0" w:color="auto" w:frame="1"/>
            <w:lang/>
          </w:rPr>
          <w:t>,</w:t>
        </w:r>
      </w:hyperlink>
      <w:r w:rsidRPr="00042B23">
        <w:rPr>
          <w:rFonts w:ascii="inherit" w:eastAsia="Times New Roman" w:hAnsi="inherit" w:cs="Times New Roman"/>
          <w:lang/>
        </w:rPr>
        <w:t xml:space="preserve"> led by the British. It was based on a concern that the then drafted human rights texts sought to implement Universal human rights including for persons </w:t>
      </w:r>
      <w:r w:rsidR="00282D0E" w:rsidRPr="00042B23">
        <w:rPr>
          <w:rFonts w:ascii="inherit" w:eastAsia="Times New Roman" w:hAnsi="inherit" w:cs="Times New Roman"/>
          <w:lang w:val="en-US"/>
        </w:rPr>
        <w:t>having some</w:t>
      </w:r>
      <w:r w:rsidRPr="00042B23">
        <w:rPr>
          <w:rFonts w:ascii="inherit" w:eastAsia="Times New Roman" w:hAnsi="inherit" w:cs="Times New Roman"/>
          <w:lang/>
        </w:rPr>
        <w:t xml:space="preserve"> </w:t>
      </w:r>
      <w:r w:rsidR="00681F33">
        <w:rPr>
          <w:rFonts w:ascii="inherit" w:eastAsia="Times New Roman" w:hAnsi="inherit" w:cs="Times New Roman"/>
          <w:lang w:val="en-US"/>
        </w:rPr>
        <w:t xml:space="preserve">behavioral or </w:t>
      </w:r>
      <w:r w:rsidRPr="00042B23">
        <w:rPr>
          <w:rFonts w:ascii="inherit" w:eastAsia="Times New Roman" w:hAnsi="inherit" w:cs="Times New Roman"/>
          <w:lang/>
        </w:rPr>
        <w:t>mental</w:t>
      </w:r>
      <w:r w:rsidR="00282D0E" w:rsidRPr="00042B23">
        <w:rPr>
          <w:rFonts w:ascii="inherit" w:eastAsia="Times New Roman" w:hAnsi="inherit" w:cs="Times New Roman"/>
          <w:lang w:val="en-US"/>
        </w:rPr>
        <w:t xml:space="preserve"> health problems</w:t>
      </w:r>
      <w:r w:rsidRPr="00042B23">
        <w:rPr>
          <w:rFonts w:ascii="inherit" w:eastAsia="Times New Roman" w:hAnsi="inherit" w:cs="Times New Roman"/>
          <w:lang/>
        </w:rPr>
        <w:t xml:space="preserve"> (psychosocial disabilities), which conflicted with legislation and social policy in place in these countries. Both the British, Denmark and Sweden were strong proponent of eugenics at the time, and had implemented such principles and viewpoints in to legislation and practice.</w:t>
      </w:r>
    </w:p>
    <w:p w14:paraId="39167570" w14:textId="5A7A9733" w:rsidR="00870F9A" w:rsidRPr="00042B23" w:rsidRDefault="00870F9A" w:rsidP="00870F9A">
      <w:pPr>
        <w:shd w:val="clear" w:color="auto" w:fill="FFFFFF"/>
        <w:spacing w:after="120" w:line="240" w:lineRule="auto"/>
        <w:textAlignment w:val="baseline"/>
        <w:rPr>
          <w:rFonts w:ascii="inherit" w:eastAsia="Times New Roman" w:hAnsi="inherit" w:cs="Times New Roman"/>
          <w:lang/>
        </w:rPr>
      </w:pPr>
      <w:r w:rsidRPr="00042B23">
        <w:rPr>
          <w:rFonts w:ascii="inherit" w:eastAsia="Times New Roman" w:hAnsi="inherit" w:cs="Times New Roman"/>
          <w:lang/>
        </w:rPr>
        <w:t>The targeting of persons with “unsound mind” was driven by the British, that had adopted legislation in 1890 and further specified with the Mental Deficiency Act of 1913, that establishing the means to segregate “mental defectives” in asylums.</w:t>
      </w:r>
      <w:r w:rsidR="00B2202B" w:rsidRPr="00042B23">
        <w:rPr>
          <w:rFonts w:ascii="inherit" w:eastAsia="Times New Roman" w:hAnsi="inherit" w:cs="Times New Roman"/>
          <w:lang w:val="en-US"/>
        </w:rPr>
        <w:t xml:space="preserve"> </w:t>
      </w:r>
      <w:r w:rsidRPr="00042B23">
        <w:rPr>
          <w:rFonts w:ascii="inherit" w:eastAsia="Times New Roman" w:hAnsi="inherit" w:cs="Times New Roman"/>
          <w:lang/>
        </w:rPr>
        <w:t>In both Denmark and Sweden had eugenic laws been enacted during the 1930s, in Denmark specifically authorizing the deprivations of liberty of non-dangerous persons</w:t>
      </w:r>
      <w:r w:rsidR="00282D0E" w:rsidRPr="00042B23">
        <w:rPr>
          <w:rFonts w:ascii="inherit" w:eastAsia="Times New Roman" w:hAnsi="inherit" w:cs="Times New Roman"/>
          <w:lang w:val="en-US"/>
        </w:rPr>
        <w:t xml:space="preserve"> </w:t>
      </w:r>
      <w:r w:rsidR="001D2866" w:rsidRPr="00042B23">
        <w:rPr>
          <w:rFonts w:ascii="inherit" w:eastAsia="Times New Roman" w:hAnsi="inherit" w:cs="Times New Roman"/>
          <w:lang w:val="en-US"/>
        </w:rPr>
        <w:t>who simply refuse the proposed service in psychiatry</w:t>
      </w:r>
      <w:r w:rsidRPr="00042B23">
        <w:rPr>
          <w:rFonts w:ascii="inherit" w:eastAsia="Times New Roman" w:hAnsi="inherit" w:cs="Times New Roman"/>
          <w:lang/>
        </w:rPr>
        <w:t>.</w:t>
      </w:r>
    </w:p>
    <w:p w14:paraId="2DA42600" w14:textId="37D5E82F" w:rsidR="00870F9A" w:rsidRPr="00042B23" w:rsidRDefault="00870F9A" w:rsidP="00870F9A">
      <w:pPr>
        <w:shd w:val="clear" w:color="auto" w:fill="FFFFFF"/>
        <w:spacing w:after="120" w:line="240" w:lineRule="auto"/>
        <w:textAlignment w:val="baseline"/>
        <w:rPr>
          <w:rFonts w:ascii="inherit" w:eastAsia="Times New Roman" w:hAnsi="inherit" w:cs="Times New Roman"/>
          <w:lang/>
        </w:rPr>
      </w:pPr>
      <w:r w:rsidRPr="00042B23">
        <w:rPr>
          <w:rFonts w:ascii="inherit" w:eastAsia="Times New Roman" w:hAnsi="inherit" w:cs="Times New Roman"/>
          <w:lang/>
        </w:rPr>
        <w:t xml:space="preserve">It is in the light of the widespread acceptance of eugenics as an integral part of the social policy for population control </w:t>
      </w:r>
      <w:r w:rsidR="001D2866" w:rsidRPr="00042B23">
        <w:rPr>
          <w:rFonts w:ascii="inherit" w:eastAsia="Times New Roman" w:hAnsi="inherit" w:cs="Times New Roman"/>
          <w:lang w:val="en-US"/>
        </w:rPr>
        <w:t xml:space="preserve">at the time </w:t>
      </w:r>
      <w:r w:rsidRPr="00042B23">
        <w:rPr>
          <w:rFonts w:ascii="inherit" w:eastAsia="Times New Roman" w:hAnsi="inherit" w:cs="Times New Roman"/>
          <w:lang/>
        </w:rPr>
        <w:t>that one has to view the efforts of the representatives of the United Kingdom, Denmark and Sweden in the European Convention of Human Rights drafting process pushing for government authorization to segregate and lock up and remove from society “persons of unsound mind, alcoholic or drug addicts and vagrants”.</w:t>
      </w:r>
    </w:p>
    <w:p w14:paraId="0D529F73" w14:textId="77777777" w:rsidR="00870F9A" w:rsidRPr="00042B23" w:rsidRDefault="00870F9A" w:rsidP="00870F9A">
      <w:pPr>
        <w:shd w:val="clear" w:color="auto" w:fill="FFFFFF"/>
        <w:spacing w:after="120" w:line="240" w:lineRule="auto"/>
        <w:jc w:val="center"/>
        <w:textAlignment w:val="baseline"/>
        <w:rPr>
          <w:rFonts w:ascii="inherit" w:eastAsia="Times New Roman" w:hAnsi="inherit" w:cs="Times New Roman"/>
          <w:lang/>
        </w:rPr>
      </w:pPr>
      <w:r w:rsidRPr="00042B23">
        <w:rPr>
          <w:rFonts w:ascii="inherit" w:eastAsia="Times New Roman" w:hAnsi="inherit" w:cs="Times New Roman"/>
          <w:lang/>
        </w:rPr>
        <w:t>“</w:t>
      </w:r>
      <w:r w:rsidRPr="00042B23">
        <w:rPr>
          <w:rFonts w:ascii="inherit" w:eastAsia="Times New Roman" w:hAnsi="inherit" w:cs="Times New Roman"/>
          <w:i/>
          <w:iCs/>
          <w:lang/>
        </w:rPr>
        <w:t>In the same manner as the Oviedo Convention, it must be acknowledged that the European Convention on Human Rights (ECHR) is an instrument which dates from 1950 and the text of the ECHR reflects a neglect and outdated approach concerning the rights of persons with disabilities. Moreover, in matters concerning mental health detention, the 1950 text explicitly permits deprivation of liberty on the basis of ‘unsound mind’ (Article 5(1)(e)). Even though the ECHR is considered to be a ‘living instrument…which must be interpreted in the light of present day conditions’</w:t>
      </w:r>
      <w:r w:rsidRPr="00042B23">
        <w:rPr>
          <w:rFonts w:ascii="inherit" w:eastAsia="Times New Roman" w:hAnsi="inherit" w:cs="Times New Roman"/>
          <w:lang/>
        </w:rPr>
        <w:t>.”</w:t>
      </w:r>
    </w:p>
    <w:p w14:paraId="35BBC343" w14:textId="6C6D2B81" w:rsidR="00870F9A" w:rsidRPr="00681F33" w:rsidRDefault="00870F9A" w:rsidP="00870F9A">
      <w:pPr>
        <w:shd w:val="clear" w:color="auto" w:fill="FFFFFF"/>
        <w:spacing w:after="120" w:line="240" w:lineRule="auto"/>
        <w:jc w:val="center"/>
        <w:textAlignment w:val="baseline"/>
        <w:rPr>
          <w:rFonts w:ascii="inherit" w:eastAsia="Times New Roman" w:hAnsi="inherit" w:cs="Times New Roman"/>
          <w:sz w:val="20"/>
          <w:szCs w:val="20"/>
          <w:lang/>
        </w:rPr>
      </w:pPr>
      <w:r w:rsidRPr="00681F33">
        <w:rPr>
          <w:rFonts w:ascii="inherit" w:eastAsia="Times New Roman" w:hAnsi="inherit" w:cs="Times New Roman"/>
          <w:sz w:val="20"/>
          <w:szCs w:val="20"/>
          <w:bdr w:val="none" w:sz="0" w:space="0" w:color="auto" w:frame="1"/>
          <w:lang/>
        </w:rPr>
        <w:t>– Ms. Catalina Devandas-Aguilar, UN Special Rapporteur on the rights of persons with disabilities</w:t>
      </w:r>
    </w:p>
    <w:p w14:paraId="672B765A" w14:textId="77777777" w:rsidR="00B2202B" w:rsidRPr="00042B23" w:rsidRDefault="00870F9A" w:rsidP="00B2202B">
      <w:pPr>
        <w:shd w:val="clear" w:color="auto" w:fill="FFFFFF"/>
        <w:spacing w:after="120" w:line="240" w:lineRule="auto"/>
        <w:textAlignment w:val="baseline"/>
        <w:rPr>
          <w:rFonts w:ascii="inherit" w:eastAsia="Times New Roman" w:hAnsi="inherit" w:cs="Times New Roman"/>
          <w:lang/>
        </w:rPr>
      </w:pPr>
      <w:r w:rsidRPr="00042B23">
        <w:rPr>
          <w:rFonts w:ascii="inherit" w:eastAsia="Times New Roman" w:hAnsi="inherit" w:cs="Times New Roman"/>
          <w:lang/>
        </w:rPr>
        <w:t>The underlying viewpoint of the additional protocol to the Convention on Human Rights and Biomedicine thus – despite its seeming intend of protecting human rights – in reality is perpetuating a discriminatory policy tainted by eugenic principles, despite the actual words used. It is not promoting human rights; in fact, it contradicts the absolute ban on deprivation of liberty on the basis of impairments as laid out by the United Nations Committee on the Rights of Persons with Disabilities.</w:t>
      </w:r>
    </w:p>
    <w:p w14:paraId="6A76F0FB" w14:textId="3EF979F3" w:rsidR="00B81F9C" w:rsidRPr="00042B23" w:rsidRDefault="00B81F9C" w:rsidP="00B2202B">
      <w:pPr>
        <w:shd w:val="clear" w:color="auto" w:fill="FFFFFF"/>
        <w:spacing w:after="120" w:line="240" w:lineRule="auto"/>
        <w:textAlignment w:val="baseline"/>
        <w:rPr>
          <w:rFonts w:ascii="inherit" w:eastAsia="Times New Roman" w:hAnsi="inherit" w:cs="Times New Roman"/>
          <w:lang/>
        </w:rPr>
      </w:pPr>
      <w:r w:rsidRPr="00042B23">
        <w:rPr>
          <w:rFonts w:ascii="inherit" w:eastAsia="Times New Roman" w:hAnsi="inherit" w:cs="Times New Roman"/>
          <w:lang/>
        </w:rPr>
        <w:t xml:space="preserve">The Committee on Bioethics of the Council of Europe </w:t>
      </w:r>
      <w:r w:rsidR="00B2202B" w:rsidRPr="00042B23">
        <w:rPr>
          <w:rFonts w:ascii="inherit" w:eastAsia="Times New Roman" w:hAnsi="inherit" w:cs="Times New Roman"/>
          <w:lang w:val="en-US"/>
        </w:rPr>
        <w:t xml:space="preserve">in the initial phase of discussing the need for an additional protocol </w:t>
      </w:r>
      <w:r w:rsidR="001D2866" w:rsidRPr="00042B23">
        <w:rPr>
          <w:rFonts w:ascii="inherit" w:eastAsia="Times New Roman" w:hAnsi="inherit" w:cs="Times New Roman"/>
          <w:lang w:val="en-US"/>
        </w:rPr>
        <w:t xml:space="preserve">regulating the use of coercion in psychiatry </w:t>
      </w:r>
      <w:r w:rsidR="00B2202B" w:rsidRPr="00042B23">
        <w:rPr>
          <w:rFonts w:ascii="inherit" w:eastAsia="Times New Roman" w:hAnsi="inherit" w:cs="Times New Roman"/>
          <w:lang w:val="en-US"/>
        </w:rPr>
        <w:t xml:space="preserve">as a </w:t>
      </w:r>
      <w:r w:rsidRPr="00042B23">
        <w:rPr>
          <w:rFonts w:ascii="inherit" w:eastAsia="Times New Roman" w:hAnsi="inherit" w:cs="Times New Roman"/>
          <w:lang/>
        </w:rPr>
        <w:t>result of the exchange of views within the Committee itself adopted a </w:t>
      </w:r>
      <w:hyperlink r:id="rId12" w:history="1">
        <w:r w:rsidRPr="00042B23">
          <w:rPr>
            <w:rFonts w:ascii="inherit" w:eastAsia="Times New Roman" w:hAnsi="inherit" w:cs="Times New Roman"/>
            <w:i/>
            <w:iCs/>
            <w:u w:val="single"/>
            <w:bdr w:val="none" w:sz="0" w:space="0" w:color="auto" w:frame="1"/>
            <w:lang/>
          </w:rPr>
          <w:t>Statement on the United Nations Convention on the Rights of Persons with Disabilities</w:t>
        </w:r>
      </w:hyperlink>
      <w:r w:rsidRPr="00042B23">
        <w:rPr>
          <w:rFonts w:ascii="inherit" w:eastAsia="Times New Roman" w:hAnsi="inherit" w:cs="Times New Roman"/>
          <w:lang/>
        </w:rPr>
        <w:t> in November 2011. The statement while seemingly concerning the CRPD factually only consider the Committee’s own Convention, and its reference work – the European Convention on Human Rights.</w:t>
      </w:r>
    </w:p>
    <w:p w14:paraId="7007B34F" w14:textId="77777777" w:rsidR="00B81F9C" w:rsidRPr="00042B23" w:rsidRDefault="00B81F9C" w:rsidP="00421325">
      <w:pPr>
        <w:shd w:val="clear" w:color="auto" w:fill="FFFFFF"/>
        <w:spacing w:after="0" w:line="240" w:lineRule="auto"/>
        <w:textAlignment w:val="baseline"/>
        <w:rPr>
          <w:rFonts w:ascii="inherit" w:eastAsia="Times New Roman" w:hAnsi="inherit" w:cs="Times New Roman"/>
          <w:lang/>
        </w:rPr>
      </w:pPr>
      <w:r w:rsidRPr="00042B23">
        <w:rPr>
          <w:rFonts w:ascii="inherit" w:eastAsia="Times New Roman" w:hAnsi="inherit" w:cs="Times New Roman"/>
          <w:lang/>
        </w:rPr>
        <w:t>The statement lays out that the Committee considered the United Nations Convention on the rights of persons with disabilities, particularly whether articles 14, 15 and 17 were compatible with “the possibility to subject under certain conditions a person who has a mental disorder of a serious nature to involuntary placement or involuntary treatment, </w:t>
      </w:r>
      <w:r w:rsidRPr="00042B23">
        <w:rPr>
          <w:rFonts w:ascii="inherit" w:eastAsia="Times New Roman" w:hAnsi="inherit" w:cs="Times New Roman"/>
          <w:b/>
          <w:bCs/>
          <w:bdr w:val="none" w:sz="0" w:space="0" w:color="auto" w:frame="1"/>
          <w:lang/>
        </w:rPr>
        <w:t>as foreseen in other</w:t>
      </w:r>
      <w:r w:rsidRPr="00042B23">
        <w:rPr>
          <w:rFonts w:ascii="inherit" w:eastAsia="Times New Roman" w:hAnsi="inherit" w:cs="Times New Roman"/>
          <w:lang/>
        </w:rPr>
        <w:t> national and</w:t>
      </w:r>
      <w:r w:rsidRPr="00042B23">
        <w:rPr>
          <w:rFonts w:ascii="inherit" w:eastAsia="Times New Roman" w:hAnsi="inherit" w:cs="Times New Roman"/>
          <w:b/>
          <w:bCs/>
          <w:bdr w:val="none" w:sz="0" w:space="0" w:color="auto" w:frame="1"/>
          <w:lang/>
        </w:rPr>
        <w:t> international texts</w:t>
      </w:r>
      <w:r w:rsidRPr="00042B23">
        <w:rPr>
          <w:rFonts w:ascii="inherit" w:eastAsia="Times New Roman" w:hAnsi="inherit" w:cs="Times New Roman"/>
          <w:lang/>
        </w:rPr>
        <w:t>.”</w:t>
      </w:r>
    </w:p>
    <w:p w14:paraId="7276CDA4" w14:textId="77777777" w:rsidR="00B81F9C" w:rsidRPr="00042B23" w:rsidRDefault="00B81F9C" w:rsidP="00421325">
      <w:pPr>
        <w:shd w:val="clear" w:color="auto" w:fill="FFFFFF"/>
        <w:spacing w:after="0" w:line="240" w:lineRule="auto"/>
        <w:textAlignment w:val="baseline"/>
        <w:rPr>
          <w:rFonts w:ascii="inherit" w:eastAsia="Times New Roman" w:hAnsi="inherit" w:cs="Times New Roman"/>
          <w:lang/>
        </w:rPr>
      </w:pPr>
    </w:p>
    <w:p w14:paraId="52BBF4CD" w14:textId="77777777" w:rsidR="00B81F9C" w:rsidRPr="00042B23" w:rsidRDefault="00B81F9C" w:rsidP="00681F33">
      <w:pPr>
        <w:shd w:val="clear" w:color="auto" w:fill="FFFFFF"/>
        <w:spacing w:after="120" w:line="240" w:lineRule="auto"/>
        <w:textAlignment w:val="baseline"/>
        <w:outlineLvl w:val="1"/>
        <w:rPr>
          <w:rFonts w:ascii="inherit" w:eastAsia="Times New Roman" w:hAnsi="inherit" w:cs="Times New Roman"/>
          <w:lang/>
        </w:rPr>
      </w:pPr>
      <w:r w:rsidRPr="00042B23">
        <w:rPr>
          <w:rFonts w:ascii="inherit" w:eastAsia="Times New Roman" w:hAnsi="inherit" w:cs="Times New Roman"/>
          <w:bdr w:val="none" w:sz="0" w:space="0" w:color="auto" w:frame="1"/>
          <w:lang/>
        </w:rPr>
        <w:t>Comparative text on the key point in the statement of the Committee on Bioethics:</w:t>
      </w:r>
    </w:p>
    <w:p w14:paraId="335264ED" w14:textId="77777777" w:rsidR="001D2866" w:rsidRPr="00042B23" w:rsidRDefault="00B81F9C" w:rsidP="00433A10">
      <w:pPr>
        <w:shd w:val="clear" w:color="auto" w:fill="FFFFFF"/>
        <w:spacing w:after="0" w:line="240" w:lineRule="auto"/>
        <w:jc w:val="center"/>
        <w:textAlignment w:val="baseline"/>
        <w:rPr>
          <w:rFonts w:ascii="inherit" w:eastAsia="Times New Roman" w:hAnsi="inherit" w:cs="Times New Roman"/>
          <w:i/>
          <w:iCs/>
          <w:bdr w:val="none" w:sz="0" w:space="0" w:color="auto" w:frame="1"/>
          <w:lang/>
        </w:rPr>
      </w:pPr>
      <w:r w:rsidRPr="00042B23">
        <w:rPr>
          <w:rFonts w:ascii="inherit" w:eastAsia="Times New Roman" w:hAnsi="inherit" w:cs="Times New Roman"/>
          <w:lang/>
        </w:rPr>
        <w:t>Statement on the CRPD: </w:t>
      </w:r>
      <w:r w:rsidRPr="00042B23">
        <w:rPr>
          <w:rFonts w:ascii="inherit" w:eastAsia="Times New Roman" w:hAnsi="inherit" w:cs="Times New Roman"/>
          <w:i/>
          <w:iCs/>
          <w:bdr w:val="none" w:sz="0" w:space="0" w:color="auto" w:frame="1"/>
          <w:lang/>
        </w:rPr>
        <w:t xml:space="preserve">“Involuntary treatment or placement may only be justified, </w:t>
      </w:r>
    </w:p>
    <w:p w14:paraId="61ED5A33" w14:textId="77777777" w:rsidR="001D2866" w:rsidRPr="00042B23" w:rsidRDefault="00B81F9C" w:rsidP="00433A10">
      <w:pPr>
        <w:shd w:val="clear" w:color="auto" w:fill="FFFFFF"/>
        <w:spacing w:after="0" w:line="240" w:lineRule="auto"/>
        <w:jc w:val="center"/>
        <w:textAlignment w:val="baseline"/>
        <w:rPr>
          <w:rFonts w:ascii="inherit" w:eastAsia="Times New Roman" w:hAnsi="inherit" w:cs="Times New Roman"/>
          <w:i/>
          <w:iCs/>
          <w:bdr w:val="none" w:sz="0" w:space="0" w:color="auto" w:frame="1"/>
          <w:lang/>
        </w:rPr>
      </w:pPr>
      <w:r w:rsidRPr="00042B23">
        <w:rPr>
          <w:rFonts w:ascii="inherit" w:eastAsia="Times New Roman" w:hAnsi="inherit" w:cs="Times New Roman"/>
          <w:i/>
          <w:iCs/>
          <w:bdr w:val="none" w:sz="0" w:space="0" w:color="auto" w:frame="1"/>
          <w:lang/>
        </w:rPr>
        <w:t>in connection with </w:t>
      </w:r>
      <w:r w:rsidRPr="00042B23">
        <w:rPr>
          <w:rFonts w:ascii="inherit" w:eastAsia="Times New Roman" w:hAnsi="inherit" w:cs="Times New Roman"/>
          <w:b/>
          <w:bCs/>
          <w:i/>
          <w:iCs/>
          <w:bdr w:val="none" w:sz="0" w:space="0" w:color="auto" w:frame="1"/>
          <w:lang/>
        </w:rPr>
        <w:t>a mental disorder of a serious nature</w:t>
      </w:r>
      <w:r w:rsidRPr="00042B23">
        <w:rPr>
          <w:rFonts w:ascii="inherit" w:eastAsia="Times New Roman" w:hAnsi="inherit" w:cs="Times New Roman"/>
          <w:i/>
          <w:iCs/>
          <w:bdr w:val="none" w:sz="0" w:space="0" w:color="auto" w:frame="1"/>
          <w:lang/>
        </w:rPr>
        <w:t>, if from the </w:t>
      </w:r>
      <w:r w:rsidRPr="00042B23">
        <w:rPr>
          <w:rFonts w:ascii="inherit" w:eastAsia="Times New Roman" w:hAnsi="inherit" w:cs="Times New Roman"/>
          <w:b/>
          <w:bCs/>
          <w:i/>
          <w:iCs/>
          <w:bdr w:val="none" w:sz="0" w:space="0" w:color="auto" w:frame="1"/>
          <w:lang/>
        </w:rPr>
        <w:t>absence of treatment</w:t>
      </w:r>
      <w:r w:rsidRPr="00042B23">
        <w:rPr>
          <w:rFonts w:ascii="inherit" w:eastAsia="Times New Roman" w:hAnsi="inherit" w:cs="Times New Roman"/>
          <w:i/>
          <w:iCs/>
          <w:bdr w:val="none" w:sz="0" w:space="0" w:color="auto" w:frame="1"/>
          <w:lang/>
        </w:rPr>
        <w:t> or placement </w:t>
      </w:r>
      <w:r w:rsidRPr="00042B23">
        <w:rPr>
          <w:rFonts w:ascii="inherit" w:eastAsia="Times New Roman" w:hAnsi="inherit" w:cs="Times New Roman"/>
          <w:b/>
          <w:bCs/>
          <w:i/>
          <w:iCs/>
          <w:bdr w:val="none" w:sz="0" w:space="0" w:color="auto" w:frame="1"/>
          <w:lang/>
        </w:rPr>
        <w:t>serious harm is likely to result to the person’s health</w:t>
      </w:r>
      <w:r w:rsidRPr="00042B23">
        <w:rPr>
          <w:rFonts w:ascii="inherit" w:eastAsia="Times New Roman" w:hAnsi="inherit" w:cs="Times New Roman"/>
          <w:i/>
          <w:iCs/>
          <w:bdr w:val="none" w:sz="0" w:space="0" w:color="auto" w:frame="1"/>
          <w:lang/>
        </w:rPr>
        <w:t xml:space="preserve"> or </w:t>
      </w:r>
    </w:p>
    <w:p w14:paraId="0FAB4FCA" w14:textId="7AF69CE1" w:rsidR="00B81F9C" w:rsidRPr="00042B23" w:rsidRDefault="00B81F9C" w:rsidP="00433A10">
      <w:pPr>
        <w:shd w:val="clear" w:color="auto" w:fill="FFFFFF"/>
        <w:spacing w:after="120" w:line="240" w:lineRule="auto"/>
        <w:jc w:val="center"/>
        <w:textAlignment w:val="baseline"/>
        <w:rPr>
          <w:rFonts w:ascii="inherit" w:eastAsia="Times New Roman" w:hAnsi="inherit" w:cs="Times New Roman"/>
          <w:lang/>
        </w:rPr>
      </w:pPr>
      <w:r w:rsidRPr="00042B23">
        <w:rPr>
          <w:rFonts w:ascii="inherit" w:eastAsia="Times New Roman" w:hAnsi="inherit" w:cs="Times New Roman"/>
          <w:i/>
          <w:iCs/>
          <w:bdr w:val="none" w:sz="0" w:space="0" w:color="auto" w:frame="1"/>
          <w:lang/>
        </w:rPr>
        <w:t>to a third party.”</w:t>
      </w:r>
    </w:p>
    <w:p w14:paraId="3A20C0C4" w14:textId="77777777" w:rsidR="00B81F9C" w:rsidRPr="00042B23" w:rsidRDefault="00B81F9C" w:rsidP="00681F33">
      <w:pPr>
        <w:shd w:val="clear" w:color="auto" w:fill="FFFFFF"/>
        <w:spacing w:after="0" w:line="240" w:lineRule="auto"/>
        <w:jc w:val="center"/>
        <w:textAlignment w:val="baseline"/>
        <w:rPr>
          <w:rFonts w:ascii="inherit" w:eastAsia="Times New Roman" w:hAnsi="inherit" w:cs="Times New Roman"/>
          <w:lang/>
        </w:rPr>
      </w:pPr>
      <w:r w:rsidRPr="00042B23">
        <w:rPr>
          <w:rFonts w:ascii="inherit" w:eastAsia="Times New Roman" w:hAnsi="inherit" w:cs="Times New Roman"/>
          <w:lang/>
        </w:rPr>
        <w:lastRenderedPageBreak/>
        <w:t>Convention on Human Rights and Biomedicine, Article 7: </w:t>
      </w:r>
      <w:r w:rsidRPr="00042B23">
        <w:rPr>
          <w:rFonts w:ascii="inherit" w:eastAsia="Times New Roman" w:hAnsi="inherit" w:cs="Times New Roman"/>
          <w:i/>
          <w:iCs/>
          <w:bdr w:val="none" w:sz="0" w:space="0" w:color="auto" w:frame="1"/>
          <w:lang/>
        </w:rPr>
        <w:t>“Subject to protective conditions prescribed by law, including supervisory, control and appeal procedures, a person who has </w:t>
      </w:r>
      <w:r w:rsidRPr="00042B23">
        <w:rPr>
          <w:rFonts w:ascii="inherit" w:eastAsia="Times New Roman" w:hAnsi="inherit" w:cs="Times New Roman"/>
          <w:b/>
          <w:bCs/>
          <w:i/>
          <w:iCs/>
          <w:bdr w:val="none" w:sz="0" w:space="0" w:color="auto" w:frame="1"/>
          <w:lang/>
        </w:rPr>
        <w:t>a mental disorder of a serious nature</w:t>
      </w:r>
      <w:r w:rsidRPr="00042B23">
        <w:rPr>
          <w:rFonts w:ascii="inherit" w:eastAsia="Times New Roman" w:hAnsi="inherit" w:cs="Times New Roman"/>
          <w:i/>
          <w:iCs/>
          <w:bdr w:val="none" w:sz="0" w:space="0" w:color="auto" w:frame="1"/>
          <w:lang/>
        </w:rPr>
        <w:t> may be subjected, without his or her consent, to an intervention aimed at treating his or her mental disorder only where, </w:t>
      </w:r>
      <w:r w:rsidRPr="00042B23">
        <w:rPr>
          <w:rFonts w:ascii="inherit" w:eastAsia="Times New Roman" w:hAnsi="inherit" w:cs="Times New Roman"/>
          <w:b/>
          <w:bCs/>
          <w:i/>
          <w:iCs/>
          <w:bdr w:val="none" w:sz="0" w:space="0" w:color="auto" w:frame="1"/>
          <w:lang/>
        </w:rPr>
        <w:t>without such treatment</w:t>
      </w:r>
      <w:r w:rsidRPr="00042B23">
        <w:rPr>
          <w:rFonts w:ascii="inherit" w:eastAsia="Times New Roman" w:hAnsi="inherit" w:cs="Times New Roman"/>
          <w:i/>
          <w:iCs/>
          <w:bdr w:val="none" w:sz="0" w:space="0" w:color="auto" w:frame="1"/>
          <w:lang/>
        </w:rPr>
        <w:t>, </w:t>
      </w:r>
      <w:r w:rsidRPr="00042B23">
        <w:rPr>
          <w:rFonts w:ascii="inherit" w:eastAsia="Times New Roman" w:hAnsi="inherit" w:cs="Times New Roman"/>
          <w:b/>
          <w:bCs/>
          <w:i/>
          <w:iCs/>
          <w:bdr w:val="none" w:sz="0" w:space="0" w:color="auto" w:frame="1"/>
          <w:lang/>
        </w:rPr>
        <w:t>serious harm is likely to result to his or her health</w:t>
      </w:r>
      <w:r w:rsidRPr="00042B23">
        <w:rPr>
          <w:rFonts w:ascii="inherit" w:eastAsia="Times New Roman" w:hAnsi="inherit" w:cs="Times New Roman"/>
          <w:i/>
          <w:iCs/>
          <w:bdr w:val="none" w:sz="0" w:space="0" w:color="auto" w:frame="1"/>
          <w:lang/>
        </w:rPr>
        <w:t>.”</w:t>
      </w:r>
    </w:p>
    <w:p w14:paraId="22278B1D" w14:textId="77777777" w:rsidR="00B2202B" w:rsidRPr="00042B23" w:rsidRDefault="00B2202B" w:rsidP="00681F33">
      <w:pPr>
        <w:shd w:val="clear" w:color="auto" w:fill="FFFFFF"/>
        <w:spacing w:after="0" w:line="240" w:lineRule="auto"/>
        <w:textAlignment w:val="baseline"/>
        <w:rPr>
          <w:rFonts w:ascii="inherit" w:eastAsia="Times New Roman" w:hAnsi="inherit" w:cs="Times New Roman"/>
          <w:lang/>
        </w:rPr>
      </w:pPr>
    </w:p>
    <w:p w14:paraId="158FE484" w14:textId="1F4423F7" w:rsidR="00B81F9C" w:rsidRPr="00042B23" w:rsidRDefault="00B81F9C" w:rsidP="00433A10">
      <w:pPr>
        <w:shd w:val="clear" w:color="auto" w:fill="FFFFFF"/>
        <w:spacing w:after="120" w:line="240" w:lineRule="auto"/>
        <w:textAlignment w:val="baseline"/>
        <w:rPr>
          <w:rFonts w:ascii="inherit" w:eastAsia="Times New Roman" w:hAnsi="inherit" w:cs="Times New Roman"/>
          <w:lang w:val="en-US"/>
        </w:rPr>
      </w:pPr>
      <w:r w:rsidRPr="00042B23">
        <w:rPr>
          <w:rFonts w:ascii="inherit" w:eastAsia="Times New Roman" w:hAnsi="inherit" w:cs="Times New Roman"/>
          <w:lang/>
        </w:rPr>
        <w:t>With this in place the Committee on Bioethics could proceed formulating a new legal instrument, making it appear that it would be in accordance with the international human rights, to which the Council’s member states are bound. The Committee got a new mandate for 2012 and 2013 including the task of preparing a draft legal instrument “concerning the protection of persons with mental disorder with regard to involuntary treatment and placement.”</w:t>
      </w:r>
      <w:r w:rsidR="007021DB" w:rsidRPr="00042B23">
        <w:rPr>
          <w:rFonts w:ascii="inherit" w:eastAsia="Times New Roman" w:hAnsi="inherit" w:cs="Times New Roman"/>
          <w:lang w:val="en-US"/>
        </w:rPr>
        <w:t xml:space="preserve"> This work will as mentioned likely be decided </w:t>
      </w:r>
      <w:r w:rsidR="00681F33">
        <w:rPr>
          <w:rFonts w:ascii="inherit" w:eastAsia="Times New Roman" w:hAnsi="inherit" w:cs="Times New Roman"/>
          <w:lang w:val="en-US"/>
        </w:rPr>
        <w:t xml:space="preserve">on </w:t>
      </w:r>
      <w:r w:rsidR="007021DB" w:rsidRPr="00042B23">
        <w:rPr>
          <w:rFonts w:ascii="inherit" w:eastAsia="Times New Roman" w:hAnsi="inherit" w:cs="Times New Roman"/>
          <w:lang w:val="en-US"/>
        </w:rPr>
        <w:t>in 2025.</w:t>
      </w:r>
    </w:p>
    <w:p w14:paraId="4E3E0D68" w14:textId="2A7BAA11" w:rsidR="00282D0E" w:rsidRPr="00042B23" w:rsidRDefault="00433A10" w:rsidP="00433A10">
      <w:pPr>
        <w:shd w:val="clear" w:color="auto" w:fill="FFFFFF"/>
        <w:spacing w:after="120" w:line="240" w:lineRule="auto"/>
        <w:textAlignment w:val="baseline"/>
        <w:rPr>
          <w:rFonts w:ascii="inherit" w:hAnsi="inherit" w:cs="Arial"/>
        </w:rPr>
      </w:pPr>
      <w:r w:rsidRPr="00042B23">
        <w:rPr>
          <w:rFonts w:ascii="inherit" w:eastAsia="Times New Roman" w:hAnsi="inherit" w:cs="Times New Roman"/>
          <w:lang w:val="en-US"/>
        </w:rPr>
        <w:t xml:space="preserve">The underlying problem, the root text in the </w:t>
      </w:r>
      <w:r w:rsidRPr="00042B23">
        <w:rPr>
          <w:rFonts w:ascii="inherit" w:hAnsi="inherit" w:cs="Arial"/>
        </w:rPr>
        <w:t>European Convention on Human Rights</w:t>
      </w:r>
      <w:r w:rsidRPr="00042B23">
        <w:rPr>
          <w:rFonts w:ascii="inherit" w:hAnsi="inherit" w:cs="Arial"/>
        </w:rPr>
        <w:t xml:space="preserve"> in the last couple of years has been addressed by the </w:t>
      </w:r>
      <w:r w:rsidR="00282D0E" w:rsidRPr="00042B23">
        <w:rPr>
          <w:rFonts w:ascii="inherit" w:hAnsi="inherit" w:cs="Arial"/>
        </w:rPr>
        <w:t>Parliamentary Assembly of the Council of Europe</w:t>
      </w:r>
      <w:r w:rsidRPr="00042B23">
        <w:rPr>
          <w:rFonts w:ascii="inherit" w:hAnsi="inherit" w:cs="Arial"/>
        </w:rPr>
        <w:t>. It is however also running in to the same problems. I</w:t>
      </w:r>
      <w:r w:rsidR="00282D0E" w:rsidRPr="00042B23">
        <w:rPr>
          <w:rFonts w:ascii="inherit" w:hAnsi="inherit" w:cs="Arial"/>
        </w:rPr>
        <w:t xml:space="preserve">n May 2024 </w:t>
      </w:r>
      <w:r w:rsidRPr="00042B23">
        <w:rPr>
          <w:rFonts w:ascii="inherit" w:hAnsi="inherit" w:cs="Arial"/>
        </w:rPr>
        <w:t xml:space="preserve">the Assembly however </w:t>
      </w:r>
      <w:r w:rsidR="00282D0E" w:rsidRPr="00042B23">
        <w:rPr>
          <w:rFonts w:ascii="inherit" w:hAnsi="inherit" w:cs="Arial"/>
        </w:rPr>
        <w:t xml:space="preserve">approved a Recommendation 2275 (2024) </w:t>
      </w:r>
      <w:r w:rsidR="00282D0E" w:rsidRPr="00042B23">
        <w:rPr>
          <w:rFonts w:ascii="inherit" w:hAnsi="inherit" w:cs="Arial"/>
          <w:i/>
          <w:iCs/>
        </w:rPr>
        <w:t>Ending the detention of “socially maladjusted” persons</w:t>
      </w:r>
      <w:r w:rsidR="00282D0E" w:rsidRPr="00042B23">
        <w:rPr>
          <w:rFonts w:ascii="inherit" w:hAnsi="inherit" w:cs="Arial"/>
        </w:rPr>
        <w:t>. In the Recommendation it among others is noted that:</w:t>
      </w:r>
    </w:p>
    <w:p w14:paraId="71E6A914" w14:textId="30CD680B" w:rsidR="00282D0E" w:rsidRPr="00042B23" w:rsidRDefault="00282D0E" w:rsidP="00282D0E">
      <w:pPr>
        <w:autoSpaceDE w:val="0"/>
        <w:autoSpaceDN w:val="0"/>
        <w:adjustRightInd w:val="0"/>
        <w:spacing w:after="80" w:line="240" w:lineRule="auto"/>
        <w:rPr>
          <w:rFonts w:ascii="inherit" w:hAnsi="inherit" w:cs="Arial"/>
        </w:rPr>
      </w:pPr>
      <w:r w:rsidRPr="00042B23">
        <w:rPr>
          <w:rFonts w:ascii="inherit" w:hAnsi="inherit" w:cs="Arial"/>
        </w:rPr>
        <w:t>“</w:t>
      </w:r>
      <w:r w:rsidRPr="00042B23">
        <w:rPr>
          <w:rFonts w:ascii="inherit" w:hAnsi="inherit" w:cs="Arial"/>
          <w:i/>
          <w:iCs/>
        </w:rPr>
        <w:t xml:space="preserve">The right to liberty is one of the most fundamental human rights. It is guaranteed in Article 5 of the European Convention on Human Rights (ETS No. 5, “the Convention”). However, the Convention includes a limitation to the right to liberty specifically on the basis of mental impairment, drug or alcohol use, or not having a fixed abode. The formulation of Article 5.1.e, reportedly stemming from the eugenics movement, states that “persons of unsound mind, alcoholics or drug addicts or vagrants” can be lawfully detained. </w:t>
      </w:r>
      <w:r w:rsidR="00433A10" w:rsidRPr="00042B23">
        <w:rPr>
          <w:rFonts w:ascii="inherit" w:hAnsi="inherit" w:cs="Arial"/>
          <w:i/>
          <w:iCs/>
        </w:rPr>
        <w:t xml:space="preserve">… </w:t>
      </w:r>
      <w:r w:rsidRPr="00042B23">
        <w:rPr>
          <w:rFonts w:ascii="inherit" w:hAnsi="inherit" w:cs="Arial"/>
          <w:i/>
          <w:iCs/>
        </w:rPr>
        <w:t>The Convention is the only international human rights treaty that excludes these groups from the full enjoyment of the right to liberty. This is problematic, as detaining such vulnerable persons effectively puts them at higher risk of systematic rights violations</w:t>
      </w:r>
      <w:r w:rsidRPr="00042B23">
        <w:rPr>
          <w:rFonts w:ascii="inherit" w:hAnsi="inherit" w:cs="Arial"/>
        </w:rPr>
        <w:t>.”</w:t>
      </w:r>
    </w:p>
    <w:p w14:paraId="6F56F40C" w14:textId="125B2775" w:rsidR="00433A10" w:rsidRPr="00042B23" w:rsidRDefault="00433A10" w:rsidP="00433A10">
      <w:pPr>
        <w:autoSpaceDE w:val="0"/>
        <w:autoSpaceDN w:val="0"/>
        <w:adjustRightInd w:val="0"/>
        <w:spacing w:after="80" w:line="240" w:lineRule="auto"/>
        <w:rPr>
          <w:rFonts w:ascii="inherit" w:hAnsi="inherit" w:cs="Arial"/>
        </w:rPr>
      </w:pPr>
      <w:r w:rsidRPr="00042B23">
        <w:rPr>
          <w:rFonts w:ascii="inherit" w:hAnsi="inherit" w:cs="Arial"/>
        </w:rPr>
        <w:t xml:space="preserve">The Parliamentary Assembly of the Council of Europe in its May 2024 Recommendation </w:t>
      </w:r>
      <w:r w:rsidR="00042B23" w:rsidRPr="00042B23">
        <w:rPr>
          <w:rFonts w:ascii="inherit" w:hAnsi="inherit" w:cs="Arial"/>
        </w:rPr>
        <w:t xml:space="preserve">further </w:t>
      </w:r>
      <w:r w:rsidRPr="00042B23">
        <w:rPr>
          <w:rFonts w:ascii="inherit" w:hAnsi="inherit" w:cs="Arial"/>
        </w:rPr>
        <w:t xml:space="preserve">noted that: </w:t>
      </w:r>
    </w:p>
    <w:p w14:paraId="4C40C046" w14:textId="75DD61A6" w:rsidR="00433A10" w:rsidRDefault="00433A10" w:rsidP="00433A10">
      <w:pPr>
        <w:autoSpaceDE w:val="0"/>
        <w:autoSpaceDN w:val="0"/>
        <w:adjustRightInd w:val="0"/>
        <w:spacing w:after="80" w:line="240" w:lineRule="auto"/>
        <w:rPr>
          <w:rFonts w:ascii="inherit" w:hAnsi="inherit" w:cs="Arial"/>
        </w:rPr>
      </w:pPr>
      <w:r w:rsidRPr="00042B23">
        <w:rPr>
          <w:rFonts w:ascii="inherit" w:hAnsi="inherit" w:cs="Arial"/>
        </w:rPr>
        <w:t>“</w:t>
      </w:r>
      <w:r w:rsidRPr="00042B23">
        <w:rPr>
          <w:rFonts w:ascii="inherit" w:hAnsi="inherit" w:cs="Arial"/>
          <w:i/>
          <w:iCs/>
        </w:rPr>
        <w:t>The idea of social control – whether of persons with psychosocial disabilities, of persons who use drugs or alcohol or of persons without a fixed abode – is not compatible with our 21st-century understanding of human rights. The Assembly underlines the urgent need for the Council of Europe, as the leading regional human rights organisation, to fully integrate the worldwide paradigm shift to a modern human rights-based approach in its work. The time has come to move away from the discriminatory concept of excluding certain groups from human rights protection.</w:t>
      </w:r>
      <w:r w:rsidRPr="00042B23">
        <w:rPr>
          <w:rFonts w:ascii="inherit" w:hAnsi="inherit" w:cs="Arial"/>
        </w:rPr>
        <w:t>”</w:t>
      </w:r>
    </w:p>
    <w:p w14:paraId="6A39DD43" w14:textId="55838C7F" w:rsidR="00042B23" w:rsidRDefault="00042B23" w:rsidP="00042B23">
      <w:pPr>
        <w:autoSpaceDE w:val="0"/>
        <w:autoSpaceDN w:val="0"/>
        <w:adjustRightInd w:val="0"/>
        <w:spacing w:after="80" w:line="240" w:lineRule="auto"/>
        <w:rPr>
          <w:rFonts w:ascii="inherit" w:eastAsia="Times New Roman" w:hAnsi="inherit" w:cs="Times New Roman"/>
          <w:lang w:val="en-US"/>
        </w:rPr>
      </w:pPr>
      <w:r>
        <w:rPr>
          <w:rFonts w:ascii="inherit" w:hAnsi="inherit" w:cs="Arial"/>
        </w:rPr>
        <w:t xml:space="preserve">The direct addressing of the </w:t>
      </w:r>
      <w:r w:rsidRPr="00042B23">
        <w:rPr>
          <w:rFonts w:ascii="inherit" w:eastAsia="Times New Roman" w:hAnsi="inherit" w:cs="Times New Roman"/>
          <w:lang/>
        </w:rPr>
        <w:t>European Convention on Human Rights, Article 5 § 1 (e),</w:t>
      </w:r>
      <w:r>
        <w:rPr>
          <w:rFonts w:ascii="inherit" w:eastAsia="Times New Roman" w:hAnsi="inherit" w:cs="Times New Roman"/>
          <w:lang w:val="en-US"/>
        </w:rPr>
        <w:t xml:space="preserve"> however was blocked by a few persons within the Council of Europe Assembly based on the same falsehoods and faulty understanding of human rights that we run in to when advocating for the international human rights in mental health. </w:t>
      </w:r>
      <w:r w:rsidR="00EC29D8">
        <w:rPr>
          <w:rFonts w:ascii="inherit" w:eastAsia="Times New Roman" w:hAnsi="inherit" w:cs="Times New Roman"/>
          <w:lang w:val="en-US"/>
        </w:rPr>
        <w:t xml:space="preserve">What was agreed upon </w:t>
      </w:r>
      <w:r w:rsidR="00643EE9">
        <w:rPr>
          <w:rFonts w:ascii="inherit" w:eastAsia="Times New Roman" w:hAnsi="inherit" w:cs="Times New Roman"/>
          <w:lang w:val="en-US"/>
        </w:rPr>
        <w:t xml:space="preserve">by the Assembly </w:t>
      </w:r>
      <w:r w:rsidR="00EC29D8">
        <w:rPr>
          <w:rFonts w:ascii="inherit" w:eastAsia="Times New Roman" w:hAnsi="inherit" w:cs="Times New Roman"/>
          <w:lang w:val="en-US"/>
        </w:rPr>
        <w:t>was to address the secondary effects caused by the exemption of covering persons with psychosocial disabilities under the European human rights as per the ECHR.</w:t>
      </w:r>
    </w:p>
    <w:p w14:paraId="5D4FC30C" w14:textId="6C6B4FFA" w:rsidR="00042B23" w:rsidRDefault="00042B23" w:rsidP="00042B23">
      <w:pPr>
        <w:autoSpaceDE w:val="0"/>
        <w:autoSpaceDN w:val="0"/>
        <w:adjustRightInd w:val="0"/>
        <w:spacing w:after="80" w:line="240" w:lineRule="auto"/>
        <w:rPr>
          <w:rFonts w:ascii="inherit" w:hAnsi="inherit" w:cs="Arial"/>
          <w:lang w:val="en-US"/>
        </w:rPr>
      </w:pPr>
      <w:r>
        <w:rPr>
          <w:rFonts w:ascii="inherit" w:hAnsi="inherit" w:cs="Arial"/>
          <w:lang w:val="en-US"/>
        </w:rPr>
        <w:t xml:space="preserve">It is hoped that this consultation will consider this major challenge to </w:t>
      </w:r>
      <w:r w:rsidRPr="00042B23">
        <w:rPr>
          <w:rFonts w:ascii="inherit" w:hAnsi="inherit" w:cs="Arial"/>
          <w:lang w:val="en-US"/>
        </w:rPr>
        <w:t>the implementation of enabling normative and policy measures</w:t>
      </w:r>
      <w:r>
        <w:rPr>
          <w:rFonts w:ascii="inherit" w:hAnsi="inherit" w:cs="Arial"/>
          <w:lang w:val="en-US"/>
        </w:rPr>
        <w:t xml:space="preserve"> in Europe. </w:t>
      </w:r>
      <w:r w:rsidR="00EC29D8">
        <w:rPr>
          <w:rFonts w:ascii="inherit" w:hAnsi="inherit" w:cs="Arial"/>
          <w:lang w:val="en-US"/>
        </w:rPr>
        <w:t xml:space="preserve">An understanding of this problem and a direct challenge of it is needed on all levels. </w:t>
      </w:r>
      <w:r>
        <w:rPr>
          <w:rFonts w:ascii="inherit" w:hAnsi="inherit" w:cs="Arial"/>
          <w:lang w:val="en-US"/>
        </w:rPr>
        <w:t xml:space="preserve">The continued support of the United Nations human rights mechanism, the WHO and </w:t>
      </w:r>
      <w:r w:rsidR="00EC29D8">
        <w:rPr>
          <w:rFonts w:ascii="inherit" w:hAnsi="inherit" w:cs="Arial"/>
          <w:lang w:val="en-US"/>
        </w:rPr>
        <w:t xml:space="preserve">others </w:t>
      </w:r>
      <w:r w:rsidR="00060A9A">
        <w:rPr>
          <w:rFonts w:ascii="inherit" w:hAnsi="inherit" w:cs="Arial"/>
          <w:lang w:val="en-US"/>
        </w:rPr>
        <w:t xml:space="preserve">with statements and other material and possible expert appearances </w:t>
      </w:r>
      <w:r w:rsidR="00EC29D8">
        <w:rPr>
          <w:rFonts w:ascii="inherit" w:hAnsi="inherit" w:cs="Arial"/>
          <w:lang w:val="en-US"/>
        </w:rPr>
        <w:t>is very important for the legislators of the Parliamentary Assembly of the Council of Europe. And for all human rights defenders working on these issues in Europe.</w:t>
      </w:r>
    </w:p>
    <w:p w14:paraId="49437944" w14:textId="77777777" w:rsidR="00EC29D8" w:rsidRDefault="00EC29D8" w:rsidP="00042B23">
      <w:pPr>
        <w:autoSpaceDE w:val="0"/>
        <w:autoSpaceDN w:val="0"/>
        <w:adjustRightInd w:val="0"/>
        <w:spacing w:after="80" w:line="240" w:lineRule="auto"/>
        <w:rPr>
          <w:rFonts w:ascii="inherit" w:hAnsi="inherit" w:cs="Arial"/>
          <w:lang w:val="en-US"/>
        </w:rPr>
      </w:pPr>
    </w:p>
    <w:p w14:paraId="52385B21" w14:textId="77777777" w:rsidR="00EC29D8" w:rsidRPr="00EC29D8" w:rsidRDefault="00EC29D8" w:rsidP="00EC29D8">
      <w:pPr>
        <w:autoSpaceDE w:val="0"/>
        <w:autoSpaceDN w:val="0"/>
        <w:adjustRightInd w:val="0"/>
        <w:spacing w:after="80" w:line="240" w:lineRule="auto"/>
        <w:rPr>
          <w:rFonts w:ascii="inherit" w:hAnsi="inherit" w:cs="Arial"/>
          <w:lang w:val="en-US"/>
        </w:rPr>
      </w:pPr>
      <w:proofErr w:type="spellStart"/>
      <w:r w:rsidRPr="00EC29D8">
        <w:rPr>
          <w:rFonts w:ascii="inherit" w:hAnsi="inherit" w:cs="Arial"/>
          <w:lang w:val="en-US"/>
        </w:rPr>
        <w:t>Torsten</w:t>
      </w:r>
      <w:proofErr w:type="spellEnd"/>
      <w:r w:rsidRPr="00EC29D8">
        <w:rPr>
          <w:rFonts w:ascii="inherit" w:hAnsi="inherit" w:cs="Arial"/>
          <w:lang w:val="en-US"/>
        </w:rPr>
        <w:t xml:space="preserve"> </w:t>
      </w:r>
      <w:proofErr w:type="spellStart"/>
      <w:r w:rsidRPr="00EC29D8">
        <w:rPr>
          <w:rFonts w:ascii="inherit" w:hAnsi="inherit" w:cs="Arial"/>
          <w:lang w:val="en-US"/>
        </w:rPr>
        <w:t>Hjelmar</w:t>
      </w:r>
      <w:proofErr w:type="spellEnd"/>
    </w:p>
    <w:p w14:paraId="7DC3ACB6" w14:textId="4E90B9E9" w:rsidR="00EC29D8" w:rsidRPr="00042B23" w:rsidRDefault="00EC29D8" w:rsidP="00042B23">
      <w:pPr>
        <w:autoSpaceDE w:val="0"/>
        <w:autoSpaceDN w:val="0"/>
        <w:adjustRightInd w:val="0"/>
        <w:spacing w:after="80" w:line="240" w:lineRule="auto"/>
        <w:rPr>
          <w:rFonts w:ascii="inherit" w:hAnsi="inherit" w:cs="Arial"/>
          <w:lang w:val="en-US"/>
        </w:rPr>
      </w:pPr>
      <w:r w:rsidRPr="00EC29D8">
        <w:rPr>
          <w:rFonts w:ascii="inherit" w:hAnsi="inherit" w:cs="Arial"/>
          <w:lang w:val="en-US"/>
        </w:rPr>
        <w:t>Coordinator for</w:t>
      </w:r>
      <w:r>
        <w:rPr>
          <w:rFonts w:ascii="inherit" w:hAnsi="inherit" w:cs="Arial"/>
          <w:lang w:val="en-US"/>
        </w:rPr>
        <w:t xml:space="preserve"> </w:t>
      </w:r>
      <w:r w:rsidRPr="00EC29D8">
        <w:rPr>
          <w:rFonts w:ascii="inherit" w:hAnsi="inherit" w:cs="Arial"/>
          <w:lang w:val="en-US"/>
        </w:rPr>
        <w:t>Citizens Commission on Human Rights Europe</w:t>
      </w:r>
      <w:r>
        <w:rPr>
          <w:rFonts w:ascii="inherit" w:hAnsi="inherit" w:cs="Arial"/>
          <w:lang w:val="en-US"/>
        </w:rPr>
        <w:t xml:space="preserve"> (CCHR Europe)</w:t>
      </w:r>
    </w:p>
    <w:sectPr w:rsidR="00EC29D8" w:rsidRPr="00042B23" w:rsidSect="00290CF3">
      <w:headerReference w:type="default" r:id="rId13"/>
      <w:footerReference w:type="default" r:id="rId14"/>
      <w:pgSz w:w="11906" w:h="16838"/>
      <w:pgMar w:top="1440"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ADE7D" w14:textId="77777777" w:rsidR="006D6926" w:rsidRDefault="006D6926" w:rsidP="003D46B9">
      <w:pPr>
        <w:spacing w:after="0" w:line="240" w:lineRule="auto"/>
      </w:pPr>
      <w:r>
        <w:separator/>
      </w:r>
    </w:p>
  </w:endnote>
  <w:endnote w:type="continuationSeparator" w:id="0">
    <w:p w14:paraId="149AE551" w14:textId="77777777" w:rsidR="006D6926" w:rsidRDefault="006D6926" w:rsidP="003D4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E581" w14:textId="68F3CDA3" w:rsidR="00E32D7C" w:rsidRDefault="00E32D7C" w:rsidP="00E32D7C">
    <w:pPr>
      <w:pStyle w:val="Footer"/>
      <w:jc w:val="center"/>
      <w:rPr>
        <w:rFonts w:ascii="Arial" w:hAnsi="Arial" w:cs="Arial"/>
        <w:sz w:val="18"/>
        <w:szCs w:val="18"/>
      </w:rPr>
    </w:pPr>
    <w:r w:rsidRPr="00E32D7C">
      <w:rPr>
        <w:rFonts w:ascii="Arial" w:hAnsi="Arial" w:cs="Arial"/>
        <w:sz w:val="18"/>
        <w:szCs w:val="18"/>
      </w:rPr>
      <w:t xml:space="preserve">Citizens Commission on Human Rights Europe - </w:t>
    </w:r>
    <w:proofErr w:type="spellStart"/>
    <w:r w:rsidRPr="00E32D7C">
      <w:rPr>
        <w:rFonts w:ascii="Arial" w:hAnsi="Arial" w:cs="Arial"/>
        <w:sz w:val="18"/>
        <w:szCs w:val="18"/>
      </w:rPr>
      <w:t>Fabriksparken</w:t>
    </w:r>
    <w:proofErr w:type="spellEnd"/>
    <w:r w:rsidRPr="00E32D7C">
      <w:rPr>
        <w:rFonts w:ascii="Arial" w:hAnsi="Arial" w:cs="Arial"/>
        <w:sz w:val="18"/>
        <w:szCs w:val="18"/>
      </w:rPr>
      <w:t xml:space="preserve"> 15, 2600 </w:t>
    </w:r>
    <w:proofErr w:type="spellStart"/>
    <w:r w:rsidRPr="00E32D7C">
      <w:rPr>
        <w:rFonts w:ascii="Arial" w:hAnsi="Arial" w:cs="Arial"/>
        <w:sz w:val="18"/>
        <w:szCs w:val="18"/>
      </w:rPr>
      <w:t>Glostrup</w:t>
    </w:r>
    <w:proofErr w:type="spellEnd"/>
    <w:r w:rsidRPr="00E32D7C">
      <w:rPr>
        <w:rFonts w:ascii="Arial" w:hAnsi="Arial" w:cs="Arial"/>
        <w:sz w:val="18"/>
        <w:szCs w:val="18"/>
      </w:rPr>
      <w:t>, Denmark</w:t>
    </w:r>
  </w:p>
  <w:p w14:paraId="4F4F0451" w14:textId="46DCE676" w:rsidR="00923347" w:rsidRDefault="00E32D7C" w:rsidP="00E32D7C">
    <w:pPr>
      <w:pStyle w:val="Footer"/>
      <w:jc w:val="center"/>
    </w:pPr>
    <w:r>
      <w:rPr>
        <w:rFonts w:ascii="Arial" w:hAnsi="Arial" w:cs="Arial"/>
        <w:sz w:val="18"/>
        <w:szCs w:val="18"/>
      </w:rPr>
      <w:t>E</w:t>
    </w:r>
    <w:r w:rsidRPr="00E32D7C">
      <w:rPr>
        <w:rFonts w:ascii="Arial" w:hAnsi="Arial" w:cs="Arial"/>
        <w:sz w:val="18"/>
        <w:szCs w:val="18"/>
      </w:rPr>
      <w:t>mail: t.hjelmar@cchreurope.eu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A5C58" w14:textId="77777777" w:rsidR="006D6926" w:rsidRDefault="006D6926" w:rsidP="003D46B9">
      <w:pPr>
        <w:spacing w:after="0" w:line="240" w:lineRule="auto"/>
      </w:pPr>
      <w:r>
        <w:separator/>
      </w:r>
    </w:p>
  </w:footnote>
  <w:footnote w:type="continuationSeparator" w:id="0">
    <w:p w14:paraId="571300AE" w14:textId="77777777" w:rsidR="006D6926" w:rsidRDefault="006D6926" w:rsidP="003D4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9591" w14:textId="1E98ECED" w:rsidR="00923347" w:rsidRDefault="00136F3E" w:rsidP="00136F3E">
    <w:pPr>
      <w:pStyle w:val="Header"/>
      <w:jc w:val="center"/>
      <w:rPr>
        <w:color w:val="FFFFFF" w:themeColor="background1"/>
      </w:rPr>
    </w:pPr>
    <w:r w:rsidRPr="00290CF3">
      <w:rPr>
        <w:noProof/>
        <w:color w:val="FFFFFF" w:themeColor="background1"/>
      </w:rPr>
      <w:drawing>
        <wp:anchor distT="0" distB="0" distL="114300" distR="114300" simplePos="0" relativeHeight="251658240" behindDoc="0" locked="0" layoutInCell="1" allowOverlap="1" wp14:anchorId="37BF5A0B" wp14:editId="25929454">
          <wp:simplePos x="0" y="0"/>
          <wp:positionH relativeFrom="margin">
            <wp:align>center</wp:align>
          </wp:positionH>
          <wp:positionV relativeFrom="paragraph">
            <wp:posOffset>-177741</wp:posOffset>
          </wp:positionV>
          <wp:extent cx="731520" cy="7315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14:sizeRelH relativeFrom="page">
            <wp14:pctWidth>0</wp14:pctWidth>
          </wp14:sizeRelH>
          <wp14:sizeRelV relativeFrom="page">
            <wp14:pctHeight>0</wp14:pctHeight>
          </wp14:sizeRelV>
        </wp:anchor>
      </w:drawing>
    </w:r>
    <w:proofErr w:type="spellStart"/>
    <w:r w:rsidR="00282D0E" w:rsidRPr="00290CF3">
      <w:rPr>
        <w:color w:val="FFFFFF" w:themeColor="background1"/>
      </w:rPr>
      <w:t>C</w:t>
    </w:r>
    <w:r w:rsidR="00290CF3" w:rsidRPr="00290CF3">
      <w:rPr>
        <w:color w:val="FFFFFF" w:themeColor="background1"/>
      </w:rPr>
      <w:t>chr</w:t>
    </w:r>
    <w:proofErr w:type="spellEnd"/>
  </w:p>
  <w:p w14:paraId="6C058DE6" w14:textId="77777777" w:rsidR="00282D0E" w:rsidRDefault="00282D0E" w:rsidP="00136F3E">
    <w:pPr>
      <w:pStyle w:val="Header"/>
      <w:jc w:val="center"/>
      <w:rPr>
        <w:color w:val="FFFFFF" w:themeColor="background1"/>
      </w:rPr>
    </w:pPr>
  </w:p>
  <w:p w14:paraId="24F5B660" w14:textId="77777777" w:rsidR="00282D0E" w:rsidRDefault="00282D0E" w:rsidP="00136F3E">
    <w:pPr>
      <w:pStyle w:val="Header"/>
      <w:jc w:val="center"/>
      <w:rPr>
        <w:color w:val="FFFFFF" w:themeColor="background1"/>
      </w:rPr>
    </w:pPr>
  </w:p>
  <w:p w14:paraId="34DD348D" w14:textId="77777777" w:rsidR="00282D0E" w:rsidRPr="00290CF3" w:rsidRDefault="00282D0E" w:rsidP="00136F3E">
    <w:pPr>
      <w:pStyle w:val="Header"/>
      <w:jc w:val="center"/>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14658"/>
    <w:multiLevelType w:val="hybridMultilevel"/>
    <w:tmpl w:val="595EC8AA"/>
    <w:lvl w:ilvl="0" w:tplc="F3F8F332">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0FEF7897"/>
    <w:multiLevelType w:val="hybridMultilevel"/>
    <w:tmpl w:val="58843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AD2470"/>
    <w:multiLevelType w:val="hybridMultilevel"/>
    <w:tmpl w:val="29809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B7F63"/>
    <w:multiLevelType w:val="hybridMultilevel"/>
    <w:tmpl w:val="77A67EB4"/>
    <w:lvl w:ilvl="0" w:tplc="9E12A06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92784F"/>
    <w:multiLevelType w:val="hybridMultilevel"/>
    <w:tmpl w:val="B3A201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46842"/>
    <w:multiLevelType w:val="hybridMultilevel"/>
    <w:tmpl w:val="0F72C48A"/>
    <w:lvl w:ilvl="0" w:tplc="9E12A06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D560485"/>
    <w:multiLevelType w:val="hybridMultilevel"/>
    <w:tmpl w:val="C70E18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F75197"/>
    <w:multiLevelType w:val="hybridMultilevel"/>
    <w:tmpl w:val="BA861E2E"/>
    <w:lvl w:ilvl="0" w:tplc="9E12A06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274E0C"/>
    <w:multiLevelType w:val="hybridMultilevel"/>
    <w:tmpl w:val="ED64B6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302F75"/>
    <w:multiLevelType w:val="hybridMultilevel"/>
    <w:tmpl w:val="F9969D0A"/>
    <w:lvl w:ilvl="0" w:tplc="AA9EED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7D6AF8"/>
    <w:multiLevelType w:val="hybridMultilevel"/>
    <w:tmpl w:val="92D8CFF2"/>
    <w:lvl w:ilvl="0" w:tplc="B9AA5C04">
      <w:start w:val="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6B93E56"/>
    <w:multiLevelType w:val="hybridMultilevel"/>
    <w:tmpl w:val="46EE7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480FFC"/>
    <w:multiLevelType w:val="hybridMultilevel"/>
    <w:tmpl w:val="E334E7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C061B1"/>
    <w:multiLevelType w:val="hybridMultilevel"/>
    <w:tmpl w:val="3B72D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F5218F"/>
    <w:multiLevelType w:val="hybridMultilevel"/>
    <w:tmpl w:val="537AC662"/>
    <w:lvl w:ilvl="0" w:tplc="9E12A06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2AB1409"/>
    <w:multiLevelType w:val="multilevel"/>
    <w:tmpl w:val="B7BC4C52"/>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6" w15:restartNumberingAfterBreak="0">
    <w:nsid w:val="6DC44108"/>
    <w:multiLevelType w:val="hybridMultilevel"/>
    <w:tmpl w:val="D6227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4165B2"/>
    <w:multiLevelType w:val="hybridMultilevel"/>
    <w:tmpl w:val="58843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CD497D"/>
    <w:multiLevelType w:val="hybridMultilevel"/>
    <w:tmpl w:val="EDF0C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0645366">
    <w:abstractNumId w:val="16"/>
  </w:num>
  <w:num w:numId="2" w16cid:durableId="1241712499">
    <w:abstractNumId w:val="4"/>
  </w:num>
  <w:num w:numId="3" w16cid:durableId="326401896">
    <w:abstractNumId w:val="11"/>
  </w:num>
  <w:num w:numId="4" w16cid:durableId="826820032">
    <w:abstractNumId w:val="6"/>
  </w:num>
  <w:num w:numId="5" w16cid:durableId="715394927">
    <w:abstractNumId w:val="12"/>
  </w:num>
  <w:num w:numId="6" w16cid:durableId="988174845">
    <w:abstractNumId w:val="2"/>
  </w:num>
  <w:num w:numId="7" w16cid:durableId="518324544">
    <w:abstractNumId w:val="18"/>
  </w:num>
  <w:num w:numId="8" w16cid:durableId="116024466">
    <w:abstractNumId w:val="0"/>
  </w:num>
  <w:num w:numId="9" w16cid:durableId="674764610">
    <w:abstractNumId w:val="13"/>
  </w:num>
  <w:num w:numId="10" w16cid:durableId="1862737507">
    <w:abstractNumId w:val="10"/>
  </w:num>
  <w:num w:numId="11" w16cid:durableId="981883768">
    <w:abstractNumId w:val="9"/>
  </w:num>
  <w:num w:numId="12" w16cid:durableId="1943565996">
    <w:abstractNumId w:val="15"/>
  </w:num>
  <w:num w:numId="13" w16cid:durableId="1248885501">
    <w:abstractNumId w:val="3"/>
  </w:num>
  <w:num w:numId="14" w16cid:durableId="205488083">
    <w:abstractNumId w:val="14"/>
  </w:num>
  <w:num w:numId="15" w16cid:durableId="1380737907">
    <w:abstractNumId w:val="7"/>
  </w:num>
  <w:num w:numId="16" w16cid:durableId="1009406623">
    <w:abstractNumId w:val="5"/>
  </w:num>
  <w:num w:numId="17" w16cid:durableId="56440366">
    <w:abstractNumId w:val="17"/>
  </w:num>
  <w:num w:numId="18" w16cid:durableId="206458993">
    <w:abstractNumId w:val="1"/>
  </w:num>
  <w:num w:numId="19" w16cid:durableId="15529571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D0D"/>
    <w:rsid w:val="0000177A"/>
    <w:rsid w:val="00005D93"/>
    <w:rsid w:val="00006689"/>
    <w:rsid w:val="0001445A"/>
    <w:rsid w:val="00021D4D"/>
    <w:rsid w:val="00030A19"/>
    <w:rsid w:val="00030ED1"/>
    <w:rsid w:val="00042B23"/>
    <w:rsid w:val="00043F67"/>
    <w:rsid w:val="00046AD5"/>
    <w:rsid w:val="00047EB7"/>
    <w:rsid w:val="000541FB"/>
    <w:rsid w:val="000549FF"/>
    <w:rsid w:val="0005539C"/>
    <w:rsid w:val="000577B5"/>
    <w:rsid w:val="00060965"/>
    <w:rsid w:val="00060A9A"/>
    <w:rsid w:val="00074961"/>
    <w:rsid w:val="00075D40"/>
    <w:rsid w:val="00081F2E"/>
    <w:rsid w:val="00095AE6"/>
    <w:rsid w:val="00095AEE"/>
    <w:rsid w:val="00095B34"/>
    <w:rsid w:val="00096B12"/>
    <w:rsid w:val="000B141C"/>
    <w:rsid w:val="000C2C84"/>
    <w:rsid w:val="000C5E55"/>
    <w:rsid w:val="000E0923"/>
    <w:rsid w:val="000E32DF"/>
    <w:rsid w:val="000E32F6"/>
    <w:rsid w:val="000E6037"/>
    <w:rsid w:val="000F767D"/>
    <w:rsid w:val="001054BD"/>
    <w:rsid w:val="00116E02"/>
    <w:rsid w:val="00120AA3"/>
    <w:rsid w:val="00122038"/>
    <w:rsid w:val="0012775C"/>
    <w:rsid w:val="00136F3E"/>
    <w:rsid w:val="001403C7"/>
    <w:rsid w:val="001433F0"/>
    <w:rsid w:val="00143A22"/>
    <w:rsid w:val="00145C87"/>
    <w:rsid w:val="00153D96"/>
    <w:rsid w:val="00160F0A"/>
    <w:rsid w:val="00162FEF"/>
    <w:rsid w:val="0017437B"/>
    <w:rsid w:val="00181696"/>
    <w:rsid w:val="001979E2"/>
    <w:rsid w:val="001A0899"/>
    <w:rsid w:val="001A3C82"/>
    <w:rsid w:val="001B29D1"/>
    <w:rsid w:val="001B54F8"/>
    <w:rsid w:val="001C6F63"/>
    <w:rsid w:val="001D2866"/>
    <w:rsid w:val="001D351B"/>
    <w:rsid w:val="001D3B3E"/>
    <w:rsid w:val="001E3596"/>
    <w:rsid w:val="001F3DF1"/>
    <w:rsid w:val="001F3FC5"/>
    <w:rsid w:val="002043E7"/>
    <w:rsid w:val="002163C0"/>
    <w:rsid w:val="00227D3B"/>
    <w:rsid w:val="0023104B"/>
    <w:rsid w:val="002328E8"/>
    <w:rsid w:val="00233229"/>
    <w:rsid w:val="00234A64"/>
    <w:rsid w:val="00235757"/>
    <w:rsid w:val="00240228"/>
    <w:rsid w:val="00241A71"/>
    <w:rsid w:val="00247EB7"/>
    <w:rsid w:val="00252678"/>
    <w:rsid w:val="00252775"/>
    <w:rsid w:val="00261614"/>
    <w:rsid w:val="0026489B"/>
    <w:rsid w:val="00264E88"/>
    <w:rsid w:val="00282D0E"/>
    <w:rsid w:val="00290CF3"/>
    <w:rsid w:val="00294955"/>
    <w:rsid w:val="0029540E"/>
    <w:rsid w:val="00296678"/>
    <w:rsid w:val="002979C6"/>
    <w:rsid w:val="00297F7F"/>
    <w:rsid w:val="002A0D6C"/>
    <w:rsid w:val="002A13EB"/>
    <w:rsid w:val="002A2909"/>
    <w:rsid w:val="002A342A"/>
    <w:rsid w:val="002A7474"/>
    <w:rsid w:val="002A7B56"/>
    <w:rsid w:val="002B2036"/>
    <w:rsid w:val="002B3AD6"/>
    <w:rsid w:val="002B3D70"/>
    <w:rsid w:val="002C0139"/>
    <w:rsid w:val="002C57AA"/>
    <w:rsid w:val="002C70EE"/>
    <w:rsid w:val="002D399D"/>
    <w:rsid w:val="002D5125"/>
    <w:rsid w:val="002D7234"/>
    <w:rsid w:val="002D7C14"/>
    <w:rsid w:val="002E71F4"/>
    <w:rsid w:val="002E768F"/>
    <w:rsid w:val="002F001E"/>
    <w:rsid w:val="002F15C2"/>
    <w:rsid w:val="002F1618"/>
    <w:rsid w:val="002F3571"/>
    <w:rsid w:val="002F7B59"/>
    <w:rsid w:val="00300807"/>
    <w:rsid w:val="00301B7D"/>
    <w:rsid w:val="00302559"/>
    <w:rsid w:val="003047C5"/>
    <w:rsid w:val="003151FB"/>
    <w:rsid w:val="003167DB"/>
    <w:rsid w:val="00316A52"/>
    <w:rsid w:val="00333199"/>
    <w:rsid w:val="00333A17"/>
    <w:rsid w:val="00334F5D"/>
    <w:rsid w:val="0033547D"/>
    <w:rsid w:val="00342285"/>
    <w:rsid w:val="003506FB"/>
    <w:rsid w:val="00361EC1"/>
    <w:rsid w:val="00372FD9"/>
    <w:rsid w:val="003734A9"/>
    <w:rsid w:val="0037506B"/>
    <w:rsid w:val="00375619"/>
    <w:rsid w:val="00376419"/>
    <w:rsid w:val="003879F3"/>
    <w:rsid w:val="00391BD0"/>
    <w:rsid w:val="00395ADB"/>
    <w:rsid w:val="003977D3"/>
    <w:rsid w:val="003B10B4"/>
    <w:rsid w:val="003B475A"/>
    <w:rsid w:val="003B49B6"/>
    <w:rsid w:val="003B6009"/>
    <w:rsid w:val="003C0A95"/>
    <w:rsid w:val="003C5BDC"/>
    <w:rsid w:val="003C7480"/>
    <w:rsid w:val="003D26C5"/>
    <w:rsid w:val="003D46B9"/>
    <w:rsid w:val="003D4C22"/>
    <w:rsid w:val="003D5092"/>
    <w:rsid w:val="003E063A"/>
    <w:rsid w:val="003E1393"/>
    <w:rsid w:val="003E25CC"/>
    <w:rsid w:val="003F3C7C"/>
    <w:rsid w:val="003F4574"/>
    <w:rsid w:val="003F5783"/>
    <w:rsid w:val="003F7398"/>
    <w:rsid w:val="0040019D"/>
    <w:rsid w:val="00405E4D"/>
    <w:rsid w:val="00406BE2"/>
    <w:rsid w:val="00413823"/>
    <w:rsid w:val="0041458A"/>
    <w:rsid w:val="004147EA"/>
    <w:rsid w:val="004202D6"/>
    <w:rsid w:val="004203FA"/>
    <w:rsid w:val="0042129C"/>
    <w:rsid w:val="00421325"/>
    <w:rsid w:val="00426F46"/>
    <w:rsid w:val="0042777C"/>
    <w:rsid w:val="004310F2"/>
    <w:rsid w:val="00433682"/>
    <w:rsid w:val="00433A10"/>
    <w:rsid w:val="0043751A"/>
    <w:rsid w:val="00446EE4"/>
    <w:rsid w:val="004529F9"/>
    <w:rsid w:val="0045555E"/>
    <w:rsid w:val="00457C59"/>
    <w:rsid w:val="00461525"/>
    <w:rsid w:val="004763EE"/>
    <w:rsid w:val="00487939"/>
    <w:rsid w:val="004954D6"/>
    <w:rsid w:val="004A5E5F"/>
    <w:rsid w:val="004A6DD1"/>
    <w:rsid w:val="004B6CB4"/>
    <w:rsid w:val="004B7DD3"/>
    <w:rsid w:val="004C1700"/>
    <w:rsid w:val="004C5672"/>
    <w:rsid w:val="004D241F"/>
    <w:rsid w:val="004D3EE8"/>
    <w:rsid w:val="004D5537"/>
    <w:rsid w:val="004D5D35"/>
    <w:rsid w:val="004E07FE"/>
    <w:rsid w:val="004F40A9"/>
    <w:rsid w:val="004F642D"/>
    <w:rsid w:val="004F6842"/>
    <w:rsid w:val="00505012"/>
    <w:rsid w:val="00516B1A"/>
    <w:rsid w:val="005177AE"/>
    <w:rsid w:val="0052306A"/>
    <w:rsid w:val="0052473E"/>
    <w:rsid w:val="00530774"/>
    <w:rsid w:val="005447D9"/>
    <w:rsid w:val="0055221E"/>
    <w:rsid w:val="00553911"/>
    <w:rsid w:val="00556A04"/>
    <w:rsid w:val="00557826"/>
    <w:rsid w:val="00560412"/>
    <w:rsid w:val="00562E10"/>
    <w:rsid w:val="00563703"/>
    <w:rsid w:val="00564ED6"/>
    <w:rsid w:val="0057137D"/>
    <w:rsid w:val="00575153"/>
    <w:rsid w:val="005872EA"/>
    <w:rsid w:val="00597AE1"/>
    <w:rsid w:val="005A2F34"/>
    <w:rsid w:val="005A648C"/>
    <w:rsid w:val="005B1505"/>
    <w:rsid w:val="005B295C"/>
    <w:rsid w:val="005C0B38"/>
    <w:rsid w:val="005C0FCA"/>
    <w:rsid w:val="005C6159"/>
    <w:rsid w:val="005D240A"/>
    <w:rsid w:val="005D397B"/>
    <w:rsid w:val="005D4013"/>
    <w:rsid w:val="005D4355"/>
    <w:rsid w:val="005D60D6"/>
    <w:rsid w:val="005E0D52"/>
    <w:rsid w:val="005E197F"/>
    <w:rsid w:val="005F3353"/>
    <w:rsid w:val="005F599C"/>
    <w:rsid w:val="005F668F"/>
    <w:rsid w:val="005F74B4"/>
    <w:rsid w:val="006013C9"/>
    <w:rsid w:val="00601C9D"/>
    <w:rsid w:val="00606DFF"/>
    <w:rsid w:val="00617590"/>
    <w:rsid w:val="006203A3"/>
    <w:rsid w:val="006317D5"/>
    <w:rsid w:val="00632D06"/>
    <w:rsid w:val="00636202"/>
    <w:rsid w:val="00643EE9"/>
    <w:rsid w:val="00647C80"/>
    <w:rsid w:val="00651770"/>
    <w:rsid w:val="00654A12"/>
    <w:rsid w:val="00656D94"/>
    <w:rsid w:val="00661357"/>
    <w:rsid w:val="00666FBB"/>
    <w:rsid w:val="00672D55"/>
    <w:rsid w:val="00673E6C"/>
    <w:rsid w:val="00680229"/>
    <w:rsid w:val="00681F33"/>
    <w:rsid w:val="00687290"/>
    <w:rsid w:val="00693763"/>
    <w:rsid w:val="006A1415"/>
    <w:rsid w:val="006A56D4"/>
    <w:rsid w:val="006A784D"/>
    <w:rsid w:val="006B589C"/>
    <w:rsid w:val="006B6325"/>
    <w:rsid w:val="006C165C"/>
    <w:rsid w:val="006C2955"/>
    <w:rsid w:val="006D157B"/>
    <w:rsid w:val="006D5023"/>
    <w:rsid w:val="006D57AF"/>
    <w:rsid w:val="006D6926"/>
    <w:rsid w:val="006E1B63"/>
    <w:rsid w:val="006E6BD5"/>
    <w:rsid w:val="006F766F"/>
    <w:rsid w:val="007021DB"/>
    <w:rsid w:val="00707FE5"/>
    <w:rsid w:val="007134E3"/>
    <w:rsid w:val="00713884"/>
    <w:rsid w:val="00713D85"/>
    <w:rsid w:val="00720FA4"/>
    <w:rsid w:val="007220CA"/>
    <w:rsid w:val="007230BA"/>
    <w:rsid w:val="0072481B"/>
    <w:rsid w:val="0073390C"/>
    <w:rsid w:val="00735BEE"/>
    <w:rsid w:val="00740290"/>
    <w:rsid w:val="0074048D"/>
    <w:rsid w:val="00746FB6"/>
    <w:rsid w:val="0075188B"/>
    <w:rsid w:val="007728C8"/>
    <w:rsid w:val="00777772"/>
    <w:rsid w:val="0078461A"/>
    <w:rsid w:val="007865B0"/>
    <w:rsid w:val="00794DBB"/>
    <w:rsid w:val="00797C11"/>
    <w:rsid w:val="007A0FA3"/>
    <w:rsid w:val="007A29DD"/>
    <w:rsid w:val="007A3263"/>
    <w:rsid w:val="007B2270"/>
    <w:rsid w:val="007B45A6"/>
    <w:rsid w:val="007B7266"/>
    <w:rsid w:val="007C0662"/>
    <w:rsid w:val="007C2711"/>
    <w:rsid w:val="007D09F0"/>
    <w:rsid w:val="007D662F"/>
    <w:rsid w:val="007E54E4"/>
    <w:rsid w:val="007E57B4"/>
    <w:rsid w:val="007F02D2"/>
    <w:rsid w:val="00802E1C"/>
    <w:rsid w:val="0081272F"/>
    <w:rsid w:val="00814F3F"/>
    <w:rsid w:val="00827D9C"/>
    <w:rsid w:val="00832FA3"/>
    <w:rsid w:val="00833913"/>
    <w:rsid w:val="008342C8"/>
    <w:rsid w:val="00845D92"/>
    <w:rsid w:val="00850A76"/>
    <w:rsid w:val="00851929"/>
    <w:rsid w:val="00851E45"/>
    <w:rsid w:val="0086320E"/>
    <w:rsid w:val="00865D0F"/>
    <w:rsid w:val="008679BB"/>
    <w:rsid w:val="00870F9A"/>
    <w:rsid w:val="00871DF4"/>
    <w:rsid w:val="0087761C"/>
    <w:rsid w:val="00877FDB"/>
    <w:rsid w:val="00891E8E"/>
    <w:rsid w:val="00893C49"/>
    <w:rsid w:val="00896357"/>
    <w:rsid w:val="008A4098"/>
    <w:rsid w:val="008D09E0"/>
    <w:rsid w:val="008D1344"/>
    <w:rsid w:val="008F0B92"/>
    <w:rsid w:val="008F1367"/>
    <w:rsid w:val="008F6888"/>
    <w:rsid w:val="008F6CFD"/>
    <w:rsid w:val="00901B15"/>
    <w:rsid w:val="00902E21"/>
    <w:rsid w:val="00904C84"/>
    <w:rsid w:val="00905C93"/>
    <w:rsid w:val="00913EC2"/>
    <w:rsid w:val="00916678"/>
    <w:rsid w:val="00921084"/>
    <w:rsid w:val="009231FE"/>
    <w:rsid w:val="00923347"/>
    <w:rsid w:val="00925E83"/>
    <w:rsid w:val="00931250"/>
    <w:rsid w:val="00931844"/>
    <w:rsid w:val="00931931"/>
    <w:rsid w:val="00936B43"/>
    <w:rsid w:val="00936B9A"/>
    <w:rsid w:val="0094295B"/>
    <w:rsid w:val="00944597"/>
    <w:rsid w:val="00945E13"/>
    <w:rsid w:val="00947988"/>
    <w:rsid w:val="00954F81"/>
    <w:rsid w:val="009615BC"/>
    <w:rsid w:val="00976D20"/>
    <w:rsid w:val="009810F1"/>
    <w:rsid w:val="00984F2A"/>
    <w:rsid w:val="0098698F"/>
    <w:rsid w:val="0098720F"/>
    <w:rsid w:val="00991B53"/>
    <w:rsid w:val="009923B4"/>
    <w:rsid w:val="00994DE9"/>
    <w:rsid w:val="00995583"/>
    <w:rsid w:val="009A2588"/>
    <w:rsid w:val="009A5EEE"/>
    <w:rsid w:val="009B7AE5"/>
    <w:rsid w:val="009C263B"/>
    <w:rsid w:val="009C502A"/>
    <w:rsid w:val="009C5AB3"/>
    <w:rsid w:val="009C5E8B"/>
    <w:rsid w:val="009C73A3"/>
    <w:rsid w:val="009D37BA"/>
    <w:rsid w:val="009E354F"/>
    <w:rsid w:val="009F4936"/>
    <w:rsid w:val="00A003F8"/>
    <w:rsid w:val="00A0568C"/>
    <w:rsid w:val="00A065DF"/>
    <w:rsid w:val="00A06636"/>
    <w:rsid w:val="00A07228"/>
    <w:rsid w:val="00A073ED"/>
    <w:rsid w:val="00A12070"/>
    <w:rsid w:val="00A16291"/>
    <w:rsid w:val="00A21EEC"/>
    <w:rsid w:val="00A23E9F"/>
    <w:rsid w:val="00A307DD"/>
    <w:rsid w:val="00A33B7C"/>
    <w:rsid w:val="00A34AAD"/>
    <w:rsid w:val="00A416CC"/>
    <w:rsid w:val="00A50AA3"/>
    <w:rsid w:val="00A50C18"/>
    <w:rsid w:val="00A5287B"/>
    <w:rsid w:val="00A567A7"/>
    <w:rsid w:val="00A56BC0"/>
    <w:rsid w:val="00A72340"/>
    <w:rsid w:val="00A73F65"/>
    <w:rsid w:val="00A7613D"/>
    <w:rsid w:val="00A77D0D"/>
    <w:rsid w:val="00A82BC3"/>
    <w:rsid w:val="00A865F6"/>
    <w:rsid w:val="00AA705B"/>
    <w:rsid w:val="00AA7E81"/>
    <w:rsid w:val="00AC371A"/>
    <w:rsid w:val="00AC5CDE"/>
    <w:rsid w:val="00AC5CE4"/>
    <w:rsid w:val="00AE13A7"/>
    <w:rsid w:val="00AE1455"/>
    <w:rsid w:val="00AE31A3"/>
    <w:rsid w:val="00AE41B7"/>
    <w:rsid w:val="00AE6B70"/>
    <w:rsid w:val="00AE6ED1"/>
    <w:rsid w:val="00AE77D2"/>
    <w:rsid w:val="00B00C0F"/>
    <w:rsid w:val="00B04E7F"/>
    <w:rsid w:val="00B055D2"/>
    <w:rsid w:val="00B12F32"/>
    <w:rsid w:val="00B13053"/>
    <w:rsid w:val="00B16C95"/>
    <w:rsid w:val="00B2202B"/>
    <w:rsid w:val="00B25690"/>
    <w:rsid w:val="00B37BE6"/>
    <w:rsid w:val="00B42283"/>
    <w:rsid w:val="00B42B9A"/>
    <w:rsid w:val="00B4401F"/>
    <w:rsid w:val="00B50E41"/>
    <w:rsid w:val="00B553A9"/>
    <w:rsid w:val="00B55CD7"/>
    <w:rsid w:val="00B62C74"/>
    <w:rsid w:val="00B641F0"/>
    <w:rsid w:val="00B81F9C"/>
    <w:rsid w:val="00B87834"/>
    <w:rsid w:val="00B878A2"/>
    <w:rsid w:val="00BA0173"/>
    <w:rsid w:val="00BA17C4"/>
    <w:rsid w:val="00BA412A"/>
    <w:rsid w:val="00BA43E0"/>
    <w:rsid w:val="00BA745C"/>
    <w:rsid w:val="00BA7966"/>
    <w:rsid w:val="00BC094F"/>
    <w:rsid w:val="00BC7DDD"/>
    <w:rsid w:val="00BD4731"/>
    <w:rsid w:val="00BD718A"/>
    <w:rsid w:val="00BE534A"/>
    <w:rsid w:val="00BE6E3E"/>
    <w:rsid w:val="00BE75DE"/>
    <w:rsid w:val="00BF0507"/>
    <w:rsid w:val="00BF5B76"/>
    <w:rsid w:val="00BF7945"/>
    <w:rsid w:val="00C01B9C"/>
    <w:rsid w:val="00C02CF9"/>
    <w:rsid w:val="00C04A16"/>
    <w:rsid w:val="00C1350C"/>
    <w:rsid w:val="00C251AB"/>
    <w:rsid w:val="00C3008D"/>
    <w:rsid w:val="00C32867"/>
    <w:rsid w:val="00C36A6D"/>
    <w:rsid w:val="00C47263"/>
    <w:rsid w:val="00C51774"/>
    <w:rsid w:val="00C526F3"/>
    <w:rsid w:val="00C53DAC"/>
    <w:rsid w:val="00C543CD"/>
    <w:rsid w:val="00C620FF"/>
    <w:rsid w:val="00C6737A"/>
    <w:rsid w:val="00C75A89"/>
    <w:rsid w:val="00C77735"/>
    <w:rsid w:val="00C92114"/>
    <w:rsid w:val="00C92B6C"/>
    <w:rsid w:val="00C93EE2"/>
    <w:rsid w:val="00CA3D33"/>
    <w:rsid w:val="00CA4F13"/>
    <w:rsid w:val="00CB4BE3"/>
    <w:rsid w:val="00CC0A8E"/>
    <w:rsid w:val="00CD43AB"/>
    <w:rsid w:val="00CD6096"/>
    <w:rsid w:val="00CE02DC"/>
    <w:rsid w:val="00CE07EF"/>
    <w:rsid w:val="00CE3F47"/>
    <w:rsid w:val="00CE714D"/>
    <w:rsid w:val="00CF434D"/>
    <w:rsid w:val="00D01A74"/>
    <w:rsid w:val="00D01FDA"/>
    <w:rsid w:val="00D028BE"/>
    <w:rsid w:val="00D10E52"/>
    <w:rsid w:val="00D134AB"/>
    <w:rsid w:val="00D13618"/>
    <w:rsid w:val="00D15249"/>
    <w:rsid w:val="00D1650D"/>
    <w:rsid w:val="00D224D3"/>
    <w:rsid w:val="00D26A77"/>
    <w:rsid w:val="00D354EE"/>
    <w:rsid w:val="00D35A3C"/>
    <w:rsid w:val="00D42860"/>
    <w:rsid w:val="00D45DEB"/>
    <w:rsid w:val="00D466F3"/>
    <w:rsid w:val="00D47E9D"/>
    <w:rsid w:val="00D51413"/>
    <w:rsid w:val="00D52025"/>
    <w:rsid w:val="00D636C1"/>
    <w:rsid w:val="00D743C7"/>
    <w:rsid w:val="00D75EAD"/>
    <w:rsid w:val="00D77AC5"/>
    <w:rsid w:val="00D839AD"/>
    <w:rsid w:val="00D841CE"/>
    <w:rsid w:val="00D91018"/>
    <w:rsid w:val="00D9558E"/>
    <w:rsid w:val="00D975AF"/>
    <w:rsid w:val="00DA2AC4"/>
    <w:rsid w:val="00DA42AF"/>
    <w:rsid w:val="00DB0031"/>
    <w:rsid w:val="00DB6E0A"/>
    <w:rsid w:val="00DC14F3"/>
    <w:rsid w:val="00DC4DDB"/>
    <w:rsid w:val="00DD2224"/>
    <w:rsid w:val="00DD5149"/>
    <w:rsid w:val="00DE4726"/>
    <w:rsid w:val="00DE5521"/>
    <w:rsid w:val="00DF1428"/>
    <w:rsid w:val="00DF355E"/>
    <w:rsid w:val="00DF65A4"/>
    <w:rsid w:val="00DF7A9A"/>
    <w:rsid w:val="00E07F2B"/>
    <w:rsid w:val="00E10517"/>
    <w:rsid w:val="00E12FC3"/>
    <w:rsid w:val="00E15D8E"/>
    <w:rsid w:val="00E16948"/>
    <w:rsid w:val="00E23C6E"/>
    <w:rsid w:val="00E31B32"/>
    <w:rsid w:val="00E32D7C"/>
    <w:rsid w:val="00E3350E"/>
    <w:rsid w:val="00E44BDA"/>
    <w:rsid w:val="00E45AE5"/>
    <w:rsid w:val="00E5022C"/>
    <w:rsid w:val="00E51973"/>
    <w:rsid w:val="00E679C4"/>
    <w:rsid w:val="00E71165"/>
    <w:rsid w:val="00E7342B"/>
    <w:rsid w:val="00E87E1D"/>
    <w:rsid w:val="00E9374B"/>
    <w:rsid w:val="00E94D3B"/>
    <w:rsid w:val="00EA1989"/>
    <w:rsid w:val="00EA2FE1"/>
    <w:rsid w:val="00EA4483"/>
    <w:rsid w:val="00EA5E6A"/>
    <w:rsid w:val="00EC042C"/>
    <w:rsid w:val="00EC29D8"/>
    <w:rsid w:val="00EC2DDF"/>
    <w:rsid w:val="00EC6EE8"/>
    <w:rsid w:val="00EE0F1E"/>
    <w:rsid w:val="00EE1742"/>
    <w:rsid w:val="00EE7F8F"/>
    <w:rsid w:val="00EF4F1A"/>
    <w:rsid w:val="00EF5D83"/>
    <w:rsid w:val="00F03A32"/>
    <w:rsid w:val="00F131C9"/>
    <w:rsid w:val="00F14094"/>
    <w:rsid w:val="00F146EC"/>
    <w:rsid w:val="00F225EE"/>
    <w:rsid w:val="00F233C1"/>
    <w:rsid w:val="00F31A5C"/>
    <w:rsid w:val="00F3473A"/>
    <w:rsid w:val="00F41660"/>
    <w:rsid w:val="00F41901"/>
    <w:rsid w:val="00F41DBE"/>
    <w:rsid w:val="00F44433"/>
    <w:rsid w:val="00F562EC"/>
    <w:rsid w:val="00F65816"/>
    <w:rsid w:val="00F749B9"/>
    <w:rsid w:val="00F8146D"/>
    <w:rsid w:val="00F83757"/>
    <w:rsid w:val="00F904E8"/>
    <w:rsid w:val="00F96D02"/>
    <w:rsid w:val="00F9748E"/>
    <w:rsid w:val="00FB3D8C"/>
    <w:rsid w:val="00FC50B0"/>
    <w:rsid w:val="00FD129A"/>
    <w:rsid w:val="00FD46C4"/>
    <w:rsid w:val="00FD48C7"/>
    <w:rsid w:val="00FE09E7"/>
    <w:rsid w:val="00FE1636"/>
    <w:rsid w:val="00FE4978"/>
    <w:rsid w:val="00FF0FF9"/>
    <w:rsid w:val="00FF27EE"/>
    <w:rsid w:val="00FF3522"/>
    <w:rsid w:val="00FF3C61"/>
    <w:rsid w:val="00FF61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58287"/>
  <w15:chartTrackingRefBased/>
  <w15:docId w15:val="{BED22408-9A23-4359-B839-55D023A21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1E8E"/>
    <w:pPr>
      <w:spacing w:after="0" w:line="240" w:lineRule="auto"/>
      <w:jc w:val="both"/>
      <w:outlineLvl w:val="0"/>
    </w:pPr>
    <w:rPr>
      <w:rFonts w:ascii="Arial" w:hAnsi="Arial" w:cs="Arial"/>
      <w:b/>
      <w:color w:val="5693C9"/>
    </w:rPr>
  </w:style>
  <w:style w:type="paragraph" w:styleId="Heading2">
    <w:name w:val="heading 2"/>
    <w:basedOn w:val="Normal"/>
    <w:next w:val="Normal"/>
    <w:link w:val="Heading2Char"/>
    <w:uiPriority w:val="9"/>
    <w:unhideWhenUsed/>
    <w:qFormat/>
    <w:rsid w:val="005A2F34"/>
    <w:pPr>
      <w:spacing w:after="0" w:line="240" w:lineRule="auto"/>
      <w:jc w:val="both"/>
      <w:outlineLvl w:val="1"/>
    </w:pPr>
    <w:rPr>
      <w:rFonts w:ascii="Arial" w:hAnsi="Arial" w:cs="Arial"/>
      <w:i/>
      <w:color w:val="5693C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5D83"/>
    <w:rPr>
      <w:color w:val="0563C1" w:themeColor="hyperlink"/>
      <w:u w:val="single"/>
    </w:rPr>
  </w:style>
  <w:style w:type="paragraph" w:styleId="ListParagraph">
    <w:name w:val="List Paragraph"/>
    <w:basedOn w:val="Normal"/>
    <w:uiPriority w:val="34"/>
    <w:qFormat/>
    <w:rsid w:val="00302559"/>
    <w:pPr>
      <w:ind w:left="720"/>
      <w:contextualSpacing/>
    </w:pPr>
  </w:style>
  <w:style w:type="paragraph" w:styleId="Header">
    <w:name w:val="header"/>
    <w:basedOn w:val="Normal"/>
    <w:link w:val="HeaderChar"/>
    <w:uiPriority w:val="99"/>
    <w:unhideWhenUsed/>
    <w:rsid w:val="003D46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6B9"/>
  </w:style>
  <w:style w:type="paragraph" w:styleId="Footer">
    <w:name w:val="footer"/>
    <w:basedOn w:val="Normal"/>
    <w:link w:val="FooterChar"/>
    <w:uiPriority w:val="99"/>
    <w:unhideWhenUsed/>
    <w:rsid w:val="003D46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6B9"/>
  </w:style>
  <w:style w:type="character" w:customStyle="1" w:styleId="Heading1Char">
    <w:name w:val="Heading 1 Char"/>
    <w:basedOn w:val="DefaultParagraphFont"/>
    <w:link w:val="Heading1"/>
    <w:uiPriority w:val="9"/>
    <w:rsid w:val="00891E8E"/>
    <w:rPr>
      <w:rFonts w:ascii="Arial" w:hAnsi="Arial" w:cs="Arial"/>
      <w:b/>
      <w:color w:val="5693C9"/>
    </w:rPr>
  </w:style>
  <w:style w:type="character" w:customStyle="1" w:styleId="Heading2Char">
    <w:name w:val="Heading 2 Char"/>
    <w:basedOn w:val="DefaultParagraphFont"/>
    <w:link w:val="Heading2"/>
    <w:uiPriority w:val="9"/>
    <w:rsid w:val="005A2F34"/>
    <w:rPr>
      <w:rFonts w:ascii="Arial" w:hAnsi="Arial" w:cs="Arial"/>
      <w:i/>
      <w:color w:val="5693C9"/>
    </w:rPr>
  </w:style>
  <w:style w:type="character" w:styleId="CommentReference">
    <w:name w:val="annotation reference"/>
    <w:basedOn w:val="DefaultParagraphFont"/>
    <w:uiPriority w:val="99"/>
    <w:semiHidden/>
    <w:unhideWhenUsed/>
    <w:rsid w:val="00D47E9D"/>
    <w:rPr>
      <w:sz w:val="16"/>
      <w:szCs w:val="16"/>
    </w:rPr>
  </w:style>
  <w:style w:type="paragraph" w:styleId="CommentText">
    <w:name w:val="annotation text"/>
    <w:basedOn w:val="Normal"/>
    <w:link w:val="CommentTextChar"/>
    <w:uiPriority w:val="99"/>
    <w:semiHidden/>
    <w:unhideWhenUsed/>
    <w:rsid w:val="00D47E9D"/>
    <w:pPr>
      <w:spacing w:line="240" w:lineRule="auto"/>
    </w:pPr>
    <w:rPr>
      <w:sz w:val="20"/>
      <w:szCs w:val="20"/>
    </w:rPr>
  </w:style>
  <w:style w:type="character" w:customStyle="1" w:styleId="CommentTextChar">
    <w:name w:val="Comment Text Char"/>
    <w:basedOn w:val="DefaultParagraphFont"/>
    <w:link w:val="CommentText"/>
    <w:uiPriority w:val="99"/>
    <w:semiHidden/>
    <w:rsid w:val="00D47E9D"/>
    <w:rPr>
      <w:sz w:val="20"/>
      <w:szCs w:val="20"/>
    </w:rPr>
  </w:style>
  <w:style w:type="paragraph" w:styleId="CommentSubject">
    <w:name w:val="annotation subject"/>
    <w:basedOn w:val="CommentText"/>
    <w:next w:val="CommentText"/>
    <w:link w:val="CommentSubjectChar"/>
    <w:uiPriority w:val="99"/>
    <w:semiHidden/>
    <w:unhideWhenUsed/>
    <w:rsid w:val="00D47E9D"/>
    <w:rPr>
      <w:b/>
      <w:bCs/>
    </w:rPr>
  </w:style>
  <w:style w:type="character" w:customStyle="1" w:styleId="CommentSubjectChar">
    <w:name w:val="Comment Subject Char"/>
    <w:basedOn w:val="CommentTextChar"/>
    <w:link w:val="CommentSubject"/>
    <w:uiPriority w:val="99"/>
    <w:semiHidden/>
    <w:rsid w:val="00D47E9D"/>
    <w:rPr>
      <w:b/>
      <w:bCs/>
      <w:sz w:val="20"/>
      <w:szCs w:val="20"/>
    </w:rPr>
  </w:style>
  <w:style w:type="paragraph" w:styleId="BalloonText">
    <w:name w:val="Balloon Text"/>
    <w:basedOn w:val="Normal"/>
    <w:link w:val="BalloonTextChar"/>
    <w:uiPriority w:val="99"/>
    <w:semiHidden/>
    <w:unhideWhenUsed/>
    <w:rsid w:val="00D47E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E9D"/>
    <w:rPr>
      <w:rFonts w:ascii="Segoe UI" w:hAnsi="Segoe UI" w:cs="Segoe UI"/>
      <w:sz w:val="18"/>
      <w:szCs w:val="18"/>
    </w:rPr>
  </w:style>
  <w:style w:type="paragraph" w:styleId="FootnoteText">
    <w:name w:val="footnote text"/>
    <w:basedOn w:val="Normal"/>
    <w:link w:val="FootnoteTextChar"/>
    <w:uiPriority w:val="99"/>
    <w:unhideWhenUsed/>
    <w:rsid w:val="00AA70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705B"/>
    <w:rPr>
      <w:sz w:val="20"/>
      <w:szCs w:val="20"/>
    </w:rPr>
  </w:style>
  <w:style w:type="character" w:styleId="FootnoteReference">
    <w:name w:val="footnote reference"/>
    <w:basedOn w:val="DefaultParagraphFont"/>
    <w:uiPriority w:val="99"/>
    <w:unhideWhenUsed/>
    <w:rsid w:val="00AA705B"/>
    <w:rPr>
      <w:vertAlign w:val="superscript"/>
    </w:rPr>
  </w:style>
  <w:style w:type="character" w:styleId="FollowedHyperlink">
    <w:name w:val="FollowedHyperlink"/>
    <w:basedOn w:val="DefaultParagraphFont"/>
    <w:uiPriority w:val="99"/>
    <w:semiHidden/>
    <w:unhideWhenUsed/>
    <w:rsid w:val="00713D85"/>
    <w:rPr>
      <w:color w:val="954F72" w:themeColor="followedHyperlink"/>
      <w:u w:val="single"/>
    </w:rPr>
  </w:style>
  <w:style w:type="paragraph" w:customStyle="1" w:styleId="ListParagraph1">
    <w:name w:val="List Paragraph1"/>
    <w:basedOn w:val="Normal"/>
    <w:uiPriority w:val="34"/>
    <w:qFormat/>
    <w:rsid w:val="00F749B9"/>
    <w:pPr>
      <w:ind w:left="720"/>
      <w:contextualSpacing/>
    </w:pPr>
    <w:rPr>
      <w:rFonts w:ascii="Calibri" w:eastAsia="Calibri" w:hAnsi="Calibri" w:cs="Times New Roman"/>
      <w:lang w:val="en-US"/>
    </w:rPr>
  </w:style>
  <w:style w:type="paragraph" w:customStyle="1" w:styleId="Default">
    <w:name w:val="Default"/>
    <w:qFormat/>
    <w:rsid w:val="00832FA3"/>
    <w:pPr>
      <w:autoSpaceDE w:val="0"/>
      <w:autoSpaceDN w:val="0"/>
      <w:adjustRightInd w:val="0"/>
      <w:spacing w:after="0" w:line="240" w:lineRule="auto"/>
    </w:pPr>
    <w:rPr>
      <w:rFonts w:ascii="Times New Roman" w:eastAsia="SimSun" w:hAnsi="Times New Roman" w:cs="Times New Roman"/>
      <w:color w:val="000000"/>
      <w:sz w:val="24"/>
      <w:szCs w:val="24"/>
      <w:lang w:val="en-US" w:eastAsia="zh-CN"/>
    </w:rPr>
  </w:style>
  <w:style w:type="paragraph" w:styleId="NoSpacing">
    <w:name w:val="No Spacing"/>
    <w:uiPriority w:val="1"/>
    <w:qFormat/>
    <w:rsid w:val="00261614"/>
    <w:pPr>
      <w:spacing w:after="0" w:line="240" w:lineRule="auto"/>
    </w:pPr>
    <w:rPr>
      <w:lang w:val="fr-FR"/>
    </w:rPr>
  </w:style>
  <w:style w:type="paragraph" w:customStyle="1" w:styleId="yiv8576313620msonormal">
    <w:name w:val="yiv8576313620msonormal"/>
    <w:basedOn w:val="Normal"/>
    <w:rsid w:val="00261614"/>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PageNumber">
    <w:name w:val="page number"/>
    <w:basedOn w:val="DefaultParagraphFont"/>
    <w:uiPriority w:val="99"/>
    <w:semiHidden/>
    <w:unhideWhenUsed/>
    <w:rsid w:val="00095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71001">
      <w:bodyDiv w:val="1"/>
      <w:marLeft w:val="0"/>
      <w:marRight w:val="0"/>
      <w:marTop w:val="0"/>
      <w:marBottom w:val="0"/>
      <w:divBdr>
        <w:top w:val="none" w:sz="0" w:space="0" w:color="auto"/>
        <w:left w:val="none" w:sz="0" w:space="0" w:color="auto"/>
        <w:bottom w:val="none" w:sz="0" w:space="0" w:color="auto"/>
        <w:right w:val="none" w:sz="0" w:space="0" w:color="auto"/>
      </w:divBdr>
    </w:div>
    <w:div w:id="150825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m.coe.int/inf-2011-10-statement-un-conv-en/16804553b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uropeantimes.news/2021/10/the-european-convention-on-human-rights-designed-to-authorize-eugenics-caused-legisla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7" ma:contentTypeDescription="Create a new document." ma:contentTypeScope="" ma:versionID="3d1f924bd704cd3e965fe0bd9920692f">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4c2870ceaa7e80926fe741302bced12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element ref="ns2:Emailsubject" minOccurs="0"/>
                <xsd:element ref="ns2:Sent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Emailsubject" ma:index="23" nillable="true" ma:displayName="Email subject" ma:format="Dropdown" ma:internalName="Emailsubject">
      <xsd:simpleType>
        <xsd:restriction base="dms:Note">
          <xsd:maxLength value="255"/>
        </xsd:restriction>
      </xsd:simpleType>
    </xsd:element>
    <xsd:element name="Sentby" ma:index="24" nillable="true" ma:displayName="Sent by" ma:format="Dropdown" ma:list="UserInfo" ma:SharePointGroup="0" ma:internalName="Sent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Original 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mailsubject xmlns="fa1020ff-48ad-4b90-98f4-7161a6f3b630"> Updating of website please</Emailsubject>
    <TaxCatchAll xmlns="985ec44e-1bab-4c0b-9df0-6ba128686fc9" xsi:nil="true"/>
    <lcf76f155ced4ddcb4097134ff3c332f xmlns="fa1020ff-48ad-4b90-98f4-7161a6f3b630">
      <Terms xmlns="http://schemas.microsoft.com/office/infopath/2007/PartnerControls"/>
    </lcf76f155ced4ddcb4097134ff3c332f>
    <Sentby xmlns="fa1020ff-48ad-4b90-98f4-7161a6f3b630">
      <UserInfo>
        <DisplayName>Satya Jennings</DisplayName>
        <AccountId>384</AccountId>
        <AccountType/>
      </UserInfo>
    </Sent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F97D1-9059-41A6-830D-86997C0830C5}"/>
</file>

<file path=customXml/itemProps2.xml><?xml version="1.0" encoding="utf-8"?>
<ds:datastoreItem xmlns:ds="http://schemas.openxmlformats.org/officeDocument/2006/customXml" ds:itemID="{9B69FDBD-36DD-4894-81E2-6E5143EA667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6B8D785-A3ED-44DE-A5C4-0C58D3AC69BF}">
  <ds:schemaRefs>
    <ds:schemaRef ds:uri="http://schemas.microsoft.com/sharepoint/v3/contenttype/forms"/>
  </ds:schemaRefs>
</ds:datastoreItem>
</file>

<file path=customXml/itemProps4.xml><?xml version="1.0" encoding="utf-8"?>
<ds:datastoreItem xmlns:ds="http://schemas.openxmlformats.org/officeDocument/2006/customXml" ds:itemID="{1936BDF8-3FB0-4887-A967-EFD3FA95E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3</Pages>
  <Words>1712</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challenge to human rights in Mental Health in Europe.docx</dc:title>
  <dc:subject/>
  <dc:creator>HF</dc:creator>
  <cp:keywords/>
  <dc:description/>
  <cp:lastModifiedBy>TH</cp:lastModifiedBy>
  <cp:revision>19</cp:revision>
  <cp:lastPrinted>2021-11-11T21:17:00Z</cp:lastPrinted>
  <dcterms:created xsi:type="dcterms:W3CDTF">2021-11-11T19:20:00Z</dcterms:created>
  <dcterms:modified xsi:type="dcterms:W3CDTF">2024-10-22T14:10:00Z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ies>
</file>