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6C" w:rsidRPr="00CA7320" w:rsidRDefault="003D3438" w:rsidP="00CA7320">
      <w:pPr>
        <w:spacing w:before="160" w:after="160"/>
        <w:jc w:val="center"/>
        <w:rPr>
          <w:rFonts w:ascii="Segoe UI" w:hAnsi="Segoe UI" w:cs="Segoe UI"/>
          <w:b/>
        </w:rPr>
      </w:pPr>
      <w:r w:rsidRPr="00CA7320">
        <w:rPr>
          <w:rFonts w:ascii="Segoe UI" w:hAnsi="Segoe UI" w:cs="Segoe UI"/>
          <w:b/>
        </w:rPr>
        <w:t>CONTRI</w:t>
      </w:r>
      <w:r w:rsidR="00AD396C" w:rsidRPr="00CA7320">
        <w:rPr>
          <w:rFonts w:ascii="Segoe UI" w:hAnsi="Segoe UI" w:cs="Segoe UI"/>
          <w:b/>
        </w:rPr>
        <w:t>BUCIONES DEL ESTADO DE CHILE</w:t>
      </w:r>
      <w:r w:rsidR="00AD396C" w:rsidRPr="00CA7320">
        <w:rPr>
          <w:rStyle w:val="Refdenotaalpie"/>
          <w:rFonts w:ascii="Segoe UI" w:hAnsi="Segoe UI" w:cs="Segoe UI"/>
          <w:b/>
        </w:rPr>
        <w:footnoteReference w:id="1"/>
      </w:r>
    </w:p>
    <w:p w:rsidR="00AD396C" w:rsidRPr="00CA7320" w:rsidRDefault="00AD396C" w:rsidP="00CA7320">
      <w:pPr>
        <w:spacing w:before="160" w:after="160"/>
        <w:jc w:val="center"/>
        <w:rPr>
          <w:rFonts w:ascii="Segoe UI" w:hAnsi="Segoe UI" w:cs="Segoe UI"/>
          <w:b/>
        </w:rPr>
      </w:pPr>
      <w:r w:rsidRPr="00CA7320">
        <w:rPr>
          <w:rFonts w:ascii="Segoe UI" w:hAnsi="Segoe UI" w:cs="Segoe UI"/>
          <w:b/>
        </w:rPr>
        <w:t>Relatora Especial sobre el derecho de toda persona al disfrute d</w:t>
      </w:r>
      <w:bookmarkStart w:id="0" w:name="_GoBack"/>
      <w:bookmarkEnd w:id="0"/>
      <w:r w:rsidRPr="00CA7320">
        <w:rPr>
          <w:rFonts w:ascii="Segoe UI" w:hAnsi="Segoe UI" w:cs="Segoe UI"/>
          <w:b/>
        </w:rPr>
        <w:t>el más alto nivel posible de salud física y mental</w:t>
      </w:r>
    </w:p>
    <w:p w:rsidR="00AD396C" w:rsidRPr="00CA7320" w:rsidRDefault="00AD396C" w:rsidP="00CA7320">
      <w:pPr>
        <w:spacing w:before="160" w:after="160"/>
        <w:rPr>
          <w:rFonts w:ascii="Segoe UI" w:hAnsi="Segoe UI" w:cs="Segoe UI"/>
          <w:b/>
        </w:rPr>
      </w:pPr>
    </w:p>
    <w:p w:rsidR="00AD396C" w:rsidRPr="00CA7320" w:rsidRDefault="00AD396C" w:rsidP="00CA7320">
      <w:pPr>
        <w:spacing w:before="160" w:after="160"/>
        <w:rPr>
          <w:rFonts w:ascii="Segoe UI" w:hAnsi="Segoe UI" w:cs="Segoe UI"/>
          <w:b/>
        </w:rPr>
      </w:pPr>
      <w:r w:rsidRPr="00CA7320">
        <w:rPr>
          <w:rFonts w:ascii="Segoe UI" w:hAnsi="Segoe UI" w:cs="Segoe UI"/>
          <w:b/>
        </w:rPr>
        <w:t>DATOS DE CONTACTO:</w:t>
      </w:r>
    </w:p>
    <w:p w:rsidR="00AD396C" w:rsidRPr="00CA7320" w:rsidRDefault="00AD396C" w:rsidP="00CA7320">
      <w:pPr>
        <w:spacing w:before="160" w:after="160"/>
        <w:rPr>
          <w:rFonts w:ascii="Segoe UI" w:hAnsi="Segoe UI" w:cs="Segoe UI"/>
        </w:rPr>
      </w:pPr>
      <w:r w:rsidRPr="00CA7320">
        <w:rPr>
          <w:rFonts w:ascii="Segoe UI" w:hAnsi="Segoe UI" w:cs="Segoe UI"/>
        </w:rPr>
        <w:t>Tipo de actor: Estado</w:t>
      </w:r>
    </w:p>
    <w:p w:rsidR="00AD396C" w:rsidRPr="00CA7320" w:rsidRDefault="00AD396C" w:rsidP="00CA7320">
      <w:pPr>
        <w:spacing w:before="160" w:after="160"/>
        <w:rPr>
          <w:rFonts w:ascii="Segoe UI" w:hAnsi="Segoe UI" w:cs="Segoe UI"/>
        </w:rPr>
      </w:pPr>
      <w:r w:rsidRPr="00CA7320">
        <w:rPr>
          <w:rFonts w:ascii="Segoe UI" w:hAnsi="Segoe UI" w:cs="Segoe UI"/>
        </w:rPr>
        <w:t>Nombre del Estado: Chile</w:t>
      </w:r>
    </w:p>
    <w:p w:rsidR="00AD396C" w:rsidRPr="00CA7320" w:rsidRDefault="00AD396C" w:rsidP="00CA7320">
      <w:pPr>
        <w:spacing w:before="160" w:after="160"/>
        <w:rPr>
          <w:rFonts w:ascii="Segoe UI" w:hAnsi="Segoe UI" w:cs="Segoe UI"/>
        </w:rPr>
      </w:pPr>
      <w:r w:rsidRPr="00CA7320">
        <w:rPr>
          <w:rFonts w:ascii="Segoe UI" w:hAnsi="Segoe UI" w:cs="Segoe UI"/>
        </w:rPr>
        <w:t xml:space="preserve">Correo electrónico: </w:t>
      </w:r>
      <w:hyperlink r:id="rId9" w:history="1">
        <w:r w:rsidRPr="00CA7320">
          <w:rPr>
            <w:rStyle w:val="Hipervnculo"/>
            <w:rFonts w:ascii="Segoe UI" w:hAnsi="Segoe UI" w:cs="Segoe UI"/>
          </w:rPr>
          <w:t>ddhh@minrel.gob.cl</w:t>
        </w:r>
      </w:hyperlink>
    </w:p>
    <w:p w:rsidR="00AD396C" w:rsidRPr="00CA7320" w:rsidRDefault="00AD396C" w:rsidP="00CA7320">
      <w:pPr>
        <w:spacing w:before="160" w:after="160"/>
        <w:rPr>
          <w:rFonts w:ascii="Segoe UI" w:hAnsi="Segoe UI" w:cs="Segoe UI"/>
        </w:rPr>
      </w:pPr>
      <w:r w:rsidRPr="00CA7320">
        <w:rPr>
          <w:rFonts w:ascii="Segoe UI" w:hAnsi="Segoe UI" w:cs="Segoe UI"/>
        </w:rPr>
        <w:t>¿Podemos atribuir públicamente estas respuestas a su Estado? Sí.</w:t>
      </w:r>
    </w:p>
    <w:p w:rsidR="001A6FFF" w:rsidRPr="00CA7320" w:rsidRDefault="001A6FFF" w:rsidP="00CA7320">
      <w:pPr>
        <w:spacing w:before="160" w:after="160"/>
        <w:jc w:val="both"/>
        <w:rPr>
          <w:rFonts w:ascii="Segoe UI" w:eastAsia="Times New Roman" w:hAnsi="Segoe UI" w:cs="Segoe UI"/>
          <w:b/>
        </w:rPr>
      </w:pPr>
    </w:p>
    <w:p w:rsidR="00AD396C" w:rsidRPr="00CA7320" w:rsidRDefault="00AD396C" w:rsidP="00CA7320">
      <w:pPr>
        <w:pStyle w:val="Default"/>
        <w:numPr>
          <w:ilvl w:val="0"/>
          <w:numId w:val="6"/>
        </w:numPr>
        <w:spacing w:before="160" w:after="160" w:line="276" w:lineRule="auto"/>
        <w:ind w:left="284" w:right="-142" w:hanging="284"/>
        <w:jc w:val="both"/>
        <w:rPr>
          <w:rFonts w:ascii="Segoe UI" w:hAnsi="Segoe UI" w:cs="Segoe UI"/>
          <w:b/>
          <w:bCs/>
          <w:sz w:val="22"/>
          <w:szCs w:val="22"/>
        </w:rPr>
      </w:pPr>
      <w:r w:rsidRPr="00CA7320">
        <w:rPr>
          <w:rFonts w:ascii="Segoe UI" w:hAnsi="Segoe UI" w:cs="Segoe UI"/>
          <w:b/>
          <w:bCs/>
          <w:sz w:val="22"/>
          <w:szCs w:val="22"/>
        </w:rPr>
        <w:t>¿Cuáles son los principales factores que dificultan cuantitativa y cualitativamente el acceso adecuado a la alimentación y la nutrición en su país y/o comunidad (incluso que se encuentran fuera de su país)? Teniendo en cuenta los determinantes subyacentes de la salud, ¿de qué manera contribuyen a las desigualdades sanitarias?</w:t>
      </w:r>
    </w:p>
    <w:p w:rsidR="00D94CB0" w:rsidRPr="00CA7320" w:rsidRDefault="00D94CB0" w:rsidP="00CA7320">
      <w:pPr>
        <w:pStyle w:val="Default"/>
        <w:spacing w:before="160" w:after="160" w:line="276" w:lineRule="auto"/>
        <w:jc w:val="both"/>
        <w:rPr>
          <w:rFonts w:ascii="Segoe UI" w:hAnsi="Segoe UI" w:cs="Segoe UI"/>
          <w:sz w:val="22"/>
          <w:szCs w:val="22"/>
        </w:rPr>
      </w:pPr>
      <w:r w:rsidRPr="00CA7320">
        <w:rPr>
          <w:rFonts w:ascii="Segoe UI" w:hAnsi="Segoe UI" w:cs="Segoe UI"/>
          <w:sz w:val="22"/>
          <w:szCs w:val="22"/>
        </w:rPr>
        <w:t>De acuerdo con un estudio de FAO</w:t>
      </w:r>
      <w:r w:rsidRPr="00CA7320">
        <w:rPr>
          <w:rStyle w:val="Refdenotaalpie"/>
          <w:rFonts w:ascii="Segoe UI" w:hAnsi="Segoe UI" w:cs="Segoe UI"/>
          <w:sz w:val="22"/>
          <w:szCs w:val="22"/>
        </w:rPr>
        <w:footnoteReference w:id="2"/>
      </w:r>
      <w:r w:rsidRPr="00CA7320">
        <w:rPr>
          <w:rFonts w:ascii="Segoe UI" w:hAnsi="Segoe UI" w:cs="Segoe UI"/>
          <w:sz w:val="22"/>
          <w:szCs w:val="22"/>
        </w:rPr>
        <w:t xml:space="preserve"> la inseguridad alimentaria moderada o grave del país alcanza al 17,4% de la población. Datos de la OCDE señalan que el 74% de los chilenos padecen de obesidad o sobrepeso.</w:t>
      </w:r>
    </w:p>
    <w:p w:rsidR="00AD396C" w:rsidRPr="00CA7320" w:rsidRDefault="00AD396C" w:rsidP="00CA7320">
      <w:pPr>
        <w:spacing w:before="160" w:after="160"/>
        <w:ind w:right="-142"/>
        <w:jc w:val="both"/>
        <w:rPr>
          <w:rFonts w:ascii="Segoe UI" w:hAnsi="Segoe UI" w:cs="Segoe UI"/>
        </w:rPr>
      </w:pPr>
      <w:r w:rsidRPr="00CA7320">
        <w:rPr>
          <w:rFonts w:ascii="Segoe UI" w:hAnsi="Segoe UI" w:cs="Segoe UI"/>
        </w:rPr>
        <w:t>En los diálogos ciudadanos llevados a cabo a propósito de la Política Nacional de Alimentación y Nutrición del Ministerio de Salud (2017)</w:t>
      </w:r>
      <w:r w:rsidRPr="00CA7320">
        <w:rPr>
          <w:rStyle w:val="Refdenotaalpie"/>
          <w:rFonts w:ascii="Segoe UI" w:hAnsi="Segoe UI" w:cs="Segoe UI"/>
        </w:rPr>
        <w:footnoteReference w:id="3"/>
      </w:r>
      <w:r w:rsidRPr="00CA7320">
        <w:rPr>
          <w:rFonts w:ascii="Segoe UI" w:hAnsi="Segoe UI" w:cs="Segoe UI"/>
        </w:rPr>
        <w:t xml:space="preserve">, se apuntó a la inequidad y desigualdad social en el acceso a los alimentos saludables, haciendo alusión a las siguientes temáticas: </w:t>
      </w:r>
    </w:p>
    <w:p w:rsidR="00AD396C" w:rsidRPr="00CA7320" w:rsidRDefault="00AD396C" w:rsidP="00CA7320">
      <w:pPr>
        <w:pStyle w:val="Prrafodelista"/>
        <w:numPr>
          <w:ilvl w:val="0"/>
          <w:numId w:val="10"/>
        </w:numPr>
        <w:spacing w:before="160" w:after="160"/>
        <w:ind w:right="-142"/>
        <w:contextualSpacing w:val="0"/>
        <w:jc w:val="both"/>
        <w:rPr>
          <w:rFonts w:ascii="Segoe UI" w:hAnsi="Segoe UI" w:cs="Segoe UI"/>
        </w:rPr>
      </w:pPr>
      <w:r w:rsidRPr="00CA7320">
        <w:rPr>
          <w:rFonts w:ascii="Segoe UI" w:hAnsi="Segoe UI" w:cs="Segoe UI"/>
        </w:rPr>
        <w:t xml:space="preserve">La gran disponibilidad de alimentos procesados, con el perjuicio de una mayor exposición a alimentos no saludables. </w:t>
      </w:r>
    </w:p>
    <w:p w:rsidR="00AD396C" w:rsidRPr="00CA7320" w:rsidRDefault="00AD396C" w:rsidP="00CA7320">
      <w:pPr>
        <w:pStyle w:val="Prrafodelista"/>
        <w:numPr>
          <w:ilvl w:val="0"/>
          <w:numId w:val="10"/>
        </w:numPr>
        <w:spacing w:before="160" w:after="160"/>
        <w:ind w:right="-142"/>
        <w:contextualSpacing w:val="0"/>
        <w:jc w:val="both"/>
        <w:rPr>
          <w:rFonts w:ascii="Segoe UI" w:hAnsi="Segoe UI" w:cs="Segoe UI"/>
        </w:rPr>
      </w:pPr>
      <w:r w:rsidRPr="00CA7320">
        <w:rPr>
          <w:rFonts w:ascii="Segoe UI" w:hAnsi="Segoe UI" w:cs="Segoe UI"/>
        </w:rPr>
        <w:t xml:space="preserve">El acceso y consumo de agua potable. Existe preocupación por el acceso, la calidad y el suministro del agua. </w:t>
      </w:r>
    </w:p>
    <w:p w:rsidR="00AD396C" w:rsidRPr="00CA7320" w:rsidRDefault="00AD396C" w:rsidP="00CA7320">
      <w:pPr>
        <w:pStyle w:val="Prrafodelista"/>
        <w:numPr>
          <w:ilvl w:val="0"/>
          <w:numId w:val="10"/>
        </w:numPr>
        <w:spacing w:before="160" w:after="160"/>
        <w:ind w:right="-142"/>
        <w:contextualSpacing w:val="0"/>
        <w:jc w:val="both"/>
        <w:rPr>
          <w:rFonts w:ascii="Segoe UI" w:hAnsi="Segoe UI" w:cs="Segoe UI"/>
        </w:rPr>
      </w:pPr>
      <w:r w:rsidRPr="00CA7320">
        <w:rPr>
          <w:rFonts w:ascii="Segoe UI" w:hAnsi="Segoe UI" w:cs="Segoe UI"/>
        </w:rPr>
        <w:lastRenderedPageBreak/>
        <w:t xml:space="preserve">Desastres naturales. Aumento de precios de los alimentos debido al desabastecimiento y demora en recuperar las condiciones de normalidad en el acceso a servicios básicos.  </w:t>
      </w:r>
    </w:p>
    <w:p w:rsidR="00AD396C" w:rsidRPr="00CA7320" w:rsidRDefault="00AD396C" w:rsidP="00CA7320">
      <w:pPr>
        <w:spacing w:before="160" w:after="160"/>
        <w:ind w:right="-142"/>
        <w:jc w:val="both"/>
        <w:rPr>
          <w:rFonts w:ascii="Segoe UI" w:hAnsi="Segoe UI" w:cs="Segoe UI"/>
        </w:rPr>
      </w:pPr>
      <w:r w:rsidRPr="00CA7320">
        <w:rPr>
          <w:rFonts w:ascii="Segoe UI" w:hAnsi="Segoe UI" w:cs="Segoe UI"/>
          <w:color w:val="000000"/>
          <w:lang w:eastAsia="es-US"/>
        </w:rPr>
        <w:t xml:space="preserve">Ahora bien, según los datos del Ministerio de Salud, los principales </w:t>
      </w:r>
      <w:r w:rsidRPr="00CA7320">
        <w:rPr>
          <w:rFonts w:ascii="Segoe UI" w:hAnsi="Segoe UI" w:cs="Segoe UI"/>
        </w:rPr>
        <w:t xml:space="preserve">factores que dificultan el acceso adecuado a la alimentación son: </w:t>
      </w:r>
    </w:p>
    <w:p w:rsidR="00AD396C" w:rsidRPr="00CA7320" w:rsidRDefault="00AD396C" w:rsidP="00CA7320">
      <w:pPr>
        <w:pStyle w:val="Prrafodelista"/>
        <w:numPr>
          <w:ilvl w:val="0"/>
          <w:numId w:val="10"/>
        </w:numPr>
        <w:spacing w:before="160" w:after="160"/>
        <w:ind w:right="-142"/>
        <w:contextualSpacing w:val="0"/>
        <w:jc w:val="both"/>
        <w:rPr>
          <w:rFonts w:ascii="Segoe UI" w:hAnsi="Segoe UI" w:cs="Segoe UI"/>
        </w:rPr>
      </w:pPr>
      <w:r w:rsidRPr="00CA7320">
        <w:rPr>
          <w:rFonts w:ascii="Segoe UI" w:hAnsi="Segoe UI" w:cs="Segoe UI"/>
        </w:rPr>
        <w:t>Estrato Socioeconómico (ESE): Existe un mayor consumo de alimentos como el pan en el ESE más bajo, mientras que los productos lácteos son de mayor consumo en el NSE alto.</w:t>
      </w:r>
      <w:r w:rsidRPr="00CA7320">
        <w:rPr>
          <w:rStyle w:val="Refdenotaalpie"/>
          <w:rFonts w:ascii="Segoe UI" w:hAnsi="Segoe UI" w:cs="Segoe UI"/>
        </w:rPr>
        <w:footnoteReference w:id="4"/>
      </w:r>
      <w:r w:rsidRPr="00CA7320">
        <w:rPr>
          <w:rFonts w:ascii="Segoe UI" w:hAnsi="Segoe UI" w:cs="Segoe UI"/>
          <w:vertAlign w:val="superscript"/>
        </w:rPr>
        <w:t>-</w:t>
      </w:r>
      <w:r w:rsidRPr="00CA7320">
        <w:rPr>
          <w:rStyle w:val="Refdenotaalpie"/>
          <w:rFonts w:ascii="Segoe UI" w:hAnsi="Segoe UI" w:cs="Segoe UI"/>
        </w:rPr>
        <w:footnoteReference w:id="5"/>
      </w:r>
      <w:r w:rsidRPr="00CA7320">
        <w:rPr>
          <w:rFonts w:ascii="Segoe UI" w:hAnsi="Segoe UI" w:cs="Segoe UI"/>
        </w:rPr>
        <w:t>. Las personas de menor ESE, en las distintas etapas del ciclo vital, presentan una menor ingesta de frutas y verduras</w:t>
      </w:r>
      <w:r w:rsidRPr="00CA7320">
        <w:rPr>
          <w:rStyle w:val="Refdenotaalpie"/>
          <w:rFonts w:ascii="Segoe UI" w:hAnsi="Segoe UI" w:cs="Segoe UI"/>
        </w:rPr>
        <w:footnoteReference w:id="6"/>
      </w:r>
      <w:r w:rsidRPr="00CA7320">
        <w:rPr>
          <w:rFonts w:ascii="Segoe UI" w:hAnsi="Segoe UI" w:cs="Segoe UI"/>
        </w:rPr>
        <w:t>. Estudios demuestran que los quintiles más bajos de ingresos sólo destinan un 4% del gasto total mensual a frutas, y un 15% a hortalizas (USD 5 y USD 19 respectivamente</w:t>
      </w:r>
      <w:r w:rsidRPr="00CA7320">
        <w:rPr>
          <w:rStyle w:val="Refdenotaalpie"/>
          <w:rFonts w:ascii="Segoe UI" w:hAnsi="Segoe UI" w:cs="Segoe UI"/>
        </w:rPr>
        <w:footnoteReference w:id="7"/>
      </w:r>
      <w:r w:rsidRPr="00CA7320">
        <w:rPr>
          <w:rFonts w:ascii="Segoe UI" w:hAnsi="Segoe UI" w:cs="Segoe UI"/>
        </w:rPr>
        <w:t>).</w:t>
      </w:r>
    </w:p>
    <w:p w:rsidR="00AD396C" w:rsidRPr="00CA7320" w:rsidRDefault="00AD396C" w:rsidP="00CA7320">
      <w:pPr>
        <w:pStyle w:val="Prrafodelista"/>
        <w:spacing w:before="160" w:after="160"/>
        <w:ind w:right="-142"/>
        <w:contextualSpacing w:val="0"/>
        <w:jc w:val="both"/>
        <w:rPr>
          <w:rFonts w:ascii="Segoe UI" w:hAnsi="Segoe UI" w:cs="Segoe UI"/>
        </w:rPr>
      </w:pPr>
      <w:r w:rsidRPr="00CA7320">
        <w:rPr>
          <w:rFonts w:ascii="Segoe UI" w:hAnsi="Segoe UI" w:cs="Segoe UI"/>
        </w:rPr>
        <w:t xml:space="preserve">Es importante destacar que de acuerdo con la última Encuesta Socioeconómica Nacional (Casen) 2020, la pobreza y desigualdad aumentaron respecto a las mediciones anteriores. El indicador </w:t>
      </w:r>
      <w:proofErr w:type="spellStart"/>
      <w:r w:rsidRPr="00CA7320">
        <w:rPr>
          <w:rFonts w:ascii="Segoe UI" w:hAnsi="Segoe UI" w:cs="Segoe UI"/>
        </w:rPr>
        <w:t>Gini</w:t>
      </w:r>
      <w:proofErr w:type="spellEnd"/>
      <w:r w:rsidRPr="00CA7320">
        <w:rPr>
          <w:rFonts w:ascii="Segoe UI" w:hAnsi="Segoe UI" w:cs="Segoe UI"/>
        </w:rPr>
        <w:t xml:space="preserve"> del ingreso del trabajo de los hogares registraba un 0,501 el 2017, aumentando a 0,527 en la medición realizada durante el 2020. En el caso de la pobreza el año 2017 se reportó que 8,6% se encontraba en esta situación, aumentando a 10,8% el 2020. </w:t>
      </w:r>
    </w:p>
    <w:p w:rsidR="00AD396C" w:rsidRPr="00CA7320" w:rsidRDefault="00AD396C" w:rsidP="00CA7320">
      <w:pPr>
        <w:pStyle w:val="Prrafodelista"/>
        <w:numPr>
          <w:ilvl w:val="0"/>
          <w:numId w:val="10"/>
        </w:numPr>
        <w:spacing w:before="160" w:after="160"/>
        <w:ind w:right="-142"/>
        <w:contextualSpacing w:val="0"/>
        <w:jc w:val="both"/>
        <w:rPr>
          <w:rFonts w:ascii="Segoe UI" w:hAnsi="Segoe UI" w:cs="Segoe UI"/>
        </w:rPr>
      </w:pPr>
      <w:r w:rsidRPr="00CA7320">
        <w:rPr>
          <w:rFonts w:ascii="Segoe UI" w:hAnsi="Segoe UI" w:cs="Segoe UI"/>
        </w:rPr>
        <w:t>Educación: Un estudio describe que los alumnos de establecimientos educacionales privados presentan mejores hábitos alimentarios en relación con los de colegios municipales y particulares subvencionados</w:t>
      </w:r>
      <w:r w:rsidRPr="00CA7320">
        <w:rPr>
          <w:rStyle w:val="Refdenotaalpie"/>
          <w:rFonts w:ascii="Segoe UI" w:hAnsi="Segoe UI" w:cs="Segoe UI"/>
        </w:rPr>
        <w:footnoteReference w:id="8"/>
      </w:r>
      <w:r w:rsidRPr="00CA7320">
        <w:rPr>
          <w:rFonts w:ascii="Segoe UI" w:hAnsi="Segoe UI" w:cs="Segoe UI"/>
        </w:rPr>
        <w:t>.  La Encuesta Nacional de Salud mostró que un 9,2% de la población cumple con la recomendación de consumir pescados y mariscos, sin embargo, dicha recomendación alcanza sólo al 6,3% de la población que tiene menos de ocho años de estudios cursados, y asciende al 11,2% en la población que supera los 12 años de estudios cursados.</w:t>
      </w:r>
    </w:p>
    <w:p w:rsidR="00AD396C" w:rsidRPr="00CA7320" w:rsidRDefault="00AD396C" w:rsidP="00CA7320">
      <w:pPr>
        <w:pStyle w:val="Prrafodelista"/>
        <w:numPr>
          <w:ilvl w:val="0"/>
          <w:numId w:val="10"/>
        </w:numPr>
        <w:spacing w:before="160" w:after="160"/>
        <w:ind w:right="-142"/>
        <w:contextualSpacing w:val="0"/>
        <w:jc w:val="both"/>
        <w:rPr>
          <w:rFonts w:ascii="Segoe UI" w:hAnsi="Segoe UI" w:cs="Segoe UI"/>
          <w:color w:val="000000"/>
          <w:lang w:eastAsia="es-US"/>
        </w:rPr>
      </w:pPr>
      <w:r w:rsidRPr="00CA7320">
        <w:rPr>
          <w:rFonts w:ascii="Segoe UI" w:hAnsi="Segoe UI" w:cs="Segoe UI"/>
        </w:rPr>
        <w:t>Territorio:</w:t>
      </w:r>
      <w:r w:rsidRPr="00CA7320">
        <w:rPr>
          <w:rFonts w:ascii="Segoe UI" w:hAnsi="Segoe UI" w:cs="Segoe UI"/>
          <w:color w:val="000000"/>
          <w:lang w:eastAsia="es-US"/>
        </w:rPr>
        <w:t xml:space="preserve"> </w:t>
      </w:r>
      <w:r w:rsidRPr="00CA7320">
        <w:rPr>
          <w:rFonts w:ascii="Segoe UI" w:hAnsi="Segoe UI" w:cs="Segoe UI"/>
        </w:rPr>
        <w:t>La evidencia sugiere que la posibilidad de estar con sobrepeso u obeso son 43% más altas para aquellos individuos que viven en barrios de bajo ESE</w:t>
      </w:r>
      <w:r w:rsidRPr="00CA7320">
        <w:rPr>
          <w:rStyle w:val="Refdenotaalpie"/>
          <w:rFonts w:ascii="Segoe UI" w:hAnsi="Segoe UI" w:cs="Segoe UI"/>
        </w:rPr>
        <w:footnoteReference w:id="9"/>
      </w:r>
      <w:r w:rsidRPr="00CA7320">
        <w:rPr>
          <w:rFonts w:ascii="Segoe UI" w:hAnsi="Segoe UI" w:cs="Segoe UI"/>
        </w:rPr>
        <w:t xml:space="preserve">. </w:t>
      </w:r>
      <w:r w:rsidR="00D94CB0" w:rsidRPr="00CA7320">
        <w:rPr>
          <w:rFonts w:ascii="Segoe UI" w:hAnsi="Segoe UI" w:cs="Segoe UI"/>
        </w:rPr>
        <w:t>Los</w:t>
      </w:r>
      <w:r w:rsidRPr="00CA7320">
        <w:rPr>
          <w:rFonts w:ascii="Segoe UI" w:hAnsi="Segoe UI" w:cs="Segoe UI"/>
        </w:rPr>
        <w:t xml:space="preserve"> residentes </w:t>
      </w:r>
      <w:r w:rsidRPr="00CA7320">
        <w:rPr>
          <w:rFonts w:ascii="Segoe UI" w:hAnsi="Segoe UI" w:cs="Segoe UI"/>
        </w:rPr>
        <w:lastRenderedPageBreak/>
        <w:t>de barrios socioeconómicamente desfavorecidos presentan limitaciones de acceso a alimentos saludables, tales como frutas y verduras</w:t>
      </w:r>
      <w:r w:rsidRPr="00CA7320">
        <w:rPr>
          <w:rStyle w:val="Refdenotaalpie"/>
          <w:rFonts w:ascii="Segoe UI" w:hAnsi="Segoe UI" w:cs="Segoe UI"/>
        </w:rPr>
        <w:footnoteReference w:id="10"/>
      </w:r>
      <w:r w:rsidRPr="00CA7320">
        <w:rPr>
          <w:rFonts w:ascii="Segoe UI" w:hAnsi="Segoe UI" w:cs="Segoe UI"/>
        </w:rPr>
        <w:t xml:space="preserve">, </w:t>
      </w:r>
      <w:r w:rsidR="00D94CB0" w:rsidRPr="00CA7320">
        <w:rPr>
          <w:rFonts w:ascii="Segoe UI" w:hAnsi="Segoe UI" w:cs="Segoe UI"/>
        </w:rPr>
        <w:t>y</w:t>
      </w:r>
      <w:r w:rsidRPr="00CA7320">
        <w:rPr>
          <w:rFonts w:ascii="Segoe UI" w:hAnsi="Segoe UI" w:cs="Segoe UI"/>
        </w:rPr>
        <w:t xml:space="preserve"> cuando acceden a este tipo de alimentos éstos son de baja calidad</w:t>
      </w:r>
      <w:r w:rsidRPr="00CA7320">
        <w:rPr>
          <w:rStyle w:val="Refdenotaalpie"/>
          <w:rFonts w:ascii="Segoe UI" w:hAnsi="Segoe UI" w:cs="Segoe UI"/>
        </w:rPr>
        <w:footnoteReference w:id="11"/>
      </w:r>
      <w:r w:rsidRPr="00CA7320">
        <w:rPr>
          <w:rFonts w:ascii="Segoe UI" w:hAnsi="Segoe UI" w:cs="Segoe UI"/>
        </w:rPr>
        <w:t>. Adicionalmente, los residentes de dichos barrios no cuentan con la infraestructura adecuada para la práctica de actividad física</w:t>
      </w:r>
      <w:r w:rsidRPr="00CA7320">
        <w:rPr>
          <w:rFonts w:ascii="Segoe UI" w:hAnsi="Segoe UI" w:cs="Segoe UI"/>
          <w:color w:val="000000"/>
          <w:lang w:eastAsia="es-US"/>
        </w:rPr>
        <w:t xml:space="preserve"> </w:t>
      </w:r>
    </w:p>
    <w:p w:rsidR="00AD396C" w:rsidRPr="00CA7320" w:rsidRDefault="00AD396C" w:rsidP="00CA7320">
      <w:pPr>
        <w:pStyle w:val="Prrafodelista"/>
        <w:numPr>
          <w:ilvl w:val="0"/>
          <w:numId w:val="10"/>
        </w:numPr>
        <w:spacing w:before="160" w:after="160"/>
        <w:ind w:right="-142"/>
        <w:contextualSpacing w:val="0"/>
        <w:jc w:val="both"/>
        <w:rPr>
          <w:rFonts w:ascii="Segoe UI" w:hAnsi="Segoe UI" w:cs="Segoe UI"/>
          <w:color w:val="000000"/>
          <w:lang w:eastAsia="es-US"/>
        </w:rPr>
      </w:pPr>
      <w:r w:rsidRPr="00CA7320">
        <w:rPr>
          <w:rFonts w:ascii="Segoe UI" w:hAnsi="Segoe UI" w:cs="Segoe UI"/>
          <w:color w:val="000000"/>
          <w:lang w:eastAsia="es-US"/>
        </w:rPr>
        <w:t>Género: Las brechas de género se expresan en el fenómeno de la feminización de la obesidad y el sobrepeso, presentando las mujeres mayor incidencia que los hombres</w:t>
      </w:r>
      <w:r w:rsidRPr="00CA7320">
        <w:rPr>
          <w:rStyle w:val="Refdenotaalpie"/>
          <w:rFonts w:ascii="Segoe UI" w:hAnsi="Segoe UI" w:cs="Segoe UI"/>
          <w:color w:val="000000"/>
          <w:lang w:eastAsia="es-US"/>
        </w:rPr>
        <w:footnoteReference w:id="12"/>
      </w:r>
      <w:r w:rsidRPr="00CA7320">
        <w:rPr>
          <w:rFonts w:ascii="Segoe UI" w:hAnsi="Segoe UI" w:cs="Segoe UI"/>
          <w:color w:val="000000"/>
          <w:lang w:eastAsia="es-US"/>
        </w:rPr>
        <w:t xml:space="preserve">. </w:t>
      </w:r>
      <w:r w:rsidRPr="00CA7320">
        <w:rPr>
          <w:rFonts w:ascii="Segoe UI" w:hAnsi="Segoe UI" w:cs="Segoe UI"/>
        </w:rPr>
        <w:t xml:space="preserve"> </w:t>
      </w:r>
      <w:r w:rsidRPr="00CA7320">
        <w:rPr>
          <w:rFonts w:ascii="Segoe UI" w:hAnsi="Segoe UI" w:cs="Segoe UI"/>
          <w:color w:val="000000"/>
          <w:lang w:eastAsia="es-US"/>
        </w:rPr>
        <w:t>Un estudio reportó que la proporción de personas que ganan un salario bajo es aproximadamente 1,6 veces mayor en mujeres que en hombres, y que, además, las mujeres tienen menos posibilidades de ascender a puestos directivos que los hombres</w:t>
      </w:r>
      <w:r w:rsidRPr="00CA7320">
        <w:rPr>
          <w:rStyle w:val="Refdenotaalpie"/>
          <w:rFonts w:ascii="Segoe UI" w:hAnsi="Segoe UI" w:cs="Segoe UI"/>
          <w:color w:val="000000"/>
          <w:lang w:eastAsia="es-US"/>
        </w:rPr>
        <w:footnoteReference w:id="13"/>
      </w:r>
      <w:r w:rsidRPr="00CA7320">
        <w:rPr>
          <w:rFonts w:ascii="Segoe UI" w:hAnsi="Segoe UI" w:cs="Segoe UI"/>
          <w:color w:val="000000"/>
          <w:lang w:eastAsia="es-US"/>
        </w:rPr>
        <w:t>.</w:t>
      </w:r>
      <w:r w:rsidRPr="00CA7320">
        <w:rPr>
          <w:rFonts w:ascii="Segoe UI" w:hAnsi="Segoe UI" w:cs="Segoe UI"/>
        </w:rPr>
        <w:t xml:space="preserve"> El año 2017, la prevalencia de población en situación de pobreza, según ingresos, fue de 8,6% siendo mayor en mujeres (9%) que en hombres (8,2%)</w:t>
      </w:r>
      <w:r w:rsidRPr="00CA7320">
        <w:rPr>
          <w:rStyle w:val="Refdenotaalpie"/>
          <w:rFonts w:ascii="Segoe UI" w:hAnsi="Segoe UI" w:cs="Segoe UI"/>
        </w:rPr>
        <w:footnoteReference w:id="14"/>
      </w:r>
      <w:r w:rsidRPr="00CA7320">
        <w:rPr>
          <w:rFonts w:ascii="Segoe UI" w:hAnsi="Segoe UI" w:cs="Segoe UI"/>
        </w:rPr>
        <w:t>.</w:t>
      </w:r>
    </w:p>
    <w:p w:rsidR="00AD396C" w:rsidRPr="00CA7320" w:rsidRDefault="00D94CB0" w:rsidP="00CA7320">
      <w:pPr>
        <w:pStyle w:val="Default"/>
        <w:spacing w:before="160" w:after="160" w:line="276" w:lineRule="auto"/>
        <w:jc w:val="both"/>
        <w:rPr>
          <w:rFonts w:ascii="Segoe UI" w:hAnsi="Segoe UI" w:cs="Segoe UI"/>
          <w:sz w:val="22"/>
          <w:szCs w:val="22"/>
        </w:rPr>
      </w:pPr>
      <w:r w:rsidRPr="00CA7320">
        <w:rPr>
          <w:rFonts w:ascii="Segoe UI" w:hAnsi="Segoe UI" w:cs="Segoe UI"/>
          <w:sz w:val="22"/>
          <w:szCs w:val="22"/>
        </w:rPr>
        <w:t>Por otra parte, el Ministerio de Agricultura destaca que</w:t>
      </w:r>
      <w:r w:rsidR="00AD396C" w:rsidRPr="00CA7320">
        <w:rPr>
          <w:rFonts w:ascii="Segoe UI" w:hAnsi="Segoe UI" w:cs="Segoe UI"/>
          <w:sz w:val="22"/>
          <w:szCs w:val="22"/>
        </w:rPr>
        <w:t xml:space="preserve"> el país presenta una alta intermediación en la distribución de los alimentos junto con una centralización de la logística de distribución, lo que genera un encarecimiento de </w:t>
      </w:r>
      <w:r w:rsidRPr="00CA7320">
        <w:rPr>
          <w:rFonts w:ascii="Segoe UI" w:hAnsi="Segoe UI" w:cs="Segoe UI"/>
          <w:sz w:val="22"/>
          <w:szCs w:val="22"/>
        </w:rPr>
        <w:t>éstos.</w:t>
      </w:r>
      <w:r w:rsidRPr="00CA7320">
        <w:rPr>
          <w:rStyle w:val="Refdenotaalpie"/>
          <w:rFonts w:ascii="Segoe UI" w:hAnsi="Segoe UI" w:cs="Segoe UI"/>
          <w:sz w:val="22"/>
          <w:szCs w:val="22"/>
        </w:rPr>
        <w:footnoteReference w:id="15"/>
      </w:r>
    </w:p>
    <w:p w:rsidR="00AD396C" w:rsidRPr="00CA7320" w:rsidRDefault="00AD396C" w:rsidP="00CA7320">
      <w:pPr>
        <w:pStyle w:val="Default"/>
        <w:spacing w:before="160" w:after="160" w:line="276" w:lineRule="auto"/>
        <w:jc w:val="both"/>
        <w:rPr>
          <w:rFonts w:ascii="Segoe UI" w:hAnsi="Segoe UI" w:cs="Segoe UI"/>
          <w:sz w:val="22"/>
          <w:szCs w:val="22"/>
        </w:rPr>
      </w:pPr>
      <w:r w:rsidRPr="00CA7320">
        <w:rPr>
          <w:rFonts w:ascii="Segoe UI" w:hAnsi="Segoe UI" w:cs="Segoe UI"/>
          <w:sz w:val="22"/>
          <w:szCs w:val="22"/>
        </w:rPr>
        <w:t>Adicionalmente la matriz productiva se encuentra orientada a productos atractivos para mercados internacionales,</w:t>
      </w:r>
      <w:r w:rsidR="00D94CB0" w:rsidRPr="00CA7320">
        <w:rPr>
          <w:rStyle w:val="Refdenotaalpie"/>
          <w:rFonts w:ascii="Segoe UI" w:hAnsi="Segoe UI" w:cs="Segoe UI"/>
          <w:sz w:val="22"/>
          <w:szCs w:val="22"/>
        </w:rPr>
        <w:footnoteReference w:id="16"/>
      </w:r>
      <w:r w:rsidRPr="00CA7320">
        <w:rPr>
          <w:rFonts w:ascii="Segoe UI" w:hAnsi="Segoe UI" w:cs="Segoe UI"/>
          <w:sz w:val="22"/>
          <w:szCs w:val="22"/>
        </w:rPr>
        <w:t xml:space="preserve"> por lo que la producción nacional se ha enfocado </w:t>
      </w:r>
      <w:r w:rsidR="00D94CB0" w:rsidRPr="00CA7320">
        <w:rPr>
          <w:rFonts w:ascii="Segoe UI" w:hAnsi="Segoe UI" w:cs="Segoe UI"/>
          <w:sz w:val="22"/>
          <w:szCs w:val="22"/>
        </w:rPr>
        <w:t>a</w:t>
      </w:r>
      <w:r w:rsidRPr="00CA7320">
        <w:rPr>
          <w:rFonts w:ascii="Segoe UI" w:hAnsi="Segoe UI" w:cs="Segoe UI"/>
          <w:sz w:val="22"/>
          <w:szCs w:val="22"/>
        </w:rPr>
        <w:t xml:space="preserve"> satisfacer </w:t>
      </w:r>
      <w:r w:rsidR="00D94CB0" w:rsidRPr="00CA7320">
        <w:rPr>
          <w:rFonts w:ascii="Segoe UI" w:hAnsi="Segoe UI" w:cs="Segoe UI"/>
          <w:sz w:val="22"/>
          <w:szCs w:val="22"/>
        </w:rPr>
        <w:t>esta</w:t>
      </w:r>
      <w:r w:rsidRPr="00CA7320">
        <w:rPr>
          <w:rFonts w:ascii="Segoe UI" w:hAnsi="Segoe UI" w:cs="Segoe UI"/>
          <w:sz w:val="22"/>
          <w:szCs w:val="22"/>
        </w:rPr>
        <w:t xml:space="preserve"> demanda, </w:t>
      </w:r>
      <w:r w:rsidR="00D94CB0" w:rsidRPr="00CA7320">
        <w:rPr>
          <w:rFonts w:ascii="Segoe UI" w:hAnsi="Segoe UI" w:cs="Segoe UI"/>
          <w:sz w:val="22"/>
          <w:szCs w:val="22"/>
        </w:rPr>
        <w:t>sustituyendo</w:t>
      </w:r>
      <w:r w:rsidRPr="00CA7320">
        <w:rPr>
          <w:rFonts w:ascii="Segoe UI" w:hAnsi="Segoe UI" w:cs="Segoe UI"/>
          <w:sz w:val="22"/>
          <w:szCs w:val="22"/>
        </w:rPr>
        <w:t xml:space="preserve"> la producción de alimentos esenciales para la población (como cereales y legumbres). Por ello, fue necesario durante el año 2020 importar el 52% del trigo harinero y el 71% de las legumbres. En los últimos diez años se ha registrado una disminución del 28% de la superficie destinada a este tipo de cultivos.</w:t>
      </w:r>
    </w:p>
    <w:p w:rsidR="00CA7320" w:rsidRPr="00CA7320" w:rsidRDefault="00AD396C" w:rsidP="00CA7320">
      <w:pPr>
        <w:pStyle w:val="Default"/>
        <w:spacing w:before="160" w:after="160" w:line="276" w:lineRule="auto"/>
        <w:jc w:val="both"/>
        <w:rPr>
          <w:rFonts w:ascii="Segoe UI" w:hAnsi="Segoe UI" w:cs="Segoe UI"/>
          <w:sz w:val="22"/>
          <w:szCs w:val="22"/>
        </w:rPr>
      </w:pPr>
      <w:r w:rsidRPr="00CA7320">
        <w:rPr>
          <w:rFonts w:ascii="Segoe UI" w:hAnsi="Segoe UI" w:cs="Segoe UI"/>
          <w:sz w:val="22"/>
          <w:szCs w:val="22"/>
        </w:rPr>
        <w:t xml:space="preserve">El cambio climático y el medio ambiente también pueden afectar el acceso a una alimentación adecuada en el país, que registraba el año 2022 catorce años de sequía. Esto junto con la </w:t>
      </w:r>
      <w:r w:rsidRPr="00CA7320">
        <w:rPr>
          <w:rFonts w:ascii="Segoe UI" w:hAnsi="Segoe UI" w:cs="Segoe UI"/>
          <w:sz w:val="22"/>
          <w:szCs w:val="22"/>
        </w:rPr>
        <w:lastRenderedPageBreak/>
        <w:t xml:space="preserve">variabilidad climática y eventos meteorológicos extremos pueden afectar la producción de alimentos y la seguridad alimentaria. </w:t>
      </w:r>
    </w:p>
    <w:p w:rsidR="00AD396C" w:rsidRPr="00CA7320" w:rsidRDefault="00AD396C" w:rsidP="00CA7320">
      <w:pPr>
        <w:pStyle w:val="Default"/>
        <w:numPr>
          <w:ilvl w:val="0"/>
          <w:numId w:val="6"/>
        </w:numPr>
        <w:spacing w:before="160" w:after="160" w:line="276" w:lineRule="auto"/>
        <w:ind w:left="284" w:right="-142" w:hanging="284"/>
        <w:jc w:val="both"/>
        <w:rPr>
          <w:rFonts w:ascii="Segoe UI" w:hAnsi="Segoe UI" w:cs="Segoe UI"/>
          <w:sz w:val="22"/>
          <w:szCs w:val="22"/>
          <w:lang w:eastAsia="es-US"/>
        </w:rPr>
      </w:pPr>
      <w:r w:rsidRPr="00CA7320">
        <w:rPr>
          <w:rFonts w:ascii="Segoe UI" w:hAnsi="Segoe UI" w:cs="Segoe UI"/>
          <w:b/>
          <w:sz w:val="22"/>
          <w:szCs w:val="22"/>
        </w:rPr>
        <w:t xml:space="preserve">¿Qué medidas legislativas o reglamentarias (como las relacionadas con las normas nutricionales, el etiquetado, la comercialización, la adquisición en contextos institucionales, incluidas – aunque no exclusivamente- las escuelas y las prisiones, y las medidas fiscales) se han considerado o adoptado en su país y/o </w:t>
      </w:r>
      <w:r w:rsidRPr="00CA7320">
        <w:rPr>
          <w:rFonts w:ascii="Segoe UI" w:hAnsi="Segoe UI" w:cs="Segoe UI"/>
          <w:b/>
          <w:bCs/>
          <w:sz w:val="22"/>
          <w:szCs w:val="22"/>
        </w:rPr>
        <w:t>comunidad</w:t>
      </w:r>
      <w:r w:rsidRPr="00CA7320">
        <w:rPr>
          <w:rFonts w:ascii="Segoe UI" w:hAnsi="Segoe UI" w:cs="Segoe UI"/>
          <w:b/>
          <w:sz w:val="22"/>
          <w:szCs w:val="22"/>
        </w:rPr>
        <w:t xml:space="preserve"> para mejorar la alimentación y la nutrición, especialmente de las personas en situación vulnerable? En este caso, ¿cómo se están aplicando esas medidas?</w:t>
      </w:r>
    </w:p>
    <w:p w:rsidR="00AD396C" w:rsidRPr="00CA7320" w:rsidRDefault="00AD396C" w:rsidP="00CA7320">
      <w:pPr>
        <w:spacing w:before="160" w:after="160"/>
        <w:ind w:right="-142"/>
        <w:jc w:val="both"/>
        <w:rPr>
          <w:rFonts w:ascii="Segoe UI" w:hAnsi="Segoe UI" w:cs="Segoe UI"/>
        </w:rPr>
      </w:pPr>
      <w:r w:rsidRPr="00CA7320">
        <w:rPr>
          <w:rFonts w:ascii="Segoe UI" w:hAnsi="Segoe UI" w:cs="Segoe UI"/>
        </w:rPr>
        <w:t>Chile ostenta políticas públicas sobre alimentación y nutrición, la cuales inicialmente estuvieron orientadas al abordaje de la desnutrición y la mortalidad infantil, y actualmente deben enfrentar la obesidad y las Enfermedades No Transmisibles (ENT).  En ese contexto, podemos encontrar las siguientes medidas:</w:t>
      </w:r>
    </w:p>
    <w:p w:rsidR="00D94CB0" w:rsidRPr="00CA7320" w:rsidRDefault="00D94CB0" w:rsidP="00CA7320">
      <w:pPr>
        <w:pStyle w:val="Prrafodelista"/>
        <w:numPr>
          <w:ilvl w:val="0"/>
          <w:numId w:val="11"/>
        </w:numPr>
        <w:tabs>
          <w:tab w:val="left" w:pos="0"/>
          <w:tab w:val="left" w:pos="289"/>
        </w:tabs>
        <w:spacing w:before="160" w:after="160"/>
        <w:ind w:right="-142"/>
        <w:contextualSpacing w:val="0"/>
        <w:jc w:val="both"/>
        <w:rPr>
          <w:rFonts w:ascii="Segoe UI" w:hAnsi="Segoe UI" w:cs="Segoe UI"/>
        </w:rPr>
      </w:pPr>
      <w:r w:rsidRPr="00CA7320">
        <w:rPr>
          <w:rFonts w:ascii="Segoe UI" w:hAnsi="Segoe UI" w:cs="Segoe UI"/>
        </w:rPr>
        <w:t>Ley N°</w:t>
      </w:r>
      <w:r w:rsidR="00AD396C" w:rsidRPr="00CA7320">
        <w:rPr>
          <w:rFonts w:ascii="Segoe UI" w:hAnsi="Segoe UI" w:cs="Segoe UI"/>
        </w:rPr>
        <w:t>20.606 de 2016, del Ministerio de Salud, sobre composición nutricional de los alimentos y su publicidad (Ley de Alimentos). Regula la composición y etiquetado de alimentos, a través de la incorporación de una señal de advertencia a bebidas y alimentos que sobrepasan los límites establecidos para nutrientes críticos.</w:t>
      </w:r>
    </w:p>
    <w:p w:rsidR="00D94CB0" w:rsidRPr="00CA7320" w:rsidRDefault="00D94CB0" w:rsidP="00CA7320">
      <w:pPr>
        <w:pStyle w:val="Prrafodelista"/>
        <w:numPr>
          <w:ilvl w:val="0"/>
          <w:numId w:val="11"/>
        </w:numPr>
        <w:tabs>
          <w:tab w:val="left" w:pos="0"/>
          <w:tab w:val="left" w:pos="289"/>
        </w:tabs>
        <w:spacing w:before="160" w:after="160"/>
        <w:ind w:right="-142"/>
        <w:contextualSpacing w:val="0"/>
        <w:jc w:val="both"/>
        <w:rPr>
          <w:rFonts w:ascii="Segoe UI" w:hAnsi="Segoe UI" w:cs="Segoe UI"/>
        </w:rPr>
      </w:pPr>
      <w:r w:rsidRPr="00CA7320">
        <w:rPr>
          <w:rFonts w:ascii="Segoe UI" w:hAnsi="Segoe UI" w:cs="Segoe UI"/>
        </w:rPr>
        <w:t>Ley Nº</w:t>
      </w:r>
      <w:r w:rsidR="00AD396C" w:rsidRPr="00CA7320">
        <w:rPr>
          <w:rFonts w:ascii="Segoe UI" w:hAnsi="Segoe UI" w:cs="Segoe UI"/>
        </w:rPr>
        <w:t>20.869 de 2015, del Ministerio de Salud, sobre publicidad de los alimentos. Complementa la normativa anterior, aumentando las restricciones de publicidad dirigida a niños menores de 14 años, en cines y televisión en horarios establecidos, de aquellos alimentos con sellos “altos en” por superar los límites establecidos para nutrientes críticos. Además, prohíbe la publicidad de sucedáneos de la leche materna, entendidos como fórmulas de inicio y continuación para menores de 12 meses de edad, incluyendo todo tipo de medios y el rótulo.</w:t>
      </w:r>
    </w:p>
    <w:p w:rsidR="00D94CB0" w:rsidRPr="00CA7320" w:rsidRDefault="00D94CB0" w:rsidP="00CA7320">
      <w:pPr>
        <w:pStyle w:val="Prrafodelista"/>
        <w:numPr>
          <w:ilvl w:val="0"/>
          <w:numId w:val="11"/>
        </w:numPr>
        <w:tabs>
          <w:tab w:val="left" w:pos="0"/>
          <w:tab w:val="left" w:pos="289"/>
        </w:tabs>
        <w:spacing w:before="160" w:after="160"/>
        <w:ind w:right="-142"/>
        <w:contextualSpacing w:val="0"/>
        <w:jc w:val="both"/>
        <w:rPr>
          <w:rFonts w:ascii="Segoe UI" w:hAnsi="Segoe UI" w:cs="Segoe UI"/>
        </w:rPr>
      </w:pPr>
      <w:r w:rsidRPr="00CA7320">
        <w:rPr>
          <w:rFonts w:ascii="Segoe UI" w:hAnsi="Segoe UI" w:cs="Segoe UI"/>
        </w:rPr>
        <w:t>Ley Nº</w:t>
      </w:r>
      <w:r w:rsidR="00AD396C" w:rsidRPr="00CA7320">
        <w:rPr>
          <w:rFonts w:ascii="Segoe UI" w:hAnsi="Segoe UI" w:cs="Segoe UI"/>
        </w:rPr>
        <w:t>20.780 de 2014, del Ministerio de Hacienda, reforma tributaria que modifica el sistema de tributación de la renta e introduce diversos ajustes en el sistema tributario. En el marco de la Reforma Tributaria se aumentó el impuesto de 13% a 18% a las bebidas azucaradas con una concentración de azúcar agregada mayor o igual a 6,25 gramos por 100 ml, y se rebajó de 13 a 10% a bebidas con menor concentración de azúcar.</w:t>
      </w:r>
    </w:p>
    <w:p w:rsidR="00D94CB0" w:rsidRPr="00CA7320" w:rsidRDefault="00AD396C" w:rsidP="00CA7320">
      <w:pPr>
        <w:pStyle w:val="Prrafodelista"/>
        <w:numPr>
          <w:ilvl w:val="0"/>
          <w:numId w:val="11"/>
        </w:numPr>
        <w:tabs>
          <w:tab w:val="left" w:pos="0"/>
          <w:tab w:val="left" w:pos="289"/>
        </w:tabs>
        <w:spacing w:before="160" w:after="160"/>
        <w:ind w:right="-142"/>
        <w:contextualSpacing w:val="0"/>
        <w:jc w:val="both"/>
        <w:rPr>
          <w:rFonts w:ascii="Segoe UI" w:hAnsi="Segoe UI" w:cs="Segoe UI"/>
        </w:rPr>
      </w:pPr>
      <w:r w:rsidRPr="00CA7320">
        <w:rPr>
          <w:rFonts w:ascii="Segoe UI" w:hAnsi="Segoe UI" w:cs="Segoe UI"/>
        </w:rPr>
        <w:t>Estrategia Municipios, Comunas y Comunidades Saludables (Programa Planes Trienales de Promoción de la Salud).</w:t>
      </w:r>
      <w:r w:rsidR="00D94CB0" w:rsidRPr="00CA7320">
        <w:rPr>
          <w:rFonts w:ascii="Segoe UI" w:hAnsi="Segoe UI" w:cs="Segoe UI"/>
        </w:rPr>
        <w:t xml:space="preserve"> </w:t>
      </w:r>
      <w:r w:rsidRPr="00CA7320">
        <w:rPr>
          <w:rFonts w:ascii="Segoe UI" w:hAnsi="Segoe UI" w:cs="Segoe UI"/>
        </w:rPr>
        <w:t xml:space="preserve">La estrategia Municipios, Comunas y Comunidades Saludables busca fortalecer el rol del Municipio como un actor estratégico para mejorar los entornos, </w:t>
      </w:r>
      <w:proofErr w:type="gramStart"/>
      <w:r w:rsidRPr="00CA7320">
        <w:rPr>
          <w:rFonts w:ascii="Segoe UI" w:hAnsi="Segoe UI" w:cs="Segoe UI"/>
        </w:rPr>
        <w:t>y</w:t>
      </w:r>
      <w:proofErr w:type="gramEnd"/>
      <w:r w:rsidRPr="00CA7320">
        <w:rPr>
          <w:rFonts w:ascii="Segoe UI" w:hAnsi="Segoe UI" w:cs="Segoe UI"/>
        </w:rPr>
        <w:t xml:space="preserve"> en consecuencia, contribuir a un mayor bienestar y calidad de vida de las comunidades. </w:t>
      </w:r>
    </w:p>
    <w:p w:rsidR="00D94CB0" w:rsidRPr="00CA7320" w:rsidRDefault="00AD396C" w:rsidP="00CA7320">
      <w:pPr>
        <w:pStyle w:val="Prrafodelista"/>
        <w:numPr>
          <w:ilvl w:val="0"/>
          <w:numId w:val="11"/>
        </w:numPr>
        <w:tabs>
          <w:tab w:val="left" w:pos="0"/>
          <w:tab w:val="left" w:pos="289"/>
        </w:tabs>
        <w:spacing w:before="160" w:after="160"/>
        <w:ind w:right="-142"/>
        <w:contextualSpacing w:val="0"/>
        <w:jc w:val="both"/>
        <w:rPr>
          <w:rFonts w:ascii="Segoe UI" w:hAnsi="Segoe UI" w:cs="Segoe UI"/>
        </w:rPr>
      </w:pPr>
      <w:r w:rsidRPr="00CA7320">
        <w:rPr>
          <w:rFonts w:ascii="Segoe UI" w:hAnsi="Segoe UI" w:cs="Segoe UI"/>
        </w:rPr>
        <w:lastRenderedPageBreak/>
        <w:t>Estrategia de Establecimientos Educacionales Promotores de la Salud. Esta estrategia incentiva que los establecimientos educacionales implementen intervenciones que facilitan el acceso a alimentos saludables y la práctica de la actividad física regular. A modo de ejemplo se puede mencionar; la instalación de bebederos de agua en espacios comunes; la Política Escolar de Colaciones Saludables y Kioscos Escolares Saludables; instalación de infraestructura para la práctica de actividad física, entre otros.</w:t>
      </w:r>
    </w:p>
    <w:p w:rsidR="00D94CB0" w:rsidRPr="00CA7320" w:rsidRDefault="00AD396C" w:rsidP="00CA7320">
      <w:pPr>
        <w:pStyle w:val="Prrafodelista"/>
        <w:numPr>
          <w:ilvl w:val="0"/>
          <w:numId w:val="11"/>
        </w:numPr>
        <w:tabs>
          <w:tab w:val="left" w:pos="0"/>
          <w:tab w:val="left" w:pos="289"/>
        </w:tabs>
        <w:spacing w:before="160" w:after="160"/>
        <w:ind w:right="-142"/>
        <w:contextualSpacing w:val="0"/>
        <w:jc w:val="both"/>
        <w:rPr>
          <w:rFonts w:ascii="Segoe UI" w:hAnsi="Segoe UI" w:cs="Segoe UI"/>
        </w:rPr>
      </w:pPr>
      <w:r w:rsidRPr="00CA7320">
        <w:rPr>
          <w:rFonts w:ascii="Segoe UI" w:hAnsi="Segoe UI" w:cs="Segoe UI"/>
        </w:rPr>
        <w:t xml:space="preserve">Estrategia de Lugares de Trabajo Promotores de la Salud. Esta iniciativa implica un reconocimiento simbólico entregado por las Secretarías Regionales Ministeriales de Salud como “Lugar de Trabajo Promotor de la Salud” a aquellas organizaciones laborales públicas y privadas que implementen intervenciones que facilitan el acceso a una alimentación laboral saludable y a la práctica de la actividad física regular. </w:t>
      </w:r>
    </w:p>
    <w:p w:rsidR="00D94CB0" w:rsidRPr="00CA7320" w:rsidRDefault="00D94CB0" w:rsidP="00CA7320">
      <w:pPr>
        <w:pStyle w:val="Prrafodelista"/>
        <w:numPr>
          <w:ilvl w:val="0"/>
          <w:numId w:val="11"/>
        </w:numPr>
        <w:tabs>
          <w:tab w:val="left" w:pos="0"/>
          <w:tab w:val="left" w:pos="289"/>
        </w:tabs>
        <w:spacing w:before="160" w:after="160"/>
        <w:ind w:right="-142"/>
        <w:contextualSpacing w:val="0"/>
        <w:jc w:val="both"/>
        <w:rPr>
          <w:rFonts w:ascii="Segoe UI" w:hAnsi="Segoe UI" w:cs="Segoe UI"/>
        </w:rPr>
      </w:pPr>
      <w:r w:rsidRPr="00CA7320">
        <w:rPr>
          <w:rFonts w:ascii="Segoe UI" w:hAnsi="Segoe UI" w:cs="Segoe UI"/>
        </w:rPr>
        <w:t>Ley N°</w:t>
      </w:r>
      <w:r w:rsidR="00AD396C" w:rsidRPr="00CA7320">
        <w:rPr>
          <w:rFonts w:ascii="Segoe UI" w:hAnsi="Segoe UI" w:cs="Segoe UI"/>
        </w:rPr>
        <w:t>20.670 de 2013, del Ministerio de Desarrollo Social, crea el Sistema Elige Vivir Sano. Esta ley otorga al Ministerio de Desarrollo Social la potestad de coordinar, evaluar y monitorear las políticas, planes y programas de todos los sectores que contribuyen a promover la alimentación saludable, la actividad física, la vida al aire libre y la vida en familia, con el propósito de contribuir a la promoción de la salud y prevención de las ENT, cuyas causas son los hábitos de alimentación y sedentarismo en la población.</w:t>
      </w:r>
    </w:p>
    <w:p w:rsidR="00D94CB0" w:rsidRPr="00CA7320" w:rsidRDefault="00AD396C" w:rsidP="00CA7320">
      <w:pPr>
        <w:pStyle w:val="Prrafodelista"/>
        <w:numPr>
          <w:ilvl w:val="0"/>
          <w:numId w:val="11"/>
        </w:numPr>
        <w:tabs>
          <w:tab w:val="left" w:pos="0"/>
          <w:tab w:val="left" w:pos="289"/>
        </w:tabs>
        <w:spacing w:before="160" w:after="160"/>
        <w:ind w:right="-142"/>
        <w:contextualSpacing w:val="0"/>
        <w:jc w:val="both"/>
        <w:rPr>
          <w:rFonts w:ascii="Segoe UI" w:hAnsi="Segoe UI" w:cs="Segoe UI"/>
        </w:rPr>
      </w:pPr>
      <w:r w:rsidRPr="00CA7320">
        <w:rPr>
          <w:rFonts w:ascii="Segoe UI" w:hAnsi="Segoe UI" w:cs="Segoe UI"/>
        </w:rPr>
        <w:t>Actualización de Guías Alimentarias para la población que habita en Chile (2022). Las Guías Alimentarias se actualizaron en diciembre del 2022, considerando las dimensiones biológica, social y ambiental, de acuerdo al actual perfil epidemiológico y sus factores determinantes.</w:t>
      </w:r>
    </w:p>
    <w:p w:rsidR="00AD396C" w:rsidRPr="00CA7320" w:rsidRDefault="00AD396C" w:rsidP="00CA7320">
      <w:pPr>
        <w:pStyle w:val="Prrafodelista"/>
        <w:numPr>
          <w:ilvl w:val="0"/>
          <w:numId w:val="11"/>
        </w:numPr>
        <w:tabs>
          <w:tab w:val="left" w:pos="0"/>
          <w:tab w:val="left" w:pos="289"/>
        </w:tabs>
        <w:spacing w:before="160" w:after="160"/>
        <w:ind w:right="-142"/>
        <w:contextualSpacing w:val="0"/>
        <w:jc w:val="both"/>
        <w:rPr>
          <w:rFonts w:ascii="Segoe UI" w:hAnsi="Segoe UI" w:cs="Segoe UI"/>
        </w:rPr>
      </w:pPr>
      <w:r w:rsidRPr="00CA7320">
        <w:rPr>
          <w:rFonts w:ascii="Segoe UI" w:hAnsi="Segoe UI" w:cs="Segoe UI"/>
        </w:rPr>
        <w:t xml:space="preserve">Desarrollo de Guías para la Promoción de la Alimentación Saludable y Actividad Física en Entornos Laborales y Educacionales. Actualmente se dispone de los siguientes documentos; “Guía de Actividad Física Laboral”; “Guía de Recomendaciones en Alimentación Laboral”; “Guía de Kioscos Escolares”; y “Guía de Recomendaciones de Actividad Física para el curso de vida en población sana y con comorbilidad”.  </w:t>
      </w:r>
    </w:p>
    <w:p w:rsidR="00AD396C" w:rsidRPr="00CA7320" w:rsidRDefault="00AD396C" w:rsidP="00CA7320">
      <w:pPr>
        <w:spacing w:before="160" w:after="160"/>
        <w:ind w:left="142" w:right="-142"/>
        <w:jc w:val="both"/>
        <w:rPr>
          <w:rFonts w:ascii="Segoe UI" w:hAnsi="Segoe UI" w:cs="Segoe UI"/>
        </w:rPr>
      </w:pPr>
      <w:r w:rsidRPr="00CA7320">
        <w:rPr>
          <w:rFonts w:ascii="Segoe UI" w:hAnsi="Segoe UI" w:cs="Segoe UI"/>
        </w:rPr>
        <w:t xml:space="preserve">Con todo, y en base a la evidencia y recomendaciones de organismos internacionales como OMS, OPS y FAO, se informa que el Ministerio de Salud se encuentra actualmente elaborando un Plan </w:t>
      </w:r>
      <w:r w:rsidRPr="00CA7320">
        <w:rPr>
          <w:rFonts w:ascii="Segoe UI" w:eastAsia="Times New Roman" w:hAnsi="Segoe UI" w:cs="Segoe UI"/>
          <w:bCs/>
          <w:lang w:val="es-ES_tradnl"/>
        </w:rPr>
        <w:t xml:space="preserve">Nacional de prevención de la obesidad en la niñez y adolescencia, 2023-2030, el cual </w:t>
      </w:r>
      <w:r w:rsidRPr="00CA7320">
        <w:rPr>
          <w:rFonts w:ascii="Segoe UI" w:hAnsi="Segoe UI" w:cs="Segoe UI"/>
        </w:rPr>
        <w:t>tiene como objetivo contribuir a mejorar el estado de salud y calidad de vida de los niños, niñas y adolescentes del país, a través de la implementación de políticas públicas intersectoriales que busquen detener el incremento de la prevalencia de esta enfermedad al año 2030.</w:t>
      </w:r>
    </w:p>
    <w:p w:rsidR="00D94CB0" w:rsidRPr="00CA7320" w:rsidRDefault="00AD396C" w:rsidP="00CA7320">
      <w:pPr>
        <w:pStyle w:val="Default"/>
        <w:numPr>
          <w:ilvl w:val="0"/>
          <w:numId w:val="6"/>
        </w:numPr>
        <w:spacing w:before="160" w:after="160" w:line="276" w:lineRule="auto"/>
        <w:ind w:left="284" w:right="-142" w:hanging="284"/>
        <w:jc w:val="both"/>
        <w:rPr>
          <w:rFonts w:ascii="Segoe UI" w:hAnsi="Segoe UI" w:cs="Segoe UI"/>
          <w:b/>
          <w:sz w:val="22"/>
          <w:szCs w:val="22"/>
          <w:lang w:eastAsia="es-US"/>
        </w:rPr>
      </w:pPr>
      <w:r w:rsidRPr="00CA7320">
        <w:rPr>
          <w:rFonts w:ascii="Segoe UI" w:hAnsi="Segoe UI" w:cs="Segoe UI"/>
          <w:b/>
          <w:sz w:val="22"/>
          <w:szCs w:val="22"/>
          <w:lang w:eastAsia="es-US"/>
        </w:rPr>
        <w:lastRenderedPageBreak/>
        <w:t xml:space="preserve">En su contexto, ¿alguna de las medidas legislativas o reglamentarias ha intentado abordar simultáneamente la desnutrición, por un lado, y las enfermedades no </w:t>
      </w:r>
      <w:r w:rsidRPr="00CA7320">
        <w:rPr>
          <w:rFonts w:ascii="Segoe UI" w:hAnsi="Segoe UI" w:cs="Segoe UI"/>
          <w:b/>
          <w:sz w:val="22"/>
          <w:szCs w:val="22"/>
        </w:rPr>
        <w:t>transmisibles</w:t>
      </w:r>
      <w:r w:rsidRPr="00CA7320">
        <w:rPr>
          <w:rFonts w:ascii="Segoe UI" w:hAnsi="Segoe UI" w:cs="Segoe UI"/>
          <w:b/>
          <w:sz w:val="22"/>
          <w:szCs w:val="22"/>
          <w:lang w:eastAsia="es-US"/>
        </w:rPr>
        <w:t xml:space="preserve"> relacionadas con la dieta, como la diabetes, las enfermedades cardiovasculares y el cáncer, por otro? ¿Han tenido éxito? Por favor, proporcione ejemplos concretos.</w:t>
      </w:r>
    </w:p>
    <w:p w:rsidR="00AD396C" w:rsidRPr="00CA7320" w:rsidRDefault="00AD396C" w:rsidP="00CA7320">
      <w:pPr>
        <w:spacing w:before="160" w:after="160"/>
        <w:ind w:right="-142"/>
        <w:jc w:val="both"/>
        <w:rPr>
          <w:rFonts w:ascii="Segoe UI" w:hAnsi="Segoe UI" w:cs="Segoe UI"/>
        </w:rPr>
      </w:pPr>
      <w:r w:rsidRPr="00CA7320">
        <w:rPr>
          <w:rFonts w:ascii="Segoe UI" w:hAnsi="Segoe UI" w:cs="Segoe UI"/>
        </w:rPr>
        <w:t>En general, la evolución que ha tenido la situación nutricional en Chile permite señalar que pasamos de ser un país que debía enfrentar la malnutrición por déficit, a uno afectado por las elevadas cifras de malnutrición por exceso y ENT relacionadas a esta condición.</w:t>
      </w:r>
    </w:p>
    <w:p w:rsidR="00D94CB0" w:rsidRPr="00CA7320" w:rsidRDefault="00AD396C" w:rsidP="00CA7320">
      <w:pPr>
        <w:pStyle w:val="Prrafodelista"/>
        <w:numPr>
          <w:ilvl w:val="0"/>
          <w:numId w:val="12"/>
        </w:numPr>
        <w:autoSpaceDE w:val="0"/>
        <w:autoSpaceDN w:val="0"/>
        <w:adjustRightInd w:val="0"/>
        <w:spacing w:before="160" w:after="160"/>
        <w:ind w:right="-142"/>
        <w:contextualSpacing w:val="0"/>
        <w:jc w:val="both"/>
        <w:rPr>
          <w:rFonts w:ascii="Segoe UI" w:hAnsi="Segoe UI" w:cs="Segoe UI"/>
        </w:rPr>
      </w:pPr>
      <w:r w:rsidRPr="00CA7320">
        <w:rPr>
          <w:rFonts w:ascii="Segoe UI" w:hAnsi="Segoe UI" w:cs="Segoe UI"/>
        </w:rPr>
        <w:t xml:space="preserve">Programas Alimentarios. El </w:t>
      </w:r>
      <w:r w:rsidRPr="00CA7320">
        <w:rPr>
          <w:rFonts w:ascii="Segoe UI" w:hAnsi="Segoe UI" w:cs="Segoe UI"/>
          <w:bCs/>
        </w:rPr>
        <w:t>Programa Nacional de Alimentación Complementaria (PNAC)</w:t>
      </w:r>
      <w:r w:rsidRPr="00CA7320">
        <w:rPr>
          <w:rFonts w:ascii="Segoe UI" w:hAnsi="Segoe UI" w:cs="Segoe UI"/>
        </w:rPr>
        <w:t xml:space="preserve">, bajo el amparo de la Ley Nº 18.681 de 1987, del Ministerio de Hacienda, y el </w:t>
      </w:r>
      <w:r w:rsidRPr="00CA7320">
        <w:rPr>
          <w:rFonts w:ascii="Segoe UI" w:hAnsi="Segoe UI" w:cs="Segoe UI"/>
          <w:bCs/>
        </w:rPr>
        <w:t>Programa</w:t>
      </w:r>
      <w:r w:rsidRPr="00CA7320">
        <w:rPr>
          <w:rFonts w:ascii="Segoe UI" w:hAnsi="Segoe UI" w:cs="Segoe UI"/>
        </w:rPr>
        <w:t xml:space="preserve"> </w:t>
      </w:r>
      <w:r w:rsidRPr="00CA7320">
        <w:rPr>
          <w:rFonts w:ascii="Segoe UI" w:hAnsi="Segoe UI" w:cs="Segoe UI"/>
          <w:bCs/>
        </w:rPr>
        <w:t>de Alimentación Complementaria para el Adulto Mayor (PACAM)</w:t>
      </w:r>
      <w:r w:rsidRPr="00CA7320">
        <w:rPr>
          <w:rFonts w:ascii="Segoe UI" w:hAnsi="Segoe UI" w:cs="Segoe UI"/>
        </w:rPr>
        <w:t>, comenzaron su desarrollo como parte de las políticas públicas de protección de la salud, especialmente de los grupos más desprotegidos. Dichos programas se han adaptado a las distintas realidades del país, a los cambios epidemiológicos, al aumento de las enfermedades no transmisibles y patologías relacionadas con aspectos nutricionales, conformándose nuevos subprogramas y productos, pero siempre manteniendo como objetivo principal la satisfacción de requerimientos nutricionales y micronutrientes críticos en los distintos grupos de la población. La ejecución de estos programas está regulada por la Norma Técnica Nº 213</w:t>
      </w:r>
      <w:r w:rsidRPr="00CA7320">
        <w:rPr>
          <w:rStyle w:val="Refdenotaalpie"/>
          <w:rFonts w:ascii="Segoe UI" w:hAnsi="Segoe UI" w:cs="Segoe UI"/>
        </w:rPr>
        <w:footnoteReference w:id="17"/>
      </w:r>
      <w:r w:rsidRPr="00CA7320">
        <w:rPr>
          <w:rFonts w:ascii="Segoe UI" w:hAnsi="Segoe UI" w:cs="Segoe UI"/>
        </w:rPr>
        <w:t>, aprobada por el Decreto Exento Nº 36 del 25 de junio de 2021, del Ministerio de Salud, y los documentos que la complementan.</w:t>
      </w:r>
    </w:p>
    <w:p w:rsidR="00D94CB0" w:rsidRPr="00CA7320" w:rsidRDefault="00AD396C" w:rsidP="00CA7320">
      <w:pPr>
        <w:pStyle w:val="Prrafodelista"/>
        <w:autoSpaceDE w:val="0"/>
        <w:autoSpaceDN w:val="0"/>
        <w:adjustRightInd w:val="0"/>
        <w:spacing w:before="160" w:after="160"/>
        <w:ind w:right="-142"/>
        <w:contextualSpacing w:val="0"/>
        <w:jc w:val="both"/>
        <w:rPr>
          <w:rFonts w:ascii="Segoe UI" w:hAnsi="Segoe UI" w:cs="Segoe UI"/>
        </w:rPr>
      </w:pPr>
      <w:r w:rsidRPr="00CA7320">
        <w:rPr>
          <w:rFonts w:ascii="Segoe UI" w:hAnsi="Segoe UI" w:cs="Segoe UI"/>
        </w:rPr>
        <w:t xml:space="preserve">Los programas alimentarios consideran actividades de apoyo nutricional de tipo preventivo y de recuperación, a través de los cuales se distribuyen gratuitamente alimentos destinados a la población infantil, gestantes y madres que amamantan, personas mayores y población con diagnóstico de algún error innato del metabolismo (EIM) y alergia a la proteína de leche de vaca (APLV). </w:t>
      </w:r>
    </w:p>
    <w:p w:rsidR="00AD396C" w:rsidRPr="00CA7320" w:rsidRDefault="00AD396C" w:rsidP="00CA7320">
      <w:pPr>
        <w:pStyle w:val="Prrafodelista"/>
        <w:autoSpaceDE w:val="0"/>
        <w:autoSpaceDN w:val="0"/>
        <w:adjustRightInd w:val="0"/>
        <w:spacing w:before="160" w:after="160"/>
        <w:ind w:right="-142"/>
        <w:contextualSpacing w:val="0"/>
        <w:jc w:val="both"/>
        <w:rPr>
          <w:rFonts w:ascii="Segoe UI" w:hAnsi="Segoe UI" w:cs="Segoe UI"/>
        </w:rPr>
      </w:pPr>
      <w:r w:rsidRPr="00CA7320">
        <w:rPr>
          <w:rFonts w:ascii="Segoe UI" w:hAnsi="Segoe UI" w:cs="Segoe UI"/>
        </w:rPr>
        <w:t>Dichos programas se encuentran íntimamente ligados a acciones de prevención y promoción de la salud, teniendo un alcance en todo el ciclo de vida de la población. La entrega de productos a la población beneficiaria está orientada a ser ejecutada en los establecimientos de nivel primario de la red de atención pública, sin embargo, considerando las particularidades de cada localidad, se han incorporado distribuciones en niveles secundarios de atención de salud. Además, se consideran las instituciones en convenio de acuerdo con las necesidades específicas de algunos subprogramas.</w:t>
      </w:r>
    </w:p>
    <w:p w:rsidR="00AD396C" w:rsidRPr="00CA7320" w:rsidRDefault="00AD396C" w:rsidP="00CA7320">
      <w:pPr>
        <w:spacing w:before="160" w:after="160"/>
        <w:ind w:left="142" w:right="-142" w:firstLine="425"/>
        <w:jc w:val="both"/>
        <w:rPr>
          <w:rFonts w:ascii="Segoe UI" w:hAnsi="Segoe UI" w:cs="Segoe UI"/>
          <w:b/>
          <w:color w:val="000000"/>
        </w:rPr>
      </w:pPr>
    </w:p>
    <w:p w:rsidR="00AD396C" w:rsidRPr="00CA7320" w:rsidRDefault="00AD396C" w:rsidP="00CA7320">
      <w:pPr>
        <w:pStyle w:val="Prrafodelista"/>
        <w:numPr>
          <w:ilvl w:val="0"/>
          <w:numId w:val="12"/>
        </w:numPr>
        <w:autoSpaceDE w:val="0"/>
        <w:autoSpaceDN w:val="0"/>
        <w:adjustRightInd w:val="0"/>
        <w:spacing w:before="160" w:after="160"/>
        <w:ind w:right="-142"/>
        <w:contextualSpacing w:val="0"/>
        <w:jc w:val="both"/>
        <w:rPr>
          <w:rFonts w:ascii="Segoe UI" w:hAnsi="Segoe UI" w:cs="Segoe UI"/>
          <w:color w:val="000000"/>
        </w:rPr>
      </w:pPr>
      <w:r w:rsidRPr="00CA7320">
        <w:rPr>
          <w:rFonts w:ascii="Segoe UI" w:hAnsi="Segoe UI" w:cs="Segoe UI"/>
          <w:color w:val="000000"/>
        </w:rPr>
        <w:t xml:space="preserve">Ley N°20.606 de 2016, del Ministerio de Salud, “Sobre Composición Nutricional de los Alimentos y su Publicidad”. Permite informar </w:t>
      </w:r>
      <w:r w:rsidRPr="00CA7320">
        <w:rPr>
          <w:rFonts w:ascii="Segoe UI" w:hAnsi="Segoe UI" w:cs="Segoe UI"/>
        </w:rPr>
        <w:t>al consumidor sobre los alimentos que consume a través de un rótulo (sellos de advertencia nutricional) para facilitar tanto la comprensión como la restricción, los cambios en la publicidad que se entrega al consumidor menor de 14 años, y la prohibición de la venta de alimentos con sellos al interior de las escuelas. Dicho texto legal es una estrate</w:t>
      </w:r>
      <w:r w:rsidR="00D94CB0" w:rsidRPr="00CA7320">
        <w:rPr>
          <w:rFonts w:ascii="Segoe UI" w:hAnsi="Segoe UI" w:cs="Segoe UI"/>
        </w:rPr>
        <w:t xml:space="preserve">gia que contribuye a enfrentar </w:t>
      </w:r>
      <w:r w:rsidRPr="00CA7320">
        <w:rPr>
          <w:rFonts w:ascii="Segoe UI" w:hAnsi="Segoe UI" w:cs="Segoe UI"/>
        </w:rPr>
        <w:t xml:space="preserve">el incremento de la prevalencia de sobrepeso y obesidad, y por ende de las ENT, tales como diabetes, cardiovasculares, cáncer. </w:t>
      </w:r>
    </w:p>
    <w:p w:rsidR="00AD396C" w:rsidRPr="00CA7320" w:rsidRDefault="00AD396C" w:rsidP="00CA7320">
      <w:pPr>
        <w:pStyle w:val="Default"/>
        <w:numPr>
          <w:ilvl w:val="0"/>
          <w:numId w:val="6"/>
        </w:numPr>
        <w:spacing w:before="160" w:after="160" w:line="276" w:lineRule="auto"/>
        <w:ind w:left="284" w:right="-142" w:hanging="284"/>
        <w:jc w:val="both"/>
        <w:rPr>
          <w:rFonts w:ascii="Segoe UI" w:hAnsi="Segoe UI" w:cs="Segoe UI"/>
          <w:b/>
          <w:sz w:val="22"/>
          <w:szCs w:val="22"/>
          <w:lang w:eastAsia="es-CL"/>
        </w:rPr>
      </w:pPr>
      <w:r w:rsidRPr="00CA7320">
        <w:rPr>
          <w:rFonts w:ascii="Segoe UI" w:hAnsi="Segoe UI" w:cs="Segoe UI"/>
          <w:b/>
          <w:sz w:val="22"/>
          <w:szCs w:val="22"/>
          <w:lang w:eastAsia="es-CL"/>
        </w:rPr>
        <w:t xml:space="preserve">Más allá de las enfermedades no transmisibles relacionadas con la dieta, la alimentación y la nutrición también son relevantes en relación con las enfermedades infecciosas y otras enfermedades. Por ejemplo, los alimentos contaminados pueden provocar enfermedades transmitidas por los alimentos, la mala nutrición puede hacer que las personas sean más susceptibles a las enfermedades infecciosas, y las personas que viven con enfermedades </w:t>
      </w:r>
      <w:r w:rsidRPr="00CA7320">
        <w:rPr>
          <w:rFonts w:ascii="Segoe UI" w:hAnsi="Segoe UI" w:cs="Segoe UI"/>
          <w:b/>
          <w:sz w:val="22"/>
          <w:szCs w:val="22"/>
          <w:lang w:eastAsia="es-US"/>
        </w:rPr>
        <w:t>infecciosas</w:t>
      </w:r>
      <w:r w:rsidRPr="00CA7320">
        <w:rPr>
          <w:rFonts w:ascii="Segoe UI" w:hAnsi="Segoe UI" w:cs="Segoe UI"/>
          <w:b/>
          <w:sz w:val="22"/>
          <w:szCs w:val="22"/>
          <w:lang w:eastAsia="es-CL"/>
        </w:rPr>
        <w:t xml:space="preserve"> y otras enfermedades crónicas pueden tener requisitos dietéticos únicos para la salud. Por favor, describa los retos y progresos realizados en este sentido en su país y/o dentro de su comunidad. </w:t>
      </w:r>
    </w:p>
    <w:p w:rsidR="00AD396C" w:rsidRPr="00CA7320" w:rsidRDefault="00AD396C" w:rsidP="00CA7320">
      <w:pPr>
        <w:spacing w:before="160" w:after="160"/>
        <w:ind w:right="-142"/>
        <w:jc w:val="both"/>
        <w:rPr>
          <w:rFonts w:ascii="Segoe UI" w:hAnsi="Segoe UI" w:cs="Segoe UI"/>
        </w:rPr>
      </w:pPr>
      <w:r w:rsidRPr="00CA7320">
        <w:rPr>
          <w:rFonts w:ascii="Segoe UI" w:hAnsi="Segoe UI" w:cs="Segoe UI"/>
        </w:rPr>
        <w:t>Desde el Ministerio de Salud, la alimentación se aborda desde tres aspectos; nutrición</w:t>
      </w:r>
      <w:r w:rsidR="00D94CB0" w:rsidRPr="00CA7320">
        <w:rPr>
          <w:rFonts w:ascii="Segoe UI" w:hAnsi="Segoe UI" w:cs="Segoe UI"/>
        </w:rPr>
        <w:t>,</w:t>
      </w:r>
      <w:r w:rsidRPr="00CA7320">
        <w:rPr>
          <w:rFonts w:ascii="Segoe UI" w:hAnsi="Segoe UI" w:cs="Segoe UI"/>
        </w:rPr>
        <w:t> seguridad e inocuidad. La inocuidad es la condición basal que deben tener los alimentos, para lo cual se deben considerar los diferentes peligros que pueden traducirse en un riesgo para la población expuesta, como son los peligros biológicos, físicos y químicos, siendo los primeros asociados a enfermedades infecciosas y, los últimos, los químicos, a enfermedades crónicas. Estos peligros se enfrentan desde las funciones de la salud pública:</w:t>
      </w:r>
    </w:p>
    <w:p w:rsidR="00D94CB0" w:rsidRPr="00CA7320" w:rsidRDefault="00AD396C" w:rsidP="00CA7320">
      <w:pPr>
        <w:pStyle w:val="Prrafodelista"/>
        <w:numPr>
          <w:ilvl w:val="0"/>
          <w:numId w:val="12"/>
        </w:numPr>
        <w:spacing w:before="160" w:after="160"/>
        <w:ind w:right="-142"/>
        <w:contextualSpacing w:val="0"/>
        <w:jc w:val="both"/>
        <w:rPr>
          <w:rFonts w:ascii="Segoe UI" w:hAnsi="Segoe UI" w:cs="Segoe UI"/>
        </w:rPr>
      </w:pPr>
      <w:r w:rsidRPr="00CA7320">
        <w:rPr>
          <w:rFonts w:ascii="Segoe UI" w:hAnsi="Segoe UI" w:cs="Segoe UI"/>
        </w:rPr>
        <w:t xml:space="preserve">Regulación. Existe una Comisión de trabajo permanente que mantiene actualizado nuestro marco regulatorio, priorizando las normas del Codex </w:t>
      </w:r>
      <w:proofErr w:type="spellStart"/>
      <w:r w:rsidRPr="00CA7320">
        <w:rPr>
          <w:rFonts w:ascii="Segoe UI" w:hAnsi="Segoe UI" w:cs="Segoe UI"/>
        </w:rPr>
        <w:t>Alimentarius</w:t>
      </w:r>
      <w:proofErr w:type="spellEnd"/>
      <w:r w:rsidRPr="00CA7320">
        <w:rPr>
          <w:rFonts w:ascii="Segoe UI" w:hAnsi="Segoe UI" w:cs="Segoe UI"/>
        </w:rPr>
        <w:t>, para establecer los límites y requisitos ante los diversos peligros.</w:t>
      </w:r>
    </w:p>
    <w:p w:rsidR="00D94CB0" w:rsidRPr="00CA7320" w:rsidRDefault="00AD396C" w:rsidP="00CA7320">
      <w:pPr>
        <w:pStyle w:val="Prrafodelista"/>
        <w:numPr>
          <w:ilvl w:val="0"/>
          <w:numId w:val="12"/>
        </w:numPr>
        <w:spacing w:before="160" w:after="160"/>
        <w:ind w:right="-142"/>
        <w:contextualSpacing w:val="0"/>
        <w:jc w:val="both"/>
        <w:rPr>
          <w:rFonts w:ascii="Segoe UI" w:hAnsi="Segoe UI" w:cs="Segoe UI"/>
        </w:rPr>
      </w:pPr>
      <w:r w:rsidRPr="00CA7320">
        <w:rPr>
          <w:rFonts w:ascii="Segoe UI" w:hAnsi="Segoe UI" w:cs="Segoe UI"/>
        </w:rPr>
        <w:t xml:space="preserve">Vigilancia y fiscalización. Se realizan programas de vigilancia y fiscalización, de cobertura nacional y regional, de peligros biológicos (L. </w:t>
      </w:r>
      <w:proofErr w:type="spellStart"/>
      <w:r w:rsidRPr="00CA7320">
        <w:rPr>
          <w:rFonts w:ascii="Segoe UI" w:hAnsi="Segoe UI" w:cs="Segoe UI"/>
        </w:rPr>
        <w:t>monocytogenes</w:t>
      </w:r>
      <w:proofErr w:type="spellEnd"/>
      <w:r w:rsidRPr="00CA7320">
        <w:rPr>
          <w:rFonts w:ascii="Segoe UI" w:hAnsi="Segoe UI" w:cs="Segoe UI"/>
        </w:rPr>
        <w:t>, S</w:t>
      </w:r>
      <w:r w:rsidRPr="00CA7320">
        <w:rPr>
          <w:rFonts w:ascii="Segoe UI" w:hAnsi="Segoe UI" w:cs="Segoe UI"/>
          <w:bCs/>
        </w:rPr>
        <w:t xml:space="preserve">almonella </w:t>
      </w:r>
      <w:proofErr w:type="spellStart"/>
      <w:r w:rsidRPr="00CA7320">
        <w:rPr>
          <w:rFonts w:ascii="Segoe UI" w:hAnsi="Segoe UI" w:cs="Segoe UI"/>
          <w:bCs/>
        </w:rPr>
        <w:t>spp</w:t>
      </w:r>
      <w:proofErr w:type="spellEnd"/>
      <w:r w:rsidRPr="00CA7320">
        <w:rPr>
          <w:rFonts w:ascii="Segoe UI" w:hAnsi="Segoe UI" w:cs="Segoe UI"/>
          <w:bCs/>
        </w:rPr>
        <w:t xml:space="preserve">, E. </w:t>
      </w:r>
      <w:proofErr w:type="spellStart"/>
      <w:r w:rsidRPr="00CA7320">
        <w:rPr>
          <w:rFonts w:ascii="Segoe UI" w:hAnsi="Segoe UI" w:cs="Segoe UI"/>
          <w:bCs/>
        </w:rPr>
        <w:t>coli</w:t>
      </w:r>
      <w:proofErr w:type="spellEnd"/>
      <w:r w:rsidRPr="00CA7320">
        <w:rPr>
          <w:rFonts w:ascii="Segoe UI" w:hAnsi="Segoe UI" w:cs="Segoe UI"/>
          <w:bCs/>
        </w:rPr>
        <w:t xml:space="preserve"> STEC</w:t>
      </w:r>
      <w:r w:rsidRPr="00CA7320">
        <w:rPr>
          <w:rFonts w:ascii="Segoe UI" w:hAnsi="Segoe UI" w:cs="Segoe UI"/>
        </w:rPr>
        <w:t xml:space="preserve">), físicos y químicos, incluyendo residuos (plaguicidas, medicamentos veterinarios), contaminantes (metales, dioxinas, </w:t>
      </w:r>
      <w:proofErr w:type="spellStart"/>
      <w:r w:rsidRPr="00CA7320">
        <w:rPr>
          <w:rFonts w:ascii="Segoe UI" w:hAnsi="Segoe UI" w:cs="Segoe UI"/>
        </w:rPr>
        <w:t>micotoxinas</w:t>
      </w:r>
      <w:proofErr w:type="spellEnd"/>
      <w:r w:rsidRPr="00CA7320">
        <w:rPr>
          <w:rFonts w:ascii="Segoe UI" w:hAnsi="Segoe UI" w:cs="Segoe UI"/>
        </w:rPr>
        <w:t>) y aditivos.</w:t>
      </w:r>
    </w:p>
    <w:p w:rsidR="00AD396C" w:rsidRPr="00CA7320" w:rsidRDefault="00AD396C" w:rsidP="00CA7320">
      <w:pPr>
        <w:pStyle w:val="Prrafodelista"/>
        <w:numPr>
          <w:ilvl w:val="0"/>
          <w:numId w:val="12"/>
        </w:numPr>
        <w:spacing w:before="160" w:after="160"/>
        <w:ind w:right="-142"/>
        <w:contextualSpacing w:val="0"/>
        <w:jc w:val="both"/>
        <w:rPr>
          <w:rFonts w:ascii="Segoe UI" w:hAnsi="Segoe UI" w:cs="Segoe UI"/>
        </w:rPr>
      </w:pPr>
      <w:r w:rsidRPr="00CA7320">
        <w:rPr>
          <w:rFonts w:ascii="Segoe UI" w:hAnsi="Segoe UI" w:cs="Segoe UI"/>
        </w:rPr>
        <w:t xml:space="preserve">Promoción. Se elabora material de difusión, se realizan campañas en diversos medios de comunicación, se capacita a los profesionales y técnicos a cargo de la inocuidad a nivel regional, como también se realizan seminarios y talleres para la población general. </w:t>
      </w:r>
    </w:p>
    <w:p w:rsidR="00D94CB0" w:rsidRPr="00CA7320" w:rsidRDefault="00D94CB0" w:rsidP="00CA7320">
      <w:pPr>
        <w:pStyle w:val="Default"/>
        <w:spacing w:before="160" w:after="160" w:line="276" w:lineRule="auto"/>
        <w:ind w:right="-142"/>
        <w:jc w:val="both"/>
        <w:rPr>
          <w:rFonts w:ascii="Segoe UI" w:hAnsi="Segoe UI" w:cs="Segoe UI"/>
          <w:color w:val="auto"/>
          <w:sz w:val="22"/>
          <w:szCs w:val="22"/>
        </w:rPr>
      </w:pPr>
    </w:p>
    <w:p w:rsidR="00AD396C" w:rsidRPr="00CA7320" w:rsidRDefault="00AD396C" w:rsidP="00CA7320">
      <w:pPr>
        <w:pStyle w:val="Default"/>
        <w:spacing w:before="160" w:after="160" w:line="276" w:lineRule="auto"/>
        <w:ind w:right="-142"/>
        <w:jc w:val="both"/>
        <w:rPr>
          <w:rFonts w:ascii="Segoe UI" w:hAnsi="Segoe UI" w:cs="Segoe UI"/>
          <w:color w:val="auto"/>
          <w:sz w:val="22"/>
          <w:szCs w:val="22"/>
        </w:rPr>
      </w:pPr>
      <w:r w:rsidRPr="00CA7320">
        <w:rPr>
          <w:rFonts w:ascii="Segoe UI" w:hAnsi="Segoe UI" w:cs="Segoe UI"/>
          <w:color w:val="auto"/>
          <w:sz w:val="22"/>
          <w:szCs w:val="22"/>
        </w:rPr>
        <w:lastRenderedPageBreak/>
        <w:t>En estos campos existen progresos, como es la estandarización de los procedimientos de autorización de los establecimientos de alimentos y la inspección con enfoque de riesgos, a través de la Norma ISO 9000:2015; la digitalización de estos procedimientos y otros como los de importación de alimentos; el desarrollo de una red de laboratorios de alimentos a lo largo del país; la dotación de profesionales capacitados para la gestión de riesgos en los organismos de control a nivel local; y la existencia de protocolos de retiro de alimentos del mercado cuando estos representan un riesgo no controlado para la salud de la población.</w:t>
      </w:r>
    </w:p>
    <w:p w:rsidR="00AD396C" w:rsidRPr="00CA7320" w:rsidRDefault="00AD396C" w:rsidP="00CA7320">
      <w:pPr>
        <w:pStyle w:val="Default"/>
        <w:spacing w:before="160" w:after="160" w:line="276" w:lineRule="auto"/>
        <w:ind w:right="-142"/>
        <w:jc w:val="both"/>
        <w:rPr>
          <w:rFonts w:ascii="Segoe UI" w:hAnsi="Segoe UI" w:cs="Segoe UI"/>
          <w:color w:val="auto"/>
          <w:sz w:val="22"/>
          <w:szCs w:val="22"/>
        </w:rPr>
      </w:pPr>
      <w:r w:rsidRPr="00CA7320">
        <w:rPr>
          <w:rFonts w:ascii="Segoe UI" w:hAnsi="Segoe UI" w:cs="Segoe UI"/>
          <w:color w:val="auto"/>
          <w:sz w:val="22"/>
          <w:szCs w:val="22"/>
        </w:rPr>
        <w:t>Por otra parte, como retos o desafíos, y en relación a las Enfermedades Transmisibles por los Alimentos (ETA), se puede mencionar que se consideran aspectos relacionados con el mejoramiento de la identificación de los agentes causantes de enfermedad en los casos clínicos y en los alimentos; y el mejoramiento en la identificación de brotes y casos clínicos y su asociación con las fuentes, mediante técnicas moleculares. Asimismo, y en relación a la gestión, es necesario mejorar las capacidades de fiscalización de los establecimientos, aumentando la cobertura de establecimientos de alimentos autorizados; y fortaleciendo los sistemas de control de los alimentos importados.</w:t>
      </w:r>
    </w:p>
    <w:p w:rsidR="00D94CB0" w:rsidRPr="00CA7320" w:rsidRDefault="00D94CB0" w:rsidP="00CA7320">
      <w:pPr>
        <w:pStyle w:val="Default"/>
        <w:spacing w:before="160" w:after="160" w:line="276" w:lineRule="auto"/>
        <w:ind w:right="-142"/>
        <w:jc w:val="both"/>
        <w:rPr>
          <w:rFonts w:ascii="Segoe UI" w:hAnsi="Segoe UI" w:cs="Segoe UI"/>
          <w:color w:val="auto"/>
          <w:sz w:val="22"/>
          <w:szCs w:val="22"/>
          <w:lang w:val="es"/>
        </w:rPr>
      </w:pPr>
      <w:r w:rsidRPr="00CA7320">
        <w:rPr>
          <w:rFonts w:ascii="Segoe UI" w:hAnsi="Segoe UI" w:cs="Segoe UI"/>
          <w:color w:val="auto"/>
          <w:sz w:val="22"/>
          <w:szCs w:val="22"/>
          <w:lang w:val="es"/>
        </w:rPr>
        <w:t>Por otra parte, en relación con los alimentos contaminados, el Servicio Agrícola y Ganadero (SAG) dispone de una regulación definida para la aplicación de pesticidas con el objetivo de proteger la salud de las personas y el medio ambiente.</w:t>
      </w:r>
      <w:r w:rsidR="00CA7320" w:rsidRPr="00CA7320">
        <w:rPr>
          <w:rStyle w:val="Refdenotaalpie"/>
          <w:rFonts w:ascii="Segoe UI" w:hAnsi="Segoe UI" w:cs="Segoe UI"/>
          <w:color w:val="auto"/>
          <w:sz w:val="22"/>
          <w:szCs w:val="22"/>
          <w:lang w:val="es"/>
        </w:rPr>
        <w:footnoteReference w:id="18"/>
      </w:r>
      <w:r w:rsidRPr="00CA7320">
        <w:rPr>
          <w:rFonts w:ascii="Segoe UI" w:hAnsi="Segoe UI" w:cs="Segoe UI"/>
          <w:color w:val="auto"/>
          <w:sz w:val="22"/>
          <w:szCs w:val="22"/>
          <w:lang w:val="es"/>
        </w:rPr>
        <w:t xml:space="preserve"> Entre algunas de las regulaciones que existen, se encuentra el periodo de carencia, que es el tiempo que debe transcurrir entre la última aplicación de plaguicidas y la cosecha para el uso o consumo del producto agrícola, considerando la interrelación cultivo/producto. El SAG lleva a cabo el monitoreo y evaluación de los niveles de pesticidas en alimentos y agua para garantizar que no se excedan los límites establecidos por la ley.</w:t>
      </w:r>
    </w:p>
    <w:p w:rsidR="00D94CB0" w:rsidRPr="00CA7320" w:rsidRDefault="00D94CB0" w:rsidP="00CA7320">
      <w:pPr>
        <w:pStyle w:val="Default"/>
        <w:spacing w:before="160" w:after="160" w:line="276" w:lineRule="auto"/>
        <w:ind w:right="-142"/>
        <w:jc w:val="both"/>
        <w:rPr>
          <w:rFonts w:ascii="Segoe UI" w:hAnsi="Segoe UI" w:cs="Segoe UI"/>
          <w:color w:val="auto"/>
          <w:sz w:val="22"/>
          <w:szCs w:val="22"/>
          <w:lang w:val="es"/>
        </w:rPr>
      </w:pPr>
      <w:r w:rsidRPr="00CA7320">
        <w:rPr>
          <w:rFonts w:ascii="Segoe UI" w:hAnsi="Segoe UI" w:cs="Segoe UI"/>
          <w:color w:val="auto"/>
          <w:sz w:val="22"/>
          <w:szCs w:val="22"/>
          <w:lang w:val="es"/>
        </w:rPr>
        <w:t xml:space="preserve">En cuanto a la producción pecuaria, el SAG </w:t>
      </w:r>
      <w:r w:rsidR="00CA7320" w:rsidRPr="00CA7320">
        <w:rPr>
          <w:rFonts w:ascii="Segoe UI" w:hAnsi="Segoe UI" w:cs="Segoe UI"/>
          <w:color w:val="auto"/>
          <w:sz w:val="22"/>
          <w:szCs w:val="22"/>
          <w:lang w:val="es"/>
        </w:rPr>
        <w:t>está</w:t>
      </w:r>
      <w:r w:rsidRPr="00CA7320">
        <w:rPr>
          <w:rFonts w:ascii="Segoe UI" w:hAnsi="Segoe UI" w:cs="Segoe UI"/>
          <w:color w:val="auto"/>
          <w:sz w:val="22"/>
          <w:szCs w:val="22"/>
          <w:lang w:val="es"/>
        </w:rPr>
        <w:t xml:space="preserve"> encargado de prevenir y controlar enfermedades animales en el país, realizando vigilancia, control y fiscalización de los establecimientos de producción animal y teniendo como facultad implementar medidas de emergencia para el control de enfermedades. Junto con lo anterior, esta institución está encargada de establecer los requisitos sanitarios para la importación y exportación de animales y productos de origen animal.</w:t>
      </w:r>
    </w:p>
    <w:p w:rsidR="00D94CB0" w:rsidRPr="00CA7320" w:rsidRDefault="00CA7320" w:rsidP="00CA7320">
      <w:pPr>
        <w:pStyle w:val="Default"/>
        <w:spacing w:before="160" w:after="160" w:line="276" w:lineRule="auto"/>
        <w:ind w:right="-142"/>
        <w:jc w:val="both"/>
        <w:rPr>
          <w:rFonts w:ascii="Segoe UI" w:hAnsi="Segoe UI" w:cs="Segoe UI"/>
          <w:color w:val="auto"/>
          <w:sz w:val="22"/>
          <w:szCs w:val="22"/>
          <w:lang w:val="es"/>
        </w:rPr>
      </w:pPr>
      <w:r w:rsidRPr="00CA7320">
        <w:rPr>
          <w:rFonts w:ascii="Segoe UI" w:hAnsi="Segoe UI" w:cs="Segoe UI"/>
          <w:color w:val="auto"/>
          <w:sz w:val="22"/>
          <w:szCs w:val="22"/>
          <w:lang w:val="es"/>
        </w:rPr>
        <w:lastRenderedPageBreak/>
        <w:t xml:space="preserve">Finalmente, </w:t>
      </w:r>
      <w:r w:rsidR="00D94CB0" w:rsidRPr="00CA7320">
        <w:rPr>
          <w:rFonts w:ascii="Segoe UI" w:hAnsi="Segoe UI" w:cs="Segoe UI"/>
          <w:color w:val="auto"/>
          <w:sz w:val="22"/>
          <w:szCs w:val="22"/>
          <w:lang w:val="es"/>
        </w:rPr>
        <w:t>la Agencia Chilena para la Calidad e Inocuidad Alimentaria (ACHIPIA)</w:t>
      </w:r>
      <w:r w:rsidR="00D94CB0" w:rsidRPr="00CA7320">
        <w:rPr>
          <w:rStyle w:val="Refdenotaalpie"/>
          <w:rFonts w:ascii="Segoe UI" w:hAnsi="Segoe UI" w:cs="Segoe UI"/>
          <w:color w:val="auto"/>
          <w:sz w:val="22"/>
          <w:szCs w:val="22"/>
          <w:lang w:val="es"/>
        </w:rPr>
        <w:footnoteReference w:id="19"/>
      </w:r>
      <w:r w:rsidR="00D94CB0" w:rsidRPr="00CA7320">
        <w:rPr>
          <w:rFonts w:ascii="Segoe UI" w:hAnsi="Segoe UI" w:cs="Segoe UI"/>
          <w:color w:val="auto"/>
          <w:sz w:val="22"/>
          <w:szCs w:val="22"/>
          <w:lang w:val="es"/>
        </w:rPr>
        <w:t xml:space="preserve"> tiene como objetivo coordinar y conducir el Sistema Nacional de Inocuidad y Calidad Alimentaria, coordinando a todos los actores que participan de la cadena de los alimentos, con el objeto de disminuir los riesgos y peligros para la salud humana en cualquier eslabón de esta cadena.</w:t>
      </w:r>
    </w:p>
    <w:p w:rsidR="00D94CB0" w:rsidRPr="00CA7320" w:rsidRDefault="00D94CB0" w:rsidP="00CA7320">
      <w:pPr>
        <w:pStyle w:val="Default"/>
        <w:spacing w:before="160" w:after="160" w:line="276" w:lineRule="auto"/>
        <w:ind w:right="-142"/>
        <w:jc w:val="both"/>
        <w:rPr>
          <w:rFonts w:ascii="Segoe UI" w:hAnsi="Segoe UI" w:cs="Segoe UI"/>
          <w:color w:val="auto"/>
          <w:sz w:val="22"/>
          <w:szCs w:val="22"/>
          <w:lang w:val="es"/>
        </w:rPr>
      </w:pPr>
      <w:r w:rsidRPr="00CA7320">
        <w:rPr>
          <w:rFonts w:ascii="Segoe UI" w:hAnsi="Segoe UI" w:cs="Segoe UI"/>
          <w:color w:val="auto"/>
          <w:sz w:val="22"/>
          <w:szCs w:val="22"/>
          <w:lang w:val="es"/>
        </w:rPr>
        <w:t>Esta institución se vincula con el sistema de fomento productivo y de investigación y desarrollo (I+D) para facilitar la gestión de los riesgos y peligros de inocuidad alimentaria en las cadenas productivas y territorios, a través de la instalación de las variables inocuidad y calidad en sus políticas, planes y programas. ACHIPIA informa la opinión pública sobre los riesgos y las medidas preventivas que deben adoptarse para proteger la salud, apoyando un cambio conductual en materia de alimentación segura y saludable y en el apoyo al desarrollo de capacidades a los intermediarios de productos alimentarios a los productores y al mundo científico, considerando plataformas diferenciadas para cada eslabón de la cadena.</w:t>
      </w:r>
    </w:p>
    <w:p w:rsidR="00AD396C" w:rsidRPr="00CA7320" w:rsidRDefault="00AD396C" w:rsidP="00CA7320">
      <w:pPr>
        <w:pStyle w:val="Default"/>
        <w:numPr>
          <w:ilvl w:val="0"/>
          <w:numId w:val="6"/>
        </w:numPr>
        <w:spacing w:before="160" w:after="160" w:line="276" w:lineRule="auto"/>
        <w:ind w:left="284" w:right="-142" w:hanging="284"/>
        <w:jc w:val="both"/>
        <w:rPr>
          <w:rFonts w:ascii="Segoe UI" w:hAnsi="Segoe UI" w:cs="Segoe UI"/>
          <w:b/>
          <w:sz w:val="22"/>
          <w:szCs w:val="22"/>
          <w:lang w:eastAsia="es-CL"/>
        </w:rPr>
      </w:pPr>
      <w:r w:rsidRPr="00CA7320">
        <w:rPr>
          <w:rFonts w:ascii="Segoe UI" w:hAnsi="Segoe UI" w:cs="Segoe UI"/>
          <w:b/>
          <w:sz w:val="22"/>
          <w:szCs w:val="22"/>
          <w:lang w:eastAsia="es-CL"/>
        </w:rPr>
        <w:t>Los enfoques multisectoriales de la alimentación y la nutrición suelen verse afectados por asimetrías de poder que excluyen a las personas y comunidades en situación de vulnerabilidad.</w:t>
      </w:r>
    </w:p>
    <w:p w:rsidR="00AD396C" w:rsidRPr="00CA7320" w:rsidRDefault="00AD396C" w:rsidP="00CA7320">
      <w:pPr>
        <w:pStyle w:val="Default"/>
        <w:numPr>
          <w:ilvl w:val="1"/>
          <w:numId w:val="6"/>
        </w:numPr>
        <w:spacing w:before="160" w:after="160" w:line="276" w:lineRule="auto"/>
        <w:ind w:left="709" w:hanging="567"/>
        <w:jc w:val="both"/>
        <w:rPr>
          <w:rFonts w:ascii="Segoe UI" w:hAnsi="Segoe UI" w:cs="Segoe UI"/>
          <w:b/>
          <w:sz w:val="22"/>
          <w:szCs w:val="22"/>
          <w:lang w:eastAsia="es-CL"/>
        </w:rPr>
      </w:pPr>
      <w:r w:rsidRPr="00CA7320">
        <w:rPr>
          <w:rFonts w:ascii="Segoe UI" w:hAnsi="Segoe UI" w:cs="Segoe UI"/>
          <w:b/>
          <w:sz w:val="22"/>
          <w:szCs w:val="22"/>
          <w:lang w:eastAsia="es-CL"/>
        </w:rPr>
        <w:t xml:space="preserve">Sírvase proporcionar ejemplos concretos de los obstáculos y las oportunidades que tienen estas personas o comunidades, como los pueblos indígenas, las mujeres, los niños y los migrantes, para participar en los procesos nacionales y/o internacionales de formulación de políticas relativas a la alimentación y la nutrición, incluido sobre el proceso de participación. </w:t>
      </w:r>
    </w:p>
    <w:p w:rsidR="00AD396C" w:rsidRPr="00CA7320" w:rsidRDefault="00AD396C" w:rsidP="00CA7320">
      <w:pPr>
        <w:pStyle w:val="Default"/>
        <w:spacing w:before="160" w:after="160" w:line="276" w:lineRule="auto"/>
        <w:ind w:right="-142"/>
        <w:jc w:val="both"/>
        <w:rPr>
          <w:rFonts w:ascii="Segoe UI" w:hAnsi="Segoe UI" w:cs="Segoe UI"/>
          <w:b/>
          <w:sz w:val="22"/>
          <w:szCs w:val="22"/>
          <w:lang w:eastAsia="es-CL"/>
        </w:rPr>
      </w:pPr>
      <w:r w:rsidRPr="00CA7320">
        <w:rPr>
          <w:rFonts w:ascii="Segoe UI" w:hAnsi="Segoe UI" w:cs="Segoe UI"/>
          <w:sz w:val="22"/>
          <w:szCs w:val="22"/>
        </w:rPr>
        <w:t>Existe una falta de fortalecimiento de las instancias y los mecanismos de participación indígena y de personas migrantes, para que tengan un carácter más incidente en la formulación de políticas públicas relativas a la alimentación y la nutrición.</w:t>
      </w:r>
    </w:p>
    <w:p w:rsidR="00AD396C" w:rsidRPr="00CA7320" w:rsidRDefault="00AD396C" w:rsidP="00CA7320">
      <w:pPr>
        <w:pStyle w:val="Default"/>
        <w:numPr>
          <w:ilvl w:val="1"/>
          <w:numId w:val="6"/>
        </w:numPr>
        <w:spacing w:before="160" w:after="160" w:line="276" w:lineRule="auto"/>
        <w:ind w:left="709" w:hanging="567"/>
        <w:jc w:val="both"/>
        <w:rPr>
          <w:rFonts w:ascii="Segoe UI" w:hAnsi="Segoe UI" w:cs="Segoe UI"/>
          <w:b/>
          <w:sz w:val="22"/>
          <w:szCs w:val="22"/>
          <w:lang w:eastAsia="es-CL"/>
        </w:rPr>
      </w:pPr>
      <w:r w:rsidRPr="00CA7320">
        <w:rPr>
          <w:rFonts w:ascii="Segoe UI" w:hAnsi="Segoe UI" w:cs="Segoe UI"/>
          <w:b/>
          <w:sz w:val="22"/>
          <w:szCs w:val="22"/>
          <w:lang w:eastAsia="es-CL"/>
        </w:rPr>
        <w:t xml:space="preserve">¿Qué medidas proactivas o buenas prácticas puede informar sobre las adoptadas por el Estado para participar en actividades destinadas a fortalecer el acceso de las personas a los recursos para la seguridad alimentaria y su utilización a este respecto? </w:t>
      </w:r>
    </w:p>
    <w:p w:rsidR="00AD396C" w:rsidRPr="00CA7320" w:rsidRDefault="00AD396C" w:rsidP="00CA7320">
      <w:pPr>
        <w:pStyle w:val="Default"/>
        <w:spacing w:before="160" w:after="160" w:line="276" w:lineRule="auto"/>
        <w:ind w:right="-142"/>
        <w:jc w:val="both"/>
        <w:rPr>
          <w:rFonts w:ascii="Segoe UI" w:hAnsi="Segoe UI" w:cs="Segoe UI"/>
          <w:sz w:val="22"/>
          <w:szCs w:val="22"/>
        </w:rPr>
      </w:pPr>
      <w:r w:rsidRPr="00CA7320">
        <w:rPr>
          <w:rFonts w:ascii="Segoe UI" w:hAnsi="Segoe UI" w:cs="Segoe UI"/>
          <w:sz w:val="22"/>
          <w:szCs w:val="22"/>
        </w:rPr>
        <w:t xml:space="preserve">Se puede informar que se han desarrollado estudios de sistematización sobre patrones y prácticas alimentarias saludables de los pueblos indígenas de Chile, y para la elaboración de </w:t>
      </w:r>
      <w:r w:rsidRPr="00CA7320">
        <w:rPr>
          <w:rFonts w:ascii="Segoe UI" w:hAnsi="Segoe UI" w:cs="Segoe UI"/>
          <w:sz w:val="22"/>
          <w:szCs w:val="22"/>
        </w:rPr>
        <w:lastRenderedPageBreak/>
        <w:t xml:space="preserve">una guía técnica para la alimentación saludable desde los </w:t>
      </w:r>
      <w:proofErr w:type="spellStart"/>
      <w:r w:rsidRPr="00CA7320">
        <w:rPr>
          <w:rFonts w:ascii="Segoe UI" w:hAnsi="Segoe UI" w:cs="Segoe UI"/>
          <w:sz w:val="22"/>
          <w:szCs w:val="22"/>
        </w:rPr>
        <w:t>agroecosistemas</w:t>
      </w:r>
      <w:proofErr w:type="spellEnd"/>
      <w:r w:rsidRPr="00CA7320">
        <w:rPr>
          <w:rFonts w:ascii="Segoe UI" w:hAnsi="Segoe UI" w:cs="Segoe UI"/>
          <w:sz w:val="22"/>
          <w:szCs w:val="22"/>
        </w:rPr>
        <w:t xml:space="preserve"> de los pueblos indígenas.</w:t>
      </w:r>
    </w:p>
    <w:p w:rsidR="00AD396C" w:rsidRPr="00CA7320" w:rsidRDefault="00AD396C" w:rsidP="00CA7320">
      <w:pPr>
        <w:pStyle w:val="Default"/>
        <w:spacing w:before="160" w:after="160" w:line="276" w:lineRule="auto"/>
        <w:ind w:right="-142"/>
        <w:jc w:val="both"/>
        <w:rPr>
          <w:rFonts w:ascii="Segoe UI" w:hAnsi="Segoe UI" w:cs="Segoe UI"/>
          <w:color w:val="auto"/>
          <w:sz w:val="22"/>
          <w:szCs w:val="22"/>
        </w:rPr>
      </w:pPr>
      <w:r w:rsidRPr="00CA7320">
        <w:rPr>
          <w:rFonts w:ascii="Segoe UI" w:hAnsi="Segoe UI" w:cs="Segoe UI"/>
          <w:color w:val="auto"/>
          <w:sz w:val="22"/>
          <w:szCs w:val="22"/>
        </w:rPr>
        <w:t xml:space="preserve">En cuanto a medidas proactivas o buenas prácticas adoptadas por el Estado destinadas a fortalecer </w:t>
      </w:r>
      <w:r w:rsidR="00CA7320" w:rsidRPr="00CA7320">
        <w:rPr>
          <w:rFonts w:ascii="Segoe UI" w:hAnsi="Segoe UI" w:cs="Segoe UI"/>
          <w:color w:val="auto"/>
          <w:sz w:val="22"/>
          <w:szCs w:val="22"/>
        </w:rPr>
        <w:t xml:space="preserve">el acceso </w:t>
      </w:r>
      <w:r w:rsidRPr="00CA7320">
        <w:rPr>
          <w:rFonts w:ascii="Segoe UI" w:hAnsi="Segoe UI" w:cs="Segoe UI"/>
          <w:color w:val="auto"/>
          <w:sz w:val="22"/>
          <w:szCs w:val="22"/>
        </w:rPr>
        <w:t>a los alimentos, se pueden mencionar algunos programas que contemplan situaciones de emergencia:</w:t>
      </w:r>
    </w:p>
    <w:p w:rsidR="00CA7320" w:rsidRPr="00CA7320" w:rsidRDefault="00CA7320" w:rsidP="00CA7320">
      <w:pPr>
        <w:pStyle w:val="Default"/>
        <w:numPr>
          <w:ilvl w:val="0"/>
          <w:numId w:val="13"/>
        </w:numPr>
        <w:adjustRightInd w:val="0"/>
        <w:spacing w:before="160" w:after="160" w:line="276" w:lineRule="auto"/>
        <w:ind w:right="-142"/>
        <w:jc w:val="both"/>
        <w:rPr>
          <w:rFonts w:ascii="Segoe UI" w:hAnsi="Segoe UI" w:cs="Segoe UI"/>
          <w:color w:val="auto"/>
          <w:sz w:val="22"/>
          <w:szCs w:val="22"/>
        </w:rPr>
      </w:pPr>
      <w:r w:rsidRPr="00CA7320">
        <w:rPr>
          <w:rFonts w:ascii="Segoe UI" w:hAnsi="Segoe UI" w:cs="Segoe UI"/>
          <w:color w:val="auto"/>
          <w:sz w:val="22"/>
          <w:szCs w:val="22"/>
        </w:rPr>
        <w:t xml:space="preserve">Los </w:t>
      </w:r>
      <w:r w:rsidR="00AD396C" w:rsidRPr="00CA7320">
        <w:rPr>
          <w:rFonts w:ascii="Segoe UI" w:hAnsi="Segoe UI" w:cs="Segoe UI"/>
          <w:color w:val="auto"/>
          <w:sz w:val="22"/>
          <w:szCs w:val="22"/>
        </w:rPr>
        <w:t>Programas Alimentarios (PNAC –PACAM) mantienen la distribución de alimentos en situaciones de catástrofes (terremotos, tsunamis, incendios, erupciones volcánicas). Durante la pandemia por COVID-19, se adoptaron planes de contingencia en donde se entregaron los productos disponibles en la canasta de los Programas Alimentarios, flexibilizando los requisitos y las fechas de entrega. Además, algunos centros de salud tomaron la decisión local de entregar a sus beneficiarios los productos a domicilio</w:t>
      </w:r>
      <w:r w:rsidR="00AD396C" w:rsidRPr="00CA7320">
        <w:rPr>
          <w:rStyle w:val="Refdenotaalpie"/>
          <w:rFonts w:ascii="Segoe UI" w:hAnsi="Segoe UI" w:cs="Segoe UI"/>
          <w:color w:val="auto"/>
          <w:sz w:val="22"/>
          <w:szCs w:val="22"/>
        </w:rPr>
        <w:footnoteReference w:id="20"/>
      </w:r>
      <w:r w:rsidR="00AD396C" w:rsidRPr="00CA7320">
        <w:rPr>
          <w:rFonts w:ascii="Segoe UI" w:hAnsi="Segoe UI" w:cs="Segoe UI"/>
          <w:color w:val="auto"/>
          <w:sz w:val="22"/>
          <w:szCs w:val="22"/>
        </w:rPr>
        <w:t>.</w:t>
      </w:r>
    </w:p>
    <w:p w:rsidR="00CA7320" w:rsidRPr="00CA7320" w:rsidRDefault="00AD396C" w:rsidP="00CA7320">
      <w:pPr>
        <w:pStyle w:val="Default"/>
        <w:numPr>
          <w:ilvl w:val="0"/>
          <w:numId w:val="13"/>
        </w:numPr>
        <w:adjustRightInd w:val="0"/>
        <w:spacing w:before="160" w:after="160" w:line="276" w:lineRule="auto"/>
        <w:ind w:right="-142"/>
        <w:jc w:val="both"/>
        <w:rPr>
          <w:rFonts w:ascii="Segoe UI" w:hAnsi="Segoe UI" w:cs="Segoe UI"/>
          <w:color w:val="auto"/>
          <w:sz w:val="22"/>
          <w:szCs w:val="22"/>
        </w:rPr>
      </w:pPr>
      <w:r w:rsidRPr="00CA7320">
        <w:rPr>
          <w:rFonts w:ascii="Segoe UI" w:hAnsi="Segoe UI" w:cs="Segoe UI"/>
          <w:color w:val="auto"/>
          <w:sz w:val="22"/>
          <w:szCs w:val="22"/>
        </w:rPr>
        <w:t>La Junta Nacional de Auxilio Escolar y Becas (JUNAEB) del Ministerio de Educación (MINEDUC), mediante Resolución Afecta N°21, entregó “canastas alimentarias” compuestas de alimentos no perecibles, frutas, verduras y huevos, las cuales cubrían el 40% de los requerimientos de los niños de pre kínder (4 años), kínder (5 años), nivel básico (6 años a 14 años) y medio (15 o más años) para un periodo de 15 días. La entrega de las canastas se realizó cada 3 semanas en los establecimientos educacionales o en otros lugares de distribución. Desde marzo 2020 a abril 2021 se entregaron 27 millones de canastas, beneficiándose 12.641 establecimientos educacionales</w:t>
      </w:r>
      <w:r w:rsidRPr="00CA7320">
        <w:rPr>
          <w:rStyle w:val="Refdenotaalpie"/>
          <w:rFonts w:ascii="Segoe UI" w:hAnsi="Segoe UI" w:cs="Segoe UI"/>
          <w:color w:val="auto"/>
          <w:sz w:val="22"/>
          <w:szCs w:val="22"/>
        </w:rPr>
        <w:footnoteReference w:id="21"/>
      </w:r>
      <w:r w:rsidRPr="00CA7320">
        <w:rPr>
          <w:rFonts w:ascii="Segoe UI" w:hAnsi="Segoe UI" w:cs="Segoe UI"/>
          <w:color w:val="auto"/>
          <w:sz w:val="22"/>
          <w:szCs w:val="22"/>
        </w:rPr>
        <w:t>.</w:t>
      </w:r>
    </w:p>
    <w:p w:rsidR="00AD396C" w:rsidRPr="00CA7320" w:rsidRDefault="00AD396C" w:rsidP="00CA7320">
      <w:pPr>
        <w:pStyle w:val="Default"/>
        <w:numPr>
          <w:ilvl w:val="0"/>
          <w:numId w:val="13"/>
        </w:numPr>
        <w:adjustRightInd w:val="0"/>
        <w:spacing w:before="160" w:after="160" w:line="276" w:lineRule="auto"/>
        <w:ind w:right="-142"/>
        <w:jc w:val="both"/>
        <w:rPr>
          <w:rFonts w:ascii="Segoe UI" w:hAnsi="Segoe UI" w:cs="Segoe UI"/>
          <w:color w:val="auto"/>
          <w:sz w:val="22"/>
          <w:szCs w:val="22"/>
        </w:rPr>
      </w:pPr>
      <w:r w:rsidRPr="00CA7320">
        <w:rPr>
          <w:rFonts w:ascii="Segoe UI" w:hAnsi="Segoe UI" w:cs="Segoe UI"/>
          <w:color w:val="auto"/>
          <w:sz w:val="22"/>
          <w:szCs w:val="22"/>
        </w:rPr>
        <w:t>Finalmente, la beca de Alimentación para Estudiantes de Educación Superior (BAES)</w:t>
      </w:r>
      <w:r w:rsidRPr="00CA7320">
        <w:rPr>
          <w:rStyle w:val="Refdenotaalpie"/>
          <w:rFonts w:ascii="Segoe UI" w:hAnsi="Segoe UI" w:cs="Segoe UI"/>
          <w:color w:val="auto"/>
          <w:sz w:val="22"/>
          <w:szCs w:val="22"/>
        </w:rPr>
        <w:footnoteReference w:id="22"/>
      </w:r>
      <w:r w:rsidRPr="00CA7320">
        <w:rPr>
          <w:rFonts w:ascii="Segoe UI" w:hAnsi="Segoe UI" w:cs="Segoe UI"/>
          <w:color w:val="auto"/>
          <w:sz w:val="22"/>
          <w:szCs w:val="22"/>
        </w:rPr>
        <w:t xml:space="preserve"> de MINEDUC mantuvo su funcionamiento durante la pandemia por COVID-19, brindando apoyo en dinero para el estudiante, entregado a través de una tarjeta electrónica para ser utilizada en una red de locales especializados en la venta de alimentos y supermercados.</w:t>
      </w:r>
    </w:p>
    <w:p w:rsidR="00CA7320" w:rsidRPr="00CA7320" w:rsidRDefault="00CA7320" w:rsidP="00CA7320">
      <w:pPr>
        <w:spacing w:before="160" w:after="160"/>
        <w:jc w:val="both"/>
        <w:rPr>
          <w:rFonts w:ascii="Segoe UI" w:eastAsia="Times New Roman" w:hAnsi="Segoe UI" w:cs="Segoe UI"/>
        </w:rPr>
      </w:pPr>
      <w:r w:rsidRPr="00CA7320">
        <w:rPr>
          <w:rFonts w:ascii="Segoe UI" w:eastAsia="Times New Roman" w:hAnsi="Segoe UI" w:cs="Segoe UI"/>
        </w:rPr>
        <w:t xml:space="preserve">Por otra parte, existen diversos programas desarrollados por el Ministerio de Agricultura (MINAGRI) a través de sus servicios orientados a fortalecer el acceso a los recursos que permitan la seguridad alimentaria y nutricional, algunas iniciativas son: </w:t>
      </w:r>
    </w:p>
    <w:p w:rsidR="00CA7320" w:rsidRPr="00CA7320" w:rsidRDefault="00CA7320" w:rsidP="00CA7320">
      <w:pPr>
        <w:pStyle w:val="Prrafodelista"/>
        <w:numPr>
          <w:ilvl w:val="0"/>
          <w:numId w:val="14"/>
        </w:numPr>
        <w:spacing w:before="160" w:after="160"/>
        <w:contextualSpacing w:val="0"/>
        <w:jc w:val="both"/>
        <w:rPr>
          <w:rFonts w:ascii="Segoe UI" w:eastAsia="Times New Roman" w:hAnsi="Segoe UI" w:cs="Segoe UI"/>
        </w:rPr>
      </w:pPr>
      <w:r w:rsidRPr="00CA7320">
        <w:rPr>
          <w:rFonts w:ascii="Segoe UI" w:eastAsia="Times New Roman" w:hAnsi="Segoe UI" w:cs="Segoe UI"/>
        </w:rPr>
        <w:lastRenderedPageBreak/>
        <w:t>Programa de desarrollo local (</w:t>
      </w:r>
      <w:proofErr w:type="spellStart"/>
      <w:r w:rsidRPr="00CA7320">
        <w:rPr>
          <w:rFonts w:ascii="Segoe UI" w:eastAsia="Times New Roman" w:hAnsi="Segoe UI" w:cs="Segoe UI"/>
        </w:rPr>
        <w:t>Prodesal</w:t>
      </w:r>
      <w:proofErr w:type="spellEnd"/>
      <w:r w:rsidRPr="00CA7320">
        <w:rPr>
          <w:rFonts w:ascii="Segoe UI" w:eastAsia="Times New Roman" w:hAnsi="Segoe UI" w:cs="Segoe UI"/>
        </w:rPr>
        <w:t xml:space="preserve">): busca aumentar los ingresos </w:t>
      </w:r>
      <w:proofErr w:type="spellStart"/>
      <w:r w:rsidRPr="00CA7320">
        <w:rPr>
          <w:rFonts w:ascii="Segoe UI" w:eastAsia="Times New Roman" w:hAnsi="Segoe UI" w:cs="Segoe UI"/>
        </w:rPr>
        <w:t>silvoagropecuarios</w:t>
      </w:r>
      <w:proofErr w:type="spellEnd"/>
      <w:r w:rsidRPr="00CA7320">
        <w:rPr>
          <w:rFonts w:ascii="Segoe UI" w:eastAsia="Times New Roman" w:hAnsi="Segoe UI" w:cs="Segoe UI"/>
        </w:rPr>
        <w:t xml:space="preserve"> y de actividades conexas de los usuarios, </w:t>
      </w:r>
      <w:proofErr w:type="spellStart"/>
      <w:r w:rsidRPr="00CA7320">
        <w:rPr>
          <w:rFonts w:ascii="Segoe UI" w:eastAsia="Times New Roman" w:hAnsi="Segoe UI" w:cs="Segoe UI"/>
        </w:rPr>
        <w:t>microproductores</w:t>
      </w:r>
      <w:proofErr w:type="spellEnd"/>
      <w:r w:rsidRPr="00CA7320">
        <w:rPr>
          <w:rFonts w:ascii="Segoe UI" w:eastAsia="Times New Roman" w:hAnsi="Segoe UI" w:cs="Segoe UI"/>
        </w:rPr>
        <w:t>, por venta de excedentes al mercado como complemento al ingreso total del hogar, y vincular a los usuarios con las acciones público-privadas en el ámbito de mejoramiento de las condiciones de vida.</w:t>
      </w:r>
    </w:p>
    <w:p w:rsidR="00CA7320" w:rsidRPr="00CA7320" w:rsidRDefault="00CA7320" w:rsidP="00CA7320">
      <w:pPr>
        <w:pStyle w:val="Prrafodelista"/>
        <w:numPr>
          <w:ilvl w:val="0"/>
          <w:numId w:val="14"/>
        </w:numPr>
        <w:spacing w:before="160" w:after="160"/>
        <w:contextualSpacing w:val="0"/>
        <w:jc w:val="both"/>
        <w:rPr>
          <w:rFonts w:ascii="Segoe UI" w:eastAsia="Times New Roman" w:hAnsi="Segoe UI" w:cs="Segoe UI"/>
        </w:rPr>
      </w:pPr>
      <w:r w:rsidRPr="00CA7320">
        <w:rPr>
          <w:rFonts w:ascii="Segoe UI" w:eastAsia="Times New Roman" w:hAnsi="Segoe UI" w:cs="Segoe UI"/>
        </w:rPr>
        <w:t xml:space="preserve">Programa de </w:t>
      </w:r>
      <w:proofErr w:type="spellStart"/>
      <w:r w:rsidRPr="00CA7320">
        <w:rPr>
          <w:rFonts w:ascii="Segoe UI" w:eastAsia="Times New Roman" w:hAnsi="Segoe UI" w:cs="Segoe UI"/>
        </w:rPr>
        <w:t>Asociatividad</w:t>
      </w:r>
      <w:proofErr w:type="spellEnd"/>
      <w:r w:rsidRPr="00CA7320">
        <w:rPr>
          <w:rFonts w:ascii="Segoe UI" w:eastAsia="Times New Roman" w:hAnsi="Segoe UI" w:cs="Segoe UI"/>
        </w:rPr>
        <w:t xml:space="preserve"> Económica (PAE): orientado a desarrollar y/o fortalecer las empresas asociativas campesinas y los grupos pre-asociativos a través del desarrollo del negocio, la estructura organizacional y la articulación con el mercado, contribuyendo al desarrollo económico de la agricultura familiar campesina. </w:t>
      </w:r>
    </w:p>
    <w:p w:rsidR="00CA7320" w:rsidRPr="00CA7320" w:rsidRDefault="00CA7320" w:rsidP="00CA7320">
      <w:pPr>
        <w:pStyle w:val="Prrafodelista"/>
        <w:numPr>
          <w:ilvl w:val="0"/>
          <w:numId w:val="14"/>
        </w:numPr>
        <w:spacing w:before="160" w:after="160"/>
        <w:contextualSpacing w:val="0"/>
        <w:jc w:val="both"/>
        <w:rPr>
          <w:rFonts w:ascii="Segoe UI" w:eastAsia="Times New Roman" w:hAnsi="Segoe UI" w:cs="Segoe UI"/>
        </w:rPr>
      </w:pPr>
      <w:r w:rsidRPr="00CA7320">
        <w:rPr>
          <w:rFonts w:ascii="Segoe UI" w:eastAsia="Times New Roman" w:hAnsi="Segoe UI" w:cs="Segoe UI"/>
        </w:rPr>
        <w:t xml:space="preserve">Programa Mujeres Rurales (Convenio </w:t>
      </w:r>
      <w:proofErr w:type="spellStart"/>
      <w:r w:rsidRPr="00CA7320">
        <w:rPr>
          <w:rFonts w:ascii="Segoe UI" w:eastAsia="Times New Roman" w:hAnsi="Segoe UI" w:cs="Segoe UI"/>
        </w:rPr>
        <w:t>Indap</w:t>
      </w:r>
      <w:proofErr w:type="spellEnd"/>
      <w:r w:rsidRPr="00CA7320">
        <w:rPr>
          <w:rFonts w:ascii="Segoe UI" w:eastAsia="Times New Roman" w:hAnsi="Segoe UI" w:cs="Segoe UI"/>
        </w:rPr>
        <w:t xml:space="preserve"> - </w:t>
      </w:r>
      <w:proofErr w:type="spellStart"/>
      <w:r w:rsidRPr="00CA7320">
        <w:rPr>
          <w:rFonts w:ascii="Segoe UI" w:eastAsia="Times New Roman" w:hAnsi="Segoe UI" w:cs="Segoe UI"/>
        </w:rPr>
        <w:t>Prodemu</w:t>
      </w:r>
      <w:proofErr w:type="spellEnd"/>
      <w:r w:rsidRPr="00CA7320">
        <w:rPr>
          <w:rFonts w:ascii="Segoe UI" w:eastAsia="Times New Roman" w:hAnsi="Segoe UI" w:cs="Segoe UI"/>
        </w:rPr>
        <w:t>): el programa, a través de INDAP y PRODEMU, busca colaborar para apoyar eficientemente a las mujeres campesinas y/o pequeñas productoras agrícolas de familias rurales, estableciendo como finalidad contribuir al incremento de sus ingresos mediante la consolidación de iniciativas económico-productivas asociadas al mundo rural.</w:t>
      </w:r>
    </w:p>
    <w:p w:rsidR="00CA7320" w:rsidRPr="00CA7320" w:rsidRDefault="00CA7320" w:rsidP="00CA7320">
      <w:pPr>
        <w:pStyle w:val="Prrafodelista"/>
        <w:numPr>
          <w:ilvl w:val="0"/>
          <w:numId w:val="14"/>
        </w:numPr>
        <w:spacing w:before="160" w:after="160"/>
        <w:contextualSpacing w:val="0"/>
        <w:jc w:val="both"/>
        <w:rPr>
          <w:rFonts w:ascii="Segoe UI" w:eastAsia="Times New Roman" w:hAnsi="Segoe UI" w:cs="Segoe UI"/>
        </w:rPr>
      </w:pPr>
      <w:r w:rsidRPr="00CA7320">
        <w:rPr>
          <w:rFonts w:ascii="Segoe UI" w:eastAsia="Times New Roman" w:hAnsi="Segoe UI" w:cs="Segoe UI"/>
        </w:rPr>
        <w:t>Programa desarrollo de Inversiones (PDI): Apoyar el desarrollo de proyectos de inversión individuales o asociativos para la incubación, ampliación y/o diversificación de negocios agropecuarios o conexos de la Agricultura Familiar Campesina.</w:t>
      </w:r>
    </w:p>
    <w:p w:rsidR="00CA7320" w:rsidRDefault="00CA7320" w:rsidP="00CA7320">
      <w:pPr>
        <w:spacing w:before="160" w:after="160"/>
        <w:jc w:val="both"/>
        <w:rPr>
          <w:rFonts w:ascii="Segoe UI" w:eastAsia="Times New Roman" w:hAnsi="Segoe UI" w:cs="Segoe UI"/>
        </w:rPr>
      </w:pPr>
      <w:r w:rsidRPr="00CA7320">
        <w:rPr>
          <w:rFonts w:ascii="Segoe UI" w:eastAsia="Times New Roman" w:hAnsi="Segoe UI" w:cs="Segoe UI"/>
        </w:rPr>
        <w:t>Además, el MINAGRI ha impulsado concursos de riego dir</w:t>
      </w:r>
      <w:r>
        <w:rPr>
          <w:rFonts w:ascii="Segoe UI" w:eastAsia="Times New Roman" w:hAnsi="Segoe UI" w:cs="Segoe UI"/>
        </w:rPr>
        <w:t>igidos a cultivos tradicionales</w:t>
      </w:r>
      <w:r>
        <w:rPr>
          <w:rStyle w:val="Refdenotaalpie"/>
          <w:rFonts w:ascii="Segoe UI" w:eastAsia="Times New Roman" w:hAnsi="Segoe UI" w:cs="Segoe UI"/>
        </w:rPr>
        <w:footnoteReference w:id="23"/>
      </w:r>
      <w:r w:rsidRPr="00CA7320">
        <w:rPr>
          <w:rFonts w:ascii="Segoe UI" w:eastAsia="Times New Roman" w:hAnsi="Segoe UI" w:cs="Segoe UI"/>
        </w:rPr>
        <w:t>, así como aquellos tendientes a desarrollar, perfeccionar o adaptar nuevos productos y procesos, tanto productivos como organizacionales, que contribuyan a optimizar la captación, conducción, almacenamiento y uso de los recursos hídricos, a través de concursos públicos de la CNR y la Fundación para la Innovación Agraria (FIA).</w:t>
      </w:r>
    </w:p>
    <w:p w:rsidR="00CA7320" w:rsidRPr="00CA7320" w:rsidRDefault="00CA7320" w:rsidP="00CA7320">
      <w:pPr>
        <w:pStyle w:val="Default"/>
        <w:numPr>
          <w:ilvl w:val="0"/>
          <w:numId w:val="6"/>
        </w:numPr>
        <w:spacing w:before="160" w:after="160" w:line="276" w:lineRule="auto"/>
        <w:ind w:left="284" w:right="-142" w:hanging="284"/>
        <w:jc w:val="both"/>
        <w:rPr>
          <w:rFonts w:ascii="Segoe UI" w:hAnsi="Segoe UI" w:cs="Segoe UI"/>
          <w:b/>
          <w:bCs/>
          <w:sz w:val="22"/>
          <w:szCs w:val="22"/>
        </w:rPr>
      </w:pPr>
      <w:r w:rsidRPr="00CA7320">
        <w:rPr>
          <w:rFonts w:ascii="Segoe UI" w:hAnsi="Segoe UI" w:cs="Segoe UI"/>
          <w:b/>
          <w:bCs/>
          <w:sz w:val="22"/>
          <w:szCs w:val="22"/>
        </w:rPr>
        <w:t xml:space="preserve">¿Cuál es el impacto del aburguesamiento, el desarrollo, la tecnología, la actividad industrial y la </w:t>
      </w:r>
      <w:r w:rsidRPr="00CA7320">
        <w:rPr>
          <w:rFonts w:ascii="Segoe UI" w:hAnsi="Segoe UI" w:cs="Segoe UI"/>
          <w:b/>
          <w:sz w:val="22"/>
          <w:szCs w:val="22"/>
          <w:lang w:eastAsia="es-CL"/>
        </w:rPr>
        <w:t>deforestación</w:t>
      </w:r>
      <w:r w:rsidRPr="00CA7320">
        <w:rPr>
          <w:rFonts w:ascii="Segoe UI" w:hAnsi="Segoe UI" w:cs="Segoe UI"/>
          <w:b/>
          <w:bCs/>
          <w:sz w:val="22"/>
          <w:szCs w:val="22"/>
        </w:rPr>
        <w:t xml:space="preserve"> en la seguridad alimentaria? Por favor, comparta algunos ejemplos concretos.</w:t>
      </w:r>
    </w:p>
    <w:p w:rsidR="00CA7320" w:rsidRPr="00CA7320" w:rsidRDefault="00CA7320" w:rsidP="00CA7320">
      <w:pPr>
        <w:spacing w:before="160" w:after="160"/>
        <w:jc w:val="both"/>
        <w:rPr>
          <w:rFonts w:ascii="Segoe UI" w:hAnsi="Segoe UI" w:cs="Segoe UI"/>
        </w:rPr>
      </w:pPr>
      <w:r w:rsidRPr="00CA7320">
        <w:rPr>
          <w:rFonts w:ascii="Segoe UI" w:hAnsi="Segoe UI" w:cs="Segoe UI"/>
        </w:rPr>
        <w:t xml:space="preserve">Uno de los principales impactos de la deforestación en la seguridad alimentaria es la pérdida de biodiversidad y la disminución de la productividad de los suelos. Los bosques son importantes para la conservación de la biodiversidad, y su eliminación puede tener un impacto significativo en la calidad y cantidad de alimentos disponibles para las comunidades locales. Además, los bosques desempeñan un papel clave en la regulación del clima y la protección del suelo y los recursos hídricos, por lo que la tala de bosques y la conversión de tierras </w:t>
      </w:r>
      <w:r w:rsidRPr="00CA7320">
        <w:rPr>
          <w:rFonts w:ascii="Segoe UI" w:hAnsi="Segoe UI" w:cs="Segoe UI"/>
        </w:rPr>
        <w:lastRenderedPageBreak/>
        <w:t>forestales pueden disminuir la capacidad del suelo para producir alimentos, afectando a la seguridad alimentaria a largo plazo.</w:t>
      </w:r>
    </w:p>
    <w:p w:rsidR="00CA7320" w:rsidRPr="00CA7320" w:rsidRDefault="00CA7320" w:rsidP="00CA7320">
      <w:pPr>
        <w:spacing w:before="160" w:after="160"/>
        <w:jc w:val="both"/>
        <w:rPr>
          <w:rFonts w:ascii="Segoe UI" w:hAnsi="Segoe UI" w:cs="Segoe UI"/>
        </w:rPr>
      </w:pPr>
      <w:r w:rsidRPr="00CA7320">
        <w:rPr>
          <w:rFonts w:ascii="Segoe UI" w:hAnsi="Segoe UI" w:cs="Segoe UI"/>
        </w:rPr>
        <w:t xml:space="preserve">Junto con lo anterior, en Chile, los bosques proporcionan una amplia gama de productos forestales no madereros, como frutos silvestres, hongos, plantas medicinales y animales silvestres que son importantes para la alimentación y economía de las comunidades locales. </w:t>
      </w:r>
    </w:p>
    <w:p w:rsidR="00CA7320" w:rsidRPr="00CA7320" w:rsidRDefault="00CA7320" w:rsidP="00CA7320">
      <w:pPr>
        <w:spacing w:before="160" w:after="160"/>
        <w:jc w:val="both"/>
        <w:rPr>
          <w:rFonts w:ascii="Segoe UI" w:hAnsi="Segoe UI" w:cs="Segoe UI"/>
        </w:rPr>
      </w:pPr>
      <w:r w:rsidRPr="00CA7320">
        <w:rPr>
          <w:rFonts w:ascii="Segoe UI" w:hAnsi="Segoe UI" w:cs="Segoe UI"/>
        </w:rPr>
        <w:t>Un ejemplo del efecto de la deforestación y degradación del bosque, junto con el cambio climático es la disminución en la producción de miel. La apicultura es una actividad económica importante en muchas regiones de Chile, y los bosques son esenciales para la producción de miel, ya que proporcionan una fuente de alimento para las abejas y polinizadores nativos, y un hábitat para sus colonias. Estos insectos son esenciales para el desarrollo de la agricultura y la seguridad alimentaria.</w:t>
      </w:r>
    </w:p>
    <w:p w:rsidR="00CA7320" w:rsidRPr="00CA7320" w:rsidRDefault="00CA7320" w:rsidP="00CA7320">
      <w:pPr>
        <w:spacing w:before="160" w:after="160"/>
        <w:jc w:val="both"/>
        <w:rPr>
          <w:rFonts w:ascii="Segoe UI" w:hAnsi="Segoe UI" w:cs="Segoe UI"/>
        </w:rPr>
      </w:pPr>
      <w:r w:rsidRPr="00CA7320">
        <w:rPr>
          <w:rFonts w:ascii="Segoe UI" w:hAnsi="Segoe UI" w:cs="Segoe UI"/>
        </w:rPr>
        <w:t>Otro ejemplo es el impacto de la deforestación en la seguridad alimentaria en la agricultura y la recolección de productos forestales no madereros, la pérdida de bosques ha afectado la capacidad para mantener el funcionamiento sistemas alimentarios tradicionales.</w:t>
      </w:r>
    </w:p>
    <w:p w:rsidR="00CA7320" w:rsidRPr="00CA7320" w:rsidRDefault="00CA7320" w:rsidP="00CA7320">
      <w:pPr>
        <w:spacing w:before="160" w:after="160"/>
        <w:jc w:val="both"/>
        <w:rPr>
          <w:rFonts w:ascii="Segoe UI" w:hAnsi="Segoe UI" w:cs="Segoe UI"/>
        </w:rPr>
      </w:pPr>
      <w:r w:rsidRPr="00CA7320">
        <w:rPr>
          <w:rFonts w:ascii="Segoe UI" w:hAnsi="Segoe UI" w:cs="Segoe UI"/>
        </w:rPr>
        <w:t xml:space="preserve">Para abordar el problema de la deforestación y su impacto en la seguridad alimentaria en Chile, se han implementado diversas políticas y programas en los últimos años. El Ministerio de Medio Ambiente lanzó un Plan Nacional de Restauración de Paisajes 2021-2030 en el que Chile se compromete al manejo sustentable y recuperación de. 200.000 hectáreas de bosques nativos. Junto con lo anterior, desde el </w:t>
      </w:r>
      <w:proofErr w:type="spellStart"/>
      <w:r w:rsidRPr="00CA7320">
        <w:rPr>
          <w:rFonts w:ascii="Segoe UI" w:hAnsi="Segoe UI" w:cs="Segoe UI"/>
        </w:rPr>
        <w:t>Minagri</w:t>
      </w:r>
      <w:proofErr w:type="spellEnd"/>
      <w:r w:rsidRPr="00CA7320">
        <w:rPr>
          <w:rFonts w:ascii="Segoe UI" w:hAnsi="Segoe UI" w:cs="Segoe UI"/>
        </w:rPr>
        <w:t xml:space="preserve">, mediante </w:t>
      </w:r>
      <w:proofErr w:type="spellStart"/>
      <w:r w:rsidRPr="00CA7320">
        <w:rPr>
          <w:rFonts w:ascii="Segoe UI" w:hAnsi="Segoe UI" w:cs="Segoe UI"/>
        </w:rPr>
        <w:t>Conaf</w:t>
      </w:r>
      <w:proofErr w:type="spellEnd"/>
      <w:r w:rsidRPr="00CA7320">
        <w:rPr>
          <w:rFonts w:ascii="Segoe UI" w:hAnsi="Segoe UI" w:cs="Segoe UI"/>
        </w:rPr>
        <w:t xml:space="preserve">, se ha impulsado El programa de Restauración de Bosques Nativos a Gran Escala, que considera acciones para iniciar procesos de restauración de bosques nativos a gran escala, priorizando zonas de conservación y protección de suelos, humedales, cabeceras de cuenca y cuerpos de agua. </w:t>
      </w:r>
    </w:p>
    <w:p w:rsidR="00CA7320" w:rsidRPr="00CA7320" w:rsidRDefault="00CA7320" w:rsidP="00CA7320">
      <w:pPr>
        <w:spacing w:before="160" w:after="160"/>
        <w:jc w:val="both"/>
        <w:rPr>
          <w:rFonts w:ascii="Segoe UI" w:hAnsi="Segoe UI" w:cs="Segoe UI"/>
        </w:rPr>
      </w:pPr>
      <w:r w:rsidRPr="00CA7320">
        <w:rPr>
          <w:rFonts w:ascii="Segoe UI" w:hAnsi="Segoe UI" w:cs="Segoe UI"/>
        </w:rPr>
        <w:t>Adicionalmente el SAG tiene dentro de sus funciones proteger el suelo arable o de especial interés agropecuario de la destrucción o alteración por cambio de uso para actividades ajenas al quehacer agropecuario.</w:t>
      </w:r>
    </w:p>
    <w:p w:rsidR="00CA7320" w:rsidRPr="00CA7320" w:rsidRDefault="00CA7320" w:rsidP="00CA7320">
      <w:pPr>
        <w:pStyle w:val="Default"/>
        <w:numPr>
          <w:ilvl w:val="0"/>
          <w:numId w:val="6"/>
        </w:numPr>
        <w:spacing w:before="160" w:after="160" w:line="276" w:lineRule="auto"/>
        <w:ind w:left="284" w:right="-142" w:hanging="284"/>
        <w:jc w:val="both"/>
        <w:rPr>
          <w:rFonts w:ascii="Segoe UI" w:hAnsi="Segoe UI" w:cs="Segoe UI"/>
          <w:b/>
          <w:bCs/>
          <w:sz w:val="22"/>
          <w:szCs w:val="22"/>
        </w:rPr>
      </w:pPr>
      <w:r w:rsidRPr="00CA7320">
        <w:rPr>
          <w:rFonts w:ascii="Segoe UI" w:hAnsi="Segoe UI" w:cs="Segoe UI"/>
          <w:b/>
          <w:bCs/>
          <w:sz w:val="22"/>
          <w:szCs w:val="22"/>
        </w:rPr>
        <w:t>Proporcione ejemplos relacionados con el impacto de la producción de alimentos sobre el derecho a la salud de la población que vive o trabaja en las zonas de producción/cultivo o cerca de ellas.</w:t>
      </w:r>
    </w:p>
    <w:p w:rsidR="00CA7320" w:rsidRPr="00CA7320" w:rsidRDefault="00CA7320" w:rsidP="00CA7320">
      <w:pPr>
        <w:spacing w:before="160" w:after="160"/>
        <w:jc w:val="both"/>
        <w:rPr>
          <w:rFonts w:ascii="Segoe UI" w:hAnsi="Segoe UI" w:cs="Segoe UI"/>
        </w:rPr>
      </w:pPr>
      <w:r w:rsidRPr="00CA7320">
        <w:rPr>
          <w:rFonts w:ascii="Segoe UI" w:hAnsi="Segoe UI" w:cs="Segoe UI"/>
        </w:rPr>
        <w:t xml:space="preserve">La producción de alimentos es una actividad fundamental para la economía y seguridad alimentaria y nutricional de Chile. Sin embargo, el desarrollo de esta actividad no se encuentra exento de posibles impactos sobre la salud de las personas que viven o trabajan cerca de las zonas de producción o cultivo. </w:t>
      </w:r>
    </w:p>
    <w:p w:rsidR="00CA7320" w:rsidRPr="00CA7320" w:rsidRDefault="00CA7320" w:rsidP="00CA7320">
      <w:pPr>
        <w:spacing w:before="160" w:after="160"/>
        <w:jc w:val="both"/>
        <w:rPr>
          <w:rFonts w:ascii="Segoe UI" w:eastAsiaTheme="majorEastAsia" w:hAnsi="Segoe UI" w:cs="Segoe UI"/>
        </w:rPr>
      </w:pPr>
      <w:r w:rsidRPr="00CA7320">
        <w:rPr>
          <w:rFonts w:ascii="Segoe UI" w:hAnsi="Segoe UI" w:cs="Segoe UI"/>
        </w:rPr>
        <w:lastRenderedPageBreak/>
        <w:t xml:space="preserve">En este sentido, el SAG cuenta un Manual de Capacitación para el Buen Uso y Manejo, mediante el que se indica que </w:t>
      </w:r>
      <w:r w:rsidRPr="00CA7320">
        <w:rPr>
          <w:rFonts w:ascii="Segoe UI" w:eastAsiaTheme="majorEastAsia" w:hAnsi="Segoe UI" w:cs="Segoe UI"/>
        </w:rPr>
        <w:t>los trabajadores que aplican pesticidas deben estar capacitados en su uso seguro y en la protección de su salud y la del medio ambiente. Tanto el SAG como el Ministerio de Salud han desarrollado reglamentos que establecen restricciones en la aplicación de los pesticidas cerca de zonas pobladas, escuelas, hospitales, cursos de agua o áreas protegidas, junto con límites de aplicación en relación con el clima, la velocidad del viento y otros factores que puedan afectar la dispersión del producto.</w:t>
      </w:r>
    </w:p>
    <w:p w:rsidR="00CA7320" w:rsidRPr="00CA7320" w:rsidRDefault="00CA7320" w:rsidP="00CA7320">
      <w:pPr>
        <w:spacing w:before="160" w:after="160"/>
        <w:jc w:val="both"/>
        <w:rPr>
          <w:rFonts w:ascii="Segoe UI" w:hAnsi="Segoe UI" w:cs="Segoe UI"/>
        </w:rPr>
      </w:pPr>
      <w:r w:rsidRPr="00CA7320">
        <w:rPr>
          <w:rFonts w:ascii="Segoe UI" w:hAnsi="Segoe UI" w:cs="Segoe UI"/>
        </w:rPr>
        <w:t xml:space="preserve">Igualmente, el SAG trabaja para prevenir la contaminación y evitar efectos adversos en el suelo </w:t>
      </w:r>
      <w:proofErr w:type="spellStart"/>
      <w:r w:rsidRPr="00CA7320">
        <w:rPr>
          <w:rFonts w:ascii="Segoe UI" w:hAnsi="Segoe UI" w:cs="Segoe UI"/>
        </w:rPr>
        <w:t>silvoagropecuario</w:t>
      </w:r>
      <w:proofErr w:type="spellEnd"/>
      <w:r w:rsidRPr="00CA7320">
        <w:rPr>
          <w:rFonts w:ascii="Segoe UI" w:hAnsi="Segoe UI" w:cs="Segoe UI"/>
        </w:rPr>
        <w:t>. Para cumplir con estos objetivos cuenta con una serie de normas relacionadas con la subdivisión y cambio del uso del suelo, programas de recuperación de suelos degradados, además de promover la aplicación de medidas de manejo de los residuos líquidos y de residuos sólidos orgánicos aplicados al suelo</w:t>
      </w:r>
      <w:r w:rsidRPr="00CA7320">
        <w:rPr>
          <w:rStyle w:val="Refdenotaalpie"/>
          <w:rFonts w:ascii="Segoe UI" w:hAnsi="Segoe UI" w:cs="Segoe UI"/>
        </w:rPr>
        <w:footnoteReference w:id="24"/>
      </w:r>
      <w:r w:rsidRPr="00CA7320">
        <w:rPr>
          <w:rFonts w:ascii="Segoe UI" w:hAnsi="Segoe UI" w:cs="Segoe UI"/>
        </w:rPr>
        <w:t>.</w:t>
      </w:r>
    </w:p>
    <w:p w:rsidR="00CA7320" w:rsidRPr="00CA7320" w:rsidRDefault="00CA7320" w:rsidP="00CA7320">
      <w:pPr>
        <w:spacing w:before="160" w:after="160"/>
        <w:jc w:val="both"/>
        <w:rPr>
          <w:rFonts w:ascii="Segoe UI" w:eastAsia="Times New Roman" w:hAnsi="Segoe UI" w:cs="Segoe UI"/>
        </w:rPr>
      </w:pPr>
    </w:p>
    <w:sectPr w:rsidR="00CA7320" w:rsidRPr="00CA7320">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10" w:rsidRDefault="00E14D10">
      <w:pPr>
        <w:spacing w:line="240" w:lineRule="auto"/>
      </w:pPr>
      <w:r>
        <w:separator/>
      </w:r>
    </w:p>
  </w:endnote>
  <w:endnote w:type="continuationSeparator" w:id="0">
    <w:p w:rsidR="00E14D10" w:rsidRDefault="00E14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Calibri"/>
    <w:panose1 w:val="00000000000000000000"/>
    <w:charset w:val="4D"/>
    <w:family w:val="auto"/>
    <w:notTrueType/>
    <w:pitch w:val="variable"/>
    <w:sig w:usb0="8000002F" w:usb1="4000005B" w:usb2="00000000" w:usb3="00000000" w:csb0="00000111"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1696987522"/>
      <w:docPartObj>
        <w:docPartGallery w:val="Page Numbers (Bottom of Page)"/>
        <w:docPartUnique/>
      </w:docPartObj>
    </w:sdtPr>
    <w:sdtEndPr/>
    <w:sdtContent>
      <w:p w:rsidR="00D16B36" w:rsidRPr="00D16B36" w:rsidRDefault="00D16B36">
        <w:pPr>
          <w:pStyle w:val="Piedepgina"/>
          <w:jc w:val="center"/>
          <w:rPr>
            <w:rFonts w:ascii="Segoe UI" w:hAnsi="Segoe UI" w:cs="Segoe UI"/>
            <w:sz w:val="16"/>
            <w:szCs w:val="16"/>
          </w:rPr>
        </w:pPr>
        <w:r w:rsidRPr="00D16B36">
          <w:rPr>
            <w:rFonts w:ascii="Segoe UI" w:hAnsi="Segoe UI" w:cs="Segoe UI"/>
            <w:sz w:val="16"/>
            <w:szCs w:val="16"/>
          </w:rPr>
          <w:fldChar w:fldCharType="begin"/>
        </w:r>
        <w:r w:rsidRPr="00D16B36">
          <w:rPr>
            <w:rFonts w:ascii="Segoe UI" w:hAnsi="Segoe UI" w:cs="Segoe UI"/>
            <w:sz w:val="16"/>
            <w:szCs w:val="16"/>
          </w:rPr>
          <w:instrText>PAGE   \* MERGEFORMAT</w:instrText>
        </w:r>
        <w:r w:rsidRPr="00D16B36">
          <w:rPr>
            <w:rFonts w:ascii="Segoe UI" w:hAnsi="Segoe UI" w:cs="Segoe UI"/>
            <w:sz w:val="16"/>
            <w:szCs w:val="16"/>
          </w:rPr>
          <w:fldChar w:fldCharType="separate"/>
        </w:r>
        <w:r w:rsidR="000B46C4" w:rsidRPr="000B46C4">
          <w:rPr>
            <w:rFonts w:ascii="Segoe UI" w:hAnsi="Segoe UI" w:cs="Segoe UI"/>
            <w:noProof/>
            <w:sz w:val="16"/>
            <w:szCs w:val="16"/>
            <w:lang w:val="es-ES"/>
          </w:rPr>
          <w:t>13</w:t>
        </w:r>
        <w:r w:rsidRPr="00D16B36">
          <w:rPr>
            <w:rFonts w:ascii="Segoe UI" w:hAnsi="Segoe UI" w:cs="Segoe UI"/>
            <w:sz w:val="16"/>
            <w:szCs w:val="16"/>
          </w:rPr>
          <w:fldChar w:fldCharType="end"/>
        </w:r>
      </w:p>
    </w:sdtContent>
  </w:sdt>
  <w:p w:rsidR="00D16B36" w:rsidRPr="00D16B36" w:rsidRDefault="00D16B36">
    <w:pPr>
      <w:pStyle w:val="Piedepgina"/>
      <w:rPr>
        <w:rFonts w:ascii="Segoe UI" w:hAnsi="Segoe UI" w:cs="Segoe U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10" w:rsidRDefault="00E14D10">
      <w:pPr>
        <w:spacing w:line="240" w:lineRule="auto"/>
      </w:pPr>
      <w:r>
        <w:separator/>
      </w:r>
    </w:p>
  </w:footnote>
  <w:footnote w:type="continuationSeparator" w:id="0">
    <w:p w:rsidR="00E14D10" w:rsidRDefault="00E14D10">
      <w:pPr>
        <w:spacing w:line="240" w:lineRule="auto"/>
      </w:pPr>
      <w:r>
        <w:continuationSeparator/>
      </w:r>
    </w:p>
  </w:footnote>
  <w:footnote w:id="1">
    <w:p w:rsidR="00AD396C" w:rsidRPr="00CA7320" w:rsidRDefault="00AD396C" w:rsidP="00CA7320">
      <w:pPr>
        <w:pStyle w:val="Textonotapie"/>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Cabe destacar que la presente respuesta fue formulada a partir de los insumos proporcionados por el Ministerio de Salud y el Ministerio de Agricultura.</w:t>
      </w:r>
    </w:p>
  </w:footnote>
  <w:footnote w:id="2">
    <w:p w:rsidR="00D94CB0" w:rsidRPr="00CA7320" w:rsidRDefault="00D94CB0" w:rsidP="00CA7320">
      <w:pPr>
        <w:pStyle w:val="Textonotapie"/>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“El estado de la seguridad alimentaria y la nutrición en el mundo 2022”.</w:t>
      </w:r>
    </w:p>
  </w:footnote>
  <w:footnote w:id="3">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Ministerio de Salud - Gobierno de Chile. Política Nacional de </w:t>
      </w:r>
      <w:r w:rsidR="00222F2A" w:rsidRPr="00CA7320">
        <w:rPr>
          <w:rFonts w:ascii="Segoe UI" w:hAnsi="Segoe UI" w:cs="Segoe UI"/>
          <w:sz w:val="18"/>
          <w:szCs w:val="18"/>
        </w:rPr>
        <w:t>Alimentación</w:t>
      </w:r>
      <w:r w:rsidRPr="00CA7320">
        <w:rPr>
          <w:rFonts w:ascii="Segoe UI" w:hAnsi="Segoe UI" w:cs="Segoe UI"/>
          <w:sz w:val="18"/>
          <w:szCs w:val="18"/>
        </w:rPr>
        <w:t xml:space="preserve"> y Nutrición [Internet]. Santiago de Chile; 2017 </w:t>
      </w:r>
      <w:hyperlink r:id="rId1" w:history="1">
        <w:r w:rsidRPr="00CA7320">
          <w:rPr>
            <w:rStyle w:val="Hipervnculo"/>
            <w:rFonts w:ascii="Segoe UI" w:hAnsi="Segoe UI" w:cs="Segoe UI"/>
            <w:sz w:val="18"/>
            <w:szCs w:val="18"/>
          </w:rPr>
          <w:t>http://www.bibliotecaminsal.cl/wp/wp-content/uploads/2018/01/BVS_POL%C3%8DTICA-DE-ALIMENTACI%C3%93N-Y-NUTRICI%C3%93N.pdf</w:t>
        </w:r>
      </w:hyperlink>
      <w:r w:rsidRPr="00CA7320">
        <w:rPr>
          <w:rFonts w:ascii="Segoe UI" w:hAnsi="Segoe UI" w:cs="Segoe UI"/>
          <w:sz w:val="18"/>
          <w:szCs w:val="18"/>
        </w:rPr>
        <w:t xml:space="preserve">.  </w:t>
      </w:r>
    </w:p>
  </w:footnote>
  <w:footnote w:id="4">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Olivares C S, Bustos Z N, Lera M L, </w:t>
      </w:r>
      <w:proofErr w:type="spellStart"/>
      <w:r w:rsidRPr="00CA7320">
        <w:rPr>
          <w:rFonts w:ascii="Segoe UI" w:hAnsi="Segoe UI" w:cs="Segoe UI"/>
          <w:sz w:val="18"/>
          <w:szCs w:val="18"/>
        </w:rPr>
        <w:t>Zelada</w:t>
      </w:r>
      <w:proofErr w:type="spellEnd"/>
      <w:r w:rsidRPr="00CA7320">
        <w:rPr>
          <w:rFonts w:ascii="Segoe UI" w:hAnsi="Segoe UI" w:cs="Segoe UI"/>
          <w:sz w:val="18"/>
          <w:szCs w:val="18"/>
        </w:rPr>
        <w:t xml:space="preserve"> ME. </w:t>
      </w:r>
      <w:r w:rsidRPr="00CA7320">
        <w:rPr>
          <w:rFonts w:ascii="Segoe UI" w:hAnsi="Segoe UI" w:cs="Segoe UI"/>
          <w:sz w:val="18"/>
          <w:szCs w:val="18"/>
          <w:lang w:val="en-US"/>
        </w:rPr>
        <w:t xml:space="preserve">Nutritional status, food consumption and physical activity in female </w:t>
      </w:r>
      <w:proofErr w:type="gramStart"/>
      <w:r w:rsidRPr="00CA7320">
        <w:rPr>
          <w:rFonts w:ascii="Segoe UI" w:hAnsi="Segoe UI" w:cs="Segoe UI"/>
          <w:sz w:val="18"/>
          <w:szCs w:val="18"/>
          <w:lang w:val="en-US"/>
        </w:rPr>
        <w:t>school children</w:t>
      </w:r>
      <w:proofErr w:type="gramEnd"/>
      <w:r w:rsidRPr="00CA7320">
        <w:rPr>
          <w:rFonts w:ascii="Segoe UI" w:hAnsi="Segoe UI" w:cs="Segoe UI"/>
          <w:sz w:val="18"/>
          <w:szCs w:val="18"/>
          <w:lang w:val="en-US"/>
        </w:rPr>
        <w:t xml:space="preserve"> of different socioeconomic levels from Santiago, Chile. </w:t>
      </w:r>
      <w:proofErr w:type="spellStart"/>
      <w:r w:rsidRPr="00CA7320">
        <w:rPr>
          <w:rFonts w:ascii="Segoe UI" w:hAnsi="Segoe UI" w:cs="Segoe UI"/>
          <w:sz w:val="18"/>
          <w:szCs w:val="18"/>
        </w:rPr>
        <w:t>Rev</w:t>
      </w:r>
      <w:proofErr w:type="spellEnd"/>
      <w:r w:rsidRPr="00CA7320">
        <w:rPr>
          <w:rFonts w:ascii="Segoe UI" w:hAnsi="Segoe UI" w:cs="Segoe UI"/>
          <w:sz w:val="18"/>
          <w:szCs w:val="18"/>
        </w:rPr>
        <w:t xml:space="preserve"> </w:t>
      </w:r>
      <w:proofErr w:type="spellStart"/>
      <w:r w:rsidRPr="00CA7320">
        <w:rPr>
          <w:rFonts w:ascii="Segoe UI" w:hAnsi="Segoe UI" w:cs="Segoe UI"/>
          <w:sz w:val="18"/>
          <w:szCs w:val="18"/>
        </w:rPr>
        <w:t>Med</w:t>
      </w:r>
      <w:proofErr w:type="spellEnd"/>
      <w:r w:rsidRPr="00CA7320">
        <w:rPr>
          <w:rFonts w:ascii="Segoe UI" w:hAnsi="Segoe UI" w:cs="Segoe UI"/>
          <w:sz w:val="18"/>
          <w:szCs w:val="18"/>
        </w:rPr>
        <w:t xml:space="preserve"> </w:t>
      </w:r>
      <w:proofErr w:type="spellStart"/>
      <w:r w:rsidRPr="00CA7320">
        <w:rPr>
          <w:rFonts w:ascii="Segoe UI" w:hAnsi="Segoe UI" w:cs="Segoe UI"/>
          <w:sz w:val="18"/>
          <w:szCs w:val="18"/>
        </w:rPr>
        <w:t>Chil</w:t>
      </w:r>
      <w:proofErr w:type="spellEnd"/>
      <w:r w:rsidRPr="00CA7320">
        <w:rPr>
          <w:rFonts w:ascii="Segoe UI" w:hAnsi="Segoe UI" w:cs="Segoe UI"/>
          <w:sz w:val="18"/>
          <w:szCs w:val="18"/>
        </w:rPr>
        <w:t xml:space="preserve">. 2007;135(1). </w:t>
      </w:r>
    </w:p>
  </w:footnote>
  <w:footnote w:id="5">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Olivares S, Yáñez R, Díaz N. Publicidad de alimentos y conductas alimentarias en escolares de 5o A 8º Básico. </w:t>
      </w:r>
      <w:proofErr w:type="spellStart"/>
      <w:r w:rsidRPr="00CA7320">
        <w:rPr>
          <w:rFonts w:ascii="Segoe UI" w:hAnsi="Segoe UI" w:cs="Segoe UI"/>
          <w:sz w:val="18"/>
          <w:szCs w:val="18"/>
        </w:rPr>
        <w:t>Rev</w:t>
      </w:r>
      <w:proofErr w:type="spellEnd"/>
      <w:r w:rsidRPr="00CA7320">
        <w:rPr>
          <w:rFonts w:ascii="Segoe UI" w:hAnsi="Segoe UI" w:cs="Segoe UI"/>
          <w:sz w:val="18"/>
          <w:szCs w:val="18"/>
        </w:rPr>
        <w:t xml:space="preserve"> </w:t>
      </w:r>
      <w:proofErr w:type="spellStart"/>
      <w:r w:rsidRPr="00CA7320">
        <w:rPr>
          <w:rFonts w:ascii="Segoe UI" w:hAnsi="Segoe UI" w:cs="Segoe UI"/>
          <w:sz w:val="18"/>
          <w:szCs w:val="18"/>
        </w:rPr>
        <w:t>Chil</w:t>
      </w:r>
      <w:proofErr w:type="spellEnd"/>
      <w:r w:rsidRPr="00CA7320">
        <w:rPr>
          <w:rFonts w:ascii="Segoe UI" w:hAnsi="Segoe UI" w:cs="Segoe UI"/>
          <w:sz w:val="18"/>
          <w:szCs w:val="18"/>
        </w:rPr>
        <w:t xml:space="preserve"> </w:t>
      </w:r>
      <w:proofErr w:type="spellStart"/>
      <w:r w:rsidRPr="00CA7320">
        <w:rPr>
          <w:rFonts w:ascii="Segoe UI" w:hAnsi="Segoe UI" w:cs="Segoe UI"/>
          <w:sz w:val="18"/>
          <w:szCs w:val="18"/>
        </w:rPr>
        <w:t>Nutr</w:t>
      </w:r>
      <w:proofErr w:type="spellEnd"/>
      <w:r w:rsidRPr="00CA7320">
        <w:rPr>
          <w:rFonts w:ascii="Segoe UI" w:hAnsi="Segoe UI" w:cs="Segoe UI"/>
          <w:sz w:val="18"/>
          <w:szCs w:val="18"/>
        </w:rPr>
        <w:t>. 2003 Apr;30(1):36–42.</w:t>
      </w:r>
    </w:p>
  </w:footnote>
  <w:footnote w:id="6">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Araneda J, Bustos P, </w:t>
      </w:r>
      <w:proofErr w:type="spellStart"/>
      <w:r w:rsidRPr="00CA7320">
        <w:rPr>
          <w:rFonts w:ascii="Segoe UI" w:hAnsi="Segoe UI" w:cs="Segoe UI"/>
          <w:sz w:val="18"/>
          <w:szCs w:val="18"/>
        </w:rPr>
        <w:t>Cerecera</w:t>
      </w:r>
      <w:proofErr w:type="spellEnd"/>
      <w:r w:rsidRPr="00CA7320">
        <w:rPr>
          <w:rFonts w:ascii="Segoe UI" w:hAnsi="Segoe UI" w:cs="Segoe UI"/>
          <w:sz w:val="18"/>
          <w:szCs w:val="18"/>
        </w:rPr>
        <w:t xml:space="preserve"> F, Amigo H. Ingesta de bebidas azucaradas </w:t>
      </w:r>
      <w:proofErr w:type="spellStart"/>
      <w:r w:rsidRPr="00CA7320">
        <w:rPr>
          <w:rFonts w:ascii="Segoe UI" w:hAnsi="Segoe UI" w:cs="Segoe UI"/>
          <w:sz w:val="18"/>
          <w:szCs w:val="18"/>
        </w:rPr>
        <w:t>analcohólicas</w:t>
      </w:r>
      <w:proofErr w:type="spellEnd"/>
      <w:r w:rsidRPr="00CA7320">
        <w:rPr>
          <w:rFonts w:ascii="Segoe UI" w:hAnsi="Segoe UI" w:cs="Segoe UI"/>
          <w:sz w:val="18"/>
          <w:szCs w:val="18"/>
        </w:rPr>
        <w:t xml:space="preserve"> e índice de masa corporal en escolares chilenos. Salud Pública </w:t>
      </w:r>
      <w:proofErr w:type="spellStart"/>
      <w:r w:rsidRPr="00CA7320">
        <w:rPr>
          <w:rFonts w:ascii="Segoe UI" w:hAnsi="Segoe UI" w:cs="Segoe UI"/>
          <w:sz w:val="18"/>
          <w:szCs w:val="18"/>
        </w:rPr>
        <w:t>Mex</w:t>
      </w:r>
      <w:proofErr w:type="spellEnd"/>
      <w:r w:rsidRPr="00CA7320">
        <w:rPr>
          <w:rFonts w:ascii="Segoe UI" w:hAnsi="Segoe UI" w:cs="Segoe UI"/>
          <w:sz w:val="18"/>
          <w:szCs w:val="18"/>
        </w:rPr>
        <w:t>. 2015;57(2):128–34.</w:t>
      </w:r>
    </w:p>
  </w:footnote>
  <w:footnote w:id="7">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Jacqueline Alejandra Araneda F, Anna Christina </w:t>
      </w:r>
      <w:proofErr w:type="spellStart"/>
      <w:r w:rsidRPr="00CA7320">
        <w:rPr>
          <w:rFonts w:ascii="Segoe UI" w:hAnsi="Segoe UI" w:cs="Segoe UI"/>
          <w:sz w:val="18"/>
          <w:szCs w:val="18"/>
        </w:rPr>
        <w:t>Pinheiro</w:t>
      </w:r>
      <w:proofErr w:type="spellEnd"/>
      <w:r w:rsidRPr="00CA7320">
        <w:rPr>
          <w:rFonts w:ascii="Segoe UI" w:hAnsi="Segoe UI" w:cs="Segoe UI"/>
          <w:sz w:val="18"/>
          <w:szCs w:val="18"/>
        </w:rPr>
        <w:t xml:space="preserve"> F, </w:t>
      </w:r>
      <w:proofErr w:type="spellStart"/>
      <w:r w:rsidRPr="00CA7320">
        <w:rPr>
          <w:rFonts w:ascii="Segoe UI" w:hAnsi="Segoe UI" w:cs="Segoe UI"/>
          <w:sz w:val="18"/>
          <w:szCs w:val="18"/>
        </w:rPr>
        <w:t>Osiac</w:t>
      </w:r>
      <w:proofErr w:type="spellEnd"/>
      <w:r w:rsidRPr="00CA7320">
        <w:rPr>
          <w:rFonts w:ascii="Segoe UI" w:hAnsi="Segoe UI" w:cs="Segoe UI"/>
          <w:sz w:val="18"/>
          <w:szCs w:val="18"/>
        </w:rPr>
        <w:t xml:space="preserve"> LR, Alejandra Rodríguez F. Consumo aparente de frutas, hortalizas y alimentos </w:t>
      </w:r>
      <w:proofErr w:type="spellStart"/>
      <w:r w:rsidRPr="00CA7320">
        <w:rPr>
          <w:rFonts w:ascii="Segoe UI" w:hAnsi="Segoe UI" w:cs="Segoe UI"/>
          <w:sz w:val="18"/>
          <w:szCs w:val="18"/>
        </w:rPr>
        <w:t>ultraprocesados</w:t>
      </w:r>
      <w:proofErr w:type="spellEnd"/>
      <w:r w:rsidRPr="00CA7320">
        <w:rPr>
          <w:rFonts w:ascii="Segoe UI" w:hAnsi="Segoe UI" w:cs="Segoe UI"/>
          <w:sz w:val="18"/>
          <w:szCs w:val="18"/>
        </w:rPr>
        <w:t xml:space="preserve"> en la población chilena. </w:t>
      </w:r>
      <w:proofErr w:type="spellStart"/>
      <w:r w:rsidRPr="00CA7320">
        <w:rPr>
          <w:rFonts w:ascii="Segoe UI" w:hAnsi="Segoe UI" w:cs="Segoe UI"/>
          <w:sz w:val="18"/>
          <w:szCs w:val="18"/>
        </w:rPr>
        <w:t>Rev</w:t>
      </w:r>
      <w:proofErr w:type="spellEnd"/>
      <w:r w:rsidRPr="00CA7320">
        <w:rPr>
          <w:rFonts w:ascii="Segoe UI" w:hAnsi="Segoe UI" w:cs="Segoe UI"/>
          <w:sz w:val="18"/>
          <w:szCs w:val="18"/>
        </w:rPr>
        <w:t xml:space="preserve"> </w:t>
      </w:r>
      <w:proofErr w:type="spellStart"/>
      <w:r w:rsidRPr="00CA7320">
        <w:rPr>
          <w:rFonts w:ascii="Segoe UI" w:hAnsi="Segoe UI" w:cs="Segoe UI"/>
          <w:sz w:val="18"/>
          <w:szCs w:val="18"/>
        </w:rPr>
        <w:t>Chil</w:t>
      </w:r>
      <w:proofErr w:type="spellEnd"/>
      <w:r w:rsidRPr="00CA7320">
        <w:rPr>
          <w:rFonts w:ascii="Segoe UI" w:hAnsi="Segoe UI" w:cs="Segoe UI"/>
          <w:sz w:val="18"/>
          <w:szCs w:val="18"/>
        </w:rPr>
        <w:t xml:space="preserve"> </w:t>
      </w:r>
      <w:proofErr w:type="spellStart"/>
      <w:r w:rsidRPr="00CA7320">
        <w:rPr>
          <w:rFonts w:ascii="Segoe UI" w:hAnsi="Segoe UI" w:cs="Segoe UI"/>
          <w:sz w:val="18"/>
          <w:szCs w:val="18"/>
        </w:rPr>
        <w:t>Nutr</w:t>
      </w:r>
      <w:proofErr w:type="spellEnd"/>
      <w:r w:rsidRPr="00CA7320">
        <w:rPr>
          <w:rFonts w:ascii="Segoe UI" w:hAnsi="Segoe UI" w:cs="Segoe UI"/>
          <w:sz w:val="18"/>
          <w:szCs w:val="18"/>
        </w:rPr>
        <w:t>. 2016;43(3).</w:t>
      </w:r>
    </w:p>
  </w:footnote>
  <w:footnote w:id="8">
    <w:p w:rsidR="00AD396C" w:rsidRPr="00CA7320" w:rsidRDefault="00AD396C" w:rsidP="00CA7320">
      <w:pPr>
        <w:pStyle w:val="Textonotapie"/>
        <w:contextualSpacing/>
        <w:jc w:val="both"/>
        <w:rPr>
          <w:rFonts w:ascii="Segoe UI" w:hAnsi="Segoe UI" w:cs="Segoe UI"/>
          <w:sz w:val="18"/>
          <w:szCs w:val="18"/>
          <w:lang w:val="en-US"/>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Castillo R V, Escalona B J, Rodríguez G C. Hábitos alimentarios en la población escolar chilena: Análisis comparativo por tipo de establecimiento educacional. </w:t>
      </w:r>
      <w:r w:rsidRPr="00CA7320">
        <w:rPr>
          <w:rFonts w:ascii="Segoe UI" w:hAnsi="Segoe UI" w:cs="Segoe UI"/>
          <w:sz w:val="18"/>
          <w:szCs w:val="18"/>
          <w:lang w:val="en-US"/>
        </w:rPr>
        <w:t xml:space="preserve">Rev </w:t>
      </w:r>
      <w:proofErr w:type="spellStart"/>
      <w:r w:rsidRPr="00CA7320">
        <w:rPr>
          <w:rFonts w:ascii="Segoe UI" w:hAnsi="Segoe UI" w:cs="Segoe UI"/>
          <w:sz w:val="18"/>
          <w:szCs w:val="18"/>
          <w:lang w:val="en-US"/>
        </w:rPr>
        <w:t>Chil</w:t>
      </w:r>
      <w:proofErr w:type="spellEnd"/>
      <w:r w:rsidRPr="00CA7320">
        <w:rPr>
          <w:rFonts w:ascii="Segoe UI" w:hAnsi="Segoe UI" w:cs="Segoe UI"/>
          <w:sz w:val="18"/>
          <w:szCs w:val="18"/>
          <w:lang w:val="en-US"/>
        </w:rPr>
        <w:t xml:space="preserve"> </w:t>
      </w:r>
      <w:proofErr w:type="spellStart"/>
      <w:r w:rsidRPr="00CA7320">
        <w:rPr>
          <w:rFonts w:ascii="Segoe UI" w:hAnsi="Segoe UI" w:cs="Segoe UI"/>
          <w:sz w:val="18"/>
          <w:szCs w:val="18"/>
          <w:lang w:val="en-US"/>
        </w:rPr>
        <w:t>Nutr</w:t>
      </w:r>
      <w:proofErr w:type="spellEnd"/>
      <w:r w:rsidRPr="00CA7320">
        <w:rPr>
          <w:rFonts w:ascii="Segoe UI" w:hAnsi="Segoe UI" w:cs="Segoe UI"/>
          <w:sz w:val="18"/>
          <w:szCs w:val="18"/>
          <w:lang w:val="en-US"/>
        </w:rPr>
        <w:t>. 2016 Mar;43(1):06–11</w:t>
      </w:r>
    </w:p>
  </w:footnote>
  <w:footnote w:id="9">
    <w:p w:rsidR="00AD396C" w:rsidRPr="00CA7320" w:rsidRDefault="00AD396C" w:rsidP="00CA7320">
      <w:pPr>
        <w:pStyle w:val="Textonotapie"/>
        <w:contextualSpacing/>
        <w:jc w:val="both"/>
        <w:rPr>
          <w:rFonts w:ascii="Segoe UI" w:hAnsi="Segoe UI" w:cs="Segoe UI"/>
          <w:sz w:val="18"/>
          <w:szCs w:val="18"/>
          <w:lang w:val="en-US"/>
        </w:rPr>
      </w:pPr>
      <w:r w:rsidRPr="00CA7320">
        <w:rPr>
          <w:rStyle w:val="Refdenotaalpie"/>
          <w:rFonts w:ascii="Segoe UI" w:hAnsi="Segoe UI" w:cs="Segoe UI"/>
          <w:sz w:val="18"/>
          <w:szCs w:val="18"/>
        </w:rPr>
        <w:footnoteRef/>
      </w:r>
      <w:r w:rsidRPr="00CA7320">
        <w:rPr>
          <w:rFonts w:ascii="Segoe UI" w:hAnsi="Segoe UI" w:cs="Segoe UI"/>
          <w:sz w:val="18"/>
          <w:szCs w:val="18"/>
          <w:lang w:val="en-US"/>
        </w:rPr>
        <w:t xml:space="preserve"> Mohammed SH, </w:t>
      </w:r>
      <w:proofErr w:type="spellStart"/>
      <w:r w:rsidRPr="00CA7320">
        <w:rPr>
          <w:rFonts w:ascii="Segoe UI" w:hAnsi="Segoe UI" w:cs="Segoe UI"/>
          <w:sz w:val="18"/>
          <w:szCs w:val="18"/>
          <w:lang w:val="en-US"/>
        </w:rPr>
        <w:t>Habtewold</w:t>
      </w:r>
      <w:proofErr w:type="spellEnd"/>
      <w:r w:rsidRPr="00CA7320">
        <w:rPr>
          <w:rFonts w:ascii="Segoe UI" w:hAnsi="Segoe UI" w:cs="Segoe UI"/>
          <w:sz w:val="18"/>
          <w:szCs w:val="18"/>
          <w:lang w:val="en-US"/>
        </w:rPr>
        <w:t xml:space="preserve"> TD, </w:t>
      </w:r>
      <w:proofErr w:type="spellStart"/>
      <w:r w:rsidRPr="00CA7320">
        <w:rPr>
          <w:rFonts w:ascii="Segoe UI" w:hAnsi="Segoe UI" w:cs="Segoe UI"/>
          <w:sz w:val="18"/>
          <w:szCs w:val="18"/>
          <w:lang w:val="en-US"/>
        </w:rPr>
        <w:t>Birhanu</w:t>
      </w:r>
      <w:proofErr w:type="spellEnd"/>
      <w:r w:rsidRPr="00CA7320">
        <w:rPr>
          <w:rFonts w:ascii="Segoe UI" w:hAnsi="Segoe UI" w:cs="Segoe UI"/>
          <w:sz w:val="18"/>
          <w:szCs w:val="18"/>
          <w:lang w:val="en-US"/>
        </w:rPr>
        <w:t xml:space="preserve"> MM, </w:t>
      </w:r>
      <w:proofErr w:type="spellStart"/>
      <w:r w:rsidRPr="00CA7320">
        <w:rPr>
          <w:rFonts w:ascii="Segoe UI" w:hAnsi="Segoe UI" w:cs="Segoe UI"/>
          <w:sz w:val="18"/>
          <w:szCs w:val="18"/>
          <w:lang w:val="en-US"/>
        </w:rPr>
        <w:t>Sissay</w:t>
      </w:r>
      <w:proofErr w:type="spellEnd"/>
      <w:r w:rsidRPr="00CA7320">
        <w:rPr>
          <w:rFonts w:ascii="Segoe UI" w:hAnsi="Segoe UI" w:cs="Segoe UI"/>
          <w:sz w:val="18"/>
          <w:szCs w:val="18"/>
          <w:lang w:val="en-US"/>
        </w:rPr>
        <w:t xml:space="preserve"> TA, </w:t>
      </w:r>
      <w:proofErr w:type="spellStart"/>
      <w:r w:rsidRPr="00CA7320">
        <w:rPr>
          <w:rFonts w:ascii="Segoe UI" w:hAnsi="Segoe UI" w:cs="Segoe UI"/>
          <w:sz w:val="18"/>
          <w:szCs w:val="18"/>
          <w:lang w:val="en-US"/>
        </w:rPr>
        <w:t>Tegegne</w:t>
      </w:r>
      <w:proofErr w:type="spellEnd"/>
      <w:r w:rsidRPr="00CA7320">
        <w:rPr>
          <w:rFonts w:ascii="Segoe UI" w:hAnsi="Segoe UI" w:cs="Segoe UI"/>
          <w:sz w:val="18"/>
          <w:szCs w:val="18"/>
          <w:lang w:val="en-US"/>
        </w:rPr>
        <w:t xml:space="preserve"> BS, </w:t>
      </w:r>
      <w:proofErr w:type="spellStart"/>
      <w:r w:rsidRPr="00CA7320">
        <w:rPr>
          <w:rFonts w:ascii="Segoe UI" w:hAnsi="Segoe UI" w:cs="Segoe UI"/>
          <w:sz w:val="18"/>
          <w:szCs w:val="18"/>
          <w:lang w:val="en-US"/>
        </w:rPr>
        <w:t>Abuzerr</w:t>
      </w:r>
      <w:proofErr w:type="spellEnd"/>
      <w:r w:rsidRPr="00CA7320">
        <w:rPr>
          <w:rFonts w:ascii="Segoe UI" w:hAnsi="Segoe UI" w:cs="Segoe UI"/>
          <w:sz w:val="18"/>
          <w:szCs w:val="18"/>
          <w:lang w:val="en-US"/>
        </w:rPr>
        <w:t xml:space="preserve"> S, et al. </w:t>
      </w:r>
      <w:proofErr w:type="spellStart"/>
      <w:r w:rsidRPr="00CA7320">
        <w:rPr>
          <w:rFonts w:ascii="Segoe UI" w:hAnsi="Segoe UI" w:cs="Segoe UI"/>
          <w:sz w:val="18"/>
          <w:szCs w:val="18"/>
          <w:lang w:val="en-US"/>
        </w:rPr>
        <w:t>Neighbourhood</w:t>
      </w:r>
      <w:proofErr w:type="spellEnd"/>
      <w:r w:rsidRPr="00CA7320">
        <w:rPr>
          <w:rFonts w:ascii="Segoe UI" w:hAnsi="Segoe UI" w:cs="Segoe UI"/>
          <w:sz w:val="18"/>
          <w:szCs w:val="18"/>
          <w:lang w:val="en-US"/>
        </w:rPr>
        <w:t xml:space="preserve"> socioeconomic status and overweight/obesity: A systematic review and meta-analysis of epidemiological studies. BMJ Open. 2019</w:t>
      </w:r>
      <w:proofErr w:type="gramStart"/>
      <w:r w:rsidRPr="00CA7320">
        <w:rPr>
          <w:rFonts w:ascii="Segoe UI" w:hAnsi="Segoe UI" w:cs="Segoe UI"/>
          <w:sz w:val="18"/>
          <w:szCs w:val="18"/>
          <w:lang w:val="en-US"/>
        </w:rPr>
        <w:t>;9</w:t>
      </w:r>
      <w:proofErr w:type="gramEnd"/>
      <w:r w:rsidRPr="00CA7320">
        <w:rPr>
          <w:rFonts w:ascii="Segoe UI" w:hAnsi="Segoe UI" w:cs="Segoe UI"/>
          <w:sz w:val="18"/>
          <w:szCs w:val="18"/>
          <w:lang w:val="en-US"/>
        </w:rPr>
        <w:t>(11):1–12.</w:t>
      </w:r>
    </w:p>
  </w:footnote>
  <w:footnote w:id="10">
    <w:p w:rsidR="00AD396C" w:rsidRPr="00CA7320" w:rsidRDefault="00AD396C" w:rsidP="00CA7320">
      <w:pPr>
        <w:pStyle w:val="Textonotapie"/>
        <w:contextualSpacing/>
        <w:jc w:val="both"/>
        <w:rPr>
          <w:rFonts w:ascii="Segoe UI" w:hAnsi="Segoe UI" w:cs="Segoe UI"/>
          <w:sz w:val="18"/>
          <w:szCs w:val="18"/>
          <w:lang w:val="en-US"/>
        </w:rPr>
      </w:pPr>
      <w:r w:rsidRPr="00CA7320">
        <w:rPr>
          <w:rStyle w:val="Refdenotaalpie"/>
          <w:rFonts w:ascii="Segoe UI" w:hAnsi="Segoe UI" w:cs="Segoe UI"/>
          <w:sz w:val="18"/>
          <w:szCs w:val="18"/>
        </w:rPr>
        <w:footnoteRef/>
      </w:r>
      <w:r w:rsidRPr="00CA7320">
        <w:rPr>
          <w:rFonts w:ascii="Segoe UI" w:hAnsi="Segoe UI" w:cs="Segoe UI"/>
          <w:sz w:val="18"/>
          <w:szCs w:val="18"/>
          <w:lang w:val="en-US"/>
        </w:rPr>
        <w:t xml:space="preserve"> Cummins S, Macintyre S. Food environments and obesity - </w:t>
      </w:r>
      <w:proofErr w:type="spellStart"/>
      <w:r w:rsidRPr="00CA7320">
        <w:rPr>
          <w:rFonts w:ascii="Segoe UI" w:hAnsi="Segoe UI" w:cs="Segoe UI"/>
          <w:sz w:val="18"/>
          <w:szCs w:val="18"/>
          <w:lang w:val="en-US"/>
        </w:rPr>
        <w:t>Neighbourhood</w:t>
      </w:r>
      <w:proofErr w:type="spellEnd"/>
      <w:r w:rsidRPr="00CA7320">
        <w:rPr>
          <w:rFonts w:ascii="Segoe UI" w:hAnsi="Segoe UI" w:cs="Segoe UI"/>
          <w:sz w:val="18"/>
          <w:szCs w:val="18"/>
          <w:lang w:val="en-US"/>
        </w:rPr>
        <w:t xml:space="preserve"> or nation?  </w:t>
      </w:r>
      <w:proofErr w:type="spellStart"/>
      <w:r w:rsidRPr="00CA7320">
        <w:rPr>
          <w:rFonts w:ascii="Segoe UI" w:hAnsi="Segoe UI" w:cs="Segoe UI"/>
          <w:sz w:val="18"/>
          <w:szCs w:val="18"/>
          <w:lang w:val="en-US"/>
        </w:rPr>
        <w:t>Int</w:t>
      </w:r>
      <w:proofErr w:type="spellEnd"/>
      <w:r w:rsidRPr="00CA7320">
        <w:rPr>
          <w:rFonts w:ascii="Segoe UI" w:hAnsi="Segoe UI" w:cs="Segoe UI"/>
          <w:sz w:val="18"/>
          <w:szCs w:val="18"/>
          <w:lang w:val="en-US"/>
        </w:rPr>
        <w:t xml:space="preserve"> J </w:t>
      </w:r>
      <w:proofErr w:type="spellStart"/>
      <w:r w:rsidRPr="00CA7320">
        <w:rPr>
          <w:rFonts w:ascii="Segoe UI" w:hAnsi="Segoe UI" w:cs="Segoe UI"/>
          <w:sz w:val="18"/>
          <w:szCs w:val="18"/>
          <w:lang w:val="en-US"/>
        </w:rPr>
        <w:t>Epidemiol</w:t>
      </w:r>
      <w:proofErr w:type="spellEnd"/>
      <w:r w:rsidRPr="00CA7320">
        <w:rPr>
          <w:rFonts w:ascii="Segoe UI" w:hAnsi="Segoe UI" w:cs="Segoe UI"/>
          <w:sz w:val="18"/>
          <w:szCs w:val="18"/>
          <w:lang w:val="en-US"/>
        </w:rPr>
        <w:t>. 2006</w:t>
      </w:r>
      <w:proofErr w:type="gramStart"/>
      <w:r w:rsidRPr="00CA7320">
        <w:rPr>
          <w:rFonts w:ascii="Segoe UI" w:hAnsi="Segoe UI" w:cs="Segoe UI"/>
          <w:sz w:val="18"/>
          <w:szCs w:val="18"/>
          <w:lang w:val="en-US"/>
        </w:rPr>
        <w:t>;35</w:t>
      </w:r>
      <w:proofErr w:type="gramEnd"/>
      <w:r w:rsidRPr="00CA7320">
        <w:rPr>
          <w:rFonts w:ascii="Segoe UI" w:hAnsi="Segoe UI" w:cs="Segoe UI"/>
          <w:sz w:val="18"/>
          <w:szCs w:val="18"/>
          <w:lang w:val="en-US"/>
        </w:rPr>
        <w:t>(1):100–4.</w:t>
      </w:r>
    </w:p>
  </w:footnote>
  <w:footnote w:id="11">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lang w:val="en-US"/>
        </w:rPr>
        <w:t xml:space="preserve"> </w:t>
      </w:r>
      <w:proofErr w:type="spellStart"/>
      <w:r w:rsidRPr="00CA7320">
        <w:rPr>
          <w:rFonts w:ascii="Segoe UI" w:hAnsi="Segoe UI" w:cs="Segoe UI"/>
          <w:sz w:val="18"/>
          <w:szCs w:val="18"/>
          <w:lang w:val="en-US"/>
        </w:rPr>
        <w:t>Elbel</w:t>
      </w:r>
      <w:proofErr w:type="spellEnd"/>
      <w:r w:rsidRPr="00CA7320">
        <w:rPr>
          <w:rFonts w:ascii="Segoe UI" w:hAnsi="Segoe UI" w:cs="Segoe UI"/>
          <w:sz w:val="18"/>
          <w:szCs w:val="18"/>
          <w:lang w:val="en-US"/>
        </w:rPr>
        <w:t xml:space="preserve"> B, Tamura K, McDermott ZT, Duncan DT, Athens JK, Wu E, et al. Disparities in food access around homes and schools for New York City children. </w:t>
      </w:r>
      <w:proofErr w:type="spellStart"/>
      <w:r w:rsidRPr="00CA7320">
        <w:rPr>
          <w:rFonts w:ascii="Segoe UI" w:hAnsi="Segoe UI" w:cs="Segoe UI"/>
          <w:sz w:val="18"/>
          <w:szCs w:val="18"/>
        </w:rPr>
        <w:t>PLoS</w:t>
      </w:r>
      <w:proofErr w:type="spellEnd"/>
      <w:r w:rsidRPr="00CA7320">
        <w:rPr>
          <w:rFonts w:ascii="Segoe UI" w:hAnsi="Segoe UI" w:cs="Segoe UI"/>
          <w:sz w:val="18"/>
          <w:szCs w:val="18"/>
        </w:rPr>
        <w:t xml:space="preserve"> </w:t>
      </w:r>
      <w:proofErr w:type="spellStart"/>
      <w:r w:rsidRPr="00CA7320">
        <w:rPr>
          <w:rFonts w:ascii="Segoe UI" w:hAnsi="Segoe UI" w:cs="Segoe UI"/>
          <w:sz w:val="18"/>
          <w:szCs w:val="18"/>
        </w:rPr>
        <w:t>One</w:t>
      </w:r>
      <w:proofErr w:type="spellEnd"/>
      <w:r w:rsidRPr="00CA7320">
        <w:rPr>
          <w:rFonts w:ascii="Segoe UI" w:hAnsi="Segoe UI" w:cs="Segoe UI"/>
          <w:sz w:val="18"/>
          <w:szCs w:val="18"/>
        </w:rPr>
        <w:t>. 2019;14(6):1–17.</w:t>
      </w:r>
    </w:p>
  </w:footnote>
  <w:footnote w:id="12">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MINSAL. (2017). Política Nacional de Alimentación y Nutrición. Santiago, Chile. Obtenido de </w:t>
      </w:r>
      <w:hyperlink r:id="rId2" w:history="1">
        <w:r w:rsidRPr="00CA7320">
          <w:rPr>
            <w:rStyle w:val="Hipervnculo"/>
            <w:rFonts w:ascii="Segoe UI" w:hAnsi="Segoe UI" w:cs="Segoe UI"/>
            <w:sz w:val="18"/>
            <w:szCs w:val="18"/>
          </w:rPr>
          <w:t>http://www.bibliotecaminsal.cl/wp/wp-content/uploads/2018/01/BVS_POL%C3%8DTICA-DE-ALIMENTACI%C3%93N-Y-NUTRICI%C3%93N.pdf</w:t>
        </w:r>
      </w:hyperlink>
      <w:r w:rsidRPr="00CA7320">
        <w:rPr>
          <w:rFonts w:ascii="Segoe UI" w:hAnsi="Segoe UI" w:cs="Segoe UI"/>
          <w:sz w:val="18"/>
          <w:szCs w:val="18"/>
        </w:rPr>
        <w:t xml:space="preserve"> </w:t>
      </w:r>
    </w:p>
  </w:footnote>
  <w:footnote w:id="13">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OCDE. Igualdad de Género en Chile [Internet]. 2021 Disponible en: </w:t>
      </w:r>
      <w:hyperlink r:id="rId3" w:history="1">
        <w:r w:rsidRPr="00CA7320">
          <w:rPr>
            <w:rStyle w:val="Hipervnculo"/>
            <w:rFonts w:ascii="Segoe UI" w:hAnsi="Segoe UI" w:cs="Segoe UI"/>
            <w:sz w:val="18"/>
            <w:szCs w:val="18"/>
          </w:rPr>
          <w:t>https://www.oecd.org/development/igualdad-de-genero-en-chile-c7105c4des.ht</w:t>
        </w:r>
      </w:hyperlink>
    </w:p>
  </w:footnote>
  <w:footnote w:id="14">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Ministerio de Desarrollo Social de Chile. Pobreza Multidimensional con Entorno y Redes: Anexo Programación de Indicadores y Medición [Internet]. 2015. </w:t>
      </w:r>
      <w:proofErr w:type="spellStart"/>
      <w:r w:rsidRPr="00CA7320">
        <w:rPr>
          <w:rFonts w:ascii="Segoe UI" w:hAnsi="Segoe UI" w:cs="Segoe UI"/>
          <w:sz w:val="18"/>
          <w:szCs w:val="18"/>
        </w:rPr>
        <w:t>Available</w:t>
      </w:r>
      <w:proofErr w:type="spellEnd"/>
      <w:r w:rsidRPr="00CA7320">
        <w:rPr>
          <w:rFonts w:ascii="Segoe UI" w:hAnsi="Segoe UI" w:cs="Segoe UI"/>
          <w:sz w:val="18"/>
          <w:szCs w:val="18"/>
        </w:rPr>
        <w:t xml:space="preserve"> </w:t>
      </w:r>
      <w:proofErr w:type="spellStart"/>
      <w:r w:rsidRPr="00CA7320">
        <w:rPr>
          <w:rFonts w:ascii="Segoe UI" w:hAnsi="Segoe UI" w:cs="Segoe UI"/>
          <w:sz w:val="18"/>
          <w:szCs w:val="18"/>
        </w:rPr>
        <w:t>from</w:t>
      </w:r>
      <w:proofErr w:type="spellEnd"/>
      <w:r w:rsidRPr="00CA7320">
        <w:rPr>
          <w:rFonts w:ascii="Segoe UI" w:hAnsi="Segoe UI" w:cs="Segoe UI"/>
          <w:sz w:val="18"/>
          <w:szCs w:val="18"/>
        </w:rPr>
        <w:t xml:space="preserve">: </w:t>
      </w:r>
      <w:hyperlink r:id="rId4" w:history="1">
        <w:r w:rsidRPr="00CA7320">
          <w:rPr>
            <w:rStyle w:val="Hipervnculo"/>
            <w:rFonts w:ascii="Segoe UI" w:hAnsi="Segoe UI" w:cs="Segoe UI"/>
            <w:sz w:val="18"/>
            <w:szCs w:val="18"/>
          </w:rPr>
          <w:t>http://observatorio.ministeriodesarrollosocial.gob.cl/documentos/Pobreza_Multidim ensional_Programacion_Indicadores_Medicion_2abr14_publicado.pdf</w:t>
        </w:r>
      </w:hyperlink>
    </w:p>
  </w:footnote>
  <w:footnote w:id="15">
    <w:p w:rsidR="00D94CB0" w:rsidRPr="00CA7320" w:rsidRDefault="00D94CB0" w:rsidP="00CA7320">
      <w:pPr>
        <w:pStyle w:val="Textonotapie"/>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Los alimentos son trasladados desde sus respectivos territorios de producción hacia la capital, principalmente al mercado mayorista de mayor magnitud del país (Lo </w:t>
      </w:r>
      <w:proofErr w:type="spellStart"/>
      <w:r w:rsidRPr="00CA7320">
        <w:rPr>
          <w:rFonts w:ascii="Segoe UI" w:hAnsi="Segoe UI" w:cs="Segoe UI"/>
          <w:sz w:val="18"/>
          <w:szCs w:val="18"/>
        </w:rPr>
        <w:t>Valledor</w:t>
      </w:r>
      <w:proofErr w:type="spellEnd"/>
      <w:r w:rsidRPr="00CA7320">
        <w:rPr>
          <w:rFonts w:ascii="Segoe UI" w:hAnsi="Segoe UI" w:cs="Segoe UI"/>
          <w:sz w:val="18"/>
          <w:szCs w:val="18"/>
        </w:rPr>
        <w:t>), para luego ser redistribuido mediante intermediarios a las regiones de origen</w:t>
      </w:r>
    </w:p>
  </w:footnote>
  <w:footnote w:id="16">
    <w:p w:rsidR="00D94CB0" w:rsidRPr="00CA7320" w:rsidRDefault="00D94CB0" w:rsidP="00CA7320">
      <w:pPr>
        <w:pStyle w:val="Textonotapie"/>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Frutas, aves, cerdos y productos vitivinícolas</w:t>
      </w:r>
    </w:p>
  </w:footnote>
  <w:footnote w:id="17">
    <w:p w:rsidR="00AD396C" w:rsidRPr="00CA7320" w:rsidRDefault="00AD396C" w:rsidP="00CA7320">
      <w:pPr>
        <w:pStyle w:val="Textonotapie"/>
        <w:jc w:val="both"/>
        <w:rPr>
          <w:rFonts w:ascii="Segoe UI" w:hAnsi="Segoe UI" w:cs="Segoe UI"/>
          <w:sz w:val="18"/>
          <w:szCs w:val="18"/>
          <w:lang w:val="es-ES_tradnl"/>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Ministerio de Salud - Gobierno de Chile. Norma Técnica Programas Alimentarios [Internet]. Santiago de Chile; 2021 </w:t>
      </w:r>
      <w:hyperlink r:id="rId5" w:history="1">
        <w:r w:rsidRPr="00CA7320">
          <w:rPr>
            <w:rStyle w:val="Hipervnculo"/>
            <w:rFonts w:ascii="Segoe UI" w:hAnsi="Segoe UI" w:cs="Segoe UI"/>
            <w:sz w:val="18"/>
            <w:szCs w:val="18"/>
          </w:rPr>
          <w:t>https://dipol.minsal.cl/wp-content/uploads/2021/07/2021.05.20_NORMA-TECNICA-PROGRAMAS-ALIMENTARIOS-DIAGRAMADA.pdf</w:t>
        </w:r>
      </w:hyperlink>
      <w:r w:rsidRPr="00CA7320">
        <w:rPr>
          <w:rFonts w:ascii="Segoe UI" w:hAnsi="Segoe UI" w:cs="Segoe UI"/>
          <w:sz w:val="18"/>
          <w:szCs w:val="18"/>
        </w:rPr>
        <w:t xml:space="preserve">. </w:t>
      </w:r>
    </w:p>
  </w:footnote>
  <w:footnote w:id="18">
    <w:p w:rsidR="00CA7320" w:rsidRPr="00CA7320" w:rsidRDefault="00CA7320" w:rsidP="00CA7320">
      <w:pPr>
        <w:pStyle w:val="Textonotapie"/>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Todos los pesticidas que se utilizan deben estar registrados en el SAG, sometiéndose previamente a una evaluación de su seguridad y efectividad antes de ser registrados. Asimismo, todos los productos pesticidas deben tener etiquetas que contengan información detallada sobre su uso y los riesgos asociados a su aplicación, incluyendo advertencias sobre los peligros de la exposición y la necesidad de seguir las instrucciones de uso.</w:t>
      </w:r>
    </w:p>
  </w:footnote>
  <w:footnote w:id="19">
    <w:p w:rsidR="00D94CB0" w:rsidRPr="00CA7320" w:rsidRDefault="00D94CB0" w:rsidP="00CA7320">
      <w:pPr>
        <w:pStyle w:val="Textonotapie"/>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ACHIPIA contribuye a la coordinación de los organismos públicos que se dedican a la inspección y fiscalización de los alimentos: trabaja con el Ministerio de Salud, el Servicio Agrícola y Ganadero, SAG, el Servicio Nacional de Pesca y Acuicultura, SERNAPESCA y en el ámbito internacional y en lo relativo a la posición país en torno a estas materias con la Subsecretaria de Relaciones Económicas Internacionales (SUBREI).</w:t>
      </w:r>
    </w:p>
  </w:footnote>
  <w:footnote w:id="20">
    <w:p w:rsidR="00AD396C" w:rsidRPr="00CA7320" w:rsidRDefault="00AD396C" w:rsidP="00CA7320">
      <w:pPr>
        <w:pStyle w:val="Textonotapie"/>
        <w:contextualSpacing/>
        <w:jc w:val="both"/>
        <w:rPr>
          <w:rFonts w:ascii="Segoe UI" w:hAnsi="Segoe UI" w:cs="Segoe UI"/>
          <w:sz w:val="18"/>
          <w:szCs w:val="18"/>
          <w:lang w:val="es-ES"/>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Ministerio de Salud - Gobierno de Chile. Continuidad de la Atención Primaria de Salud, para niños y niñas en el contexto de alerta sanitaria COVID-19 [Internet]. Santiago de Chile. Agosto 2020. </w:t>
      </w:r>
      <w:hyperlink r:id="rId6" w:history="1">
        <w:r w:rsidRPr="00CA7320">
          <w:rPr>
            <w:rStyle w:val="Hipervnculo"/>
            <w:rFonts w:ascii="Segoe UI" w:hAnsi="Segoe UI" w:cs="Segoe UI"/>
            <w:sz w:val="18"/>
            <w:szCs w:val="18"/>
          </w:rPr>
          <w:t>https://diprece.minsal.cl/wp-content/uploads/2020/08/Continuidad-para-la-Atencion-Primaria-de-Salud-de-nin%CC%83os-y-nin%CC%83a</w:t>
        </w:r>
        <w:r w:rsidRPr="00CA7320">
          <w:rPr>
            <w:rStyle w:val="Hipervnculo"/>
            <w:rFonts w:ascii="Segoe UI" w:hAnsi="Segoe UI" w:cs="Segoe UI"/>
            <w:sz w:val="18"/>
            <w:szCs w:val="18"/>
            <w:lang w:val="es-ES"/>
          </w:rPr>
          <w:t>s-en-contexto-COVID_V3.pdf</w:t>
        </w:r>
      </w:hyperlink>
      <w:r w:rsidRPr="00CA7320">
        <w:rPr>
          <w:rFonts w:ascii="Segoe UI" w:hAnsi="Segoe UI" w:cs="Segoe UI"/>
          <w:sz w:val="18"/>
          <w:szCs w:val="18"/>
          <w:lang w:val="es-ES"/>
        </w:rPr>
        <w:t xml:space="preserve">. </w:t>
      </w:r>
    </w:p>
  </w:footnote>
  <w:footnote w:id="21">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JUNAEB. Abril 2021. </w:t>
      </w:r>
      <w:hyperlink r:id="rId7" w:history="1">
        <w:r w:rsidRPr="00CA7320">
          <w:rPr>
            <w:rStyle w:val="Hipervnculo"/>
            <w:rFonts w:ascii="Segoe UI" w:hAnsi="Segoe UI" w:cs="Segoe UI"/>
            <w:sz w:val="18"/>
            <w:szCs w:val="18"/>
          </w:rPr>
          <w:t>https://www.junaeb.cl/archivos/65088</w:t>
        </w:r>
      </w:hyperlink>
      <w:r w:rsidRPr="00CA7320">
        <w:rPr>
          <w:rFonts w:ascii="Segoe UI" w:hAnsi="Segoe UI" w:cs="Segoe UI"/>
          <w:sz w:val="18"/>
          <w:szCs w:val="18"/>
        </w:rPr>
        <w:t>.</w:t>
      </w:r>
    </w:p>
  </w:footnote>
  <w:footnote w:id="22">
    <w:p w:rsidR="00AD396C" w:rsidRPr="00CA7320" w:rsidRDefault="00AD396C" w:rsidP="00CA7320">
      <w:pPr>
        <w:pStyle w:val="Textonotapie"/>
        <w:contextualSpacing/>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JUNAEB. Manual de Orientaciones Técnicas Beca de Alimentación para la Educación Superior (BAES). Abril 2021. </w:t>
      </w:r>
      <w:hyperlink r:id="rId8" w:history="1">
        <w:r w:rsidRPr="00CA7320">
          <w:rPr>
            <w:rStyle w:val="Hipervnculo"/>
            <w:rFonts w:ascii="Segoe UI" w:hAnsi="Segoe UI" w:cs="Segoe UI"/>
            <w:sz w:val="18"/>
            <w:szCs w:val="18"/>
          </w:rPr>
          <w:t>https://www.junaeb.cl/wp-content/uploads/2021/05/EXENTA-985-2021-APRUEBA-MANUAL-DE-ORIENTACIONES-T%C3%89CNICAS-BECA-DE-ALIMENTACI%C3%93N-PARA-LA-EDUCACI%C3%93N-SUPERIOR.pdf</w:t>
        </w:r>
      </w:hyperlink>
      <w:r w:rsidRPr="00CA7320">
        <w:rPr>
          <w:rFonts w:ascii="Segoe UI" w:hAnsi="Segoe UI" w:cs="Segoe UI"/>
          <w:sz w:val="18"/>
          <w:szCs w:val="18"/>
        </w:rPr>
        <w:t>;</w:t>
      </w:r>
    </w:p>
  </w:footnote>
  <w:footnote w:id="23">
    <w:p w:rsidR="00CA7320" w:rsidRPr="00CA7320" w:rsidRDefault="00CA7320" w:rsidP="00CA7320">
      <w:pPr>
        <w:pStyle w:val="Textonotapie"/>
        <w:jc w:val="both"/>
        <w:rPr>
          <w:rFonts w:ascii="Segoe UI" w:hAnsi="Segoe UI" w:cs="Segoe UI"/>
          <w:sz w:val="18"/>
          <w:szCs w:val="18"/>
        </w:rPr>
      </w:pPr>
      <w:r w:rsidRPr="00CA7320">
        <w:rPr>
          <w:rStyle w:val="Refdenotaalpie"/>
          <w:rFonts w:ascii="Segoe UI" w:hAnsi="Segoe UI" w:cs="Segoe UI"/>
          <w:sz w:val="18"/>
          <w:szCs w:val="18"/>
        </w:rPr>
        <w:footnoteRef/>
      </w:r>
      <w:r w:rsidRPr="00CA7320">
        <w:rPr>
          <w:rFonts w:ascii="Segoe UI" w:hAnsi="Segoe UI" w:cs="Segoe UI"/>
          <w:sz w:val="18"/>
          <w:szCs w:val="18"/>
        </w:rPr>
        <w:t xml:space="preserve"> </w:t>
      </w:r>
      <w:r w:rsidRPr="00CA7320">
        <w:rPr>
          <w:rFonts w:ascii="Segoe UI" w:hAnsi="Segoe UI" w:cs="Segoe UI"/>
          <w:bCs/>
          <w:sz w:val="18"/>
          <w:szCs w:val="18"/>
        </w:rPr>
        <w:t>De acuerdo con la clasificación del Instituto Nacional de Estadísticas (INE) se entenderá por cultivos tradicionales: cereales, tubérculos, legumbres y cultivos industriales.</w:t>
      </w:r>
    </w:p>
  </w:footnote>
  <w:footnote w:id="24">
    <w:p w:rsidR="00CA7320" w:rsidRPr="00CA7320" w:rsidRDefault="00CA7320" w:rsidP="00CA7320">
      <w:pPr>
        <w:pStyle w:val="Textonotapie"/>
        <w:jc w:val="both"/>
        <w:rPr>
          <w:rFonts w:ascii="Segoe UI" w:hAnsi="Segoe UI" w:cs="Segoe UI"/>
          <w:b/>
          <w:bCs/>
          <w:sz w:val="18"/>
          <w:szCs w:val="18"/>
        </w:rPr>
      </w:pPr>
      <w:r w:rsidRPr="00CA7320">
        <w:rPr>
          <w:rStyle w:val="Refdenotaalpie"/>
          <w:rFonts w:ascii="Segoe UI" w:hAnsi="Segoe UI" w:cs="Segoe UI"/>
          <w:bCs/>
          <w:sz w:val="18"/>
          <w:szCs w:val="18"/>
        </w:rPr>
        <w:footnoteRef/>
      </w:r>
      <w:r w:rsidRPr="00CA7320">
        <w:rPr>
          <w:rFonts w:ascii="Segoe UI" w:hAnsi="Segoe UI" w:cs="Segoe UI"/>
          <w:bCs/>
          <w:sz w:val="18"/>
          <w:szCs w:val="18"/>
        </w:rPr>
        <w:t xml:space="preserve"> https://www.sag.gob.cl/ambitos-de-accion/suelo-y-aguas#:~:text=Entre%20las%20funciones%20del%20SAG,adversos%20en%20el%20suelo%20silvoagropecuario.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5AD" w:rsidRPr="00D65F3B" w:rsidRDefault="00CC7FEA">
    <w:pPr>
      <w:pBdr>
        <w:top w:val="nil"/>
        <w:left w:val="nil"/>
        <w:bottom w:val="nil"/>
        <w:right w:val="nil"/>
        <w:between w:val="nil"/>
      </w:pBdr>
      <w:tabs>
        <w:tab w:val="center" w:pos="4252"/>
        <w:tab w:val="right" w:pos="8504"/>
      </w:tabs>
      <w:spacing w:line="240" w:lineRule="auto"/>
      <w:jc w:val="right"/>
      <w:rPr>
        <w:rFonts w:ascii="Segoe UI" w:eastAsia="Quattrocento Sans" w:hAnsi="Segoe UI" w:cs="Segoe UI"/>
        <w:b/>
        <w:color w:val="000000"/>
      </w:rPr>
    </w:pPr>
    <w:r w:rsidRPr="00D65F3B">
      <w:rPr>
        <w:rFonts w:ascii="Segoe UI" w:eastAsia="Quattrocento Sans" w:hAnsi="Segoe UI" w:cs="Segoe UI"/>
        <w:b/>
        <w:color w:val="000000"/>
      </w:rPr>
      <w:tab/>
    </w:r>
    <w:r w:rsidRPr="00D65F3B">
      <w:rPr>
        <w:rFonts w:ascii="Segoe UI" w:eastAsia="Quattrocento Sans" w:hAnsi="Segoe UI" w:cs="Segoe UI"/>
        <w:b/>
        <w:color w:val="000000"/>
      </w:rPr>
      <w:tab/>
    </w:r>
    <w:r w:rsidRPr="00D65F3B">
      <w:rPr>
        <w:rFonts w:ascii="Segoe UI" w:hAnsi="Segoe UI" w:cs="Segoe UI"/>
        <w:noProof/>
        <w:lang w:val="es-ES"/>
      </w:rPr>
      <w:drawing>
        <wp:anchor distT="0" distB="0" distL="0" distR="0" simplePos="0" relativeHeight="251658240" behindDoc="1" locked="0" layoutInCell="1" hidden="0" allowOverlap="1">
          <wp:simplePos x="0" y="0"/>
          <wp:positionH relativeFrom="column">
            <wp:posOffset>-3809</wp:posOffset>
          </wp:positionH>
          <wp:positionV relativeFrom="paragraph">
            <wp:posOffset>-1904</wp:posOffset>
          </wp:positionV>
          <wp:extent cx="1152525" cy="10426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1042675"/>
                  </a:xfrm>
                  <a:prstGeom prst="rect">
                    <a:avLst/>
                  </a:prstGeom>
                  <a:ln/>
                </pic:spPr>
              </pic:pic>
            </a:graphicData>
          </a:graphic>
        </wp:anchor>
      </w:drawing>
    </w:r>
  </w:p>
  <w:p w:rsidR="001335AD" w:rsidRPr="00D65F3B" w:rsidRDefault="00CC7FEA">
    <w:pPr>
      <w:pBdr>
        <w:top w:val="nil"/>
        <w:left w:val="nil"/>
        <w:bottom w:val="nil"/>
        <w:right w:val="nil"/>
        <w:between w:val="nil"/>
      </w:pBdr>
      <w:tabs>
        <w:tab w:val="center" w:pos="4252"/>
        <w:tab w:val="right" w:pos="8504"/>
      </w:tabs>
      <w:spacing w:line="240" w:lineRule="auto"/>
      <w:jc w:val="right"/>
      <w:rPr>
        <w:rFonts w:ascii="Segoe UI" w:eastAsia="Quattrocento Sans" w:hAnsi="Segoe UI" w:cs="Segoe UI"/>
        <w:color w:val="000000"/>
      </w:rPr>
    </w:pPr>
    <w:r w:rsidRPr="00D65F3B">
      <w:rPr>
        <w:rFonts w:ascii="Segoe UI" w:eastAsia="Quattrocento Sans" w:hAnsi="Segoe UI" w:cs="Segoe UI"/>
        <w:color w:val="000000"/>
      </w:rPr>
      <w:t>Ministerio de Relaciones Exteriores</w:t>
    </w:r>
  </w:p>
  <w:p w:rsidR="001335AD" w:rsidRPr="00D65F3B" w:rsidRDefault="00CC7FEA" w:rsidP="00105840">
    <w:pPr>
      <w:pBdr>
        <w:top w:val="nil"/>
        <w:left w:val="nil"/>
        <w:bottom w:val="nil"/>
        <w:right w:val="nil"/>
        <w:between w:val="nil"/>
      </w:pBdr>
      <w:tabs>
        <w:tab w:val="center" w:pos="4252"/>
        <w:tab w:val="right" w:pos="8504"/>
      </w:tabs>
      <w:spacing w:line="240" w:lineRule="auto"/>
      <w:jc w:val="right"/>
      <w:rPr>
        <w:rFonts w:ascii="Segoe UI" w:eastAsia="Quattrocento Sans" w:hAnsi="Segoe UI" w:cs="Segoe UI"/>
        <w:color w:val="000000"/>
      </w:rPr>
    </w:pPr>
    <w:r w:rsidRPr="00D65F3B">
      <w:rPr>
        <w:rFonts w:ascii="Segoe UI" w:eastAsia="Quattrocento Sans" w:hAnsi="Segoe UI" w:cs="Segoe UI"/>
        <w:color w:val="000000"/>
      </w:rPr>
      <w:t>División de Derechos Humanos</w:t>
    </w:r>
  </w:p>
  <w:p w:rsidR="001335AD" w:rsidRPr="00D65F3B" w:rsidRDefault="000B46C4">
    <w:pPr>
      <w:pBdr>
        <w:top w:val="nil"/>
        <w:left w:val="nil"/>
        <w:bottom w:val="nil"/>
        <w:right w:val="nil"/>
        <w:between w:val="nil"/>
      </w:pBdr>
      <w:tabs>
        <w:tab w:val="center" w:pos="4252"/>
        <w:tab w:val="right" w:pos="8504"/>
      </w:tabs>
      <w:spacing w:line="240" w:lineRule="auto"/>
      <w:jc w:val="right"/>
      <w:rPr>
        <w:rFonts w:ascii="Segoe UI" w:eastAsia="Quattrocento Sans" w:hAnsi="Segoe UI" w:cs="Segoe UI"/>
        <w:color w:val="000000"/>
      </w:rPr>
    </w:pPr>
    <w:r>
      <w:rPr>
        <w:rFonts w:ascii="Segoe UI" w:eastAsia="Quattrocento Sans" w:hAnsi="Segoe UI" w:cs="Segoe UI"/>
        <w:color w:val="000000"/>
      </w:rPr>
      <w:t>6</w:t>
    </w:r>
    <w:r w:rsidR="00CC7FEA" w:rsidRPr="00D65F3B">
      <w:rPr>
        <w:rFonts w:ascii="Segoe UI" w:eastAsia="Quattrocento Sans" w:hAnsi="Segoe UI" w:cs="Segoe UI"/>
        <w:color w:val="000000"/>
      </w:rPr>
      <w:t xml:space="preserve"> de </w:t>
    </w:r>
    <w:r>
      <w:rPr>
        <w:rFonts w:ascii="Segoe UI" w:eastAsia="Quattrocento Sans" w:hAnsi="Segoe UI" w:cs="Segoe UI"/>
        <w:color w:val="000000"/>
      </w:rPr>
      <w:t>abril</w:t>
    </w:r>
    <w:r w:rsidR="00CC7FEA" w:rsidRPr="00D65F3B">
      <w:rPr>
        <w:rFonts w:ascii="Segoe UI" w:eastAsia="Quattrocento Sans" w:hAnsi="Segoe UI" w:cs="Segoe UI"/>
        <w:color w:val="000000"/>
      </w:rPr>
      <w:t xml:space="preserve"> de 2023</w:t>
    </w:r>
  </w:p>
  <w:p w:rsidR="001335AD" w:rsidRDefault="001335AD">
    <w:pPr>
      <w:pBdr>
        <w:top w:val="nil"/>
        <w:left w:val="nil"/>
        <w:bottom w:val="nil"/>
        <w:right w:val="nil"/>
        <w:between w:val="nil"/>
      </w:pBdr>
      <w:tabs>
        <w:tab w:val="center" w:pos="4252"/>
        <w:tab w:val="right" w:pos="8504"/>
      </w:tabs>
      <w:spacing w:line="240" w:lineRule="auto"/>
      <w:rPr>
        <w:rFonts w:ascii="Segoe UI" w:hAnsi="Segoe UI" w:cs="Segoe UI"/>
        <w:color w:val="000000"/>
      </w:rPr>
    </w:pPr>
  </w:p>
  <w:p w:rsidR="00C06731" w:rsidRDefault="00C06731">
    <w:pPr>
      <w:pBdr>
        <w:top w:val="nil"/>
        <w:left w:val="nil"/>
        <w:bottom w:val="nil"/>
        <w:right w:val="nil"/>
        <w:between w:val="nil"/>
      </w:pBdr>
      <w:tabs>
        <w:tab w:val="center" w:pos="4252"/>
        <w:tab w:val="right" w:pos="8504"/>
      </w:tabs>
      <w:spacing w:line="240" w:lineRule="auto"/>
      <w:rPr>
        <w:rFonts w:ascii="Segoe UI" w:hAnsi="Segoe UI" w:cs="Segoe UI"/>
        <w:color w:val="000000"/>
      </w:rPr>
    </w:pPr>
  </w:p>
  <w:p w:rsidR="00F3015E" w:rsidRPr="00D65F3B" w:rsidRDefault="00F3015E">
    <w:pPr>
      <w:pBdr>
        <w:top w:val="nil"/>
        <w:left w:val="nil"/>
        <w:bottom w:val="nil"/>
        <w:right w:val="nil"/>
        <w:between w:val="nil"/>
      </w:pBdr>
      <w:tabs>
        <w:tab w:val="center" w:pos="4252"/>
        <w:tab w:val="right" w:pos="8504"/>
      </w:tabs>
      <w:spacing w:line="240" w:lineRule="auto"/>
      <w:rPr>
        <w:rFonts w:ascii="Segoe UI" w:hAnsi="Segoe UI" w:cs="Segoe U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D1A"/>
    <w:multiLevelType w:val="hybridMultilevel"/>
    <w:tmpl w:val="A2C29612"/>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CA1155"/>
    <w:multiLevelType w:val="multilevel"/>
    <w:tmpl w:val="193C5BDC"/>
    <w:lvl w:ilvl="0">
      <w:start w:val="1"/>
      <w:numFmt w:val="decimal"/>
      <w:lvlText w:val="%1."/>
      <w:lvlJc w:val="left"/>
      <w:pPr>
        <w:ind w:left="927"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2" w15:restartNumberingAfterBreak="0">
    <w:nsid w:val="0CFE1AC1"/>
    <w:multiLevelType w:val="hybridMultilevel"/>
    <w:tmpl w:val="24D2DF40"/>
    <w:lvl w:ilvl="0" w:tplc="F6246AFA">
      <w:numFmt w:val="bullet"/>
      <w:lvlText w:val="-"/>
      <w:lvlJc w:val="left"/>
      <w:pPr>
        <w:ind w:left="720" w:hanging="360"/>
      </w:pPr>
      <w:rPr>
        <w:rFonts w:ascii="Verdana" w:eastAsia="Cambria" w:hAnsi="Verdana"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9C30F5"/>
    <w:multiLevelType w:val="hybridMultilevel"/>
    <w:tmpl w:val="D7D222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FA577B"/>
    <w:multiLevelType w:val="hybridMultilevel"/>
    <w:tmpl w:val="56BCE388"/>
    <w:lvl w:ilvl="0" w:tplc="3280E6AE">
      <w:numFmt w:val="bullet"/>
      <w:lvlText w:val="-"/>
      <w:lvlJc w:val="left"/>
      <w:pPr>
        <w:ind w:left="720" w:hanging="360"/>
      </w:pPr>
      <w:rPr>
        <w:rFonts w:ascii="Segoe UI" w:eastAsia="Arial" w:hAnsi="Segoe UI" w:cs="Segoe U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EB6D66"/>
    <w:multiLevelType w:val="hybridMultilevel"/>
    <w:tmpl w:val="5162B3DE"/>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FC505F"/>
    <w:multiLevelType w:val="hybridMultilevel"/>
    <w:tmpl w:val="2C5661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5A5381A"/>
    <w:multiLevelType w:val="hybridMultilevel"/>
    <w:tmpl w:val="E7F896C2"/>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2D28D5"/>
    <w:multiLevelType w:val="multilevel"/>
    <w:tmpl w:val="0ED2F614"/>
    <w:lvl w:ilvl="0">
      <w:numFmt w:val="bullet"/>
      <w:lvlText w:val="-"/>
      <w:lvlJc w:val="left"/>
      <w:pPr>
        <w:ind w:left="360" w:hanging="360"/>
      </w:pPr>
      <w:rPr>
        <w:rFonts w:ascii="Calibri" w:eastAsia="Calibr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3A2D"/>
    <w:multiLevelType w:val="hybridMultilevel"/>
    <w:tmpl w:val="0886534E"/>
    <w:lvl w:ilvl="0" w:tplc="F6246AFA">
      <w:numFmt w:val="bullet"/>
      <w:lvlText w:val="-"/>
      <w:lvlJc w:val="left"/>
      <w:pPr>
        <w:ind w:left="720" w:hanging="360"/>
      </w:pPr>
      <w:rPr>
        <w:rFonts w:ascii="Verdana" w:eastAsia="Cambria" w:hAnsi="Verdana" w:cs="Times New Roman"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185C12"/>
    <w:multiLevelType w:val="hybridMultilevel"/>
    <w:tmpl w:val="D0584B70"/>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846EC7"/>
    <w:multiLevelType w:val="hybridMultilevel"/>
    <w:tmpl w:val="8F4CEB7C"/>
    <w:lvl w:ilvl="0" w:tplc="83DC2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215ACC"/>
    <w:multiLevelType w:val="hybridMultilevel"/>
    <w:tmpl w:val="370E65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E4614DE"/>
    <w:multiLevelType w:val="hybridMultilevel"/>
    <w:tmpl w:val="C6D22038"/>
    <w:lvl w:ilvl="0" w:tplc="506E25AA">
      <w:start w:val="1"/>
      <w:numFmt w:val="lowerLetter"/>
      <w:lvlText w:val="%1)"/>
      <w:lvlJc w:val="left"/>
      <w:pPr>
        <w:ind w:left="927" w:hanging="360"/>
      </w:pPr>
      <w:rPr>
        <w:rFonts w:cs="gobCL" w:hint="default"/>
        <w:b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num w:numId="1">
    <w:abstractNumId w:val="12"/>
  </w:num>
  <w:num w:numId="2">
    <w:abstractNumId w:val="2"/>
  </w:num>
  <w:num w:numId="3">
    <w:abstractNumId w:val="4"/>
  </w:num>
  <w:num w:numId="4">
    <w:abstractNumId w:val="9"/>
  </w:num>
  <w:num w:numId="5">
    <w:abstractNumId w:val="6"/>
  </w:num>
  <w:num w:numId="6">
    <w:abstractNumId w:val="1"/>
  </w:num>
  <w:num w:numId="7">
    <w:abstractNumId w:val="3"/>
  </w:num>
  <w:num w:numId="8">
    <w:abstractNumId w:val="13"/>
  </w:num>
  <w:num w:numId="9">
    <w:abstractNumId w:val="8"/>
  </w:num>
  <w:num w:numId="10">
    <w:abstractNumId w:val="0"/>
  </w:num>
  <w:num w:numId="11">
    <w:abstractNumId w:val="5"/>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AD"/>
    <w:rsid w:val="000249DC"/>
    <w:rsid w:val="000B46C4"/>
    <w:rsid w:val="001026CB"/>
    <w:rsid w:val="00105840"/>
    <w:rsid w:val="001115DB"/>
    <w:rsid w:val="001335AD"/>
    <w:rsid w:val="001A6FFF"/>
    <w:rsid w:val="001B279A"/>
    <w:rsid w:val="001B43CA"/>
    <w:rsid w:val="001D7C53"/>
    <w:rsid w:val="001F7D00"/>
    <w:rsid w:val="00222A1D"/>
    <w:rsid w:val="00222F2A"/>
    <w:rsid w:val="0024100D"/>
    <w:rsid w:val="002C5287"/>
    <w:rsid w:val="002E2DD5"/>
    <w:rsid w:val="002E60B3"/>
    <w:rsid w:val="00392120"/>
    <w:rsid w:val="003932CD"/>
    <w:rsid w:val="0039635A"/>
    <w:rsid w:val="003D3438"/>
    <w:rsid w:val="003E106C"/>
    <w:rsid w:val="003E4ADA"/>
    <w:rsid w:val="0040021F"/>
    <w:rsid w:val="004016B0"/>
    <w:rsid w:val="00406823"/>
    <w:rsid w:val="00457ADE"/>
    <w:rsid w:val="004741E8"/>
    <w:rsid w:val="00481DBA"/>
    <w:rsid w:val="004B2985"/>
    <w:rsid w:val="004F08F9"/>
    <w:rsid w:val="0055008B"/>
    <w:rsid w:val="00594306"/>
    <w:rsid w:val="005A13F7"/>
    <w:rsid w:val="00650956"/>
    <w:rsid w:val="0068445C"/>
    <w:rsid w:val="006E2548"/>
    <w:rsid w:val="006F374D"/>
    <w:rsid w:val="00705A2F"/>
    <w:rsid w:val="007E31FB"/>
    <w:rsid w:val="008205FD"/>
    <w:rsid w:val="00846D8D"/>
    <w:rsid w:val="00862C2A"/>
    <w:rsid w:val="00876623"/>
    <w:rsid w:val="008A3B04"/>
    <w:rsid w:val="008B36C4"/>
    <w:rsid w:val="008C0928"/>
    <w:rsid w:val="008D04E5"/>
    <w:rsid w:val="008D2B19"/>
    <w:rsid w:val="00916156"/>
    <w:rsid w:val="009928C0"/>
    <w:rsid w:val="00995E47"/>
    <w:rsid w:val="009E772E"/>
    <w:rsid w:val="00A0510C"/>
    <w:rsid w:val="00A51A7B"/>
    <w:rsid w:val="00A52649"/>
    <w:rsid w:val="00A53FCD"/>
    <w:rsid w:val="00A84271"/>
    <w:rsid w:val="00A85E7F"/>
    <w:rsid w:val="00A94F4A"/>
    <w:rsid w:val="00AC6E36"/>
    <w:rsid w:val="00AD396C"/>
    <w:rsid w:val="00B00A23"/>
    <w:rsid w:val="00B32A09"/>
    <w:rsid w:val="00B607B8"/>
    <w:rsid w:val="00B94DF2"/>
    <w:rsid w:val="00B966D4"/>
    <w:rsid w:val="00BD622D"/>
    <w:rsid w:val="00BF0E80"/>
    <w:rsid w:val="00C06731"/>
    <w:rsid w:val="00C20C75"/>
    <w:rsid w:val="00C32370"/>
    <w:rsid w:val="00C34475"/>
    <w:rsid w:val="00C358D5"/>
    <w:rsid w:val="00C633C9"/>
    <w:rsid w:val="00C73017"/>
    <w:rsid w:val="00C87890"/>
    <w:rsid w:val="00CA7320"/>
    <w:rsid w:val="00CC7FEA"/>
    <w:rsid w:val="00D16B36"/>
    <w:rsid w:val="00D206E3"/>
    <w:rsid w:val="00D43313"/>
    <w:rsid w:val="00D65F3B"/>
    <w:rsid w:val="00D84EAF"/>
    <w:rsid w:val="00D90AF5"/>
    <w:rsid w:val="00D94CB0"/>
    <w:rsid w:val="00DC628A"/>
    <w:rsid w:val="00DD385A"/>
    <w:rsid w:val="00DD4448"/>
    <w:rsid w:val="00E14D10"/>
    <w:rsid w:val="00E259E3"/>
    <w:rsid w:val="00E42542"/>
    <w:rsid w:val="00E55A50"/>
    <w:rsid w:val="00F3015E"/>
    <w:rsid w:val="00F916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4E882"/>
  <w15:docId w15:val="{84C4BDDC-93AA-48EE-99C4-9730D822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D47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D4738"/>
  </w:style>
  <w:style w:type="paragraph" w:styleId="Piedepgina">
    <w:name w:val="footer"/>
    <w:basedOn w:val="Normal"/>
    <w:link w:val="PiedepginaCar"/>
    <w:uiPriority w:val="99"/>
    <w:unhideWhenUsed/>
    <w:rsid w:val="008D47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D4738"/>
  </w:style>
  <w:style w:type="character" w:styleId="Hipervnculo">
    <w:name w:val="Hyperlink"/>
    <w:basedOn w:val="Fuentedeprrafopredeter"/>
    <w:uiPriority w:val="99"/>
    <w:unhideWhenUsed/>
    <w:rsid w:val="00F07648"/>
    <w:rPr>
      <w:color w:val="0000FF" w:themeColor="hyperlink"/>
      <w:u w:val="single"/>
    </w:r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basedOn w:val="Normal"/>
    <w:link w:val="PrrafodelistaCar"/>
    <w:uiPriority w:val="34"/>
    <w:qFormat/>
    <w:rsid w:val="003E4ADA"/>
    <w:pPr>
      <w:ind w:left="720"/>
      <w:contextualSpacing/>
    </w:pPr>
  </w:style>
  <w:style w:type="paragraph" w:styleId="Textonotapie">
    <w:name w:val="footnote text"/>
    <w:basedOn w:val="Normal"/>
    <w:link w:val="TextonotapieCar"/>
    <w:uiPriority w:val="99"/>
    <w:semiHidden/>
    <w:unhideWhenUsed/>
    <w:rsid w:val="004F08F9"/>
    <w:pPr>
      <w:spacing w:line="240" w:lineRule="auto"/>
    </w:pPr>
    <w:rPr>
      <w:sz w:val="20"/>
      <w:szCs w:val="20"/>
    </w:rPr>
  </w:style>
  <w:style w:type="character" w:customStyle="1" w:styleId="TextonotapieCar">
    <w:name w:val="Texto nota pie Car"/>
    <w:basedOn w:val="Fuentedeprrafopredeter"/>
    <w:link w:val="Textonotapie"/>
    <w:uiPriority w:val="99"/>
    <w:semiHidden/>
    <w:rsid w:val="004F08F9"/>
    <w:rPr>
      <w:sz w:val="20"/>
      <w:szCs w:val="20"/>
    </w:rPr>
  </w:style>
  <w:style w:type="character" w:styleId="Refdenotaalpie">
    <w:name w:val="footnote reference"/>
    <w:basedOn w:val="Fuentedeprrafopredeter"/>
    <w:uiPriority w:val="99"/>
    <w:semiHidden/>
    <w:unhideWhenUsed/>
    <w:rsid w:val="004F08F9"/>
    <w:rPr>
      <w:vertAlign w:val="superscript"/>
    </w:rPr>
  </w:style>
  <w:style w:type="character" w:customStyle="1" w:styleId="PrrafodelistaCar">
    <w:name w:val="Párrafo de lista Car"/>
    <w:link w:val="Prrafodelista"/>
    <w:uiPriority w:val="34"/>
    <w:qFormat/>
    <w:locked/>
    <w:rsid w:val="00AD396C"/>
  </w:style>
  <w:style w:type="paragraph" w:customStyle="1" w:styleId="Default">
    <w:name w:val="Default"/>
    <w:basedOn w:val="Normal"/>
    <w:rsid w:val="00AD396C"/>
    <w:pPr>
      <w:autoSpaceDE w:val="0"/>
      <w:autoSpaceDN w:val="0"/>
      <w:spacing w:line="240" w:lineRule="auto"/>
    </w:pPr>
    <w:rPr>
      <w:rFonts w:ascii="Times New Roman" w:eastAsia="Calibri" w:hAnsi="Times New Roman" w:cs="Times New Roman"/>
      <w:color w:val="000000"/>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75230">
      <w:bodyDiv w:val="1"/>
      <w:marLeft w:val="0"/>
      <w:marRight w:val="0"/>
      <w:marTop w:val="0"/>
      <w:marBottom w:val="0"/>
      <w:divBdr>
        <w:top w:val="none" w:sz="0" w:space="0" w:color="auto"/>
        <w:left w:val="none" w:sz="0" w:space="0" w:color="auto"/>
        <w:bottom w:val="none" w:sz="0" w:space="0" w:color="auto"/>
        <w:right w:val="none" w:sz="0" w:space="0" w:color="auto"/>
      </w:divBdr>
    </w:div>
    <w:div w:id="838737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dhh@minrel.gob.cl"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junaeb.cl/wp-content/uploads/2021/05/EXENTA-985-2021-APRUEBA-MANUAL-DE-ORIENTACIONES-T%C3%89CNICAS-BECA-DE-ALIMENTACI%C3%93N-PARA-LA-EDUCACI%C3%93N-SUPERIOR.pdf" TargetMode="External"/><Relationship Id="rId3" Type="http://schemas.openxmlformats.org/officeDocument/2006/relationships/hyperlink" Target="https://www.oecd.org/development/igualdad-de-genero-en-chile-c7105c4des.ht" TargetMode="External"/><Relationship Id="rId7" Type="http://schemas.openxmlformats.org/officeDocument/2006/relationships/hyperlink" Target="https://www.junaeb.cl/archivos/65088" TargetMode="External"/><Relationship Id="rId2" Type="http://schemas.openxmlformats.org/officeDocument/2006/relationships/hyperlink" Target="http://www.bibliotecaminsal.cl/wp/wp-content/uploads/2018/01/BVS_POL%C3%8DTICA-DE-ALIMENTACI%C3%93N-Y-NUTRICI%C3%93N.pdf" TargetMode="External"/><Relationship Id="rId1" Type="http://schemas.openxmlformats.org/officeDocument/2006/relationships/hyperlink" Target="http://www.bibliotecaminsal.cl/wp/wp-content/uploads/2018/01/BVS_POL%C3%8DTICA-DE-ALIMENTACI%C3%93N-Y-NUTRICI%C3%93N.pdf" TargetMode="External"/><Relationship Id="rId6" Type="http://schemas.openxmlformats.org/officeDocument/2006/relationships/hyperlink" Target="https://diprece.minsal.cl/wp-content/uploads/2020/08/Continuidad-para-la-Atencion-Primaria-de-Salud-de-nin%CC%83os-y-nin%CC%83as-en-contexto-COVID_V3.pdf" TargetMode="External"/><Relationship Id="rId5" Type="http://schemas.openxmlformats.org/officeDocument/2006/relationships/hyperlink" Target="https://dipol.minsal.cl/wp-content/uploads/2021/07/2021.05.20_NORMA-TECNICA-PROGRAMAS-ALIMENTARIOS-DIAGRAMADA.pdf" TargetMode="External"/><Relationship Id="rId4" Type="http://schemas.openxmlformats.org/officeDocument/2006/relationships/hyperlink" Target="http://observatorio.ministeriodesarrollosocial.gob.cl/documentos/Pobreza_Multidim%20ensional_Programacion_Indicadores_Medicion_2abr14_public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j8lY9o7gXi4P/ZlBk6qDx3j7Pw==">AMUW2mVoiW2GxfSWwuRyu6KgBYHXsN70BBL8Kawz9NiC8Cts+EGM/0ho9NglGQks/G5UVIMHt9BNkRnO4uraV4e3XIdPMajtQC7879/H3gx9/9a+cLtgBomsvIMQ3BZcfdwyJz8GOXwffR50zMU2CxAZGS2zmBInNg==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Chile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FE437A-AF72-4AB4-8B63-8AB76E96DB24}">
  <ds:schemaRefs>
    <ds:schemaRef ds:uri="http://schemas.openxmlformats.org/officeDocument/2006/bibliography"/>
  </ds:schemaRefs>
</ds:datastoreItem>
</file>

<file path=customXml/itemProps3.xml><?xml version="1.0" encoding="utf-8"?>
<ds:datastoreItem xmlns:ds="http://schemas.openxmlformats.org/officeDocument/2006/customXml" ds:itemID="{D43A4256-2425-4EE3-8458-CF57C903DC5E}"/>
</file>

<file path=customXml/itemProps4.xml><?xml version="1.0" encoding="utf-8"?>
<ds:datastoreItem xmlns:ds="http://schemas.openxmlformats.org/officeDocument/2006/customXml" ds:itemID="{BD09040B-B536-4099-BF43-252DA1499149}"/>
</file>

<file path=customXml/itemProps5.xml><?xml version="1.0" encoding="utf-8"?>
<ds:datastoreItem xmlns:ds="http://schemas.openxmlformats.org/officeDocument/2006/customXml" ds:itemID="{067EB69C-D389-4ACE-A7C2-EF94459272A4}"/>
</file>

<file path=docProps/app.xml><?xml version="1.0" encoding="utf-8"?>
<Properties xmlns="http://schemas.openxmlformats.org/officeDocument/2006/extended-properties" xmlns:vt="http://schemas.openxmlformats.org/officeDocument/2006/docPropsVTypes">
  <Template>Normal</Template>
  <TotalTime>28</TotalTime>
  <Pages>13</Pages>
  <Words>4379</Words>
  <Characters>24086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Arantxa Ríos Echeverría</dc:creator>
  <cp:lastModifiedBy>Catalina Fernández Carter</cp:lastModifiedBy>
  <cp:revision>5</cp:revision>
  <dcterms:created xsi:type="dcterms:W3CDTF">2023-04-06T19:47:00Z</dcterms:created>
  <dcterms:modified xsi:type="dcterms:W3CDTF">2023-04-06T22:06:00Z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636b3c03aa77d51ff3d76392db0f698e92a88009235fc119e3af1c72612efa55</vt:lpwstr>
  </property>
  <property fmtid="{D5CDD505-2E9C-101B-9397-08002B2CF9AE}" pid="3" name="ContentTypeId">
    <vt:lpwstr>0x0101009D953D6983EF5F4EB0B6A5354F975E96</vt:lpwstr>
  </property>
</Properties>
</file>