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89B0" w14:textId="77777777" w:rsidR="00FC4BF1" w:rsidRDefault="00FC4BF1" w:rsidP="00D362E6">
      <w:pPr>
        <w:shd w:val="clear" w:color="auto" w:fill="FFFFFF"/>
        <w:spacing w:before="30" w:after="30" w:line="240" w:lineRule="auto"/>
        <w:ind w:left="850" w:right="850"/>
        <w:jc w:val="center"/>
        <w:rPr>
          <w:rFonts w:asciiTheme="minorHAnsi" w:eastAsia="Times New Roman" w:hAnsiTheme="minorHAnsi" w:cstheme="minorHAnsi"/>
          <w:b/>
          <w:color w:val="000000"/>
          <w:sz w:val="16"/>
          <w:szCs w:val="16"/>
          <w:lang w:eastAsia="es-MX"/>
        </w:rPr>
      </w:pPr>
    </w:p>
    <w:p w14:paraId="12B54819" w14:textId="54E9839F" w:rsidR="0054187E" w:rsidRDefault="0054187E" w:rsidP="00FC4BF1">
      <w:pPr>
        <w:spacing w:line="276" w:lineRule="auto"/>
        <w:ind w:left="567" w:right="452"/>
        <w:jc w:val="right"/>
        <w:rPr>
          <w:rFonts w:cs="Calibri"/>
          <w:lang w:val="en-US"/>
        </w:rPr>
      </w:pPr>
      <w:r>
        <w:rPr>
          <w:rFonts w:cs="Calibri"/>
          <w:lang w:val="en-US"/>
        </w:rPr>
        <w:t xml:space="preserve">Dra. Tlaleng Mofokeng </w:t>
      </w:r>
    </w:p>
    <w:p w14:paraId="265F2A2B" w14:textId="506AEC8B" w:rsidR="00FC4BF1" w:rsidRPr="0054187E" w:rsidRDefault="0054187E" w:rsidP="00FC4BF1">
      <w:pPr>
        <w:spacing w:line="276" w:lineRule="auto"/>
        <w:ind w:left="567" w:right="452"/>
        <w:jc w:val="right"/>
        <w:rPr>
          <w:rFonts w:eastAsia="Times New Roman" w:cs="Arial"/>
          <w:color w:val="222222"/>
          <w:shd w:val="clear" w:color="auto" w:fill="FFFFFF"/>
          <w:lang w:val="en-US"/>
        </w:rPr>
      </w:pPr>
      <w:r>
        <w:rPr>
          <w:rFonts w:cs="Calibri"/>
          <w:lang w:val="en-US"/>
        </w:rPr>
        <w:t>T</w:t>
      </w:r>
      <w:r w:rsidRPr="0054187E">
        <w:rPr>
          <w:rFonts w:cs="Calibri"/>
          <w:lang w:val="en-US"/>
        </w:rPr>
        <w:t xml:space="preserve">he United Nations Special Rapporteur on the right to </w:t>
      </w:r>
      <w:r>
        <w:rPr>
          <w:rFonts w:cs="Calibri"/>
          <w:lang w:val="en-US"/>
        </w:rPr>
        <w:t>health</w:t>
      </w:r>
    </w:p>
    <w:p w14:paraId="0578AB00" w14:textId="1F025489" w:rsidR="00FC4BF1" w:rsidRPr="00076982" w:rsidRDefault="00FC4BF1" w:rsidP="00FC4BF1">
      <w:pPr>
        <w:spacing w:line="276" w:lineRule="auto"/>
        <w:ind w:left="567" w:right="452" w:firstLine="708"/>
        <w:jc w:val="right"/>
        <w:rPr>
          <w:rFonts w:eastAsia="Times New Roman" w:cs="Arial"/>
          <w:color w:val="222222"/>
          <w:shd w:val="clear" w:color="auto" w:fill="FFFFFF"/>
          <w:lang w:val="en-US"/>
        </w:rPr>
      </w:pPr>
    </w:p>
    <w:p w14:paraId="0144E549" w14:textId="77777777" w:rsidR="00FC4BF1" w:rsidRPr="00076982" w:rsidRDefault="00FC4BF1" w:rsidP="00FC4BF1">
      <w:pPr>
        <w:spacing w:line="276" w:lineRule="auto"/>
        <w:ind w:left="567" w:right="452" w:firstLine="708"/>
        <w:jc w:val="right"/>
        <w:rPr>
          <w:rFonts w:eastAsia="Times New Roman" w:cs="Arial"/>
          <w:color w:val="222222"/>
          <w:shd w:val="clear" w:color="auto" w:fill="FFFFFF"/>
          <w:lang w:val="en-US"/>
        </w:rPr>
      </w:pPr>
    </w:p>
    <w:p w14:paraId="4B1CE388" w14:textId="77777777" w:rsidR="00FC4BF1" w:rsidRPr="00076982" w:rsidRDefault="00FC4BF1" w:rsidP="00FC4BF1">
      <w:pPr>
        <w:spacing w:line="276" w:lineRule="auto"/>
        <w:ind w:left="567" w:right="452" w:firstLine="708"/>
        <w:jc w:val="right"/>
        <w:rPr>
          <w:rFonts w:eastAsia="Times New Roman" w:cs="Arial"/>
          <w:color w:val="222222"/>
          <w:shd w:val="clear" w:color="auto" w:fill="FFFFFF"/>
          <w:lang w:val="en-US"/>
        </w:rPr>
      </w:pPr>
    </w:p>
    <w:p w14:paraId="2E51B339" w14:textId="77777777" w:rsidR="00FC4BF1" w:rsidRPr="00076982" w:rsidRDefault="00FC4BF1" w:rsidP="00FC4BF1">
      <w:pPr>
        <w:spacing w:line="276" w:lineRule="auto"/>
        <w:ind w:left="567" w:right="452" w:firstLine="708"/>
        <w:jc w:val="right"/>
        <w:rPr>
          <w:rFonts w:eastAsia="Times New Roman" w:cs="Arial"/>
          <w:color w:val="222222"/>
          <w:shd w:val="clear" w:color="auto" w:fill="FFFFFF"/>
          <w:lang w:val="en-US"/>
        </w:rPr>
      </w:pPr>
    </w:p>
    <w:p w14:paraId="0F555658" w14:textId="77777777" w:rsidR="00FC4BF1" w:rsidRPr="00076982" w:rsidRDefault="00FC4BF1" w:rsidP="00FC4BF1">
      <w:pPr>
        <w:spacing w:line="276" w:lineRule="auto"/>
        <w:ind w:left="567" w:right="452" w:firstLine="708"/>
        <w:jc w:val="right"/>
        <w:rPr>
          <w:rFonts w:eastAsia="Times New Roman" w:cs="Arial"/>
          <w:color w:val="222222"/>
          <w:shd w:val="clear" w:color="auto" w:fill="FFFFFF"/>
          <w:lang w:val="en-US"/>
        </w:rPr>
      </w:pPr>
    </w:p>
    <w:p w14:paraId="57DE3021" w14:textId="07C819B0" w:rsidR="00FC4BF1" w:rsidRPr="00FC4BF1" w:rsidRDefault="003069E8" w:rsidP="00FC4BF1">
      <w:pPr>
        <w:spacing w:line="276" w:lineRule="auto"/>
        <w:ind w:left="567" w:right="452"/>
        <w:jc w:val="center"/>
        <w:rPr>
          <w:rFonts w:eastAsia="Times New Roman" w:cs="Arial"/>
          <w:b/>
          <w:color w:val="222222"/>
          <w:sz w:val="36"/>
          <w:szCs w:val="36"/>
          <w:shd w:val="clear" w:color="auto" w:fill="FFFFFF"/>
        </w:rPr>
      </w:pPr>
      <w:r>
        <w:rPr>
          <w:rFonts w:eastAsia="Times New Roman" w:cs="Arial"/>
          <w:color w:val="222222"/>
          <w:shd w:val="clear" w:color="auto" w:fill="FFFFFF"/>
        </w:rPr>
        <w:pict w14:anchorId="1B00B168">
          <v:rect id="_x0000_i1025" style="width:266.45pt;height:2pt" o:hralign="center" o:hrstd="t" o:hrnoshade="t" o:hr="t" fillcolor="black [3213]" stroked="f"/>
        </w:pict>
      </w:r>
      <w:r w:rsidR="00FC4BF1" w:rsidRPr="00D405EA">
        <w:rPr>
          <w:rFonts w:ascii="Times" w:eastAsia="Times New Roman" w:hAnsi="Times" w:cs="Times New Roman"/>
          <w:sz w:val="20"/>
          <w:szCs w:val="20"/>
        </w:rPr>
        <w:t xml:space="preserve"> </w:t>
      </w:r>
      <w:r w:rsidR="00FC4BF1" w:rsidRPr="00FC4BF1">
        <w:rPr>
          <w:rFonts w:eastAsia="Times New Roman" w:cs="Arial"/>
          <w:b/>
          <w:color w:val="222222"/>
          <w:sz w:val="36"/>
          <w:szCs w:val="36"/>
          <w:shd w:val="clear" w:color="auto" w:fill="FFFFFF"/>
        </w:rPr>
        <w:t xml:space="preserve">Convocatoria de contribuciones: </w:t>
      </w:r>
      <w:r w:rsidR="0054187E">
        <w:rPr>
          <w:rFonts w:eastAsia="Times New Roman" w:cs="Arial"/>
          <w:b/>
          <w:color w:val="222222"/>
          <w:sz w:val="36"/>
          <w:szCs w:val="36"/>
          <w:shd w:val="clear" w:color="auto" w:fill="FFFFFF"/>
        </w:rPr>
        <w:t>Alimentación, Nutrición y el Derecho a la Salud</w:t>
      </w:r>
    </w:p>
    <w:p w14:paraId="01E94ABE" w14:textId="77777777" w:rsidR="00FC4BF1" w:rsidRPr="00D405EA" w:rsidRDefault="003069E8" w:rsidP="00FC4BF1">
      <w:pPr>
        <w:spacing w:line="276" w:lineRule="auto"/>
        <w:ind w:left="567" w:right="452"/>
        <w:jc w:val="center"/>
        <w:rPr>
          <w:rFonts w:eastAsia="Times New Roman" w:cs="Arial"/>
          <w:b/>
          <w:color w:val="222222"/>
          <w:shd w:val="clear" w:color="auto" w:fill="FFFFFF"/>
        </w:rPr>
      </w:pPr>
      <w:r>
        <w:rPr>
          <w:rFonts w:eastAsia="Times New Roman" w:cs="Arial"/>
          <w:b/>
          <w:color w:val="222222"/>
          <w:shd w:val="clear" w:color="auto" w:fill="FFFFFF"/>
        </w:rPr>
        <w:pict w14:anchorId="04A29B0E">
          <v:rect id="_x0000_i1026" style="width:266.45pt;height:2pt" o:hralign="center" o:hrstd="t" o:hrnoshade="t" o:hr="t" fillcolor="black [3213]" stroked="f"/>
        </w:pict>
      </w:r>
    </w:p>
    <w:p w14:paraId="6DE50BF3" w14:textId="77777777" w:rsidR="00FC4BF1" w:rsidRDefault="00FC4BF1" w:rsidP="00FC4BF1">
      <w:pPr>
        <w:spacing w:line="276" w:lineRule="auto"/>
        <w:ind w:left="567" w:right="452"/>
        <w:jc w:val="both"/>
        <w:rPr>
          <w:rFonts w:eastAsia="Times New Roman" w:cs="Arial"/>
          <w:b/>
          <w:color w:val="222222"/>
          <w:shd w:val="clear" w:color="auto" w:fill="FFFFFF"/>
        </w:rPr>
      </w:pPr>
    </w:p>
    <w:p w14:paraId="07085A93" w14:textId="77777777" w:rsidR="00FC4BF1" w:rsidRDefault="00FC4BF1" w:rsidP="00FC4BF1">
      <w:pPr>
        <w:spacing w:line="276" w:lineRule="auto"/>
        <w:ind w:left="567" w:right="452"/>
        <w:jc w:val="both"/>
        <w:rPr>
          <w:rFonts w:eastAsia="Times New Roman" w:cs="Arial"/>
          <w:b/>
          <w:color w:val="222222"/>
          <w:shd w:val="clear" w:color="auto" w:fill="FFFFFF"/>
        </w:rPr>
      </w:pPr>
    </w:p>
    <w:p w14:paraId="6687762B" w14:textId="77777777" w:rsidR="00FC4BF1" w:rsidRDefault="00FC4BF1" w:rsidP="00FC4BF1">
      <w:pPr>
        <w:spacing w:line="276" w:lineRule="auto"/>
        <w:ind w:left="567" w:right="452"/>
        <w:jc w:val="both"/>
        <w:rPr>
          <w:rFonts w:eastAsia="Times New Roman" w:cs="Arial"/>
          <w:b/>
          <w:color w:val="222222"/>
          <w:shd w:val="clear" w:color="auto" w:fill="FFFFFF"/>
        </w:rPr>
      </w:pPr>
    </w:p>
    <w:p w14:paraId="75CD355F" w14:textId="77777777" w:rsidR="00FC4BF1" w:rsidRPr="00D405EA" w:rsidRDefault="00FC4BF1" w:rsidP="00FC4BF1">
      <w:pPr>
        <w:spacing w:line="276" w:lineRule="auto"/>
        <w:ind w:left="567" w:right="452"/>
        <w:jc w:val="both"/>
        <w:rPr>
          <w:rFonts w:eastAsia="Times New Roman" w:cs="Arial"/>
          <w:b/>
          <w:color w:val="222222"/>
          <w:shd w:val="clear" w:color="auto" w:fill="FFFFFF"/>
        </w:rPr>
      </w:pPr>
    </w:p>
    <w:p w14:paraId="5C8570FA" w14:textId="77777777" w:rsidR="00FC4BF1" w:rsidRPr="00D405EA" w:rsidRDefault="00FC4BF1" w:rsidP="00FC4BF1">
      <w:pPr>
        <w:spacing w:line="276" w:lineRule="auto"/>
        <w:ind w:left="567" w:right="452"/>
        <w:jc w:val="both"/>
        <w:rPr>
          <w:rFonts w:eastAsia="Times New Roman" w:cs="Arial"/>
          <w:b/>
          <w:color w:val="222222"/>
          <w:shd w:val="clear" w:color="auto" w:fill="FFFFFF"/>
        </w:rPr>
      </w:pPr>
      <w:r>
        <w:rPr>
          <w:rFonts w:eastAsia="Times New Roman" w:cs="Arial"/>
          <w:b/>
          <w:color w:val="222222"/>
          <w:shd w:val="clear" w:color="auto" w:fill="FFFFFF"/>
        </w:rPr>
        <w:t xml:space="preserve">SOLICITUD DE CONTRIBUCIÓN </w:t>
      </w:r>
      <w:r w:rsidR="00226D80">
        <w:rPr>
          <w:rFonts w:eastAsia="Times New Roman" w:cs="Arial"/>
          <w:b/>
          <w:color w:val="222222"/>
          <w:shd w:val="clear" w:color="auto" w:fill="FFFFFF"/>
        </w:rPr>
        <w:t>PRESENTADA</w:t>
      </w:r>
      <w:r w:rsidRPr="00D405EA">
        <w:rPr>
          <w:rFonts w:eastAsia="Times New Roman" w:cs="Arial"/>
          <w:b/>
          <w:color w:val="222222"/>
          <w:shd w:val="clear" w:color="auto" w:fill="FFFFFF"/>
        </w:rPr>
        <w:t xml:space="preserve"> POR:</w:t>
      </w:r>
      <w:r w:rsidRPr="00D405EA">
        <w:rPr>
          <w:rFonts w:eastAsia="Times New Roman" w:cs="Arial"/>
          <w:b/>
          <w:color w:val="222222"/>
          <w:shd w:val="clear" w:color="auto" w:fill="FFFFFF"/>
        </w:rPr>
        <w:tab/>
      </w:r>
    </w:p>
    <w:p w14:paraId="064BFD37" w14:textId="77777777" w:rsidR="00FC4BF1" w:rsidRPr="00D405EA" w:rsidRDefault="00FC4BF1" w:rsidP="00FC4BF1">
      <w:pPr>
        <w:spacing w:line="276" w:lineRule="auto"/>
        <w:ind w:left="567" w:right="452"/>
        <w:jc w:val="both"/>
        <w:rPr>
          <w:rFonts w:eastAsia="Times New Roman" w:cs="Arial"/>
          <w:b/>
          <w:color w:val="222222"/>
          <w:shd w:val="clear" w:color="auto" w:fill="FFFFFF"/>
        </w:rPr>
      </w:pPr>
    </w:p>
    <w:p w14:paraId="2C3DEB04" w14:textId="77777777" w:rsidR="00FC4BF1" w:rsidRPr="00D405EA" w:rsidRDefault="00FC4BF1" w:rsidP="00FC4BF1">
      <w:pPr>
        <w:spacing w:line="276" w:lineRule="auto"/>
        <w:ind w:left="567" w:right="452"/>
        <w:jc w:val="both"/>
        <w:rPr>
          <w:rFonts w:eastAsia="Times New Roman" w:cs="Arial"/>
          <w:b/>
          <w:color w:val="222222"/>
          <w:shd w:val="clear" w:color="auto" w:fill="FFFFFF"/>
        </w:rPr>
      </w:pPr>
      <w:r w:rsidRPr="00D405EA">
        <w:rPr>
          <w:rFonts w:eastAsia="Times New Roman" w:cs="Arial"/>
          <w:b/>
          <w:noProof/>
          <w:color w:val="222222"/>
          <w:lang w:eastAsia="es-MX"/>
        </w:rPr>
        <mc:AlternateContent>
          <mc:Choice Requires="wps">
            <w:drawing>
              <wp:anchor distT="0" distB="0" distL="114300" distR="114300" simplePos="0" relativeHeight="251659264" behindDoc="0" locked="0" layoutInCell="1" allowOverlap="1" wp14:anchorId="6D232B5E" wp14:editId="7943B9B2">
                <wp:simplePos x="0" y="0"/>
                <wp:positionH relativeFrom="column">
                  <wp:posOffset>-2540</wp:posOffset>
                </wp:positionH>
                <wp:positionV relativeFrom="paragraph">
                  <wp:posOffset>138430</wp:posOffset>
                </wp:positionV>
                <wp:extent cx="1716405" cy="1694815"/>
                <wp:effectExtent l="0" t="0" r="0" b="6985"/>
                <wp:wrapSquare wrapText="bothSides"/>
                <wp:docPr id="2" name="Text Box 2"/>
                <wp:cNvGraphicFramePr/>
                <a:graphic xmlns:a="http://schemas.openxmlformats.org/drawingml/2006/main">
                  <a:graphicData uri="http://schemas.microsoft.com/office/word/2010/wordprocessingShape">
                    <wps:wsp>
                      <wps:cNvSpPr txBox="1"/>
                      <wps:spPr>
                        <a:xfrm>
                          <a:off x="0" y="0"/>
                          <a:ext cx="1716405" cy="1694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6AB452" w14:textId="77777777" w:rsidR="00C75BA9" w:rsidRDefault="00C75BA9" w:rsidP="00FC4BF1">
                            <w:r w:rsidRPr="00D405EA">
                              <w:rPr>
                                <w:rFonts w:eastAsia="Times New Roman" w:cs="Arial"/>
                                <w:b/>
                                <w:noProof/>
                                <w:color w:val="222222"/>
                                <w:shd w:val="clear" w:color="auto" w:fill="FFFFFF"/>
                                <w:lang w:eastAsia="es-MX"/>
                              </w:rPr>
                              <w:drawing>
                                <wp:inline distT="0" distB="0" distL="0" distR="0" wp14:anchorId="00FCA425" wp14:editId="7731CAD2">
                                  <wp:extent cx="1488349" cy="1488349"/>
                                  <wp:effectExtent l="0" t="0" r="10795" b="1079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l Poder del Consumidor_rojo_250dpi.jpg"/>
                                          <pic:cNvPicPr/>
                                        </pic:nvPicPr>
                                        <pic:blipFill>
                                          <a:blip r:embed="rId8">
                                            <a:extLst>
                                              <a:ext uri="{28A0092B-C50C-407E-A947-70E740481C1C}">
                                                <a14:useLocalDpi xmlns:a14="http://schemas.microsoft.com/office/drawing/2010/main" val="0"/>
                                              </a:ext>
                                            </a:extLst>
                                          </a:blip>
                                          <a:stretch>
                                            <a:fillRect/>
                                          </a:stretch>
                                        </pic:blipFill>
                                        <pic:spPr>
                                          <a:xfrm>
                                            <a:off x="0" y="0"/>
                                            <a:ext cx="1502663" cy="15026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32B5E" id="_x0000_t202" coordsize="21600,21600" o:spt="202" path="m,l,21600r21600,l21600,xe">
                <v:stroke joinstyle="miter"/>
                <v:path gradientshapeok="t" o:connecttype="rect"/>
              </v:shapetype>
              <v:shape id="Text Box 2" o:spid="_x0000_s1026" type="#_x0000_t202" style="position:absolute;left:0;text-align:left;margin-left:-.2pt;margin-top:10.9pt;width:135.15pt;height:1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" filled="f" stroked="f">
                <v:textbox>
                  <w:txbxContent>
                    <w:p w14:paraId="6E6AB452" w14:textId="77777777" w:rsidR="00C75BA9" w:rsidRDefault="00C75BA9" w:rsidP="00FC4BF1">
                      <w:r w:rsidRPr="00D405EA">
                        <w:rPr>
                          <w:rFonts w:eastAsia="Times New Roman" w:cs="Arial"/>
                          <w:b/>
                          <w:noProof/>
                          <w:color w:val="222222"/>
                          <w:shd w:val="clear" w:color="auto" w:fill="FFFFFF"/>
                          <w:lang w:eastAsia="es-MX"/>
                        </w:rPr>
                        <w:drawing>
                          <wp:inline distT="0" distB="0" distL="0" distR="0" wp14:anchorId="00FCA425" wp14:editId="7731CAD2">
                            <wp:extent cx="1488349" cy="1488349"/>
                            <wp:effectExtent l="0" t="0" r="10795" b="1079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l Poder del Consumidor_rojo_250dpi.jpg"/>
                                    <pic:cNvPicPr/>
                                  </pic:nvPicPr>
                                  <pic:blipFill>
                                    <a:blip r:embed="rId9">
                                      <a:extLst>
                                        <a:ext uri="{28A0092B-C50C-407E-A947-70E740481C1C}">
                                          <a14:useLocalDpi xmlns:a14="http://schemas.microsoft.com/office/drawing/2010/main" val="0"/>
                                        </a:ext>
                                      </a:extLst>
                                    </a:blip>
                                    <a:stretch>
                                      <a:fillRect/>
                                    </a:stretch>
                                  </pic:blipFill>
                                  <pic:spPr>
                                    <a:xfrm>
                                      <a:off x="0" y="0"/>
                                      <a:ext cx="1502663" cy="1502663"/>
                                    </a:xfrm>
                                    <a:prstGeom prst="rect">
                                      <a:avLst/>
                                    </a:prstGeom>
                                  </pic:spPr>
                                </pic:pic>
                              </a:graphicData>
                            </a:graphic>
                          </wp:inline>
                        </w:drawing>
                      </w:r>
                    </w:p>
                  </w:txbxContent>
                </v:textbox>
                <w10:wrap type="square"/>
              </v:shape>
            </w:pict>
          </mc:Fallback>
        </mc:AlternateContent>
      </w:r>
      <w:r w:rsidRPr="00D405EA">
        <w:rPr>
          <w:rFonts w:eastAsia="Times New Roman" w:cs="Arial"/>
          <w:b/>
          <w:color w:val="222222"/>
          <w:shd w:val="clear" w:color="auto" w:fill="FFFFFF"/>
        </w:rPr>
        <w:t>El Poder del Consumidor, A.C.</w:t>
      </w:r>
    </w:p>
    <w:p w14:paraId="783AEA77" w14:textId="0741DC88" w:rsidR="0054187E" w:rsidRPr="0054187E" w:rsidRDefault="00FC4BF1" w:rsidP="0054187E">
      <w:pPr>
        <w:spacing w:before="100" w:beforeAutospacing="1" w:after="100" w:afterAutospacing="1" w:line="240" w:lineRule="auto"/>
        <w:ind w:left="720"/>
        <w:jc w:val="both"/>
        <w:rPr>
          <w:rFonts w:asciiTheme="minorHAnsi" w:eastAsia="Times New Roman" w:hAnsiTheme="minorHAnsi" w:cstheme="minorHAnsi"/>
          <w:color w:val="333333"/>
          <w:szCs w:val="24"/>
          <w:lang w:eastAsia="es-MX"/>
        </w:rPr>
      </w:pPr>
      <w:r w:rsidRPr="0054187E">
        <w:rPr>
          <w:rFonts w:asciiTheme="minorHAnsi" w:eastAsia="Times New Roman" w:hAnsiTheme="minorHAnsi" w:cstheme="minorHAnsi"/>
          <w:color w:val="222222"/>
          <w:szCs w:val="24"/>
          <w:shd w:val="clear" w:color="auto" w:fill="FFFFFF"/>
        </w:rPr>
        <w:t>Asociación civil cuya misión es promover y realizar la defensa de los derechos de los consumidores. Se busca promover e informar a la sociedad respecto de opciones en productos y servicios.</w:t>
      </w:r>
      <w:r w:rsidR="0054187E" w:rsidRPr="0054187E">
        <w:rPr>
          <w:rFonts w:asciiTheme="minorHAnsi" w:eastAsia="Times New Roman" w:hAnsiTheme="minorHAnsi" w:cstheme="minorHAnsi"/>
          <w:color w:val="333333"/>
          <w:szCs w:val="24"/>
          <w:lang w:eastAsia="es-MX"/>
        </w:rPr>
        <w:t xml:space="preserve"> Defender el derecho del consumidor sobre los bienes comunes, respetando el derecho de los otros y de las generaciones por venir, promoviendo la participación del consumidor en la gestión de los mismos.</w:t>
      </w:r>
    </w:p>
    <w:p w14:paraId="5E6DCF98" w14:textId="6127F2B7" w:rsidR="00FC4BF1" w:rsidRDefault="00FC4BF1" w:rsidP="00FC4BF1">
      <w:pPr>
        <w:spacing w:line="276" w:lineRule="auto"/>
        <w:ind w:left="567" w:right="452"/>
        <w:jc w:val="both"/>
        <w:rPr>
          <w:rFonts w:eastAsia="Times New Roman" w:cs="Arial"/>
          <w:color w:val="222222"/>
          <w:shd w:val="clear" w:color="auto" w:fill="FFFFFF"/>
        </w:rPr>
      </w:pPr>
    </w:p>
    <w:p w14:paraId="35C1DD93" w14:textId="77777777" w:rsidR="00FC4BF1" w:rsidRDefault="00FC4BF1" w:rsidP="00FC4BF1">
      <w:pPr>
        <w:spacing w:line="276" w:lineRule="auto"/>
        <w:ind w:left="567" w:right="452"/>
        <w:jc w:val="both"/>
        <w:rPr>
          <w:rFonts w:eastAsia="Times New Roman" w:cs="Arial"/>
          <w:color w:val="222222"/>
          <w:shd w:val="clear" w:color="auto" w:fill="FFFFFF"/>
        </w:rPr>
      </w:pPr>
    </w:p>
    <w:p w14:paraId="695E24B2" w14:textId="77777777" w:rsidR="00FC4BF1" w:rsidRPr="00D405EA" w:rsidRDefault="00FC4BF1" w:rsidP="00FC4BF1">
      <w:pPr>
        <w:spacing w:line="276" w:lineRule="auto"/>
        <w:ind w:left="567" w:right="452"/>
        <w:jc w:val="both"/>
        <w:rPr>
          <w:rFonts w:eastAsia="Times New Roman" w:cs="Arial"/>
          <w:color w:val="222222"/>
          <w:shd w:val="clear" w:color="auto" w:fill="FFFFFF"/>
        </w:rPr>
      </w:pPr>
    </w:p>
    <w:p w14:paraId="5BB2A7C4" w14:textId="77777777" w:rsidR="00FC4BF1" w:rsidRDefault="00FC4BF1" w:rsidP="00FC4BF1">
      <w:pPr>
        <w:spacing w:line="276" w:lineRule="auto"/>
        <w:ind w:left="567" w:right="452"/>
        <w:jc w:val="both"/>
        <w:rPr>
          <w:rFonts w:eastAsia="Times New Roman" w:cs="Arial"/>
          <w:color w:val="222222"/>
          <w:shd w:val="clear" w:color="auto" w:fill="FFFFFF"/>
        </w:rPr>
      </w:pPr>
    </w:p>
    <w:p w14:paraId="6FDAE1A4" w14:textId="77777777" w:rsidR="00FC4BF1" w:rsidRDefault="00FC4BF1" w:rsidP="00FC4BF1">
      <w:pPr>
        <w:spacing w:line="276" w:lineRule="auto"/>
        <w:ind w:right="452"/>
        <w:jc w:val="both"/>
        <w:rPr>
          <w:rFonts w:eastAsia="Times New Roman" w:cs="Arial"/>
          <w:color w:val="222222"/>
          <w:shd w:val="clear" w:color="auto" w:fill="FFFFFF"/>
        </w:rPr>
      </w:pPr>
    </w:p>
    <w:p w14:paraId="3B0F4FCF" w14:textId="77777777" w:rsidR="00FC4BF1" w:rsidRDefault="00FC4BF1" w:rsidP="00FC4BF1">
      <w:pPr>
        <w:spacing w:line="276" w:lineRule="auto"/>
        <w:ind w:right="452"/>
        <w:jc w:val="both"/>
        <w:rPr>
          <w:rFonts w:eastAsia="Times New Roman" w:cs="Arial"/>
          <w:color w:val="222222"/>
          <w:shd w:val="clear" w:color="auto" w:fill="FFFFFF"/>
        </w:rPr>
      </w:pPr>
    </w:p>
    <w:p w14:paraId="07B37A10" w14:textId="77777777" w:rsidR="0054187E" w:rsidRDefault="0054187E" w:rsidP="0054187E">
      <w:pPr>
        <w:jc w:val="center"/>
        <w:rPr>
          <w:rFonts w:asciiTheme="minorHAnsi" w:eastAsia="Times New Roman" w:hAnsiTheme="minorHAnsi" w:cstheme="minorHAnsi"/>
          <w:b/>
          <w:color w:val="000000"/>
          <w:szCs w:val="24"/>
          <w:lang w:eastAsia="es-MX"/>
        </w:rPr>
      </w:pPr>
    </w:p>
    <w:p w14:paraId="7C6C684D" w14:textId="77777777" w:rsidR="0054187E" w:rsidRDefault="0054187E" w:rsidP="0054187E">
      <w:pPr>
        <w:jc w:val="center"/>
        <w:rPr>
          <w:rFonts w:asciiTheme="minorHAnsi" w:eastAsia="Times New Roman" w:hAnsiTheme="minorHAnsi" w:cstheme="minorHAnsi"/>
          <w:b/>
          <w:color w:val="000000"/>
          <w:szCs w:val="24"/>
          <w:lang w:eastAsia="es-MX"/>
        </w:rPr>
      </w:pPr>
    </w:p>
    <w:p w14:paraId="55757C28" w14:textId="06C631AD" w:rsidR="00FC4BF1" w:rsidRPr="0054187E" w:rsidRDefault="0054187E" w:rsidP="0054187E">
      <w:pPr>
        <w:jc w:val="center"/>
        <w:rPr>
          <w:rFonts w:asciiTheme="minorHAnsi" w:eastAsia="Times New Roman" w:hAnsiTheme="minorHAnsi" w:cstheme="minorHAnsi"/>
          <w:b/>
          <w:color w:val="000000"/>
          <w:szCs w:val="24"/>
          <w:lang w:eastAsia="es-MX"/>
        </w:rPr>
      </w:pPr>
      <w:r w:rsidRPr="0054187E">
        <w:rPr>
          <w:rFonts w:asciiTheme="minorHAnsi" w:eastAsia="Times New Roman" w:hAnsiTheme="minorHAnsi" w:cstheme="minorHAnsi"/>
          <w:b/>
          <w:color w:val="000000"/>
          <w:szCs w:val="24"/>
          <w:lang w:eastAsia="es-MX"/>
        </w:rPr>
        <w:t>CUESTIONARIO</w:t>
      </w:r>
    </w:p>
    <w:p w14:paraId="5ED52334" w14:textId="41BAB138" w:rsidR="0054187E" w:rsidRDefault="0054187E">
      <w:pPr>
        <w:rPr>
          <w:rFonts w:asciiTheme="minorHAnsi" w:eastAsia="Times New Roman" w:hAnsiTheme="minorHAnsi" w:cstheme="minorHAnsi"/>
          <w:b/>
          <w:color w:val="000000"/>
          <w:sz w:val="16"/>
          <w:szCs w:val="16"/>
          <w:lang w:eastAsia="es-MX"/>
        </w:rPr>
      </w:pPr>
    </w:p>
    <w:tbl>
      <w:tblPr>
        <w:tblStyle w:val="Tablaconcuadrcula"/>
        <w:tblW w:w="0" w:type="auto"/>
        <w:jc w:val="center"/>
        <w:tblInd w:w="0" w:type="dxa"/>
        <w:tblLook w:val="04A0" w:firstRow="1" w:lastRow="0" w:firstColumn="1" w:lastColumn="0" w:noHBand="0" w:noVBand="1"/>
      </w:tblPr>
      <w:tblGrid>
        <w:gridCol w:w="2897"/>
        <w:gridCol w:w="5393"/>
      </w:tblGrid>
      <w:tr w:rsidR="0054187E" w:rsidRPr="004A5644" w14:paraId="7DB880B0" w14:textId="77777777" w:rsidTr="0054187E">
        <w:trPr>
          <w:jc w:val="center"/>
        </w:trPr>
        <w:tc>
          <w:tcPr>
            <w:tcW w:w="2897" w:type="dxa"/>
            <w:tcBorders>
              <w:top w:val="single" w:sz="4" w:space="0" w:color="auto"/>
              <w:left w:val="single" w:sz="4" w:space="0" w:color="auto"/>
              <w:bottom w:val="single" w:sz="4" w:space="0" w:color="auto"/>
              <w:right w:val="single" w:sz="4" w:space="0" w:color="auto"/>
            </w:tcBorders>
          </w:tcPr>
          <w:p w14:paraId="5D3D9291" w14:textId="77777777" w:rsidR="0054187E" w:rsidRDefault="0054187E" w:rsidP="008A46DA">
            <w:pPr>
              <w:rPr>
                <w:sz w:val="24"/>
                <w:szCs w:val="24"/>
                <w:lang w:val="es-ES"/>
              </w:rPr>
            </w:pPr>
            <w:r>
              <w:rPr>
                <w:sz w:val="24"/>
                <w:szCs w:val="24"/>
                <w:lang w:val="es-ES"/>
              </w:rPr>
              <w:t>Tipo de actor (por favor seleccione uno)</w:t>
            </w:r>
          </w:p>
          <w:p w14:paraId="1E2CBC6A" w14:textId="77777777" w:rsidR="0054187E" w:rsidRDefault="0054187E" w:rsidP="008A46DA">
            <w:pPr>
              <w:rPr>
                <w:sz w:val="24"/>
                <w:szCs w:val="24"/>
                <w:lang w:val="es-ES"/>
              </w:rPr>
            </w:pPr>
          </w:p>
        </w:tc>
        <w:tc>
          <w:tcPr>
            <w:tcW w:w="5393" w:type="dxa"/>
            <w:tcBorders>
              <w:top w:val="single" w:sz="4" w:space="0" w:color="auto"/>
              <w:left w:val="single" w:sz="4" w:space="0" w:color="auto"/>
              <w:bottom w:val="single" w:sz="4" w:space="0" w:color="auto"/>
              <w:right w:val="single" w:sz="4" w:space="0" w:color="auto"/>
            </w:tcBorders>
            <w:hideMark/>
          </w:tcPr>
          <w:p w14:paraId="3544EC06" w14:textId="77777777" w:rsidR="0054187E" w:rsidRDefault="0054187E" w:rsidP="008A46DA">
            <w:pPr>
              <w:rPr>
                <w:sz w:val="24"/>
                <w:szCs w:val="24"/>
                <w:lang w:val="es-ES"/>
              </w:rPr>
            </w:pPr>
            <w:r>
              <w:rPr>
                <w:szCs w:val="24"/>
              </w:rPr>
              <w:fldChar w:fldCharType="begin">
                <w:ffData>
                  <w:name w:val="Check1"/>
                  <w:enabled/>
                  <w:calcOnExit w:val="0"/>
                  <w:checkBox>
                    <w:sizeAuto/>
                    <w:default w:val="0"/>
                  </w:checkBox>
                </w:ffData>
              </w:fldChar>
            </w:r>
            <w:bookmarkStart w:id="0" w:name="Check1"/>
            <w:r>
              <w:rPr>
                <w:sz w:val="24"/>
                <w:szCs w:val="24"/>
                <w:lang w:val="es-ES"/>
              </w:rPr>
              <w:instrText xml:space="preserve"> FORMCHECKBOX </w:instrText>
            </w:r>
            <w:r w:rsidR="003069E8">
              <w:rPr>
                <w:szCs w:val="24"/>
              </w:rPr>
            </w:r>
            <w:r w:rsidR="003069E8">
              <w:rPr>
                <w:szCs w:val="24"/>
              </w:rPr>
              <w:fldChar w:fldCharType="separate"/>
            </w:r>
            <w:r>
              <w:fldChar w:fldCharType="end"/>
            </w:r>
            <w:bookmarkEnd w:id="0"/>
            <w:r>
              <w:rPr>
                <w:sz w:val="24"/>
                <w:szCs w:val="24"/>
                <w:lang w:val="es-ES"/>
              </w:rPr>
              <w:t xml:space="preserve">  Estado</w:t>
            </w:r>
          </w:p>
          <w:p w14:paraId="301F80E4" w14:textId="15E2555E" w:rsidR="0054187E" w:rsidRDefault="0054187E" w:rsidP="008A46DA">
            <w:pPr>
              <w:rPr>
                <w:sz w:val="24"/>
                <w:szCs w:val="24"/>
                <w:lang w:val="es-ES"/>
              </w:rPr>
            </w:pPr>
            <w:r>
              <w:rPr>
                <w:szCs w:val="24"/>
              </w:rPr>
              <w:fldChar w:fldCharType="begin">
                <w:ffData>
                  <w:name w:val="Check2"/>
                  <w:enabled/>
                  <w:calcOnExit w:val="0"/>
                  <w:checkBox>
                    <w:sizeAuto/>
                    <w:default w:val="1"/>
                  </w:checkBox>
                </w:ffData>
              </w:fldChar>
            </w:r>
            <w:bookmarkStart w:id="1" w:name="Check2"/>
            <w:r w:rsidRPr="00C031B1">
              <w:rPr>
                <w:szCs w:val="24"/>
                <w:lang w:val="es-MX"/>
              </w:rPr>
              <w:instrText xml:space="preserve"> FORMCHECKBOX </w:instrText>
            </w:r>
            <w:r w:rsidR="003069E8">
              <w:rPr>
                <w:szCs w:val="24"/>
              </w:rPr>
            </w:r>
            <w:r w:rsidR="003069E8">
              <w:rPr>
                <w:szCs w:val="24"/>
              </w:rPr>
              <w:fldChar w:fldCharType="separate"/>
            </w:r>
            <w:r>
              <w:rPr>
                <w:szCs w:val="24"/>
              </w:rPr>
              <w:fldChar w:fldCharType="end"/>
            </w:r>
            <w:bookmarkEnd w:id="1"/>
            <w:r>
              <w:rPr>
                <w:sz w:val="24"/>
                <w:szCs w:val="24"/>
                <w:lang w:val="es-ES"/>
              </w:rPr>
              <w:t xml:space="preserve">  Estado observador</w:t>
            </w:r>
          </w:p>
          <w:p w14:paraId="43A07515" w14:textId="77777777" w:rsidR="0054187E" w:rsidRDefault="0054187E" w:rsidP="008A46DA">
            <w:pPr>
              <w:ind w:left="394" w:hanging="394"/>
              <w:rPr>
                <w:sz w:val="24"/>
                <w:szCs w:val="24"/>
                <w:lang w:val="es-ES"/>
              </w:rPr>
            </w:pPr>
            <w:r>
              <w:rPr>
                <w:szCs w:val="24"/>
              </w:rPr>
              <w:fldChar w:fldCharType="begin">
                <w:ffData>
                  <w:name w:val="Check6"/>
                  <w:enabled/>
                  <w:calcOnExit w:val="0"/>
                  <w:checkBox>
                    <w:sizeAuto/>
                    <w:default w:val="0"/>
                  </w:checkBox>
                </w:ffData>
              </w:fldChar>
            </w:r>
            <w:bookmarkStart w:id="2" w:name="Check6"/>
            <w:r>
              <w:rPr>
                <w:sz w:val="24"/>
                <w:szCs w:val="24"/>
                <w:lang w:val="es-ES"/>
              </w:rPr>
              <w:instrText xml:space="preserve"> FORMCHECKBOX </w:instrText>
            </w:r>
            <w:r w:rsidR="003069E8">
              <w:rPr>
                <w:szCs w:val="24"/>
              </w:rPr>
            </w:r>
            <w:r w:rsidR="003069E8">
              <w:rPr>
                <w:szCs w:val="24"/>
              </w:rPr>
              <w:fldChar w:fldCharType="separate"/>
            </w:r>
            <w:r>
              <w:fldChar w:fldCharType="end"/>
            </w:r>
            <w:bookmarkEnd w:id="2"/>
            <w:r>
              <w:rPr>
                <w:sz w:val="24"/>
                <w:szCs w:val="24"/>
                <w:lang w:val="es-ES"/>
              </w:rPr>
              <w:t xml:space="preserve">  Otro (por favor especifique):</w:t>
            </w:r>
          </w:p>
        </w:tc>
      </w:tr>
      <w:tr w:rsidR="0054187E" w14:paraId="7BF54E6B" w14:textId="77777777" w:rsidTr="0054187E">
        <w:trPr>
          <w:trHeight w:val="437"/>
          <w:jc w:val="center"/>
        </w:trPr>
        <w:tc>
          <w:tcPr>
            <w:tcW w:w="2897" w:type="dxa"/>
            <w:tcBorders>
              <w:top w:val="single" w:sz="4" w:space="0" w:color="auto"/>
              <w:left w:val="single" w:sz="4" w:space="0" w:color="auto"/>
              <w:bottom w:val="single" w:sz="4" w:space="0" w:color="auto"/>
              <w:right w:val="single" w:sz="4" w:space="0" w:color="auto"/>
            </w:tcBorders>
            <w:hideMark/>
          </w:tcPr>
          <w:p w14:paraId="2A2DECE1" w14:textId="77777777" w:rsidR="0054187E" w:rsidRDefault="0054187E" w:rsidP="008A46DA">
            <w:pPr>
              <w:rPr>
                <w:sz w:val="24"/>
                <w:szCs w:val="24"/>
                <w:lang w:val="es-ES"/>
              </w:rPr>
            </w:pPr>
            <w:r>
              <w:rPr>
                <w:sz w:val="24"/>
                <w:szCs w:val="24"/>
                <w:lang w:val="es-ES"/>
              </w:rPr>
              <w:t xml:space="preserve">Nombre del Estado/persona </w:t>
            </w:r>
          </w:p>
        </w:tc>
        <w:tc>
          <w:tcPr>
            <w:tcW w:w="5393" w:type="dxa"/>
            <w:tcBorders>
              <w:top w:val="single" w:sz="4" w:space="0" w:color="auto"/>
              <w:left w:val="single" w:sz="4" w:space="0" w:color="auto"/>
              <w:bottom w:val="single" w:sz="4" w:space="0" w:color="auto"/>
              <w:right w:val="single" w:sz="4" w:space="0" w:color="auto"/>
            </w:tcBorders>
          </w:tcPr>
          <w:p w14:paraId="3EE540D7" w14:textId="77777777" w:rsidR="0054187E" w:rsidRDefault="0054187E" w:rsidP="008A46DA">
            <w:pPr>
              <w:rPr>
                <w:sz w:val="24"/>
                <w:szCs w:val="24"/>
                <w:lang w:val="es-ES"/>
              </w:rPr>
            </w:pPr>
            <w:r>
              <w:rPr>
                <w:sz w:val="24"/>
                <w:szCs w:val="24"/>
                <w:lang w:val="es-ES"/>
              </w:rPr>
              <w:t>El Poder Del Consumidor</w:t>
            </w:r>
          </w:p>
        </w:tc>
      </w:tr>
      <w:tr w:rsidR="0054187E" w:rsidRPr="00C031B1" w14:paraId="24A891A5" w14:textId="77777777" w:rsidTr="0054187E">
        <w:trPr>
          <w:trHeight w:val="397"/>
          <w:jc w:val="center"/>
        </w:trPr>
        <w:tc>
          <w:tcPr>
            <w:tcW w:w="2897" w:type="dxa"/>
            <w:tcBorders>
              <w:top w:val="single" w:sz="4" w:space="0" w:color="auto"/>
              <w:left w:val="single" w:sz="4" w:space="0" w:color="auto"/>
              <w:bottom w:val="single" w:sz="4" w:space="0" w:color="auto"/>
              <w:right w:val="single" w:sz="4" w:space="0" w:color="auto"/>
            </w:tcBorders>
          </w:tcPr>
          <w:p w14:paraId="0CCE68AB" w14:textId="77777777" w:rsidR="0054187E" w:rsidRDefault="0054187E" w:rsidP="008A46DA">
            <w:pPr>
              <w:rPr>
                <w:sz w:val="24"/>
                <w:szCs w:val="24"/>
                <w:lang w:val="es-ES"/>
              </w:rPr>
            </w:pPr>
            <w:r>
              <w:rPr>
                <w:sz w:val="24"/>
                <w:szCs w:val="24"/>
                <w:lang w:val="es-ES"/>
              </w:rPr>
              <w:t>Correo electrónico</w:t>
            </w:r>
          </w:p>
          <w:p w14:paraId="65921D18" w14:textId="77777777" w:rsidR="0054187E" w:rsidRDefault="0054187E" w:rsidP="008A46DA">
            <w:pPr>
              <w:rPr>
                <w:sz w:val="24"/>
                <w:szCs w:val="24"/>
              </w:rPr>
            </w:pPr>
          </w:p>
        </w:tc>
        <w:tc>
          <w:tcPr>
            <w:tcW w:w="5393" w:type="dxa"/>
            <w:tcBorders>
              <w:top w:val="single" w:sz="4" w:space="0" w:color="auto"/>
              <w:left w:val="single" w:sz="4" w:space="0" w:color="auto"/>
              <w:bottom w:val="single" w:sz="4" w:space="0" w:color="auto"/>
              <w:right w:val="single" w:sz="4" w:space="0" w:color="auto"/>
            </w:tcBorders>
          </w:tcPr>
          <w:p w14:paraId="31730BAB" w14:textId="77777777" w:rsidR="0054187E" w:rsidRPr="0054187E" w:rsidRDefault="0054187E" w:rsidP="008A46DA">
            <w:pPr>
              <w:rPr>
                <w:sz w:val="24"/>
                <w:szCs w:val="24"/>
              </w:rPr>
            </w:pPr>
            <w:r>
              <w:rPr>
                <w:sz w:val="24"/>
                <w:szCs w:val="24"/>
              </w:rPr>
              <w:t>juridico</w:t>
            </w:r>
            <w:r w:rsidRPr="0054187E">
              <w:rPr>
                <w:sz w:val="24"/>
                <w:szCs w:val="24"/>
              </w:rPr>
              <w:t>@elpoderdelconsumidor.org</w:t>
            </w:r>
          </w:p>
          <w:p w14:paraId="259372D1" w14:textId="77777777" w:rsidR="0054187E" w:rsidRPr="00C40D7C" w:rsidRDefault="0054187E" w:rsidP="008A46DA">
            <w:pPr>
              <w:rPr>
                <w:sz w:val="24"/>
                <w:szCs w:val="24"/>
              </w:rPr>
            </w:pPr>
            <w:r>
              <w:rPr>
                <w:sz w:val="24"/>
                <w:szCs w:val="24"/>
              </w:rPr>
              <w:t>saludpublica</w:t>
            </w:r>
            <w:r w:rsidRPr="0054187E">
              <w:rPr>
                <w:sz w:val="24"/>
                <w:szCs w:val="24"/>
              </w:rPr>
              <w:t>@elpoderdelconsumidor.org</w:t>
            </w:r>
          </w:p>
        </w:tc>
      </w:tr>
      <w:tr w:rsidR="0054187E" w:rsidRPr="004A5644" w14:paraId="12FDB4BF" w14:textId="77777777" w:rsidTr="0054187E">
        <w:trPr>
          <w:trHeight w:val="838"/>
          <w:jc w:val="center"/>
        </w:trPr>
        <w:tc>
          <w:tcPr>
            <w:tcW w:w="2897" w:type="dxa"/>
            <w:tcBorders>
              <w:top w:val="single" w:sz="4" w:space="0" w:color="auto"/>
              <w:left w:val="single" w:sz="4" w:space="0" w:color="auto"/>
              <w:bottom w:val="single" w:sz="4" w:space="0" w:color="auto"/>
              <w:right w:val="single" w:sz="4" w:space="0" w:color="auto"/>
            </w:tcBorders>
            <w:hideMark/>
          </w:tcPr>
          <w:p w14:paraId="71E838FC" w14:textId="77777777" w:rsidR="0054187E" w:rsidRDefault="0054187E" w:rsidP="008A46DA">
            <w:pPr>
              <w:rPr>
                <w:sz w:val="24"/>
                <w:szCs w:val="24"/>
                <w:lang w:val="es-ES"/>
              </w:rPr>
            </w:pPr>
            <w:r>
              <w:rPr>
                <w:sz w:val="24"/>
                <w:szCs w:val="24"/>
                <w:lang w:val="es-ES"/>
              </w:rPr>
              <w:t>¿Podemos atribuir públicamente estas respuestas a su Estado? *</w:t>
            </w:r>
          </w:p>
          <w:p w14:paraId="74DF17C6" w14:textId="77777777" w:rsidR="0054187E" w:rsidRDefault="0054187E" w:rsidP="008A46DA">
            <w:pPr>
              <w:rPr>
                <w:sz w:val="24"/>
                <w:szCs w:val="24"/>
                <w:lang w:val="es-ES"/>
              </w:rPr>
            </w:pPr>
            <w:r>
              <w:rPr>
                <w:sz w:val="24"/>
                <w:szCs w:val="24"/>
                <w:lang w:val="es-ES"/>
              </w:rPr>
              <w:t xml:space="preserve"> </w:t>
            </w:r>
          </w:p>
          <w:p w14:paraId="2DA00D6D" w14:textId="77777777" w:rsidR="0054187E" w:rsidRDefault="0054187E" w:rsidP="008A46DA">
            <w:pPr>
              <w:rPr>
                <w:sz w:val="24"/>
                <w:szCs w:val="24"/>
                <w:lang w:val="es-ES"/>
              </w:rPr>
            </w:pPr>
            <w:r>
              <w:rPr>
                <w:sz w:val="24"/>
                <w:szCs w:val="24"/>
                <w:lang w:val="es-ES"/>
              </w:rPr>
              <w:t>*En el sitio web de la OACDH, en la página de la Relatora Especial</w:t>
            </w:r>
          </w:p>
        </w:tc>
        <w:tc>
          <w:tcPr>
            <w:tcW w:w="5393" w:type="dxa"/>
            <w:tcBorders>
              <w:top w:val="single" w:sz="4" w:space="0" w:color="auto"/>
              <w:left w:val="single" w:sz="4" w:space="0" w:color="auto"/>
              <w:bottom w:val="single" w:sz="4" w:space="0" w:color="auto"/>
              <w:right w:val="single" w:sz="4" w:space="0" w:color="auto"/>
            </w:tcBorders>
          </w:tcPr>
          <w:p w14:paraId="702FEA3B" w14:textId="2DFB9CD6" w:rsidR="0054187E" w:rsidRDefault="0054187E" w:rsidP="008A46DA">
            <w:pPr>
              <w:rPr>
                <w:sz w:val="24"/>
                <w:szCs w:val="24"/>
                <w:lang w:val="es-ES"/>
              </w:rPr>
            </w:pPr>
            <w:r>
              <w:rPr>
                <w:szCs w:val="24"/>
              </w:rPr>
              <w:fldChar w:fldCharType="begin">
                <w:ffData>
                  <w:name w:val=""/>
                  <w:enabled/>
                  <w:calcOnExit w:val="0"/>
                  <w:checkBox>
                    <w:sizeAuto/>
                    <w:default w:val="1"/>
                  </w:checkBox>
                </w:ffData>
              </w:fldChar>
            </w:r>
            <w:r w:rsidRPr="0054187E">
              <w:rPr>
                <w:sz w:val="24"/>
                <w:szCs w:val="24"/>
                <w:lang w:val="es-MX"/>
              </w:rPr>
              <w:instrText xml:space="preserve"> FORMCHECKBOX </w:instrText>
            </w:r>
            <w:r w:rsidR="003069E8">
              <w:rPr>
                <w:szCs w:val="24"/>
              </w:rPr>
            </w:r>
            <w:r w:rsidR="003069E8">
              <w:rPr>
                <w:szCs w:val="24"/>
              </w:rPr>
              <w:fldChar w:fldCharType="separate"/>
            </w:r>
            <w:r>
              <w:rPr>
                <w:szCs w:val="24"/>
              </w:rPr>
              <w:fldChar w:fldCharType="end"/>
            </w:r>
            <w:r>
              <w:rPr>
                <w:sz w:val="24"/>
                <w:szCs w:val="24"/>
                <w:lang w:val="es-ES"/>
              </w:rPr>
              <w:t xml:space="preserve"> Si          </w:t>
            </w:r>
            <w:r>
              <w:rPr>
                <w:szCs w:val="24"/>
              </w:rPr>
              <w:fldChar w:fldCharType="begin">
                <w:ffData>
                  <w:name w:val="Check1"/>
                  <w:enabled/>
                  <w:calcOnExit w:val="0"/>
                  <w:checkBox>
                    <w:sizeAuto/>
                    <w:default w:val="0"/>
                  </w:checkBox>
                </w:ffData>
              </w:fldChar>
            </w:r>
            <w:r>
              <w:rPr>
                <w:sz w:val="24"/>
                <w:szCs w:val="24"/>
                <w:lang w:val="es-ES"/>
              </w:rPr>
              <w:instrText xml:space="preserve"> FORMCHECKBOX </w:instrText>
            </w:r>
            <w:r w:rsidR="003069E8">
              <w:rPr>
                <w:szCs w:val="24"/>
              </w:rPr>
            </w:r>
            <w:r w:rsidR="003069E8">
              <w:rPr>
                <w:szCs w:val="24"/>
              </w:rPr>
              <w:fldChar w:fldCharType="separate"/>
            </w:r>
            <w:r>
              <w:rPr>
                <w:szCs w:val="24"/>
              </w:rPr>
              <w:fldChar w:fldCharType="end"/>
            </w:r>
            <w:r>
              <w:rPr>
                <w:sz w:val="24"/>
                <w:szCs w:val="24"/>
                <w:lang w:val="es-ES"/>
              </w:rPr>
              <w:t xml:space="preserve"> No</w:t>
            </w:r>
          </w:p>
          <w:p w14:paraId="7939DF41" w14:textId="0C495EDA" w:rsidR="0054187E" w:rsidRDefault="0054187E" w:rsidP="008A46DA">
            <w:pPr>
              <w:rPr>
                <w:sz w:val="24"/>
                <w:szCs w:val="24"/>
                <w:lang w:val="es-ES"/>
              </w:rPr>
            </w:pPr>
            <w:r>
              <w:rPr>
                <w:sz w:val="24"/>
                <w:szCs w:val="24"/>
                <w:lang w:val="es-ES"/>
              </w:rPr>
              <w:t xml:space="preserve"> </w:t>
            </w:r>
          </w:p>
          <w:p w14:paraId="3C36AA56" w14:textId="03208A41" w:rsidR="0054187E" w:rsidRDefault="0054187E" w:rsidP="008A46DA">
            <w:pPr>
              <w:rPr>
                <w:sz w:val="24"/>
                <w:szCs w:val="24"/>
                <w:lang w:val="es-ES"/>
              </w:rPr>
            </w:pPr>
            <w:r w:rsidRPr="00C031B1">
              <w:rPr>
                <w:szCs w:val="24"/>
                <w:lang w:val="es-ES"/>
              </w:rPr>
              <w:t>*Podrías atribuir estos comentarios a El Poder del Consumidor.</w:t>
            </w:r>
          </w:p>
          <w:p w14:paraId="18318A79" w14:textId="77777777" w:rsidR="0054187E" w:rsidRDefault="0054187E" w:rsidP="008A46DA">
            <w:pPr>
              <w:rPr>
                <w:sz w:val="24"/>
                <w:szCs w:val="24"/>
                <w:lang w:val="es-ES"/>
              </w:rPr>
            </w:pPr>
          </w:p>
          <w:p w14:paraId="3F9A06A5" w14:textId="77777777" w:rsidR="0054187E" w:rsidRDefault="0054187E" w:rsidP="008A46DA">
            <w:pPr>
              <w:rPr>
                <w:sz w:val="24"/>
                <w:szCs w:val="24"/>
                <w:lang w:val="es-ES"/>
              </w:rPr>
            </w:pPr>
            <w:r>
              <w:rPr>
                <w:sz w:val="24"/>
                <w:szCs w:val="24"/>
                <w:lang w:val="es-ES"/>
              </w:rPr>
              <w:t>Comentarios (si fuera relevante):</w:t>
            </w:r>
          </w:p>
        </w:tc>
      </w:tr>
    </w:tbl>
    <w:p w14:paraId="5E40114E" w14:textId="5425C837" w:rsidR="0054187E" w:rsidRDefault="0054187E">
      <w:pPr>
        <w:rPr>
          <w:rFonts w:asciiTheme="minorHAnsi" w:eastAsia="Times New Roman" w:hAnsiTheme="minorHAnsi" w:cstheme="minorHAnsi"/>
          <w:b/>
          <w:color w:val="000000"/>
          <w:sz w:val="16"/>
          <w:szCs w:val="16"/>
          <w:lang w:eastAsia="es-MX"/>
        </w:rPr>
      </w:pPr>
    </w:p>
    <w:p w14:paraId="3E8762B6" w14:textId="77777777" w:rsidR="0054187E" w:rsidRDefault="0054187E">
      <w:pPr>
        <w:rPr>
          <w:rFonts w:ascii="Times New Roman" w:hAnsi="Times New Roman" w:cs="Times New Roman"/>
          <w:b/>
          <w:bCs/>
          <w:szCs w:val="24"/>
          <w:lang w:val="es-CL"/>
        </w:rPr>
      </w:pPr>
      <w:r>
        <w:rPr>
          <w:rFonts w:ascii="Times New Roman" w:hAnsi="Times New Roman" w:cs="Times New Roman"/>
          <w:b/>
          <w:bCs/>
          <w:szCs w:val="24"/>
          <w:lang w:val="es-CL"/>
        </w:rPr>
        <w:br w:type="page"/>
      </w:r>
    </w:p>
    <w:p w14:paraId="79074AC4" w14:textId="3145F075" w:rsidR="0054187E" w:rsidRPr="0054187E" w:rsidRDefault="0054187E" w:rsidP="00C031B1">
      <w:pPr>
        <w:jc w:val="both"/>
        <w:rPr>
          <w:rFonts w:ascii="Times New Roman" w:hAnsi="Times New Roman" w:cs="Times New Roman"/>
          <w:color w:val="FF0000"/>
          <w:szCs w:val="24"/>
          <w:lang w:val="es-CL"/>
        </w:rPr>
      </w:pPr>
      <w:r w:rsidRPr="00C40D7C">
        <w:rPr>
          <w:rFonts w:ascii="Times New Roman" w:hAnsi="Times New Roman" w:cs="Times New Roman"/>
          <w:b/>
          <w:bCs/>
          <w:szCs w:val="24"/>
          <w:lang w:val="es-CL"/>
        </w:rPr>
        <w:lastRenderedPageBreak/>
        <w:t>Preguntas claves</w:t>
      </w:r>
    </w:p>
    <w:p w14:paraId="27CC2A7B" w14:textId="77777777" w:rsidR="0054187E" w:rsidRPr="00076982" w:rsidRDefault="0054187E" w:rsidP="00076982">
      <w:pPr>
        <w:pStyle w:val="Prrafodelista"/>
        <w:numPr>
          <w:ilvl w:val="0"/>
          <w:numId w:val="18"/>
        </w:numPr>
        <w:spacing w:after="0" w:line="240" w:lineRule="auto"/>
        <w:ind w:left="0"/>
        <w:jc w:val="both"/>
        <w:rPr>
          <w:rFonts w:ascii="Times New Roman" w:hAnsi="Times New Roman" w:cs="Times New Roman"/>
          <w:b/>
          <w:color w:val="000000" w:themeColor="text1"/>
          <w:szCs w:val="24"/>
          <w:lang w:val="es-CL"/>
        </w:rPr>
      </w:pPr>
      <w:r w:rsidRPr="00076982">
        <w:rPr>
          <w:rFonts w:ascii="Times New Roman" w:hAnsi="Times New Roman" w:cs="Times New Roman"/>
          <w:b/>
          <w:color w:val="000000" w:themeColor="text1"/>
          <w:szCs w:val="24"/>
          <w:lang w:val="es-CL"/>
        </w:rPr>
        <w:t xml:space="preserve">¿Cuáles son los principales factores que dificultan cuantitativa y cualitativamente el acceso adecuado a la alimentación y la nutrición en su país y/o comunidad (incluso que se encuentran fuera de su país)? Teniendo en cuenta los determinantes subyacentes de la salud, ¿de qué manera contribuyen a las desigualdades sanitarias? </w:t>
      </w:r>
    </w:p>
    <w:p w14:paraId="5E8679BD" w14:textId="77777777" w:rsidR="0054187E" w:rsidRPr="0054187E" w:rsidRDefault="0054187E" w:rsidP="0054187E">
      <w:pPr>
        <w:jc w:val="both"/>
        <w:rPr>
          <w:rFonts w:ascii="Times New Roman" w:hAnsi="Times New Roman" w:cs="Times New Roman"/>
          <w:color w:val="FF0000"/>
          <w:szCs w:val="24"/>
          <w:lang w:val="es-CL"/>
        </w:rPr>
      </w:pPr>
    </w:p>
    <w:p w14:paraId="379ED9EA" w14:textId="5C880F86" w:rsidR="00A80D46" w:rsidRPr="00C40D7C" w:rsidRDefault="00232643" w:rsidP="00A80D46">
      <w:pPr>
        <w:pStyle w:val="Prrafodelista"/>
        <w:ind w:left="0"/>
        <w:jc w:val="both"/>
        <w:rPr>
          <w:rFonts w:ascii="Times New Roman" w:hAnsi="Times New Roman" w:cs="Times New Roman"/>
          <w:szCs w:val="24"/>
        </w:rPr>
      </w:pPr>
      <w:r>
        <w:rPr>
          <w:rFonts w:ascii="Times New Roman" w:hAnsi="Times New Roman" w:cs="Times New Roman"/>
          <w:szCs w:val="24"/>
          <w:lang w:val="es-CL"/>
        </w:rPr>
        <w:t xml:space="preserve">Las </w:t>
      </w:r>
      <w:r w:rsidR="00C05A6F">
        <w:rPr>
          <w:rFonts w:ascii="Times New Roman" w:hAnsi="Times New Roman" w:cs="Times New Roman"/>
          <w:szCs w:val="24"/>
          <w:lang w:val="es-CL"/>
        </w:rPr>
        <w:t>condiciones político, económic</w:t>
      </w:r>
      <w:r w:rsidR="00F70A3E">
        <w:rPr>
          <w:rFonts w:ascii="Times New Roman" w:hAnsi="Times New Roman" w:cs="Times New Roman"/>
          <w:szCs w:val="24"/>
          <w:lang w:val="es-CL"/>
        </w:rPr>
        <w:t>as</w:t>
      </w:r>
      <w:r w:rsidR="00C05A6F">
        <w:rPr>
          <w:rFonts w:ascii="Times New Roman" w:hAnsi="Times New Roman" w:cs="Times New Roman"/>
          <w:szCs w:val="24"/>
          <w:lang w:val="es-CL"/>
        </w:rPr>
        <w:t>, social</w:t>
      </w:r>
      <w:r w:rsidR="00F70A3E">
        <w:rPr>
          <w:rFonts w:ascii="Times New Roman" w:hAnsi="Times New Roman" w:cs="Times New Roman"/>
          <w:szCs w:val="24"/>
          <w:lang w:val="es-CL"/>
        </w:rPr>
        <w:t>es</w:t>
      </w:r>
      <w:r w:rsidR="00C05A6F">
        <w:rPr>
          <w:rFonts w:ascii="Times New Roman" w:hAnsi="Times New Roman" w:cs="Times New Roman"/>
          <w:szCs w:val="24"/>
          <w:lang w:val="es-CL"/>
        </w:rPr>
        <w:t xml:space="preserve"> y comercial</w:t>
      </w:r>
      <w:r w:rsidR="00F70A3E">
        <w:rPr>
          <w:rFonts w:ascii="Times New Roman" w:hAnsi="Times New Roman" w:cs="Times New Roman"/>
          <w:szCs w:val="24"/>
          <w:lang w:val="es-CL"/>
        </w:rPr>
        <w:t>es</w:t>
      </w:r>
      <w:r>
        <w:rPr>
          <w:rFonts w:ascii="Times New Roman" w:hAnsi="Times New Roman" w:cs="Times New Roman"/>
          <w:szCs w:val="24"/>
          <w:lang w:val="es-CL"/>
        </w:rPr>
        <w:t xml:space="preserve"> y el entorno físico influyen el acceso adecuado a la alimentación. </w:t>
      </w:r>
      <w:r w:rsidR="00A80D46" w:rsidRPr="00C40D7C">
        <w:rPr>
          <w:rFonts w:ascii="Times New Roman" w:hAnsi="Times New Roman" w:cs="Times New Roman"/>
          <w:szCs w:val="24"/>
        </w:rPr>
        <w:t>Existe un contexto de inequidades de</w:t>
      </w:r>
      <w:r w:rsidR="00F70A3E">
        <w:rPr>
          <w:rFonts w:ascii="Times New Roman" w:hAnsi="Times New Roman" w:cs="Times New Roman"/>
          <w:szCs w:val="24"/>
        </w:rPr>
        <w:t xml:space="preserve"> la</w:t>
      </w:r>
      <w:r w:rsidR="00A80D46" w:rsidRPr="00C40D7C">
        <w:rPr>
          <w:rFonts w:ascii="Times New Roman" w:hAnsi="Times New Roman" w:cs="Times New Roman"/>
          <w:szCs w:val="24"/>
        </w:rPr>
        <w:t xml:space="preserve"> salud y </w:t>
      </w:r>
      <w:r w:rsidR="00F70A3E">
        <w:rPr>
          <w:rFonts w:ascii="Times New Roman" w:hAnsi="Times New Roman" w:cs="Times New Roman"/>
          <w:szCs w:val="24"/>
        </w:rPr>
        <w:t xml:space="preserve">la </w:t>
      </w:r>
      <w:r w:rsidR="00A80D46" w:rsidRPr="00C40D7C">
        <w:rPr>
          <w:rFonts w:ascii="Times New Roman" w:hAnsi="Times New Roman" w:cs="Times New Roman"/>
          <w:szCs w:val="24"/>
        </w:rPr>
        <w:t>alimentación en las poblaciones con vulnerabilidad económica y social</w:t>
      </w:r>
      <w:r w:rsidR="00F70A3E">
        <w:rPr>
          <w:rFonts w:ascii="Times New Roman" w:hAnsi="Times New Roman" w:cs="Times New Roman"/>
          <w:szCs w:val="24"/>
        </w:rPr>
        <w:t xml:space="preserve">, el cual </w:t>
      </w:r>
      <w:r w:rsidR="00A80D46" w:rsidRPr="00C40D7C">
        <w:rPr>
          <w:rFonts w:ascii="Times New Roman" w:hAnsi="Times New Roman" w:cs="Times New Roman"/>
          <w:szCs w:val="24"/>
        </w:rPr>
        <w:t>tienen que ver con condiciones injustas</w:t>
      </w:r>
      <w:r w:rsidR="00F70A3E">
        <w:rPr>
          <w:rFonts w:ascii="Times New Roman" w:hAnsi="Times New Roman" w:cs="Times New Roman"/>
          <w:szCs w:val="24"/>
        </w:rPr>
        <w:t xml:space="preserve">, pero </w:t>
      </w:r>
      <w:r w:rsidR="00A80D46" w:rsidRPr="00C40D7C">
        <w:rPr>
          <w:rFonts w:ascii="Times New Roman" w:hAnsi="Times New Roman" w:cs="Times New Roman"/>
          <w:szCs w:val="24"/>
        </w:rPr>
        <w:t xml:space="preserve">evitables mediante políticas públicas. </w:t>
      </w:r>
      <w:r w:rsidR="00F70A3E">
        <w:rPr>
          <w:rFonts w:ascii="Times New Roman" w:hAnsi="Times New Roman" w:cs="Times New Roman"/>
          <w:szCs w:val="24"/>
        </w:rPr>
        <w:t>Además, e</w:t>
      </w:r>
      <w:r w:rsidR="00A80D46" w:rsidRPr="00C40D7C">
        <w:rPr>
          <w:rFonts w:ascii="Times New Roman" w:hAnsi="Times New Roman" w:cs="Times New Roman"/>
          <w:szCs w:val="24"/>
        </w:rPr>
        <w:t>xisten barreras estructurales importantes que enfrentan las poblaciones</w:t>
      </w:r>
      <w:r w:rsidR="00F70A3E">
        <w:rPr>
          <w:rFonts w:ascii="Times New Roman" w:hAnsi="Times New Roman" w:cs="Times New Roman"/>
          <w:szCs w:val="24"/>
        </w:rPr>
        <w:t xml:space="preserve"> </w:t>
      </w:r>
      <w:r w:rsidR="00A80D46" w:rsidRPr="00C40D7C">
        <w:rPr>
          <w:rFonts w:ascii="Times New Roman" w:hAnsi="Times New Roman" w:cs="Times New Roman"/>
          <w:szCs w:val="24"/>
        </w:rPr>
        <w:t>como la carencia de esquemas de seguridad social, el acceso a la atención a la salud de calidad, la falta de accesibilidad y disponibilidad de alimentos saludables y agua potable, entre otras, que son resultado de barreras geográficas, económicas, lingüísticas, prejuicios y estereotipos, etc</w:t>
      </w:r>
      <w:r>
        <w:rPr>
          <w:rFonts w:ascii="Times New Roman" w:hAnsi="Times New Roman" w:cs="Times New Roman"/>
          <w:szCs w:val="24"/>
        </w:rPr>
        <w:t>.</w:t>
      </w:r>
      <w:r w:rsidR="00AC72DB">
        <w:rPr>
          <w:rStyle w:val="Refdenotaalpie"/>
          <w:rFonts w:ascii="Times New Roman" w:hAnsi="Times New Roman" w:cs="Times New Roman"/>
          <w:szCs w:val="24"/>
        </w:rPr>
        <w:footnoteReference w:id="1"/>
      </w:r>
    </w:p>
    <w:p w14:paraId="641AB7AE" w14:textId="77777777" w:rsidR="00A80D46" w:rsidRPr="00C40D7C" w:rsidRDefault="00A80D46" w:rsidP="00A80D46">
      <w:pPr>
        <w:pStyle w:val="Prrafodelista"/>
        <w:ind w:left="0"/>
        <w:jc w:val="both"/>
        <w:rPr>
          <w:rFonts w:ascii="Times New Roman" w:hAnsi="Times New Roman" w:cs="Times New Roman"/>
          <w:szCs w:val="24"/>
        </w:rPr>
      </w:pPr>
    </w:p>
    <w:p w14:paraId="70056799" w14:textId="0204E0CE" w:rsidR="00A80D46" w:rsidRPr="00C40D7C" w:rsidRDefault="00A80D46" w:rsidP="00A80D46">
      <w:pPr>
        <w:pStyle w:val="Prrafodelista"/>
        <w:ind w:left="0"/>
        <w:jc w:val="both"/>
        <w:rPr>
          <w:rFonts w:ascii="Times New Roman" w:hAnsi="Times New Roman" w:cs="Times New Roman"/>
          <w:szCs w:val="24"/>
        </w:rPr>
      </w:pPr>
      <w:r w:rsidRPr="00C40D7C">
        <w:rPr>
          <w:rFonts w:ascii="Times New Roman" w:hAnsi="Times New Roman" w:cs="Times New Roman"/>
          <w:szCs w:val="24"/>
        </w:rPr>
        <w:t>Por otra parte, la población mexicana</w:t>
      </w:r>
      <w:r w:rsidR="00F70A3E">
        <w:rPr>
          <w:rFonts w:ascii="Times New Roman" w:hAnsi="Times New Roman" w:cs="Times New Roman"/>
          <w:szCs w:val="24"/>
        </w:rPr>
        <w:t>,</w:t>
      </w:r>
      <w:r w:rsidRPr="00C40D7C">
        <w:rPr>
          <w:rFonts w:ascii="Times New Roman" w:hAnsi="Times New Roman" w:cs="Times New Roman"/>
          <w:szCs w:val="24"/>
        </w:rPr>
        <w:t xml:space="preserve"> y en especial la población vulnerable, se encuentra expuesta a </w:t>
      </w:r>
      <w:r w:rsidRPr="00AC72DB">
        <w:rPr>
          <w:rFonts w:ascii="Times New Roman" w:hAnsi="Times New Roman" w:cs="Times New Roman"/>
          <w:szCs w:val="24"/>
        </w:rPr>
        <w:t>entornos no saludables</w:t>
      </w:r>
      <w:r w:rsidRPr="00C40D7C">
        <w:rPr>
          <w:rFonts w:ascii="Times New Roman" w:hAnsi="Times New Roman" w:cs="Times New Roman"/>
          <w:szCs w:val="24"/>
        </w:rPr>
        <w:t>, lo que dificulta el desarrollo humano sostenible, el bienestar individual y colectivo</w:t>
      </w:r>
      <w:r w:rsidR="00F70A3E">
        <w:rPr>
          <w:rFonts w:ascii="Times New Roman" w:hAnsi="Times New Roman" w:cs="Times New Roman"/>
          <w:szCs w:val="24"/>
        </w:rPr>
        <w:t>,</w:t>
      </w:r>
      <w:r w:rsidRPr="00C40D7C">
        <w:rPr>
          <w:rFonts w:ascii="Times New Roman" w:hAnsi="Times New Roman" w:cs="Times New Roman"/>
          <w:szCs w:val="24"/>
        </w:rPr>
        <w:t xml:space="preserve"> así como el ejercicio de los derechos humanos y las condiciones y calidad de vida. Los entornos en los que actualmente se desenvuelve la población están relacionados a las principales causas de enfermedad y muerte derivado de las enfermedades no transmisibles</w:t>
      </w:r>
      <w:r w:rsidR="00F70A3E">
        <w:rPr>
          <w:rFonts w:ascii="Times New Roman" w:hAnsi="Times New Roman" w:cs="Times New Roman"/>
          <w:szCs w:val="24"/>
        </w:rPr>
        <w:t>, y</w:t>
      </w:r>
      <w:r w:rsidRPr="00C40D7C">
        <w:rPr>
          <w:rFonts w:ascii="Times New Roman" w:hAnsi="Times New Roman" w:cs="Times New Roman"/>
          <w:szCs w:val="24"/>
        </w:rPr>
        <w:t xml:space="preserve"> es que estos entornos tienen una estrecha relación con el consumo de alimentos ultraprocesados, bebidas azucaradas, fórmulas infantiles comerciales, alcohol, tabaco y a la exposición de contaminación ambiental. </w:t>
      </w:r>
    </w:p>
    <w:p w14:paraId="64C54DAE" w14:textId="5828AC0C" w:rsidR="004B2010" w:rsidRPr="00C40D7C" w:rsidRDefault="0054187E" w:rsidP="0054187E">
      <w:pPr>
        <w:jc w:val="both"/>
        <w:rPr>
          <w:rFonts w:ascii="Times New Roman" w:hAnsi="Times New Roman" w:cs="Times New Roman"/>
          <w:szCs w:val="24"/>
          <w:lang w:val="es-CL"/>
        </w:rPr>
      </w:pPr>
      <w:r w:rsidRPr="00C40D7C">
        <w:rPr>
          <w:rFonts w:ascii="Times New Roman" w:hAnsi="Times New Roman" w:cs="Times New Roman"/>
          <w:szCs w:val="24"/>
          <w:lang w:val="es-CL"/>
        </w:rPr>
        <w:t xml:space="preserve">Además de los factores anteriores, la inversión extranjera directa que ocurre en el marco de los tratados internacionales sobre comercio e inversión fortalece la conexión de los sistemas alimentarios nacionales con el sistema alimentario global, </w:t>
      </w:r>
      <w:r w:rsidR="00F70A3E">
        <w:rPr>
          <w:rFonts w:ascii="Times New Roman" w:hAnsi="Times New Roman" w:cs="Times New Roman"/>
          <w:szCs w:val="24"/>
          <w:lang w:val="es-CL"/>
        </w:rPr>
        <w:t>lo cual</w:t>
      </w:r>
      <w:r w:rsidR="00F70A3E" w:rsidRPr="00C40D7C">
        <w:rPr>
          <w:rFonts w:ascii="Times New Roman" w:hAnsi="Times New Roman" w:cs="Times New Roman"/>
          <w:szCs w:val="24"/>
          <w:lang w:val="es-CL"/>
        </w:rPr>
        <w:t xml:space="preserve"> </w:t>
      </w:r>
      <w:r w:rsidRPr="00C40D7C">
        <w:rPr>
          <w:rFonts w:ascii="Times New Roman" w:hAnsi="Times New Roman" w:cs="Times New Roman"/>
          <w:szCs w:val="24"/>
          <w:lang w:val="es-CL"/>
        </w:rPr>
        <w:t>aceleró la transformación hacia un perfil más industrializado</w:t>
      </w:r>
      <w:r w:rsidR="00F667F3">
        <w:rPr>
          <w:rFonts w:ascii="Times New Roman" w:hAnsi="Times New Roman" w:cs="Times New Roman"/>
          <w:szCs w:val="24"/>
          <w:lang w:val="es-CL"/>
        </w:rPr>
        <w:t xml:space="preserve"> y hacia alimentos ultraprocesados</w:t>
      </w:r>
      <w:r w:rsidR="00F70A3E">
        <w:rPr>
          <w:rFonts w:ascii="Times New Roman" w:hAnsi="Times New Roman" w:cs="Times New Roman"/>
          <w:szCs w:val="24"/>
          <w:lang w:val="es-CL"/>
        </w:rPr>
        <w:t>,</w:t>
      </w:r>
      <w:r w:rsidRPr="00C40D7C">
        <w:rPr>
          <w:rFonts w:ascii="Times New Roman" w:hAnsi="Times New Roman" w:cs="Times New Roman"/>
          <w:szCs w:val="24"/>
          <w:lang w:val="es-CL"/>
        </w:rPr>
        <w:t xml:space="preserve"> como ocurrió en México y Canadá a partir del Tratado de Libre Comercio de América del Norte (TLCAN).</w:t>
      </w:r>
      <w:r w:rsidR="009751EB">
        <w:rPr>
          <w:rFonts w:ascii="Times New Roman" w:hAnsi="Times New Roman" w:cs="Times New Roman"/>
          <w:szCs w:val="24"/>
          <w:lang w:val="es-CL"/>
        </w:rPr>
        <w:t xml:space="preserve"> El TLCAN tuvo impactos negativos en la agricultura, cultura alimenticia y salud </w:t>
      </w:r>
      <w:r w:rsidR="00C75BA9">
        <w:rPr>
          <w:rFonts w:ascii="Times New Roman" w:hAnsi="Times New Roman" w:cs="Times New Roman"/>
          <w:szCs w:val="24"/>
          <w:lang w:val="es-CL"/>
        </w:rPr>
        <w:t>de México</w:t>
      </w:r>
      <w:r w:rsidR="009751EB">
        <w:rPr>
          <w:rFonts w:ascii="Times New Roman" w:hAnsi="Times New Roman" w:cs="Times New Roman"/>
          <w:szCs w:val="24"/>
          <w:lang w:val="es-CL"/>
        </w:rPr>
        <w:t>.</w:t>
      </w:r>
      <w:r w:rsidR="009751EB" w:rsidRPr="00C031B1">
        <w:rPr>
          <w:rFonts w:ascii="Times New Roman" w:hAnsi="Times New Roman" w:cs="Times New Roman"/>
          <w:szCs w:val="24"/>
          <w:vertAlign w:val="superscript"/>
          <w:lang w:val="es-CL"/>
        </w:rPr>
        <w:t>2,</w:t>
      </w:r>
      <w:r w:rsidR="00526C68" w:rsidRPr="00526C68">
        <w:rPr>
          <w:rStyle w:val="Refdenotaalpie"/>
          <w:rFonts w:ascii="Times New Roman" w:hAnsi="Times New Roman" w:cs="Times New Roman"/>
          <w:szCs w:val="24"/>
          <w:lang w:val="es-CL"/>
        </w:rPr>
        <w:footnoteReference w:id="2"/>
      </w:r>
      <w:r w:rsidR="00526C68" w:rsidRPr="00C031B1">
        <w:rPr>
          <w:rFonts w:ascii="Times New Roman" w:hAnsi="Times New Roman" w:cs="Times New Roman"/>
          <w:szCs w:val="24"/>
          <w:vertAlign w:val="superscript"/>
          <w:lang w:val="es-CL"/>
        </w:rPr>
        <w:t>,</w:t>
      </w:r>
      <w:r w:rsidR="00526C68">
        <w:rPr>
          <w:rStyle w:val="Refdenotaalpie"/>
          <w:rFonts w:ascii="Times New Roman" w:hAnsi="Times New Roman" w:cs="Times New Roman"/>
          <w:szCs w:val="24"/>
          <w:lang w:val="es-CL"/>
        </w:rPr>
        <w:footnoteReference w:id="3"/>
      </w:r>
    </w:p>
    <w:p w14:paraId="07B669D5" w14:textId="4BC79DD6" w:rsidR="0054187E" w:rsidRPr="00C40D7C" w:rsidRDefault="0054187E" w:rsidP="0054187E">
      <w:pPr>
        <w:jc w:val="both"/>
        <w:rPr>
          <w:rFonts w:ascii="Times New Roman" w:hAnsi="Times New Roman" w:cs="Times New Roman"/>
          <w:szCs w:val="24"/>
          <w:lang w:val="es-CL"/>
        </w:rPr>
      </w:pPr>
      <w:r w:rsidRPr="00C75BA9">
        <w:rPr>
          <w:rFonts w:ascii="Times New Roman" w:hAnsi="Times New Roman" w:cs="Times New Roman"/>
          <w:szCs w:val="24"/>
          <w:lang w:val="es-CL"/>
        </w:rPr>
        <w:t>El sistema alimentario atiende de manera diferencial a los</w:t>
      </w:r>
      <w:r w:rsidRPr="00C40D7C">
        <w:rPr>
          <w:rFonts w:ascii="Times New Roman" w:hAnsi="Times New Roman" w:cs="Times New Roman"/>
          <w:szCs w:val="24"/>
          <w:lang w:val="es-CL"/>
        </w:rPr>
        <w:t xml:space="preserve"> distintos grupos de población a partir de la inequidad en la distribución de los recursos y a las condiciones de marginación. La población rural de menores ingresos de México, que comúnmente se ocupa en actividades </w:t>
      </w:r>
      <w:r w:rsidRPr="00C40D7C">
        <w:rPr>
          <w:rFonts w:ascii="Times New Roman" w:hAnsi="Times New Roman" w:cs="Times New Roman"/>
          <w:szCs w:val="24"/>
          <w:lang w:val="es-CL"/>
        </w:rPr>
        <w:lastRenderedPageBreak/>
        <w:t>agropecuarias, tiene un acceso limitado a dietas nutricionalmente adecuadas. Los riesgos nutricionales más comunes en los grupos vulnerables son la desnutrición y el hambre, y si su ingreso les permite adquirir alimentos densos en energía y baja calidad nutricional, se agrega el riesgo de sobrepeso y obesidad,</w:t>
      </w:r>
      <w:r w:rsidR="00E7094E">
        <w:rPr>
          <w:rStyle w:val="Refdenotaalpie"/>
          <w:rFonts w:ascii="Times New Roman" w:hAnsi="Times New Roman" w:cs="Times New Roman"/>
          <w:szCs w:val="24"/>
          <w:lang w:val="es-CL"/>
        </w:rPr>
        <w:footnoteReference w:id="4"/>
      </w:r>
      <w:r w:rsidRPr="00C40D7C">
        <w:rPr>
          <w:rFonts w:ascii="Times New Roman" w:hAnsi="Times New Roman" w:cs="Times New Roman"/>
          <w:szCs w:val="24"/>
          <w:lang w:val="es-CL"/>
        </w:rPr>
        <w:t xml:space="preserve"> hogares difícilmente alcanzan la seguridad alimentaria. </w:t>
      </w:r>
    </w:p>
    <w:p w14:paraId="1B330D10" w14:textId="45B966FB" w:rsidR="0054187E" w:rsidRPr="00C031B1" w:rsidRDefault="0054187E" w:rsidP="0054187E">
      <w:pPr>
        <w:jc w:val="both"/>
        <w:rPr>
          <w:rFonts w:ascii="Times New Roman" w:hAnsi="Times New Roman" w:cs="Times New Roman"/>
          <w:szCs w:val="24"/>
        </w:rPr>
      </w:pPr>
      <w:r w:rsidRPr="00C40D7C">
        <w:rPr>
          <w:rFonts w:ascii="Times New Roman" w:hAnsi="Times New Roman" w:cs="Times New Roman"/>
          <w:szCs w:val="24"/>
          <w:lang w:val="es-CL"/>
        </w:rPr>
        <w:t>En 2016, 20.1% de la población aún presentaba carencias por acceso a la alimentación. El 17.5% de los mexicanos pertenecía a hogares con ingreso inferior a la línea de bienestar mínimo, es decir, que incluso destinando todos sus ingresos a la compra de alimentos no podrían alcanzar una dieta nutritiva.</w:t>
      </w:r>
      <w:r w:rsidR="00E7094E">
        <w:rPr>
          <w:rStyle w:val="Refdenotaalpie"/>
          <w:rFonts w:ascii="Times New Roman" w:hAnsi="Times New Roman" w:cs="Times New Roman"/>
          <w:szCs w:val="24"/>
          <w:lang w:val="es-CL"/>
        </w:rPr>
        <w:footnoteReference w:id="5"/>
      </w:r>
      <w:r w:rsidR="00E7094E">
        <w:rPr>
          <w:rFonts w:ascii="Times New Roman" w:hAnsi="Times New Roman" w:cs="Times New Roman"/>
          <w:szCs w:val="24"/>
          <w:lang w:val="es-CL"/>
        </w:rPr>
        <w:t xml:space="preserve"> </w:t>
      </w:r>
      <w:r w:rsidRPr="00C40D7C">
        <w:rPr>
          <w:rFonts w:ascii="Times New Roman" w:hAnsi="Times New Roman" w:cs="Times New Roman"/>
          <w:szCs w:val="24"/>
          <w:lang w:val="es-CL"/>
        </w:rPr>
        <w:t xml:space="preserve">Más aún: 7.6% de la población vivía en pobreza extrema, por lo que, tenía al menos tres de las seis carencias sociales consideradas para la medición de la pobreza. </w:t>
      </w:r>
    </w:p>
    <w:p w14:paraId="1088E58C" w14:textId="43964815" w:rsidR="0054187E" w:rsidRPr="00C031B1" w:rsidRDefault="0054187E" w:rsidP="00C031B1">
      <w:pPr>
        <w:pStyle w:val="Prrafodelista"/>
        <w:numPr>
          <w:ilvl w:val="0"/>
          <w:numId w:val="18"/>
        </w:numPr>
        <w:spacing w:after="0" w:line="240" w:lineRule="auto"/>
        <w:ind w:left="0"/>
        <w:jc w:val="both"/>
        <w:rPr>
          <w:rFonts w:ascii="Times New Roman" w:hAnsi="Times New Roman" w:cs="Times New Roman"/>
          <w:b/>
          <w:szCs w:val="24"/>
          <w:lang w:val="es-CL"/>
        </w:rPr>
      </w:pPr>
      <w:r w:rsidRPr="00C031B1">
        <w:rPr>
          <w:rFonts w:ascii="Times New Roman" w:hAnsi="Times New Roman" w:cs="Times New Roman"/>
          <w:b/>
          <w:szCs w:val="24"/>
          <w:lang w:val="es-CL"/>
        </w:rPr>
        <w:t>¿Qué medidas legislativas o reglamentarias (como las relacionadas con las normas nutricionales, el etiquetado, la comercialización, la adquisición en contextos institucionales, incluidas – aunque no exclusivamente – las escuelas y las prisiones, y las medidas fiscales) se han considerado o adoptado en su país y/o comunidad para mejorar la alimentación y la nutrición, especialmente de las personas en situación vulnerable? En este caso, ¿cómo se están aplicando esas medidas?</w:t>
      </w:r>
    </w:p>
    <w:p w14:paraId="3AF5BC99" w14:textId="505A0B22" w:rsidR="00F70A3E" w:rsidRDefault="00F70A3E" w:rsidP="00A80D46">
      <w:pPr>
        <w:pStyle w:val="Prrafodelista"/>
        <w:spacing w:after="0" w:line="240" w:lineRule="auto"/>
        <w:ind w:left="0"/>
        <w:rPr>
          <w:rFonts w:ascii="Times New Roman" w:hAnsi="Times New Roman" w:cs="Times New Roman"/>
          <w:szCs w:val="24"/>
          <w:lang w:val="es-CL"/>
        </w:rPr>
      </w:pPr>
    </w:p>
    <w:p w14:paraId="5CD4D9E7" w14:textId="190310E1" w:rsidR="0042439F" w:rsidRPr="00334963" w:rsidRDefault="00F70A3E" w:rsidP="00C031B1">
      <w:pPr>
        <w:pStyle w:val="Prrafodelista"/>
        <w:spacing w:after="0" w:line="276" w:lineRule="auto"/>
        <w:ind w:left="0"/>
        <w:jc w:val="both"/>
        <w:rPr>
          <w:rFonts w:ascii="Times New Roman" w:hAnsi="Times New Roman" w:cs="Times New Roman"/>
          <w:szCs w:val="24"/>
          <w:lang w:val="es-CL"/>
        </w:rPr>
      </w:pPr>
      <w:r>
        <w:rPr>
          <w:rFonts w:ascii="Times New Roman" w:hAnsi="Times New Roman" w:cs="Times New Roman"/>
          <w:szCs w:val="24"/>
          <w:lang w:val="es-CL"/>
        </w:rPr>
        <w:t xml:space="preserve">México ha venido adoptando una serie de medidas, tanto legislativas como reglamentarias y, </w:t>
      </w:r>
      <w:r w:rsidRPr="00334963">
        <w:rPr>
          <w:rFonts w:ascii="Times New Roman" w:hAnsi="Times New Roman" w:cs="Times New Roman"/>
          <w:szCs w:val="24"/>
          <w:lang w:val="es-CL"/>
        </w:rPr>
        <w:t xml:space="preserve">generalmente, corroboradas por el poder Judicial, para la mejora de la alimentación y la nutrición. En atención a los impactos que han tenido, de acuerdo con la evidencia científica, </w:t>
      </w:r>
      <w:r w:rsidR="0042439F" w:rsidRPr="00334963">
        <w:rPr>
          <w:rFonts w:ascii="Times New Roman" w:hAnsi="Times New Roman" w:cs="Times New Roman"/>
          <w:szCs w:val="24"/>
          <w:lang w:val="es-CL"/>
        </w:rPr>
        <w:t>se puede afirmar que estas medidas han ayudado principalmente a las personas en situación de vulnerabilidad. A continuación, se presentan las medidas y en notas a pie de página los instrumentos legales en los cuales se pueden encontrar:</w:t>
      </w:r>
    </w:p>
    <w:p w14:paraId="2969E4E7" w14:textId="465C4521" w:rsidR="00F70A3E" w:rsidRPr="00334963" w:rsidRDefault="0042439F" w:rsidP="00C031B1">
      <w:pPr>
        <w:pStyle w:val="Prrafodelista"/>
        <w:spacing w:after="0" w:line="276" w:lineRule="auto"/>
        <w:ind w:left="0"/>
        <w:jc w:val="both"/>
        <w:rPr>
          <w:rFonts w:ascii="Times New Roman" w:hAnsi="Times New Roman" w:cs="Times New Roman"/>
          <w:szCs w:val="24"/>
          <w:lang w:val="es-CL"/>
        </w:rPr>
      </w:pPr>
      <w:r w:rsidRPr="00334963">
        <w:rPr>
          <w:rFonts w:ascii="Times New Roman" w:hAnsi="Times New Roman" w:cs="Times New Roman"/>
          <w:szCs w:val="24"/>
          <w:lang w:val="es-CL"/>
        </w:rPr>
        <w:t xml:space="preserve"> </w:t>
      </w:r>
    </w:p>
    <w:p w14:paraId="25AF77B1" w14:textId="4BFA5344" w:rsidR="0042439F" w:rsidRPr="00C031B1" w:rsidRDefault="0042439F" w:rsidP="00C031B1">
      <w:pPr>
        <w:pStyle w:val="Prrafodelista"/>
        <w:numPr>
          <w:ilvl w:val="1"/>
          <w:numId w:val="8"/>
        </w:numPr>
        <w:spacing w:line="276" w:lineRule="auto"/>
        <w:jc w:val="both"/>
        <w:rPr>
          <w:rFonts w:ascii="Times New Roman" w:eastAsia="Times New Roman" w:hAnsi="Times New Roman" w:cs="Times New Roman"/>
          <w:color w:val="000000"/>
          <w:szCs w:val="24"/>
          <w:lang w:eastAsia="es-MX"/>
        </w:rPr>
      </w:pPr>
      <w:r w:rsidRPr="00C031B1">
        <w:rPr>
          <w:rFonts w:ascii="Times New Roman" w:eastAsia="Times New Roman" w:hAnsi="Times New Roman" w:cs="Times New Roman"/>
          <w:b/>
          <w:color w:val="000000"/>
          <w:szCs w:val="24"/>
          <w:lang w:eastAsia="es-MX"/>
        </w:rPr>
        <w:t>Adopción del e</w:t>
      </w:r>
      <w:r w:rsidR="00F70A3E" w:rsidRPr="00C031B1">
        <w:rPr>
          <w:rFonts w:ascii="Times New Roman" w:eastAsia="Times New Roman" w:hAnsi="Times New Roman" w:cs="Times New Roman"/>
          <w:b/>
          <w:color w:val="000000"/>
          <w:szCs w:val="24"/>
          <w:lang w:eastAsia="es-MX"/>
        </w:rPr>
        <w:t xml:space="preserve">tiquetado </w:t>
      </w:r>
      <w:r w:rsidRPr="00C031B1">
        <w:rPr>
          <w:rFonts w:ascii="Times New Roman" w:eastAsia="Times New Roman" w:hAnsi="Times New Roman" w:cs="Times New Roman"/>
          <w:b/>
          <w:color w:val="000000"/>
          <w:szCs w:val="24"/>
          <w:lang w:eastAsia="es-MX"/>
        </w:rPr>
        <w:t>f</w:t>
      </w:r>
      <w:r w:rsidR="00F70A3E" w:rsidRPr="00C031B1">
        <w:rPr>
          <w:rFonts w:ascii="Times New Roman" w:eastAsia="Times New Roman" w:hAnsi="Times New Roman" w:cs="Times New Roman"/>
          <w:b/>
          <w:color w:val="000000"/>
          <w:szCs w:val="24"/>
          <w:lang w:eastAsia="es-MX"/>
        </w:rPr>
        <w:t xml:space="preserve">rontal de </w:t>
      </w:r>
      <w:r w:rsidRPr="00C031B1">
        <w:rPr>
          <w:rFonts w:ascii="Times New Roman" w:eastAsia="Times New Roman" w:hAnsi="Times New Roman" w:cs="Times New Roman"/>
          <w:b/>
          <w:color w:val="000000"/>
          <w:szCs w:val="24"/>
          <w:lang w:eastAsia="es-MX"/>
        </w:rPr>
        <w:t>advertencia:</w:t>
      </w:r>
      <w:r w:rsidR="00F70A3E" w:rsidRPr="00C031B1">
        <w:rPr>
          <w:rStyle w:val="Refdenotaalpie"/>
          <w:rFonts w:ascii="Times New Roman" w:eastAsia="Times New Roman" w:hAnsi="Times New Roman" w:cs="Times New Roman"/>
          <w:b/>
          <w:color w:val="000000"/>
          <w:szCs w:val="24"/>
          <w:lang w:eastAsia="es-MX"/>
        </w:rPr>
        <w:footnoteReference w:id="6"/>
      </w:r>
      <w:r w:rsidRPr="00C031B1">
        <w:rPr>
          <w:rFonts w:ascii="Times New Roman" w:eastAsia="Times New Roman" w:hAnsi="Times New Roman" w:cs="Times New Roman"/>
          <w:b/>
          <w:color w:val="000000"/>
          <w:szCs w:val="24"/>
          <w:lang w:eastAsia="es-MX"/>
        </w:rPr>
        <w:t xml:space="preserve"> </w:t>
      </w:r>
      <w:r w:rsidR="001A2B7A">
        <w:rPr>
          <w:rFonts w:ascii="Times New Roman" w:eastAsia="Times New Roman" w:hAnsi="Times New Roman" w:cs="Times New Roman"/>
          <w:color w:val="000000"/>
          <w:szCs w:val="24"/>
          <w:lang w:eastAsia="es-MX"/>
        </w:rPr>
        <w:t>E</w:t>
      </w:r>
      <w:r w:rsidRPr="00C031B1">
        <w:rPr>
          <w:rFonts w:ascii="Times New Roman" w:eastAsia="Times New Roman" w:hAnsi="Times New Roman" w:cs="Times New Roman"/>
          <w:color w:val="000000"/>
          <w:szCs w:val="24"/>
          <w:lang w:eastAsia="es-MX"/>
        </w:rPr>
        <w:t>n 2020 terminó la modificación a la NOM-051 la cual regula todas las especificaciones sobre las etiquetas de alimentos y bebidas no alcoholicas. En dicho estándar técnico se establecieron los parámetros para el nuevo etiquetado de advertencia, el cual tendría que:</w:t>
      </w:r>
    </w:p>
    <w:p w14:paraId="00131FA7" w14:textId="77777777" w:rsidR="0042439F" w:rsidRPr="00C031B1" w:rsidRDefault="0042439F" w:rsidP="00C031B1">
      <w:pPr>
        <w:pStyle w:val="Prrafodelista"/>
        <w:spacing w:line="276" w:lineRule="auto"/>
        <w:ind w:left="1080"/>
        <w:jc w:val="both"/>
        <w:rPr>
          <w:rFonts w:ascii="Times New Roman" w:eastAsia="Times New Roman" w:hAnsi="Times New Roman" w:cs="Times New Roman"/>
          <w:color w:val="000000"/>
          <w:szCs w:val="24"/>
          <w:lang w:eastAsia="es-MX"/>
        </w:rPr>
      </w:pPr>
    </w:p>
    <w:p w14:paraId="08F59173" w14:textId="6C98D74E" w:rsidR="0042439F" w:rsidRPr="00C031B1" w:rsidRDefault="0042439F" w:rsidP="00C031B1">
      <w:pPr>
        <w:pStyle w:val="Prrafodelista"/>
        <w:numPr>
          <w:ilvl w:val="2"/>
          <w:numId w:val="8"/>
        </w:numPr>
        <w:spacing w:line="276" w:lineRule="auto"/>
        <w:jc w:val="both"/>
        <w:rPr>
          <w:rFonts w:ascii="Times New Roman" w:eastAsia="Times New Roman" w:hAnsi="Times New Roman" w:cs="Times New Roman"/>
          <w:color w:val="000000"/>
          <w:szCs w:val="24"/>
          <w:lang w:eastAsia="es-MX"/>
        </w:rPr>
      </w:pPr>
      <w:r w:rsidRPr="00C031B1">
        <w:rPr>
          <w:rFonts w:ascii="Times New Roman" w:eastAsia="Times New Roman" w:hAnsi="Times New Roman" w:cs="Times New Roman"/>
          <w:color w:val="000000"/>
          <w:szCs w:val="24"/>
          <w:lang w:eastAsia="es-MX"/>
        </w:rPr>
        <w:t>Utilizar un etiquetado de advertencia que expresara el “exceso en” azucares, grasas</w:t>
      </w:r>
      <w:r w:rsidR="00334963" w:rsidRPr="00C031B1">
        <w:rPr>
          <w:rFonts w:ascii="Times New Roman" w:eastAsia="Times New Roman" w:hAnsi="Times New Roman" w:cs="Times New Roman"/>
          <w:color w:val="000000"/>
          <w:szCs w:val="24"/>
          <w:lang w:eastAsia="es-MX"/>
        </w:rPr>
        <w:t xml:space="preserve"> saturadas</w:t>
      </w:r>
      <w:r w:rsidRPr="00C031B1">
        <w:rPr>
          <w:rFonts w:ascii="Times New Roman" w:eastAsia="Times New Roman" w:hAnsi="Times New Roman" w:cs="Times New Roman"/>
          <w:color w:val="000000"/>
          <w:szCs w:val="24"/>
          <w:lang w:eastAsia="es-MX"/>
        </w:rPr>
        <w:t>, sodio, grasas trans y calorías en los productos. De igual manera, imprimir unas leyendas de advertencia en aquellos productos que contuvieran edulcorantes no calóricos y cafeína, tal como se muestra en la siguiente imagen.</w:t>
      </w:r>
    </w:p>
    <w:p w14:paraId="3E2AAD5B" w14:textId="77777777" w:rsidR="0042439F" w:rsidRPr="00C031B1" w:rsidRDefault="0042439F" w:rsidP="00C031B1">
      <w:pPr>
        <w:pStyle w:val="Prrafodelista"/>
        <w:spacing w:line="276" w:lineRule="auto"/>
        <w:ind w:left="1080"/>
        <w:jc w:val="both"/>
        <w:rPr>
          <w:rFonts w:ascii="Times New Roman" w:eastAsia="Times New Roman" w:hAnsi="Times New Roman" w:cs="Times New Roman"/>
          <w:color w:val="000000"/>
          <w:szCs w:val="24"/>
          <w:lang w:eastAsia="es-MX"/>
        </w:rPr>
      </w:pPr>
    </w:p>
    <w:p w14:paraId="4200B798" w14:textId="03B68316" w:rsidR="0042439F" w:rsidRPr="00C031B1" w:rsidRDefault="0042439F" w:rsidP="00C031B1">
      <w:pPr>
        <w:pStyle w:val="Prrafodelista"/>
        <w:spacing w:line="276" w:lineRule="auto"/>
        <w:ind w:left="1080"/>
        <w:jc w:val="both"/>
        <w:rPr>
          <w:rFonts w:ascii="Times New Roman" w:eastAsia="Times New Roman" w:hAnsi="Times New Roman" w:cs="Times New Roman"/>
          <w:color w:val="000000"/>
          <w:szCs w:val="24"/>
          <w:lang w:eastAsia="es-MX"/>
        </w:rPr>
      </w:pPr>
      <w:r w:rsidRPr="00C031B1">
        <w:rPr>
          <w:rFonts w:ascii="Times New Roman" w:hAnsi="Times New Roman" w:cs="Times New Roman"/>
          <w:noProof/>
          <w:szCs w:val="24"/>
          <w:lang w:eastAsia="es-MX"/>
        </w:rPr>
        <w:lastRenderedPageBreak/>
        <w:drawing>
          <wp:inline distT="0" distB="0" distL="0" distR="0" wp14:anchorId="68EE924D" wp14:editId="0FDE288D">
            <wp:extent cx="4462670" cy="9598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549" t="53932" r="28710" b="31359"/>
                    <a:stretch/>
                  </pic:blipFill>
                  <pic:spPr bwMode="auto">
                    <a:xfrm>
                      <a:off x="0" y="0"/>
                      <a:ext cx="4493651" cy="966559"/>
                    </a:xfrm>
                    <a:prstGeom prst="rect">
                      <a:avLst/>
                    </a:prstGeom>
                    <a:ln>
                      <a:noFill/>
                    </a:ln>
                    <a:extLst>
                      <a:ext uri="{53640926-AAD7-44D8-BBD7-CCE9431645EC}">
                        <a14:shadowObscured xmlns:a14="http://schemas.microsoft.com/office/drawing/2010/main"/>
                      </a:ext>
                    </a:extLst>
                  </pic:spPr>
                </pic:pic>
              </a:graphicData>
            </a:graphic>
          </wp:inline>
        </w:drawing>
      </w:r>
    </w:p>
    <w:p w14:paraId="56542D22" w14:textId="77777777" w:rsidR="0042439F" w:rsidRPr="00C031B1" w:rsidRDefault="0042439F" w:rsidP="00C031B1">
      <w:pPr>
        <w:pStyle w:val="Prrafodelista"/>
        <w:spacing w:line="276" w:lineRule="auto"/>
        <w:ind w:left="1080"/>
        <w:jc w:val="both"/>
        <w:rPr>
          <w:rFonts w:ascii="Times New Roman" w:eastAsia="Times New Roman" w:hAnsi="Times New Roman" w:cs="Times New Roman"/>
          <w:color w:val="000000"/>
          <w:szCs w:val="24"/>
          <w:lang w:eastAsia="es-MX"/>
        </w:rPr>
      </w:pPr>
    </w:p>
    <w:p w14:paraId="659782FD" w14:textId="77777777" w:rsidR="00334963" w:rsidRPr="00C031B1" w:rsidRDefault="00334963" w:rsidP="00C031B1">
      <w:pPr>
        <w:pStyle w:val="Prrafodelista"/>
        <w:spacing w:line="276" w:lineRule="auto"/>
        <w:ind w:left="1080"/>
        <w:jc w:val="both"/>
        <w:rPr>
          <w:rFonts w:ascii="Times New Roman" w:hAnsi="Times New Roman" w:cs="Times New Roman"/>
          <w:noProof/>
          <w:szCs w:val="24"/>
          <w:lang w:eastAsia="es-MX"/>
        </w:rPr>
      </w:pPr>
    </w:p>
    <w:p w14:paraId="211B8881" w14:textId="190310E1" w:rsidR="0042439F" w:rsidRPr="00C031B1" w:rsidRDefault="00334963" w:rsidP="00C031B1">
      <w:pPr>
        <w:pStyle w:val="Prrafodelista"/>
        <w:spacing w:line="276" w:lineRule="auto"/>
        <w:ind w:left="1080"/>
        <w:jc w:val="both"/>
        <w:rPr>
          <w:rFonts w:ascii="Times New Roman" w:eastAsia="Times New Roman" w:hAnsi="Times New Roman" w:cs="Times New Roman"/>
          <w:color w:val="000000"/>
          <w:szCs w:val="24"/>
          <w:lang w:eastAsia="es-MX"/>
        </w:rPr>
      </w:pPr>
      <w:r w:rsidRPr="00C031B1">
        <w:rPr>
          <w:rFonts w:ascii="Times New Roman" w:hAnsi="Times New Roman" w:cs="Times New Roman"/>
          <w:noProof/>
          <w:szCs w:val="24"/>
          <w:lang w:eastAsia="es-MX"/>
        </w:rPr>
        <w:drawing>
          <wp:inline distT="0" distB="0" distL="0" distR="0" wp14:anchorId="26A75CAD" wp14:editId="4899ED33">
            <wp:extent cx="4462145" cy="780095"/>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9050" t="33400" r="26680" b="59812"/>
                    <a:stretch/>
                  </pic:blipFill>
                  <pic:spPr bwMode="auto">
                    <a:xfrm>
                      <a:off x="0" y="0"/>
                      <a:ext cx="4495512" cy="785928"/>
                    </a:xfrm>
                    <a:prstGeom prst="rect">
                      <a:avLst/>
                    </a:prstGeom>
                    <a:ln>
                      <a:noFill/>
                    </a:ln>
                    <a:extLst>
                      <a:ext uri="{53640926-AAD7-44D8-BBD7-CCE9431645EC}">
                        <a14:shadowObscured xmlns:a14="http://schemas.microsoft.com/office/drawing/2010/main"/>
                      </a:ext>
                    </a:extLst>
                  </pic:spPr>
                </pic:pic>
              </a:graphicData>
            </a:graphic>
          </wp:inline>
        </w:drawing>
      </w:r>
    </w:p>
    <w:p w14:paraId="6F726BEB" w14:textId="77777777" w:rsidR="0042439F" w:rsidRPr="00C031B1" w:rsidRDefault="0042439F" w:rsidP="00C031B1">
      <w:pPr>
        <w:pStyle w:val="Prrafodelista"/>
        <w:spacing w:line="276" w:lineRule="auto"/>
        <w:ind w:left="1080"/>
        <w:jc w:val="both"/>
        <w:rPr>
          <w:rFonts w:ascii="Times New Roman" w:eastAsia="Times New Roman" w:hAnsi="Times New Roman" w:cs="Times New Roman"/>
          <w:color w:val="000000"/>
          <w:szCs w:val="24"/>
          <w:lang w:eastAsia="es-MX"/>
        </w:rPr>
      </w:pPr>
    </w:p>
    <w:p w14:paraId="38B36630" w14:textId="77777777" w:rsidR="0042439F" w:rsidRPr="00C031B1" w:rsidRDefault="0042439F" w:rsidP="00C031B1">
      <w:pPr>
        <w:pStyle w:val="Prrafodelista"/>
        <w:spacing w:line="276" w:lineRule="auto"/>
        <w:ind w:left="1080"/>
        <w:jc w:val="both"/>
        <w:rPr>
          <w:rFonts w:ascii="Times New Roman" w:eastAsia="Times New Roman" w:hAnsi="Times New Roman" w:cs="Times New Roman"/>
          <w:color w:val="000000"/>
          <w:szCs w:val="24"/>
          <w:lang w:eastAsia="es-MX"/>
        </w:rPr>
      </w:pPr>
    </w:p>
    <w:p w14:paraId="207B8032" w14:textId="7D10CFED" w:rsidR="0042439F" w:rsidRPr="00C031B1" w:rsidRDefault="0042439F" w:rsidP="00C031B1">
      <w:pPr>
        <w:pStyle w:val="Prrafodelista"/>
        <w:numPr>
          <w:ilvl w:val="2"/>
          <w:numId w:val="8"/>
        </w:numPr>
        <w:spacing w:line="276" w:lineRule="auto"/>
        <w:jc w:val="both"/>
        <w:rPr>
          <w:rFonts w:ascii="Times New Roman" w:eastAsia="Times New Roman" w:hAnsi="Times New Roman" w:cs="Times New Roman"/>
          <w:color w:val="000000"/>
          <w:szCs w:val="24"/>
          <w:lang w:eastAsia="es-MX"/>
        </w:rPr>
      </w:pPr>
      <w:r w:rsidRPr="00C031B1">
        <w:rPr>
          <w:rFonts w:ascii="Times New Roman" w:eastAsia="Times New Roman" w:hAnsi="Times New Roman" w:cs="Times New Roman"/>
          <w:color w:val="000000"/>
          <w:szCs w:val="24"/>
          <w:lang w:eastAsia="es-MX"/>
        </w:rPr>
        <w:t>Utilizar el perfil de nutrimentos de la OPS para establecer los parámetros de “exceso en” sobre los nutrimentos críticos mencionados</w:t>
      </w:r>
      <w:r w:rsidR="00334963" w:rsidRPr="00C031B1">
        <w:rPr>
          <w:rFonts w:ascii="Times New Roman" w:eastAsia="Times New Roman" w:hAnsi="Times New Roman" w:cs="Times New Roman"/>
          <w:color w:val="000000"/>
          <w:szCs w:val="24"/>
          <w:lang w:eastAsia="es-MX"/>
        </w:rPr>
        <w:t xml:space="preserve">. </w:t>
      </w:r>
    </w:p>
    <w:p w14:paraId="7ED79C5D" w14:textId="3887370D" w:rsidR="001A2B7A" w:rsidRPr="00C031B1" w:rsidRDefault="00334963" w:rsidP="00C031B1">
      <w:pPr>
        <w:pStyle w:val="Prrafodelista"/>
        <w:spacing w:line="276" w:lineRule="auto"/>
        <w:ind w:left="1800"/>
        <w:jc w:val="both"/>
        <w:rPr>
          <w:rFonts w:ascii="Times New Roman" w:eastAsia="Times New Roman" w:hAnsi="Times New Roman" w:cs="Times New Roman"/>
          <w:color w:val="000000"/>
          <w:szCs w:val="24"/>
          <w:lang w:eastAsia="es-MX"/>
        </w:rPr>
      </w:pPr>
      <w:r w:rsidRPr="00C031B1">
        <w:rPr>
          <w:rFonts w:ascii="Times New Roman" w:eastAsia="Times New Roman" w:hAnsi="Times New Roman" w:cs="Times New Roman"/>
          <w:color w:val="000000"/>
          <w:szCs w:val="24"/>
          <w:lang w:eastAsia="es-MX"/>
        </w:rPr>
        <w:t>Elementos persuasivos en empaques: Los productos con uno o más sellos de advertencia o leyendas precautorias, no deben incluir en su etiqueta</w:t>
      </w:r>
      <w:r w:rsidR="001A2B7A">
        <w:rPr>
          <w:rFonts w:ascii="Times New Roman" w:eastAsia="Times New Roman" w:hAnsi="Times New Roman" w:cs="Times New Roman"/>
          <w:color w:val="000000"/>
          <w:szCs w:val="24"/>
          <w:lang w:eastAsia="es-MX"/>
        </w:rPr>
        <w:t>, personajes, celebridades, deportistas o mascotas, etc.</w:t>
      </w:r>
    </w:p>
    <w:p w14:paraId="18CD872D" w14:textId="77777777" w:rsidR="0042439F" w:rsidRPr="00334963" w:rsidRDefault="0042439F" w:rsidP="00C031B1">
      <w:pPr>
        <w:pStyle w:val="Prrafodelista"/>
        <w:spacing w:line="276" w:lineRule="auto"/>
        <w:ind w:left="1800"/>
        <w:jc w:val="both"/>
        <w:rPr>
          <w:lang w:eastAsia="es-MX"/>
        </w:rPr>
      </w:pPr>
    </w:p>
    <w:p w14:paraId="67656773" w14:textId="08C5E18C" w:rsidR="00113879" w:rsidRPr="00C031B1" w:rsidRDefault="00113879" w:rsidP="00C031B1">
      <w:pPr>
        <w:pStyle w:val="Prrafodelista"/>
        <w:numPr>
          <w:ilvl w:val="1"/>
          <w:numId w:val="8"/>
        </w:numPr>
        <w:shd w:val="clear" w:color="auto" w:fill="FFFFFF"/>
        <w:spacing w:before="120" w:after="120" w:line="276" w:lineRule="auto"/>
        <w:jc w:val="both"/>
        <w:rPr>
          <w:rFonts w:ascii="Times New Roman" w:eastAsia="Times New Roman" w:hAnsi="Times New Roman" w:cs="Times New Roman"/>
          <w:b/>
          <w:color w:val="000000"/>
          <w:szCs w:val="24"/>
          <w:lang w:eastAsia="es-MX"/>
        </w:rPr>
      </w:pPr>
      <w:r w:rsidRPr="00C031B1">
        <w:rPr>
          <w:rFonts w:ascii="Times New Roman" w:eastAsia="Times New Roman" w:hAnsi="Times New Roman" w:cs="Times New Roman"/>
          <w:b/>
          <w:color w:val="000000"/>
          <w:szCs w:val="24"/>
          <w:lang w:eastAsia="es-MX"/>
        </w:rPr>
        <w:t>Modificaciones al Reglamento de Publicidad de la Ley General de Salud</w:t>
      </w:r>
      <w:r>
        <w:rPr>
          <w:rFonts w:ascii="Times New Roman" w:eastAsia="Times New Roman" w:hAnsi="Times New Roman" w:cs="Times New Roman"/>
          <w:b/>
          <w:color w:val="000000"/>
          <w:szCs w:val="24"/>
          <w:lang w:eastAsia="es-MX"/>
        </w:rPr>
        <w:t>:</w:t>
      </w:r>
      <w:r>
        <w:rPr>
          <w:rStyle w:val="Refdenotaalpie"/>
          <w:rFonts w:ascii="Times New Roman" w:eastAsia="Times New Roman" w:hAnsi="Times New Roman" w:cs="Times New Roman"/>
          <w:b/>
          <w:color w:val="000000"/>
          <w:szCs w:val="24"/>
          <w:lang w:eastAsia="es-MX"/>
        </w:rPr>
        <w:footnoteReference w:id="7"/>
      </w:r>
      <w:r>
        <w:rPr>
          <w:rFonts w:ascii="Times New Roman" w:eastAsia="Times New Roman" w:hAnsi="Times New Roman" w:cs="Times New Roman"/>
          <w:b/>
          <w:color w:val="000000"/>
          <w:szCs w:val="24"/>
          <w:lang w:eastAsia="es-MX"/>
        </w:rPr>
        <w:t xml:space="preserve"> </w:t>
      </w:r>
      <w:r>
        <w:rPr>
          <w:rFonts w:ascii="Times New Roman" w:eastAsia="Times New Roman" w:hAnsi="Times New Roman" w:cs="Times New Roman"/>
          <w:color w:val="000000"/>
          <w:szCs w:val="24"/>
          <w:lang w:eastAsia="es-MX"/>
        </w:rPr>
        <w:t>En septiembre de 2022 se modificó este reglamento para cambiar los parámetros de regulación en la publicidad de alimentos. Algunos de los puntos más importantes fueron:</w:t>
      </w:r>
    </w:p>
    <w:p w14:paraId="484E85FC" w14:textId="1BCD18AC" w:rsidR="00113879" w:rsidRDefault="00113879" w:rsidP="00C031B1">
      <w:pPr>
        <w:pStyle w:val="Prrafodelista"/>
        <w:numPr>
          <w:ilvl w:val="2"/>
          <w:numId w:val="8"/>
        </w:numPr>
        <w:shd w:val="clear" w:color="auto" w:fill="FFFFFF"/>
        <w:spacing w:before="120" w:after="120" w:line="276" w:lineRule="auto"/>
        <w:jc w:val="both"/>
        <w:rPr>
          <w:rFonts w:ascii="Times New Roman" w:eastAsia="Times New Roman" w:hAnsi="Times New Roman" w:cs="Times New Roman"/>
          <w:color w:val="000000"/>
          <w:szCs w:val="24"/>
          <w:lang w:eastAsia="es-MX"/>
        </w:rPr>
      </w:pPr>
      <w:r w:rsidRPr="00C031B1">
        <w:rPr>
          <w:rFonts w:ascii="Times New Roman" w:eastAsia="Times New Roman" w:hAnsi="Times New Roman" w:cs="Times New Roman"/>
          <w:color w:val="000000"/>
          <w:szCs w:val="24"/>
          <w:lang w:eastAsia="es-MX"/>
        </w:rPr>
        <w:t>L</w:t>
      </w:r>
      <w:r w:rsidRPr="00113879">
        <w:rPr>
          <w:rFonts w:ascii="Times New Roman" w:eastAsia="Times New Roman" w:hAnsi="Times New Roman" w:cs="Times New Roman"/>
          <w:color w:val="000000"/>
          <w:szCs w:val="24"/>
          <w:lang w:eastAsia="es-MX"/>
        </w:rPr>
        <w:t>a</w:t>
      </w:r>
      <w:r w:rsidRPr="00C031B1">
        <w:rPr>
          <w:rFonts w:ascii="Times New Roman" w:eastAsia="Times New Roman" w:hAnsi="Times New Roman" w:cs="Times New Roman"/>
          <w:color w:val="000000"/>
          <w:szCs w:val="24"/>
          <w:lang w:eastAsia="es-MX"/>
        </w:rPr>
        <w:t xml:space="preserve"> restricción </w:t>
      </w:r>
      <w:r w:rsidRPr="00113879">
        <w:rPr>
          <w:rFonts w:ascii="Times New Roman" w:eastAsia="Times New Roman" w:hAnsi="Times New Roman" w:cs="Times New Roman"/>
          <w:color w:val="000000"/>
          <w:szCs w:val="24"/>
          <w:lang w:eastAsia="es-MX"/>
        </w:rPr>
        <w:t xml:space="preserve">de la publicidad infantil, tal como personajes infantiles, animaciones, celebridades, deportistas o mascotas, entre otros; </w:t>
      </w:r>
      <w:r w:rsidRPr="00C031B1">
        <w:rPr>
          <w:rFonts w:ascii="Times New Roman" w:eastAsia="Times New Roman" w:hAnsi="Times New Roman" w:cs="Times New Roman"/>
          <w:color w:val="000000"/>
          <w:szCs w:val="24"/>
          <w:u w:val="single"/>
          <w:lang w:eastAsia="es-MX"/>
        </w:rPr>
        <w:t>en aquellos productos que en su etiqueta incluyan uno o más elementos del sistema de etiquetado frontal</w:t>
      </w:r>
      <w:r w:rsidR="005D55A2">
        <w:rPr>
          <w:rFonts w:ascii="Times New Roman" w:eastAsia="Times New Roman" w:hAnsi="Times New Roman" w:cs="Times New Roman"/>
          <w:color w:val="000000"/>
          <w:szCs w:val="24"/>
          <w:u w:val="single"/>
          <w:lang w:eastAsia="es-MX"/>
        </w:rPr>
        <w:t xml:space="preserve"> (ej. Un sello “exceso en” y/o una leyenda)</w:t>
      </w:r>
      <w:r w:rsidR="005D55A2" w:rsidRPr="00C031B1">
        <w:rPr>
          <w:rFonts w:ascii="Times New Roman" w:eastAsia="Times New Roman" w:hAnsi="Times New Roman" w:cs="Times New Roman"/>
          <w:color w:val="000000"/>
          <w:szCs w:val="24"/>
          <w:u w:val="single"/>
          <w:lang w:eastAsia="es-MX"/>
        </w:rPr>
        <w:t>.</w:t>
      </w:r>
    </w:p>
    <w:p w14:paraId="2BEC6B7E" w14:textId="26384E5C" w:rsidR="00113879" w:rsidRDefault="00113879" w:rsidP="00C031B1">
      <w:pPr>
        <w:pStyle w:val="Prrafodelista"/>
        <w:numPr>
          <w:ilvl w:val="2"/>
          <w:numId w:val="8"/>
        </w:numPr>
        <w:shd w:val="clear" w:color="auto" w:fill="FFFFFF"/>
        <w:spacing w:before="120" w:after="120" w:line="276" w:lineRule="auto"/>
        <w:jc w:val="both"/>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 xml:space="preserve">La regulación de la publicidad infantil </w:t>
      </w:r>
      <w:r w:rsidR="001A2B7A">
        <w:rPr>
          <w:rFonts w:ascii="Times New Roman" w:eastAsia="Times New Roman" w:hAnsi="Times New Roman" w:cs="Times New Roman"/>
          <w:color w:val="000000"/>
          <w:szCs w:val="24"/>
          <w:lang w:eastAsia="es-MX"/>
        </w:rPr>
        <w:t>debe cubrir</w:t>
      </w:r>
      <w:r w:rsidRPr="00113879">
        <w:rPr>
          <w:rFonts w:ascii="Times New Roman" w:eastAsia="Times New Roman" w:hAnsi="Times New Roman" w:cs="Times New Roman"/>
          <w:color w:val="000000"/>
          <w:szCs w:val="24"/>
          <w:lang w:eastAsia="es-MX"/>
        </w:rPr>
        <w:t xml:space="preserve"> televisión abierta, televisión restringida, salas de exhibición cinematográfica, internet y demás plataformas digitales</w:t>
      </w:r>
      <w:r>
        <w:rPr>
          <w:rFonts w:ascii="Times New Roman" w:eastAsia="Times New Roman" w:hAnsi="Times New Roman" w:cs="Times New Roman"/>
          <w:color w:val="000000"/>
          <w:szCs w:val="24"/>
          <w:lang w:eastAsia="es-MX"/>
        </w:rPr>
        <w:t>.</w:t>
      </w:r>
    </w:p>
    <w:p w14:paraId="6A9CBA6A" w14:textId="552C3271" w:rsidR="00113879" w:rsidRDefault="00113879" w:rsidP="00C031B1">
      <w:pPr>
        <w:pStyle w:val="Prrafodelista"/>
        <w:shd w:val="clear" w:color="auto" w:fill="FFFFFF"/>
        <w:spacing w:before="120" w:after="120" w:line="276" w:lineRule="auto"/>
        <w:ind w:left="1800"/>
        <w:jc w:val="both"/>
        <w:rPr>
          <w:rFonts w:ascii="Times New Roman" w:eastAsia="Times New Roman" w:hAnsi="Times New Roman" w:cs="Times New Roman"/>
          <w:color w:val="000000"/>
          <w:szCs w:val="24"/>
          <w:lang w:eastAsia="es-MX"/>
        </w:rPr>
      </w:pPr>
    </w:p>
    <w:p w14:paraId="22C99000" w14:textId="5F8208D8" w:rsidR="00F7796E" w:rsidRDefault="00F70A3E" w:rsidP="00F7796E">
      <w:pPr>
        <w:pStyle w:val="Prrafodelista"/>
        <w:numPr>
          <w:ilvl w:val="1"/>
          <w:numId w:val="8"/>
        </w:numPr>
        <w:shd w:val="clear" w:color="auto" w:fill="FFFFFF"/>
        <w:spacing w:before="120" w:after="120" w:line="240" w:lineRule="auto"/>
        <w:ind w:left="1134" w:hanging="425"/>
        <w:jc w:val="both"/>
        <w:rPr>
          <w:rFonts w:ascii="Times New Roman" w:eastAsia="Times New Roman" w:hAnsi="Times New Roman" w:cs="Times New Roman"/>
          <w:color w:val="000000"/>
          <w:szCs w:val="24"/>
          <w:lang w:eastAsia="es-MX"/>
        </w:rPr>
      </w:pPr>
      <w:r w:rsidRPr="00C031B1">
        <w:rPr>
          <w:rFonts w:ascii="Times New Roman" w:eastAsia="Times New Roman" w:hAnsi="Times New Roman" w:cs="Times New Roman"/>
          <w:b/>
          <w:color w:val="000000"/>
          <w:szCs w:val="24"/>
          <w:lang w:eastAsia="es-MX"/>
        </w:rPr>
        <w:t>Prohibición</w:t>
      </w:r>
      <w:r w:rsidRPr="00C031B1">
        <w:rPr>
          <w:rFonts w:ascii="Times New Roman" w:eastAsia="Times New Roman" w:hAnsi="Times New Roman" w:cs="Times New Roman"/>
          <w:color w:val="000000"/>
          <w:szCs w:val="24"/>
          <w:lang w:eastAsia="es-MX"/>
        </w:rPr>
        <w:t xml:space="preserve"> </w:t>
      </w:r>
      <w:r w:rsidRPr="00C031B1">
        <w:rPr>
          <w:rFonts w:ascii="Times New Roman" w:eastAsia="Times New Roman" w:hAnsi="Times New Roman" w:cs="Times New Roman"/>
          <w:b/>
          <w:color w:val="000000"/>
          <w:szCs w:val="24"/>
          <w:lang w:eastAsia="es-MX"/>
        </w:rPr>
        <w:t>de venta a niños de alimentos ultraprocesados con alto contenido de nutrimentos críticos en Oaxaca y otras entidades federativas.</w:t>
      </w:r>
      <w:r w:rsidRPr="00C031B1">
        <w:rPr>
          <w:rStyle w:val="Refdenotaalpie"/>
          <w:rFonts w:ascii="Times New Roman" w:eastAsia="Times New Roman" w:hAnsi="Times New Roman" w:cs="Times New Roman"/>
          <w:b/>
          <w:color w:val="000000"/>
          <w:szCs w:val="24"/>
          <w:lang w:eastAsia="es-MX"/>
        </w:rPr>
        <w:footnoteReference w:id="8"/>
      </w:r>
      <w:r w:rsidRPr="00C031B1">
        <w:rPr>
          <w:rFonts w:ascii="Times New Roman" w:eastAsia="Times New Roman" w:hAnsi="Times New Roman" w:cs="Times New Roman"/>
          <w:b/>
          <w:color w:val="000000"/>
          <w:szCs w:val="24"/>
          <w:lang w:eastAsia="es-MX"/>
        </w:rPr>
        <w:t xml:space="preserve"> </w:t>
      </w:r>
      <w:r w:rsidRPr="00C031B1">
        <w:rPr>
          <w:rFonts w:ascii="Times New Roman" w:eastAsia="Times New Roman" w:hAnsi="Times New Roman" w:cs="Times New Roman"/>
          <w:color w:val="000000"/>
          <w:szCs w:val="24"/>
          <w:lang w:eastAsia="es-MX"/>
        </w:rPr>
        <w:t xml:space="preserve">Esta medida trata de frenar el desplazamiento de las formas de alimentación saludable y tradicional por los productos malsanos, </w:t>
      </w:r>
      <w:r w:rsidR="001A2B7A">
        <w:rPr>
          <w:rFonts w:ascii="Times New Roman" w:eastAsia="Times New Roman" w:hAnsi="Times New Roman" w:cs="Times New Roman"/>
          <w:color w:val="000000"/>
          <w:szCs w:val="24"/>
          <w:lang w:eastAsia="es-MX"/>
        </w:rPr>
        <w:t xml:space="preserve">ultraprocesados, y </w:t>
      </w:r>
      <w:r w:rsidRPr="00C031B1">
        <w:rPr>
          <w:rFonts w:ascii="Times New Roman" w:eastAsia="Times New Roman" w:hAnsi="Times New Roman" w:cs="Times New Roman"/>
          <w:color w:val="000000"/>
          <w:szCs w:val="24"/>
          <w:lang w:eastAsia="es-MX"/>
        </w:rPr>
        <w:lastRenderedPageBreak/>
        <w:t>empacados en envases desechables, como las bebidas azucaradas. Hasta el momento no se ha implementado.</w:t>
      </w:r>
      <w:r w:rsidRPr="00C031B1">
        <w:rPr>
          <w:rStyle w:val="Refdenotaalpie"/>
          <w:rFonts w:ascii="Times New Roman" w:eastAsia="Times New Roman" w:hAnsi="Times New Roman" w:cs="Times New Roman"/>
          <w:color w:val="000000"/>
          <w:szCs w:val="24"/>
          <w:lang w:eastAsia="es-MX"/>
        </w:rPr>
        <w:footnoteReference w:id="9"/>
      </w:r>
    </w:p>
    <w:p w14:paraId="1A9A2E19" w14:textId="77777777" w:rsidR="00F7796E" w:rsidRDefault="00F7796E" w:rsidP="00F7796E">
      <w:pPr>
        <w:pStyle w:val="Prrafodelista"/>
        <w:shd w:val="clear" w:color="auto" w:fill="FFFFFF"/>
        <w:spacing w:before="120" w:after="120" w:line="240" w:lineRule="auto"/>
        <w:ind w:left="1134"/>
        <w:jc w:val="both"/>
        <w:rPr>
          <w:rFonts w:ascii="Times New Roman" w:eastAsia="Times New Roman" w:hAnsi="Times New Roman" w:cs="Times New Roman"/>
          <w:color w:val="000000"/>
          <w:szCs w:val="24"/>
          <w:lang w:eastAsia="es-MX"/>
        </w:rPr>
      </w:pPr>
    </w:p>
    <w:p w14:paraId="5D3F68D3" w14:textId="77777777" w:rsidR="00F7796E" w:rsidRPr="00F7796E" w:rsidRDefault="00F70A3E" w:rsidP="00F7796E">
      <w:pPr>
        <w:pStyle w:val="Prrafodelista"/>
        <w:numPr>
          <w:ilvl w:val="1"/>
          <w:numId w:val="8"/>
        </w:numPr>
        <w:shd w:val="clear" w:color="auto" w:fill="FFFFFF"/>
        <w:spacing w:before="120" w:after="120" w:line="240" w:lineRule="auto"/>
        <w:ind w:left="1134" w:hanging="425"/>
        <w:jc w:val="both"/>
        <w:rPr>
          <w:rFonts w:ascii="Times New Roman" w:eastAsia="Times New Roman" w:hAnsi="Times New Roman" w:cs="Times New Roman"/>
          <w:color w:val="000000"/>
          <w:szCs w:val="24"/>
          <w:lang w:eastAsia="es-MX"/>
        </w:rPr>
      </w:pPr>
      <w:r w:rsidRPr="00F7796E">
        <w:rPr>
          <w:rFonts w:ascii="Times New Roman" w:hAnsi="Times New Roman" w:cs="Times New Roman"/>
          <w:b/>
          <w:szCs w:val="24"/>
          <w:lang w:val="es-ES"/>
        </w:rPr>
        <w:t>Impuesto a las bebidas azucarada</w:t>
      </w:r>
      <w:r w:rsidRPr="00F7796E">
        <w:rPr>
          <w:rFonts w:ascii="Times New Roman" w:eastAsia="Times New Roman" w:hAnsi="Times New Roman" w:cs="Times New Roman"/>
          <w:b/>
          <w:color w:val="000000"/>
          <w:szCs w:val="24"/>
          <w:lang w:eastAsia="es-MX"/>
        </w:rPr>
        <w:t>s</w:t>
      </w:r>
      <w:r w:rsidRPr="00F7796E">
        <w:rPr>
          <w:rFonts w:ascii="Times New Roman" w:hAnsi="Times New Roman" w:cs="Times New Roman"/>
          <w:b/>
          <w:szCs w:val="24"/>
          <w:lang w:val="es-ES"/>
        </w:rPr>
        <w:t>.</w:t>
      </w:r>
      <w:r w:rsidRPr="00C031B1">
        <w:rPr>
          <w:rStyle w:val="Refdenotaalpie"/>
          <w:rFonts w:ascii="Times New Roman" w:hAnsi="Times New Roman" w:cs="Times New Roman"/>
          <w:b/>
          <w:szCs w:val="24"/>
          <w:lang w:val="es-ES"/>
        </w:rPr>
        <w:footnoteReference w:id="10"/>
      </w:r>
      <w:r w:rsidRPr="00F7796E">
        <w:rPr>
          <w:rFonts w:ascii="Times New Roman" w:hAnsi="Times New Roman" w:cs="Times New Roman"/>
          <w:b/>
          <w:szCs w:val="24"/>
          <w:lang w:val="es-ES"/>
        </w:rPr>
        <w:t xml:space="preserve"> </w:t>
      </w:r>
      <w:r w:rsidR="009172D8" w:rsidRPr="00F7796E">
        <w:rPr>
          <w:rFonts w:ascii="Times New Roman" w:hAnsi="Times New Roman" w:cs="Times New Roman"/>
          <w:szCs w:val="24"/>
        </w:rPr>
        <w:t xml:space="preserve">México implementó un impuesto de un peso mexicano por litro a las bebidas azucaradas. </w:t>
      </w:r>
      <w:r w:rsidRPr="00F7796E">
        <w:rPr>
          <w:rFonts w:ascii="Times New Roman" w:hAnsi="Times New Roman" w:cs="Times New Roman"/>
          <w:szCs w:val="24"/>
          <w:lang w:val="es-ES"/>
        </w:rPr>
        <w:t>Tiene como objetivo desincentivar el consumo de este tipo de bebidas que dañan la salud,</w:t>
      </w:r>
      <w:r w:rsidRPr="00C031B1">
        <w:rPr>
          <w:rStyle w:val="Refdenotaalpie"/>
          <w:rFonts w:ascii="Times New Roman" w:hAnsi="Times New Roman" w:cs="Times New Roman"/>
          <w:szCs w:val="24"/>
          <w:lang w:val="es-ES"/>
        </w:rPr>
        <w:footnoteReference w:id="11"/>
      </w:r>
      <w:r w:rsidRPr="00F7796E">
        <w:rPr>
          <w:rFonts w:ascii="Times New Roman" w:hAnsi="Times New Roman" w:cs="Times New Roman"/>
          <w:szCs w:val="24"/>
          <w:lang w:val="es-ES"/>
        </w:rPr>
        <w:t xml:space="preserve"> cuya producción implica el despojo de agua a comunidades</w:t>
      </w:r>
      <w:r w:rsidRPr="00C031B1">
        <w:rPr>
          <w:rStyle w:val="Refdenotaalpie"/>
          <w:rFonts w:ascii="Times New Roman" w:hAnsi="Times New Roman" w:cs="Times New Roman"/>
          <w:szCs w:val="24"/>
          <w:lang w:val="es-ES"/>
        </w:rPr>
        <w:footnoteReference w:id="12"/>
      </w:r>
      <w:r w:rsidRPr="00F7796E">
        <w:rPr>
          <w:rFonts w:ascii="Times New Roman" w:hAnsi="Times New Roman" w:cs="Times New Roman"/>
          <w:szCs w:val="24"/>
          <w:lang w:val="es-ES"/>
        </w:rPr>
        <w:t xml:space="preserve"> y que contaminan el medio ambiente por la generación de residuos plásticos.</w:t>
      </w:r>
      <w:r w:rsidRPr="00C031B1">
        <w:rPr>
          <w:rStyle w:val="Refdenotaalpie"/>
          <w:rFonts w:ascii="Times New Roman" w:hAnsi="Times New Roman" w:cs="Times New Roman"/>
          <w:szCs w:val="24"/>
          <w:lang w:val="es-ES"/>
        </w:rPr>
        <w:footnoteReference w:id="13"/>
      </w:r>
      <w:r w:rsidRPr="00F7796E">
        <w:rPr>
          <w:rFonts w:ascii="Times New Roman" w:hAnsi="Times New Roman" w:cs="Times New Roman"/>
          <w:szCs w:val="24"/>
          <w:lang w:val="es-ES"/>
        </w:rPr>
        <w:t xml:space="preserve">  Se aplica desde el 2014, sin embargo, el gravamen debe incrementarse para cumplir con las recomendaciones de la OMS.</w:t>
      </w:r>
      <w:r w:rsidRPr="00C031B1">
        <w:rPr>
          <w:rStyle w:val="Refdenotaalpie"/>
          <w:rFonts w:ascii="Times New Roman" w:hAnsi="Times New Roman" w:cs="Times New Roman"/>
          <w:szCs w:val="24"/>
          <w:lang w:val="es-ES"/>
        </w:rPr>
        <w:footnoteReference w:id="14"/>
      </w:r>
    </w:p>
    <w:p w14:paraId="464F6FC3" w14:textId="77777777" w:rsidR="00F7796E" w:rsidRPr="00F7796E" w:rsidRDefault="00F7796E" w:rsidP="00F7796E">
      <w:pPr>
        <w:pStyle w:val="Prrafodelista"/>
        <w:rPr>
          <w:rFonts w:ascii="Times New Roman" w:hAnsi="Times New Roman" w:cs="Times New Roman"/>
          <w:b/>
          <w:szCs w:val="24"/>
        </w:rPr>
      </w:pPr>
    </w:p>
    <w:p w14:paraId="097EDCC3" w14:textId="77777777" w:rsidR="00F7796E" w:rsidRPr="00F7796E" w:rsidRDefault="00BE1366" w:rsidP="00F7796E">
      <w:pPr>
        <w:pStyle w:val="Prrafodelista"/>
        <w:numPr>
          <w:ilvl w:val="1"/>
          <w:numId w:val="8"/>
        </w:numPr>
        <w:shd w:val="clear" w:color="auto" w:fill="FFFFFF"/>
        <w:spacing w:before="120" w:after="120" w:line="240" w:lineRule="auto"/>
        <w:ind w:left="1134" w:hanging="425"/>
        <w:jc w:val="both"/>
        <w:rPr>
          <w:rFonts w:ascii="Times New Roman" w:eastAsia="Times New Roman" w:hAnsi="Times New Roman" w:cs="Times New Roman"/>
          <w:color w:val="000000"/>
          <w:szCs w:val="24"/>
          <w:lang w:eastAsia="es-MX"/>
        </w:rPr>
      </w:pPr>
      <w:r w:rsidRPr="00F7796E">
        <w:rPr>
          <w:rFonts w:ascii="Times New Roman" w:hAnsi="Times New Roman" w:cs="Times New Roman"/>
          <w:b/>
          <w:szCs w:val="24"/>
        </w:rPr>
        <w:t>Escuelas saludables:</w:t>
      </w:r>
      <w:r w:rsidRPr="00F7796E">
        <w:rPr>
          <w:rFonts w:ascii="Times New Roman" w:hAnsi="Times New Roman" w:cs="Times New Roman"/>
          <w:szCs w:val="24"/>
        </w:rPr>
        <w:t xml:space="preserve"> </w:t>
      </w:r>
      <w:r w:rsidRPr="00F7796E">
        <w:rPr>
          <w:rFonts w:ascii="Times New Roman" w:hAnsi="Times New Roman" w:cs="Times New Roman"/>
          <w:szCs w:val="24"/>
          <w:lang w:val="es-CL"/>
        </w:rPr>
        <w:t>Actualmente, diversos grupos de la sociedad civil en conjunto con organismos de la ONU, buscan impulsar la prohibición de venta de productos ultraprocesados y bebidas azucaradas en los entornos escolares. Esta medida, recomendada por la Organización Mundial de la Salud (OMS) y Organización Panamericana de la Salud (OPS), tiene por objetivo proteger el derecho a la alimentación saludable de niños, niñas y adolescentes; además de promover el consumo de alimentos saludables, naturales y de producción local dentro de los planteles educativos.</w:t>
      </w:r>
      <w:r w:rsidRPr="00C40D7C">
        <w:rPr>
          <w:rStyle w:val="Refdenotaalpie"/>
          <w:rFonts w:ascii="Times New Roman" w:hAnsi="Times New Roman" w:cs="Times New Roman"/>
          <w:szCs w:val="24"/>
          <w:lang w:val="es-CL"/>
        </w:rPr>
        <w:footnoteReference w:id="15"/>
      </w:r>
      <w:r w:rsidRPr="00F7796E">
        <w:rPr>
          <w:rFonts w:ascii="Times New Roman" w:hAnsi="Times New Roman" w:cs="Times New Roman"/>
          <w:szCs w:val="24"/>
          <w:lang w:val="es-CL"/>
        </w:rPr>
        <w:t xml:space="preserve"> </w:t>
      </w:r>
    </w:p>
    <w:p w14:paraId="06935DAA" w14:textId="77777777" w:rsidR="00F7796E" w:rsidRPr="00F7796E" w:rsidRDefault="00F7796E" w:rsidP="00F7796E">
      <w:pPr>
        <w:pStyle w:val="Prrafodelista"/>
        <w:rPr>
          <w:rFonts w:ascii="Times New Roman" w:hAnsi="Times New Roman" w:cs="Times New Roman"/>
          <w:b/>
          <w:szCs w:val="24"/>
        </w:rPr>
      </w:pPr>
    </w:p>
    <w:p w14:paraId="406A0D1F" w14:textId="132A44BE" w:rsidR="00F7796E" w:rsidRPr="00F7796E" w:rsidRDefault="00F7796E" w:rsidP="00F7796E">
      <w:pPr>
        <w:pStyle w:val="Prrafodelista"/>
        <w:numPr>
          <w:ilvl w:val="1"/>
          <w:numId w:val="8"/>
        </w:numPr>
        <w:shd w:val="clear" w:color="auto" w:fill="FFFFFF"/>
        <w:spacing w:before="120" w:after="120" w:line="240" w:lineRule="auto"/>
        <w:ind w:left="1134" w:hanging="425"/>
        <w:jc w:val="both"/>
        <w:rPr>
          <w:rFonts w:ascii="Times New Roman" w:eastAsia="Times New Roman" w:hAnsi="Times New Roman" w:cs="Times New Roman"/>
          <w:color w:val="000000"/>
          <w:szCs w:val="24"/>
          <w:lang w:eastAsia="es-MX"/>
        </w:rPr>
      </w:pPr>
      <w:r w:rsidRPr="00F7796E">
        <w:rPr>
          <w:rFonts w:ascii="Times New Roman" w:hAnsi="Times New Roman" w:cs="Times New Roman"/>
          <w:b/>
          <w:szCs w:val="24"/>
        </w:rPr>
        <w:t xml:space="preserve">Guías alimentarias. </w:t>
      </w:r>
      <w:r w:rsidRPr="00F7796E">
        <w:rPr>
          <w:rFonts w:ascii="Times New Roman" w:hAnsi="Times New Roman" w:cs="Times New Roman"/>
          <w:szCs w:val="24"/>
        </w:rPr>
        <w:t>Las nuevas guías alimentarias de México, desarrollado bajo el liderazgo del Instituto Nacional de Salud Pública de México, son parte del nuevo sistema alimentario propuesto por el Gobierno Federal. Las guías tienen un enfoque de derechos e igualdad y contempla no solo la nutrición, pero también el impacto ambiental de los alimentos y bebidas. Esta guía ofrece recomendaciones para diversos grupos de la población y ha sido probado y discutido con poblaciones vulnerables incluyendo poblaciones indígenas. La guía detalla como los alimentos ultraprocesados propician deterioro ambiental y a la salud y promueva lactancia materna exclusivo por al menos seis meses y el consumo de alimentos no o mínimamente procesados y una dieta basada en alimentos de origen vegetal.</w:t>
      </w:r>
    </w:p>
    <w:p w14:paraId="0FBE36DB" w14:textId="77777777" w:rsidR="00F7796E" w:rsidRPr="00F7796E" w:rsidRDefault="00F7796E" w:rsidP="00F7796E">
      <w:pPr>
        <w:pStyle w:val="Prrafodelista"/>
        <w:rPr>
          <w:rFonts w:ascii="Times New Roman" w:eastAsia="Times New Roman" w:hAnsi="Times New Roman" w:cs="Times New Roman"/>
          <w:b/>
          <w:color w:val="000000"/>
          <w:szCs w:val="24"/>
          <w:lang w:eastAsia="es-MX"/>
        </w:rPr>
      </w:pPr>
    </w:p>
    <w:p w14:paraId="28D06E7F" w14:textId="77777777" w:rsidR="00F7796E" w:rsidRDefault="000E1266" w:rsidP="00F7796E">
      <w:pPr>
        <w:pStyle w:val="Prrafodelista"/>
        <w:numPr>
          <w:ilvl w:val="1"/>
          <w:numId w:val="8"/>
        </w:numPr>
        <w:shd w:val="clear" w:color="auto" w:fill="FFFFFF"/>
        <w:spacing w:before="120" w:after="120" w:line="240" w:lineRule="auto"/>
        <w:ind w:left="1134" w:hanging="425"/>
        <w:jc w:val="both"/>
        <w:rPr>
          <w:rFonts w:ascii="Times New Roman" w:eastAsia="Times New Roman" w:hAnsi="Times New Roman" w:cs="Times New Roman"/>
          <w:color w:val="000000"/>
          <w:szCs w:val="24"/>
          <w:lang w:eastAsia="es-MX"/>
        </w:rPr>
      </w:pPr>
      <w:r w:rsidRPr="00F7796E">
        <w:rPr>
          <w:rFonts w:ascii="Times New Roman" w:eastAsia="Times New Roman" w:hAnsi="Times New Roman" w:cs="Times New Roman"/>
          <w:b/>
          <w:color w:val="000000"/>
          <w:szCs w:val="24"/>
          <w:lang w:eastAsia="es-MX"/>
        </w:rPr>
        <w:lastRenderedPageBreak/>
        <w:t>Decreto para la sustitución gradual del glifosato y que prohíbe la siembra de maíz transgénico.</w:t>
      </w:r>
      <w:r w:rsidRPr="00F2554C">
        <w:rPr>
          <w:rStyle w:val="Refdenotaalpie"/>
          <w:rFonts w:ascii="Times New Roman" w:eastAsia="Times New Roman" w:hAnsi="Times New Roman" w:cs="Times New Roman"/>
          <w:b/>
          <w:color w:val="000000"/>
          <w:szCs w:val="24"/>
          <w:lang w:eastAsia="es-MX"/>
        </w:rPr>
        <w:footnoteReference w:id="16"/>
      </w:r>
      <w:r w:rsidRPr="00F7796E">
        <w:rPr>
          <w:rFonts w:ascii="Times New Roman" w:eastAsia="Times New Roman" w:hAnsi="Times New Roman" w:cs="Times New Roman"/>
          <w:b/>
          <w:color w:val="000000"/>
          <w:szCs w:val="24"/>
          <w:lang w:eastAsia="es-MX"/>
        </w:rPr>
        <w:t xml:space="preserve"> </w:t>
      </w:r>
      <w:r w:rsidRPr="00F7796E">
        <w:rPr>
          <w:rFonts w:ascii="Times New Roman" w:eastAsia="Times New Roman" w:hAnsi="Times New Roman" w:cs="Times New Roman"/>
          <w:color w:val="000000"/>
          <w:szCs w:val="24"/>
          <w:lang w:eastAsia="es-MX"/>
        </w:rPr>
        <w:t>Fue publicado el 13 de febrero de 2023 y establece un régimen de transición. El Consejo Nacional de Ciencia y Tecnología (CONACYT) promoverá las investigaciones para alternativas y prácticas agroecológicas y saludables.</w:t>
      </w:r>
      <w:r w:rsidRPr="00F2554C">
        <w:rPr>
          <w:rStyle w:val="Refdenotaalpie"/>
          <w:rFonts w:ascii="Times New Roman" w:eastAsia="Times New Roman" w:hAnsi="Times New Roman" w:cs="Times New Roman"/>
          <w:color w:val="000000"/>
          <w:szCs w:val="24"/>
          <w:lang w:eastAsia="es-MX"/>
        </w:rPr>
        <w:footnoteReference w:id="17"/>
      </w:r>
    </w:p>
    <w:p w14:paraId="2A8C92C5" w14:textId="77777777" w:rsidR="00F7796E" w:rsidRPr="00F7796E" w:rsidRDefault="00F7796E" w:rsidP="00F7796E">
      <w:pPr>
        <w:pStyle w:val="Prrafodelista"/>
        <w:rPr>
          <w:rFonts w:ascii="Times New Roman" w:hAnsi="Times New Roman" w:cs="Times New Roman"/>
          <w:b/>
          <w:szCs w:val="24"/>
          <w:lang w:eastAsia="es-MX"/>
        </w:rPr>
      </w:pPr>
    </w:p>
    <w:p w14:paraId="3229860A" w14:textId="492197FC" w:rsidR="000E1266" w:rsidRPr="00F7796E" w:rsidRDefault="00F70A3E" w:rsidP="00F7796E">
      <w:pPr>
        <w:pStyle w:val="Prrafodelista"/>
        <w:numPr>
          <w:ilvl w:val="1"/>
          <w:numId w:val="8"/>
        </w:numPr>
        <w:shd w:val="clear" w:color="auto" w:fill="FFFFFF"/>
        <w:spacing w:before="120" w:after="120" w:line="240" w:lineRule="auto"/>
        <w:ind w:left="1134" w:hanging="425"/>
        <w:jc w:val="both"/>
        <w:rPr>
          <w:rFonts w:ascii="Times New Roman" w:eastAsia="Times New Roman" w:hAnsi="Times New Roman" w:cs="Times New Roman"/>
          <w:color w:val="000000"/>
          <w:szCs w:val="24"/>
          <w:lang w:eastAsia="es-MX"/>
        </w:rPr>
      </w:pPr>
      <w:r w:rsidRPr="00F7796E">
        <w:rPr>
          <w:rFonts w:ascii="Times New Roman" w:hAnsi="Times New Roman" w:cs="Times New Roman"/>
          <w:b/>
          <w:szCs w:val="24"/>
          <w:lang w:eastAsia="es-MX"/>
        </w:rPr>
        <w:t>Protección y fomento del maíz nativo</w:t>
      </w:r>
      <w:r w:rsidRPr="00F7796E">
        <w:rPr>
          <w:rFonts w:ascii="Times New Roman" w:hAnsi="Times New Roman" w:cs="Times New Roman"/>
          <w:szCs w:val="24"/>
          <w:lang w:eastAsia="es-MX"/>
        </w:rPr>
        <w:t>.</w:t>
      </w:r>
      <w:r w:rsidRPr="00C031B1">
        <w:rPr>
          <w:rStyle w:val="Refdenotaalpie"/>
          <w:rFonts w:ascii="Times New Roman" w:hAnsi="Times New Roman" w:cs="Times New Roman"/>
          <w:szCs w:val="24"/>
          <w:lang w:eastAsia="es-MX"/>
        </w:rPr>
        <w:footnoteReference w:id="18"/>
      </w:r>
      <w:r w:rsidRPr="00F7796E">
        <w:rPr>
          <w:rFonts w:ascii="Times New Roman" w:hAnsi="Times New Roman" w:cs="Times New Roman"/>
          <w:szCs w:val="24"/>
          <w:lang w:eastAsia="es-MX"/>
        </w:rPr>
        <w:t xml:space="preserve"> Esta norma reconoce la producción, comercialización y consumo del maíz nativo y en diversificación constante, como manifestación cultural y establece diversas acciones para su fomento y protección.</w:t>
      </w:r>
      <w:r w:rsidR="000E1266" w:rsidRPr="00F7796E">
        <w:rPr>
          <w:rFonts w:ascii="Times New Roman" w:hAnsi="Times New Roman" w:cs="Times New Roman"/>
          <w:szCs w:val="24"/>
          <w:lang w:val="es-CL"/>
        </w:rPr>
        <w:t xml:space="preserve"> </w:t>
      </w:r>
    </w:p>
    <w:p w14:paraId="1E4F4BBE" w14:textId="1D6264C3" w:rsidR="00F70A3E" w:rsidRPr="00C031B1" w:rsidRDefault="000E1266" w:rsidP="00C031B1">
      <w:pPr>
        <w:shd w:val="clear" w:color="auto" w:fill="FFFFFF"/>
        <w:spacing w:before="120" w:after="120" w:line="240" w:lineRule="auto"/>
        <w:ind w:left="633"/>
        <w:jc w:val="both"/>
        <w:rPr>
          <w:rFonts w:ascii="Times New Roman" w:eastAsia="Times New Roman" w:hAnsi="Times New Roman" w:cs="Times New Roman"/>
          <w:color w:val="000000"/>
          <w:szCs w:val="24"/>
          <w:lang w:val="es-CL" w:eastAsia="es-MX"/>
        </w:rPr>
      </w:pPr>
      <w:r w:rsidRPr="00DC46AB">
        <w:rPr>
          <w:rFonts w:ascii="Times New Roman" w:hAnsi="Times New Roman" w:cs="Times New Roman"/>
          <w:szCs w:val="24"/>
          <w:lang w:val="es-CL"/>
        </w:rPr>
        <w:t xml:space="preserve">Una de las políticas de soberanía y seguridad alimentaria del Gobierno en México consiste en preservar el patrimonio biocultural de más de 55 razas de maíz. Lo que ha llevado a buscar la prohibición del uso de maíz genéticamente modificado por medio de glifosato, ya que además de proteger la biodiversidad de un alimento tradicional, se busca proteger la salud de consumidores de masa y tortilla de maíz transgénico y salvaguardar el campo y productores mexicanos.  </w:t>
      </w:r>
    </w:p>
    <w:p w14:paraId="6EDAF151" w14:textId="77777777" w:rsidR="0054187E" w:rsidRPr="00C40D7C" w:rsidRDefault="0054187E" w:rsidP="0054187E">
      <w:pPr>
        <w:pStyle w:val="Prrafodelista"/>
        <w:ind w:left="0"/>
        <w:rPr>
          <w:rFonts w:ascii="Times New Roman" w:hAnsi="Times New Roman" w:cs="Times New Roman"/>
          <w:szCs w:val="24"/>
          <w:lang w:val="es-CL"/>
        </w:rPr>
      </w:pPr>
    </w:p>
    <w:p w14:paraId="2E48B94D" w14:textId="571686A7" w:rsidR="0054187E" w:rsidRPr="00C031B1" w:rsidRDefault="0054187E" w:rsidP="00C031B1">
      <w:pPr>
        <w:pStyle w:val="Prrafodelista"/>
        <w:numPr>
          <w:ilvl w:val="0"/>
          <w:numId w:val="18"/>
        </w:numPr>
        <w:spacing w:after="0" w:line="240" w:lineRule="auto"/>
        <w:ind w:left="0"/>
        <w:jc w:val="both"/>
        <w:rPr>
          <w:rFonts w:ascii="Times New Roman" w:hAnsi="Times New Roman" w:cs="Times New Roman"/>
          <w:b/>
          <w:szCs w:val="24"/>
          <w:lang w:val="es-CL"/>
        </w:rPr>
      </w:pPr>
      <w:r w:rsidRPr="00C031B1">
        <w:rPr>
          <w:rFonts w:ascii="Times New Roman" w:hAnsi="Times New Roman" w:cs="Times New Roman"/>
          <w:b/>
          <w:szCs w:val="24"/>
          <w:lang w:val="es-CL"/>
        </w:rPr>
        <w:t>En su contexto, ¿alguna de las medidas legislativas o reglamentarias ha intentado abordar simultáneamente la desnutrición, por un lado, y las enfermedades no transmisibles relacionadas con la dieta, como la diabetes, las enfermedades cardiovasculares y el cáncer, por otro? ¿Han tenido éxito? Por favor, proporcione ejemplos concretos.</w:t>
      </w:r>
    </w:p>
    <w:p w14:paraId="1477772A" w14:textId="2712C789" w:rsidR="008A46DA" w:rsidRPr="00C031B1" w:rsidRDefault="008A46DA" w:rsidP="00A80D46">
      <w:pPr>
        <w:pStyle w:val="Prrafodelista"/>
        <w:spacing w:after="0" w:line="240" w:lineRule="auto"/>
        <w:ind w:left="0"/>
        <w:rPr>
          <w:rFonts w:ascii="Times New Roman" w:hAnsi="Times New Roman" w:cs="Times New Roman"/>
          <w:szCs w:val="24"/>
          <w:lang w:val="es-CL"/>
        </w:rPr>
      </w:pPr>
    </w:p>
    <w:p w14:paraId="167DA831" w14:textId="571E8092" w:rsidR="008A46DA" w:rsidRPr="00B300A8" w:rsidRDefault="008A46DA" w:rsidP="00C031B1">
      <w:pPr>
        <w:pStyle w:val="Prrafodelista"/>
        <w:spacing w:after="0" w:line="240" w:lineRule="auto"/>
        <w:ind w:left="0"/>
        <w:jc w:val="both"/>
        <w:rPr>
          <w:rFonts w:ascii="Times New Roman" w:hAnsi="Times New Roman" w:cs="Times New Roman"/>
          <w:szCs w:val="24"/>
          <w:lang w:val="es-CL"/>
        </w:rPr>
      </w:pPr>
      <w:r w:rsidRPr="00C031B1">
        <w:rPr>
          <w:rFonts w:ascii="Times New Roman" w:hAnsi="Times New Roman" w:cs="Times New Roman"/>
          <w:szCs w:val="24"/>
          <w:lang w:val="es-CL"/>
        </w:rPr>
        <w:t xml:space="preserve">A continuación, se procede a exponer evidencia por cada una de las políticas </w:t>
      </w:r>
      <w:r w:rsidRPr="00B300A8">
        <w:rPr>
          <w:rFonts w:ascii="Times New Roman" w:hAnsi="Times New Roman" w:cs="Times New Roman"/>
          <w:szCs w:val="24"/>
          <w:lang w:val="es-CL"/>
        </w:rPr>
        <w:t xml:space="preserve">que se han mencionado, en aquellos casos en los que la evidencia nos permita hablar de alguna mejora o éxito. </w:t>
      </w:r>
    </w:p>
    <w:p w14:paraId="48374272" w14:textId="6852AA3E" w:rsidR="008A46DA" w:rsidRPr="00B300A8" w:rsidRDefault="008A46DA" w:rsidP="00A80D46">
      <w:pPr>
        <w:pStyle w:val="Prrafodelista"/>
        <w:spacing w:after="0" w:line="240" w:lineRule="auto"/>
        <w:ind w:left="0"/>
        <w:rPr>
          <w:rFonts w:ascii="Times New Roman" w:hAnsi="Times New Roman" w:cs="Times New Roman"/>
          <w:szCs w:val="24"/>
          <w:lang w:val="es-CL"/>
        </w:rPr>
      </w:pPr>
    </w:p>
    <w:p w14:paraId="780533ED" w14:textId="7EEC6FC2" w:rsidR="008A46DA" w:rsidRPr="00C031B1" w:rsidRDefault="008A46DA" w:rsidP="00C031B1">
      <w:pPr>
        <w:pStyle w:val="Prrafodelista"/>
        <w:numPr>
          <w:ilvl w:val="0"/>
          <w:numId w:val="27"/>
        </w:numPr>
        <w:spacing w:after="0" w:line="240" w:lineRule="auto"/>
        <w:rPr>
          <w:rFonts w:ascii="Times New Roman" w:hAnsi="Times New Roman" w:cs="Times New Roman"/>
          <w:b/>
          <w:szCs w:val="24"/>
          <w:lang w:val="es-CL"/>
        </w:rPr>
      </w:pPr>
      <w:r w:rsidRPr="00C031B1">
        <w:rPr>
          <w:rFonts w:ascii="Times New Roman" w:hAnsi="Times New Roman" w:cs="Times New Roman"/>
          <w:b/>
          <w:szCs w:val="24"/>
          <w:lang w:val="es-CL"/>
        </w:rPr>
        <w:t>Etiquetado frontal de advertencia</w:t>
      </w:r>
    </w:p>
    <w:p w14:paraId="7A45281C" w14:textId="4BFD4F67" w:rsidR="008A46DA" w:rsidRPr="00B300A8" w:rsidRDefault="008A46DA" w:rsidP="008A46DA">
      <w:pPr>
        <w:jc w:val="both"/>
        <w:rPr>
          <w:rFonts w:ascii="Times New Roman" w:hAnsi="Times New Roman" w:cs="Times New Roman"/>
          <w:noProof/>
          <w:szCs w:val="24"/>
          <w:lang w:eastAsia="es-MX"/>
        </w:rPr>
      </w:pPr>
      <w:r w:rsidRPr="00C031B1">
        <w:rPr>
          <w:rFonts w:ascii="Times New Roman" w:hAnsi="Times New Roman" w:cs="Times New Roman"/>
          <w:noProof/>
          <w:szCs w:val="24"/>
          <w:lang w:eastAsia="es-MX"/>
        </w:rPr>
        <w:t xml:space="preserve">A pesar de solo tener dos años de su implementación, el etiquetado frontal de advertencia ya ha generado resultados positivos. Los más importantes </w:t>
      </w:r>
      <w:r w:rsidR="00D80014" w:rsidRPr="00B300A8">
        <w:rPr>
          <w:rFonts w:ascii="Times New Roman" w:hAnsi="Times New Roman" w:cs="Times New Roman"/>
          <w:noProof/>
          <w:szCs w:val="24"/>
          <w:lang w:eastAsia="es-MX"/>
        </w:rPr>
        <w:t xml:space="preserve">son aquellos datos </w:t>
      </w:r>
      <w:r w:rsidRPr="00C031B1">
        <w:rPr>
          <w:rFonts w:ascii="Times New Roman" w:hAnsi="Times New Roman" w:cs="Times New Roman"/>
          <w:noProof/>
          <w:szCs w:val="24"/>
          <w:lang w:eastAsia="es-MX"/>
        </w:rPr>
        <w:t>relacionados con la aprobación y comprensión por parte de la población</w:t>
      </w:r>
      <w:r w:rsidR="00D80014" w:rsidRPr="00B300A8">
        <w:rPr>
          <w:rFonts w:ascii="Times New Roman" w:hAnsi="Times New Roman" w:cs="Times New Roman"/>
          <w:noProof/>
          <w:szCs w:val="24"/>
          <w:lang w:eastAsia="es-MX"/>
        </w:rPr>
        <w:t>, principalmente de las poblaciones más vulnerables y desiguales</w:t>
      </w:r>
      <w:r w:rsidRPr="00C031B1">
        <w:rPr>
          <w:rFonts w:ascii="Times New Roman" w:hAnsi="Times New Roman" w:cs="Times New Roman"/>
          <w:noProof/>
          <w:szCs w:val="24"/>
          <w:lang w:eastAsia="es-MX"/>
        </w:rPr>
        <w:t xml:space="preserve">. </w:t>
      </w:r>
    </w:p>
    <w:p w14:paraId="4B5529EA" w14:textId="3EABE55B" w:rsidR="00D24F57" w:rsidRPr="00B300A8" w:rsidRDefault="00D24F57" w:rsidP="00D24F57">
      <w:pPr>
        <w:pStyle w:val="Prrafodelista"/>
        <w:ind w:left="0"/>
        <w:jc w:val="both"/>
        <w:rPr>
          <w:rFonts w:ascii="Times New Roman" w:hAnsi="Times New Roman" w:cs="Times New Roman"/>
          <w:szCs w:val="24"/>
        </w:rPr>
      </w:pPr>
      <w:r w:rsidRPr="00B300A8">
        <w:rPr>
          <w:rFonts w:ascii="Times New Roman" w:hAnsi="Times New Roman" w:cs="Times New Roman"/>
          <w:szCs w:val="24"/>
        </w:rPr>
        <w:t xml:space="preserve">El etiquetado en México fue el resultado de una amplia investigación científica que demostró que el etiquetado de advertencia era el que estaba centrado en la población; ya que fue probado en todos los grupos poblacionales </w:t>
      </w:r>
      <w:r w:rsidRPr="00B300A8">
        <w:rPr>
          <w:rStyle w:val="Refdenotaalpie"/>
          <w:rFonts w:ascii="Times New Roman" w:hAnsi="Times New Roman" w:cs="Times New Roman"/>
          <w:szCs w:val="24"/>
        </w:rPr>
        <w:footnoteReference w:id="19"/>
      </w:r>
      <w:r w:rsidRPr="00B300A8">
        <w:rPr>
          <w:rFonts w:ascii="Times New Roman" w:hAnsi="Times New Roman" w:cs="Times New Roman"/>
          <w:szCs w:val="24"/>
        </w:rPr>
        <w:t xml:space="preserve">, en diferentes estratos socioeconómicos </w:t>
      </w:r>
      <w:r w:rsidRPr="00B300A8">
        <w:rPr>
          <w:rStyle w:val="Refdenotaalpie"/>
          <w:rFonts w:ascii="Times New Roman" w:hAnsi="Times New Roman" w:cs="Times New Roman"/>
          <w:szCs w:val="24"/>
        </w:rPr>
        <w:footnoteReference w:id="20"/>
      </w:r>
      <w:r w:rsidRPr="00B300A8">
        <w:rPr>
          <w:rFonts w:ascii="Times New Roman" w:hAnsi="Times New Roman" w:cs="Times New Roman"/>
          <w:szCs w:val="24"/>
        </w:rPr>
        <w:t xml:space="preserve"> y con </w:t>
      </w:r>
      <w:r w:rsidRPr="00B300A8">
        <w:rPr>
          <w:rFonts w:ascii="Times New Roman" w:hAnsi="Times New Roman" w:cs="Times New Roman"/>
          <w:szCs w:val="24"/>
        </w:rPr>
        <w:lastRenderedPageBreak/>
        <w:t xml:space="preserve">representación nacional; en todos los casos fue el que tuvo una mayor comprensión en su uso, en su interpretación y que informa realmente el contenido de ingredientes de los productos procesados. </w:t>
      </w:r>
    </w:p>
    <w:p w14:paraId="12097AA6" w14:textId="3D3D7504" w:rsidR="00D24F57" w:rsidRPr="00B300A8" w:rsidRDefault="00D24F57" w:rsidP="00D24F57">
      <w:pPr>
        <w:pStyle w:val="Prrafodelista"/>
        <w:ind w:left="0"/>
        <w:jc w:val="both"/>
        <w:rPr>
          <w:rFonts w:ascii="Times New Roman" w:hAnsi="Times New Roman" w:cs="Times New Roman"/>
          <w:szCs w:val="24"/>
        </w:rPr>
      </w:pPr>
    </w:p>
    <w:p w14:paraId="79BEE2E8" w14:textId="1A1BF506" w:rsidR="00D24F57" w:rsidRPr="00B300A8" w:rsidRDefault="00D24F57" w:rsidP="00D24F57">
      <w:pPr>
        <w:pStyle w:val="Prrafodelista"/>
        <w:ind w:left="0"/>
        <w:jc w:val="both"/>
        <w:rPr>
          <w:rFonts w:ascii="Times New Roman" w:hAnsi="Times New Roman" w:cs="Times New Roman"/>
          <w:szCs w:val="24"/>
        </w:rPr>
      </w:pPr>
      <w:r w:rsidRPr="00B300A8">
        <w:rPr>
          <w:b/>
          <w:noProof/>
          <w:u w:val="single"/>
          <w:lang w:eastAsia="es-MX"/>
        </w:rPr>
        <w:t>Evidencia sobre cambios de compra en la población mexicana despues del etiquetado de advertencia</w:t>
      </w:r>
    </w:p>
    <w:p w14:paraId="1D35CDAD" w14:textId="77777777" w:rsidR="00D24F57" w:rsidRPr="00B300A8" w:rsidRDefault="00D24F57" w:rsidP="00D24F57">
      <w:pPr>
        <w:pStyle w:val="Prrafodelista"/>
        <w:spacing w:after="0" w:line="240" w:lineRule="auto"/>
        <w:ind w:left="0"/>
        <w:jc w:val="both"/>
        <w:rPr>
          <w:rFonts w:ascii="Times New Roman" w:hAnsi="Times New Roman" w:cs="Times New Roman"/>
          <w:szCs w:val="24"/>
        </w:rPr>
      </w:pPr>
    </w:p>
    <w:p w14:paraId="34202D41" w14:textId="11EB9A20" w:rsidR="00D24F57" w:rsidRPr="00B300A8" w:rsidRDefault="00D24F57" w:rsidP="000E7D74">
      <w:pPr>
        <w:pStyle w:val="Prrafodelista"/>
        <w:numPr>
          <w:ilvl w:val="0"/>
          <w:numId w:val="19"/>
        </w:numPr>
        <w:spacing w:after="0" w:line="240" w:lineRule="auto"/>
        <w:ind w:left="426"/>
        <w:jc w:val="both"/>
        <w:rPr>
          <w:rFonts w:ascii="Times New Roman" w:hAnsi="Times New Roman" w:cs="Times New Roman"/>
          <w:szCs w:val="24"/>
        </w:rPr>
      </w:pPr>
      <w:r w:rsidRPr="00B300A8">
        <w:rPr>
          <w:rFonts w:ascii="Times New Roman" w:hAnsi="Times New Roman" w:cs="Times New Roman"/>
          <w:szCs w:val="24"/>
        </w:rPr>
        <w:t>80% de los padres reportaron comprar menos o dejar de comprar productos por los sellos.</w:t>
      </w:r>
      <w:r w:rsidRPr="00B300A8">
        <w:rPr>
          <w:rStyle w:val="Refdenotaalpie"/>
          <w:rFonts w:ascii="Times New Roman" w:hAnsi="Times New Roman" w:cs="Times New Roman"/>
          <w:szCs w:val="24"/>
        </w:rPr>
        <w:footnoteReference w:id="21"/>
      </w:r>
    </w:p>
    <w:p w14:paraId="5174F46C" w14:textId="6E522D02" w:rsidR="00D24F57" w:rsidRPr="00B300A8" w:rsidRDefault="00D24F57" w:rsidP="000E7D74">
      <w:pPr>
        <w:pStyle w:val="Prrafodelista"/>
        <w:numPr>
          <w:ilvl w:val="0"/>
          <w:numId w:val="19"/>
        </w:numPr>
        <w:spacing w:after="0" w:line="240" w:lineRule="auto"/>
        <w:ind w:left="426"/>
        <w:jc w:val="both"/>
        <w:rPr>
          <w:rFonts w:ascii="Times New Roman" w:hAnsi="Times New Roman" w:cs="Times New Roman"/>
          <w:szCs w:val="24"/>
        </w:rPr>
      </w:pPr>
      <w:r w:rsidRPr="00B300A8">
        <w:rPr>
          <w:rFonts w:ascii="Times New Roman" w:hAnsi="Times New Roman" w:cs="Times New Roman"/>
          <w:szCs w:val="24"/>
        </w:rPr>
        <w:t>39% reportaron realizar cambios en las compras de alimentos empaquetados, principalmente de bebidas azucaradas.</w:t>
      </w:r>
      <w:r w:rsidRPr="00B300A8">
        <w:rPr>
          <w:rStyle w:val="Refdenotaalpie"/>
          <w:rFonts w:ascii="Times New Roman" w:hAnsi="Times New Roman" w:cs="Times New Roman"/>
          <w:szCs w:val="24"/>
        </w:rPr>
        <w:footnoteReference w:id="22"/>
      </w:r>
    </w:p>
    <w:p w14:paraId="0ED1BCF6" w14:textId="0299953E" w:rsidR="00D24F57" w:rsidRPr="00B300A8" w:rsidRDefault="00D24F57" w:rsidP="000E7D74">
      <w:pPr>
        <w:pStyle w:val="Prrafodelista"/>
        <w:numPr>
          <w:ilvl w:val="0"/>
          <w:numId w:val="19"/>
        </w:numPr>
        <w:spacing w:after="0" w:line="240" w:lineRule="auto"/>
        <w:ind w:left="426"/>
        <w:jc w:val="both"/>
        <w:rPr>
          <w:rFonts w:ascii="Times New Roman" w:hAnsi="Times New Roman" w:cs="Times New Roman"/>
          <w:szCs w:val="24"/>
        </w:rPr>
      </w:pPr>
      <w:r w:rsidRPr="00B300A8">
        <w:rPr>
          <w:rFonts w:ascii="Times New Roman" w:hAnsi="Times New Roman" w:cs="Times New Roman"/>
          <w:szCs w:val="24"/>
        </w:rPr>
        <w:t>En 2021, el 37% de adolescentes y 50% de los adultos compran menos productos debido a que los sellos de advertencia han cambiado su decisión de compra.</w:t>
      </w:r>
      <w:r w:rsidRPr="00B300A8">
        <w:rPr>
          <w:rStyle w:val="Refdenotaalpie"/>
          <w:rFonts w:ascii="Times New Roman" w:hAnsi="Times New Roman" w:cs="Times New Roman"/>
          <w:szCs w:val="24"/>
        </w:rPr>
        <w:footnoteReference w:id="23"/>
      </w:r>
    </w:p>
    <w:p w14:paraId="07379A71" w14:textId="692F80C6" w:rsidR="00D24F57" w:rsidRPr="00C031B1" w:rsidRDefault="00D24F57" w:rsidP="00C031B1">
      <w:pPr>
        <w:pStyle w:val="Prrafodelista"/>
        <w:numPr>
          <w:ilvl w:val="0"/>
          <w:numId w:val="19"/>
        </w:numPr>
        <w:spacing w:after="0" w:line="240" w:lineRule="auto"/>
        <w:ind w:left="426"/>
        <w:jc w:val="both"/>
        <w:rPr>
          <w:lang w:val="es-CL"/>
        </w:rPr>
      </w:pPr>
      <w:r w:rsidRPr="00B300A8">
        <w:rPr>
          <w:rFonts w:ascii="Times New Roman" w:hAnsi="Times New Roman" w:cs="Times New Roman"/>
          <w:szCs w:val="24"/>
        </w:rPr>
        <w:t>A un año de implementación del etiquetado se mostraron diferencias en la reformulación del etiquetado. Se han identificado disminuciones del número de sellos que contienen los productos.</w:t>
      </w:r>
      <w:r w:rsidRPr="00B300A8">
        <w:rPr>
          <w:rStyle w:val="Refdenotaalpie"/>
          <w:rFonts w:ascii="Times New Roman" w:hAnsi="Times New Roman" w:cs="Times New Roman"/>
          <w:szCs w:val="24"/>
        </w:rPr>
        <w:footnoteReference w:id="24"/>
      </w:r>
    </w:p>
    <w:p w14:paraId="5E424AA4" w14:textId="77777777" w:rsidR="00D80014" w:rsidRPr="00C031B1" w:rsidRDefault="00D80014" w:rsidP="00C031B1">
      <w:pPr>
        <w:jc w:val="both"/>
        <w:rPr>
          <w:b/>
          <w:noProof/>
          <w:u w:val="single"/>
          <w:lang w:eastAsia="es-MX"/>
        </w:rPr>
      </w:pPr>
    </w:p>
    <w:p w14:paraId="57C19BD3" w14:textId="77777777" w:rsidR="000E1266" w:rsidRDefault="00D80014">
      <w:pPr>
        <w:rPr>
          <w:b/>
          <w:noProof/>
          <w:u w:val="single"/>
          <w:lang w:eastAsia="es-MX"/>
        </w:rPr>
      </w:pPr>
      <w:r w:rsidRPr="00C031B1">
        <w:rPr>
          <w:b/>
          <w:noProof/>
          <w:u w:val="single"/>
          <w:lang w:eastAsia="es-MX"/>
        </w:rPr>
        <w:t>Reformulación de productos</w:t>
      </w:r>
      <w:r w:rsidRPr="000E1266">
        <w:rPr>
          <w:b/>
          <w:noProof/>
          <w:u w:val="single"/>
          <w:lang w:eastAsia="es-MX"/>
        </w:rPr>
        <w:t xml:space="preserve">: </w:t>
      </w:r>
    </w:p>
    <w:p w14:paraId="5CEB7C16" w14:textId="3D49E253" w:rsidR="008A46DA" w:rsidRPr="00C031B1" w:rsidRDefault="008A46DA" w:rsidP="00C031B1">
      <w:pPr>
        <w:jc w:val="both"/>
        <w:rPr>
          <w:rFonts w:ascii="Times New Roman" w:hAnsi="Times New Roman" w:cs="Times New Roman"/>
          <w:noProof/>
          <w:lang w:eastAsia="es-MX"/>
        </w:rPr>
      </w:pPr>
      <w:r w:rsidRPr="00C031B1">
        <w:rPr>
          <w:rFonts w:ascii="Times New Roman" w:hAnsi="Times New Roman" w:cs="Times New Roman"/>
          <w:bCs/>
          <w:noProof/>
          <w:szCs w:val="24"/>
          <w:lang w:eastAsia="es-MX"/>
        </w:rPr>
        <w:t>La primera transformación importante que ha traído el etiquetado frontal de advertencia ha sido la reformulación de productos, dejando ver que el etiquetado está funcionando</w:t>
      </w:r>
      <w:r w:rsidR="00D24F57" w:rsidRPr="000E1266">
        <w:rPr>
          <w:rFonts w:ascii="Times New Roman" w:hAnsi="Times New Roman" w:cs="Times New Roman"/>
          <w:bCs/>
          <w:noProof/>
          <w:szCs w:val="24"/>
          <w:lang w:eastAsia="es-MX"/>
        </w:rPr>
        <w:t xml:space="preserve">. </w:t>
      </w:r>
      <w:r w:rsidR="00D80014" w:rsidRPr="00C031B1">
        <w:rPr>
          <w:rFonts w:ascii="Times New Roman" w:hAnsi="Times New Roman" w:cs="Times New Roman"/>
          <w:noProof/>
          <w:lang w:eastAsia="es-MX"/>
        </w:rPr>
        <w:t>C</w:t>
      </w:r>
      <w:r w:rsidRPr="00C031B1">
        <w:rPr>
          <w:rFonts w:ascii="Times New Roman" w:hAnsi="Times New Roman" w:cs="Times New Roman"/>
          <w:noProof/>
          <w:lang w:eastAsia="es-MX"/>
        </w:rPr>
        <w:t>erca del 56% de productos envasados tuvieron menos cantidad de azúcar, grasa y sodio y fueron reformulados con la entrada del etiquetado de advertencia.</w:t>
      </w:r>
      <w:r w:rsidR="00D24F57" w:rsidRPr="00C031B1">
        <w:rPr>
          <w:rFonts w:ascii="Times New Roman" w:hAnsi="Times New Roman" w:cs="Times New Roman"/>
          <w:noProof/>
          <w:lang w:eastAsia="es-MX"/>
        </w:rPr>
        <w:t xml:space="preserve"> </w:t>
      </w:r>
    </w:p>
    <w:p w14:paraId="324A8F26" w14:textId="77777777" w:rsidR="008A46DA" w:rsidRPr="00C031B1" w:rsidRDefault="008A46DA" w:rsidP="008A46DA">
      <w:pPr>
        <w:spacing w:after="0"/>
        <w:jc w:val="both"/>
        <w:rPr>
          <w:rFonts w:ascii="Times New Roman" w:hAnsi="Times New Roman" w:cs="Times New Roman"/>
          <w:noProof/>
          <w:szCs w:val="24"/>
          <w:lang w:eastAsia="es-MX"/>
        </w:rPr>
      </w:pPr>
    </w:p>
    <w:p w14:paraId="6FAA0C72" w14:textId="65D7C0CB" w:rsidR="00D80014" w:rsidRPr="00C031B1" w:rsidRDefault="00D80014">
      <w:pPr>
        <w:rPr>
          <w:b/>
          <w:noProof/>
          <w:u w:val="single"/>
          <w:lang w:eastAsia="es-MX"/>
        </w:rPr>
      </w:pPr>
      <w:r w:rsidRPr="00C031B1">
        <w:rPr>
          <w:b/>
          <w:noProof/>
          <w:u w:val="single"/>
          <w:lang w:eastAsia="es-MX"/>
        </w:rPr>
        <w:t>Comprensión del etiquetado</w:t>
      </w:r>
      <w:r w:rsidR="00B300A8" w:rsidRPr="000E1266">
        <w:rPr>
          <w:b/>
          <w:noProof/>
          <w:u w:val="single"/>
          <w:lang w:eastAsia="es-MX"/>
        </w:rPr>
        <w:t xml:space="preserve"> en poblaciones vulnerables</w:t>
      </w:r>
    </w:p>
    <w:p w14:paraId="3F2F8BEA" w14:textId="0FBC7839" w:rsidR="00D24F57" w:rsidRPr="00B300A8" w:rsidRDefault="008A46DA" w:rsidP="00C031B1">
      <w:pPr>
        <w:jc w:val="both"/>
        <w:rPr>
          <w:noProof/>
          <w:lang w:eastAsia="es-MX"/>
        </w:rPr>
      </w:pPr>
      <w:r w:rsidRPr="00C031B1">
        <w:rPr>
          <w:rFonts w:ascii="Times New Roman" w:hAnsi="Times New Roman" w:cs="Times New Roman"/>
          <w:noProof/>
          <w:szCs w:val="24"/>
          <w:lang w:eastAsia="es-MX"/>
        </w:rPr>
        <w:t xml:space="preserve">Adultos mexicanos con enfermedades crónicas que participaron en la </w:t>
      </w:r>
      <w:r w:rsidR="00D24F57" w:rsidRPr="000E1266">
        <w:rPr>
          <w:rFonts w:ascii="Times New Roman" w:hAnsi="Times New Roman" w:cs="Times New Roman"/>
          <w:noProof/>
          <w:szCs w:val="24"/>
          <w:lang w:eastAsia="es-MX"/>
        </w:rPr>
        <w:t>Encuesta Nacional de Salud y Nutricion (</w:t>
      </w:r>
      <w:r w:rsidRPr="00C031B1">
        <w:rPr>
          <w:rFonts w:ascii="Times New Roman" w:hAnsi="Times New Roman" w:cs="Times New Roman"/>
          <w:noProof/>
          <w:szCs w:val="24"/>
          <w:lang w:eastAsia="es-MX"/>
        </w:rPr>
        <w:t>ENSANUT 2018</w:t>
      </w:r>
      <w:r w:rsidR="00D24F57" w:rsidRPr="000E1266">
        <w:rPr>
          <w:rFonts w:ascii="Times New Roman" w:hAnsi="Times New Roman" w:cs="Times New Roman"/>
          <w:noProof/>
          <w:szCs w:val="24"/>
          <w:lang w:eastAsia="es-MX"/>
        </w:rPr>
        <w:t>)</w:t>
      </w:r>
      <w:r w:rsidRPr="00C031B1">
        <w:rPr>
          <w:rFonts w:ascii="Times New Roman" w:hAnsi="Times New Roman" w:cs="Times New Roman"/>
          <w:noProof/>
          <w:szCs w:val="24"/>
          <w:lang w:eastAsia="es-MX"/>
        </w:rPr>
        <w:t>, pudieron identificar en mayor medida productos saludables y no saludables utilizando la etiqueta de advertencias en comparación con la GDA.</w:t>
      </w:r>
      <w:r w:rsidRPr="00B300A8">
        <w:rPr>
          <w:noProof/>
          <w:vertAlign w:val="superscript"/>
          <w:lang w:eastAsia="es-MX"/>
        </w:rPr>
        <w:footnoteReference w:id="25"/>
      </w:r>
    </w:p>
    <w:p w14:paraId="1DD9CDB2" w14:textId="30BCE39C" w:rsidR="000245CD" w:rsidRPr="00B300A8" w:rsidRDefault="008A46DA" w:rsidP="00C031B1">
      <w:pPr>
        <w:jc w:val="both"/>
        <w:rPr>
          <w:noProof/>
          <w:lang w:eastAsia="es-MX"/>
        </w:rPr>
      </w:pPr>
      <w:r w:rsidRPr="00C031B1">
        <w:rPr>
          <w:rFonts w:ascii="Times New Roman" w:hAnsi="Times New Roman" w:cs="Times New Roman"/>
          <w:noProof/>
          <w:szCs w:val="24"/>
          <w:lang w:eastAsia="es-MX"/>
        </w:rPr>
        <w:t>Estudios han mostrado que, en comparación con el GDA</w:t>
      </w:r>
      <w:r w:rsidR="00D24F57" w:rsidRPr="000E1266">
        <w:rPr>
          <w:rFonts w:ascii="Times New Roman" w:hAnsi="Times New Roman" w:cs="Times New Roman"/>
          <w:noProof/>
          <w:szCs w:val="24"/>
          <w:lang w:eastAsia="es-MX"/>
        </w:rPr>
        <w:t xml:space="preserve"> (el sistema del etiquetado que México tuvo antes</w:t>
      </w:r>
      <w:r w:rsidR="000245CD" w:rsidRPr="000E1266">
        <w:rPr>
          <w:rFonts w:ascii="Times New Roman" w:hAnsi="Times New Roman" w:cs="Times New Roman"/>
          <w:noProof/>
          <w:szCs w:val="24"/>
          <w:lang w:eastAsia="es-MX"/>
        </w:rPr>
        <w:t>)</w:t>
      </w:r>
      <w:r w:rsidRPr="00C031B1">
        <w:rPr>
          <w:rFonts w:ascii="Times New Roman" w:hAnsi="Times New Roman" w:cs="Times New Roman"/>
          <w:noProof/>
          <w:szCs w:val="24"/>
          <w:lang w:eastAsia="es-MX"/>
        </w:rPr>
        <w:t xml:space="preserve">, una mayor proporción de población mexicana de bajos-medianos ingresos, prefieren el etiquetado de advertencias debido a que es más fácil de comprender y </w:t>
      </w:r>
      <w:r w:rsidRPr="00C031B1">
        <w:rPr>
          <w:rFonts w:ascii="Times New Roman" w:hAnsi="Times New Roman" w:cs="Times New Roman"/>
          <w:noProof/>
          <w:szCs w:val="24"/>
          <w:lang w:eastAsia="es-MX"/>
        </w:rPr>
        <w:lastRenderedPageBreak/>
        <w:t>ayuda a identificar correctamente aquellos productos de baja calidad nutricional o no saludables, en un menor tiempo.</w:t>
      </w:r>
      <w:r w:rsidRPr="00B300A8">
        <w:rPr>
          <w:noProof/>
          <w:vertAlign w:val="superscript"/>
          <w:lang w:eastAsia="es-MX"/>
        </w:rPr>
        <w:footnoteReference w:id="26"/>
      </w:r>
      <w:r w:rsidRPr="00C031B1">
        <w:rPr>
          <w:rFonts w:ascii="Times New Roman" w:hAnsi="Times New Roman" w:cs="Times New Roman"/>
          <w:noProof/>
          <w:szCs w:val="24"/>
          <w:vertAlign w:val="superscript"/>
          <w:lang w:eastAsia="es-MX"/>
        </w:rPr>
        <w:t>,</w:t>
      </w:r>
      <w:r w:rsidRPr="00B300A8">
        <w:rPr>
          <w:noProof/>
          <w:vertAlign w:val="superscript"/>
          <w:lang w:eastAsia="es-MX"/>
        </w:rPr>
        <w:footnoteReference w:id="27"/>
      </w:r>
    </w:p>
    <w:p w14:paraId="7F27C3D2" w14:textId="77777777" w:rsidR="00D80014" w:rsidRPr="00C031B1" w:rsidRDefault="00D80014" w:rsidP="00C031B1">
      <w:pPr>
        <w:spacing w:after="0" w:line="240" w:lineRule="auto"/>
        <w:rPr>
          <w:rFonts w:ascii="Times New Roman" w:hAnsi="Times New Roman" w:cs="Times New Roman"/>
          <w:b/>
          <w:szCs w:val="24"/>
        </w:rPr>
      </w:pPr>
    </w:p>
    <w:p w14:paraId="290EC29E" w14:textId="56E32E40" w:rsidR="000245CD" w:rsidRPr="00C031B1" w:rsidRDefault="0054187E" w:rsidP="00C031B1">
      <w:pPr>
        <w:pStyle w:val="Prrafodelista"/>
        <w:numPr>
          <w:ilvl w:val="0"/>
          <w:numId w:val="27"/>
        </w:numPr>
        <w:spacing w:after="0" w:line="240" w:lineRule="auto"/>
        <w:ind w:left="426" w:hanging="66"/>
        <w:jc w:val="both"/>
        <w:rPr>
          <w:rFonts w:ascii="Times New Roman" w:hAnsi="Times New Roman" w:cs="Times New Roman"/>
          <w:szCs w:val="24"/>
        </w:rPr>
      </w:pPr>
      <w:r w:rsidRPr="00C031B1">
        <w:rPr>
          <w:rFonts w:ascii="Times New Roman" w:hAnsi="Times New Roman" w:cs="Times New Roman"/>
          <w:b/>
          <w:szCs w:val="24"/>
        </w:rPr>
        <w:t xml:space="preserve">Impuesto a bebidas azucaradas. </w:t>
      </w:r>
      <w:r w:rsidRPr="00C031B1">
        <w:rPr>
          <w:rFonts w:ascii="Times New Roman" w:hAnsi="Times New Roman" w:cs="Times New Roman"/>
          <w:szCs w:val="24"/>
        </w:rPr>
        <w:t>México implementó un impuesto de un</w:t>
      </w:r>
      <w:r w:rsidR="000245CD" w:rsidRPr="00C031B1">
        <w:rPr>
          <w:rFonts w:ascii="Times New Roman" w:hAnsi="Times New Roman" w:cs="Times New Roman"/>
          <w:szCs w:val="24"/>
        </w:rPr>
        <w:t xml:space="preserve"> </w:t>
      </w:r>
      <w:r w:rsidRPr="00C031B1">
        <w:rPr>
          <w:rFonts w:ascii="Times New Roman" w:hAnsi="Times New Roman" w:cs="Times New Roman"/>
          <w:szCs w:val="24"/>
        </w:rPr>
        <w:t>peso mexicano por litro a las bebidas azucaradas</w:t>
      </w:r>
      <w:r w:rsidR="000245CD" w:rsidRPr="00C031B1">
        <w:rPr>
          <w:rFonts w:ascii="Times New Roman" w:hAnsi="Times New Roman" w:cs="Times New Roman"/>
          <w:szCs w:val="24"/>
        </w:rPr>
        <w:t xml:space="preserve"> en 2014</w:t>
      </w:r>
      <w:r w:rsidRPr="00C031B1">
        <w:rPr>
          <w:rFonts w:ascii="Times New Roman" w:hAnsi="Times New Roman" w:cs="Times New Roman"/>
          <w:szCs w:val="24"/>
        </w:rPr>
        <w:t>. Durante el año 2014-2015 se mostró una reducción de compra en el hogar entre 10.80 y 13.79 ml/cápita/día de acuerdo con bases de datos de compras en los hogares y los precios de bebidas azucaradas de 2012-2015 del Servicio de Panel de Consumidores de Nielsen México (Nielsen CPS).</w:t>
      </w:r>
      <w:r w:rsidR="000245CD" w:rsidRPr="00B300A8">
        <w:rPr>
          <w:rStyle w:val="Refdenotaalpie"/>
          <w:rFonts w:ascii="Times New Roman" w:hAnsi="Times New Roman" w:cs="Times New Roman"/>
          <w:szCs w:val="24"/>
        </w:rPr>
        <w:footnoteReference w:id="28"/>
      </w:r>
      <w:r w:rsidR="00FF758D" w:rsidRPr="00C031B1">
        <w:rPr>
          <w:rFonts w:ascii="Times New Roman" w:hAnsi="Times New Roman" w:cs="Times New Roman"/>
          <w:szCs w:val="24"/>
        </w:rPr>
        <w:t xml:space="preserve"> </w:t>
      </w:r>
      <w:r w:rsidR="00B300A8" w:rsidRPr="00C031B1">
        <w:rPr>
          <w:rFonts w:ascii="Times New Roman" w:hAnsi="Times New Roman" w:cs="Times New Roman"/>
          <w:szCs w:val="24"/>
        </w:rPr>
        <w:t>Otro estudio demostró</w:t>
      </w:r>
      <w:r w:rsidR="000245CD" w:rsidRPr="00C031B1">
        <w:rPr>
          <w:rFonts w:ascii="Times New Roman" w:hAnsi="Times New Roman" w:cs="Times New Roman"/>
          <w:szCs w:val="24"/>
        </w:rPr>
        <w:t xml:space="preserve"> una disminución del 5,5% en las ventas al finalizar el primer año y del 9,7% en el segundo año, con una mayor disminución en los </w:t>
      </w:r>
      <w:r w:rsidR="00B300A8" w:rsidRPr="00C031B1">
        <w:rPr>
          <w:rFonts w:ascii="Times New Roman" w:hAnsi="Times New Roman" w:cs="Times New Roman"/>
          <w:szCs w:val="24"/>
        </w:rPr>
        <w:t xml:space="preserve">hogares con nivel </w:t>
      </w:r>
      <w:r w:rsidR="000245CD" w:rsidRPr="00C031B1">
        <w:rPr>
          <w:rFonts w:ascii="Times New Roman" w:hAnsi="Times New Roman" w:cs="Times New Roman"/>
          <w:szCs w:val="24"/>
        </w:rPr>
        <w:t>socioeconómico</w:t>
      </w:r>
      <w:r w:rsidR="00B300A8" w:rsidRPr="00C031B1">
        <w:rPr>
          <w:rFonts w:ascii="Times New Roman" w:hAnsi="Times New Roman" w:cs="Times New Roman"/>
          <w:szCs w:val="24"/>
        </w:rPr>
        <w:t xml:space="preserve"> más bajo</w:t>
      </w:r>
      <w:r w:rsidR="000245CD" w:rsidRPr="00C031B1">
        <w:rPr>
          <w:rFonts w:ascii="Times New Roman" w:hAnsi="Times New Roman" w:cs="Times New Roman"/>
          <w:szCs w:val="24"/>
        </w:rPr>
        <w:t>, los mismos que se ven afectados de manera desproporcionada por la diabetes de tipo 2 y la obesidad.</w:t>
      </w:r>
      <w:r w:rsidR="00B300A8" w:rsidRPr="00C031B1">
        <w:rPr>
          <w:rStyle w:val="Refdenotaalpie"/>
          <w:rFonts w:ascii="Times New Roman" w:hAnsi="Times New Roman" w:cs="Times New Roman"/>
          <w:szCs w:val="24"/>
        </w:rPr>
        <w:footnoteReference w:id="29"/>
      </w:r>
    </w:p>
    <w:p w14:paraId="7EA3A359" w14:textId="4B6AAC22" w:rsidR="0054187E" w:rsidRPr="00C40D7C" w:rsidRDefault="0054187E" w:rsidP="0054187E">
      <w:pPr>
        <w:rPr>
          <w:rFonts w:ascii="Times New Roman" w:hAnsi="Times New Roman" w:cs="Times New Roman"/>
          <w:szCs w:val="24"/>
          <w:lang w:val="es-CL"/>
        </w:rPr>
      </w:pPr>
    </w:p>
    <w:p w14:paraId="66BE7D6D" w14:textId="2B5ADCDD" w:rsidR="0054187E" w:rsidRPr="00FF758D" w:rsidRDefault="00A80D46" w:rsidP="0054187E">
      <w:pPr>
        <w:pStyle w:val="Prrafodelista"/>
        <w:numPr>
          <w:ilvl w:val="0"/>
          <w:numId w:val="18"/>
        </w:numPr>
        <w:spacing w:after="0" w:line="240" w:lineRule="auto"/>
        <w:ind w:left="0"/>
        <w:rPr>
          <w:rFonts w:ascii="Times New Roman" w:hAnsi="Times New Roman" w:cs="Times New Roman"/>
          <w:szCs w:val="24"/>
          <w:u w:val="single"/>
          <w:lang w:val="es-CL"/>
        </w:rPr>
      </w:pPr>
      <w:r w:rsidRPr="00FF758D">
        <w:rPr>
          <w:rFonts w:ascii="Times New Roman" w:hAnsi="Times New Roman" w:cs="Times New Roman"/>
          <w:szCs w:val="24"/>
          <w:u w:val="single"/>
          <w:lang w:val="es-CL"/>
        </w:rPr>
        <w:t>No</w:t>
      </w:r>
      <w:r w:rsidR="00FF758D">
        <w:rPr>
          <w:rFonts w:ascii="Times New Roman" w:hAnsi="Times New Roman" w:cs="Times New Roman"/>
          <w:szCs w:val="24"/>
          <w:u w:val="single"/>
          <w:lang w:val="es-CL"/>
        </w:rPr>
        <w:t xml:space="preserve"> </w:t>
      </w:r>
      <w:r w:rsidR="007E1F24">
        <w:rPr>
          <w:rFonts w:ascii="Times New Roman" w:hAnsi="Times New Roman" w:cs="Times New Roman"/>
          <w:szCs w:val="24"/>
          <w:u w:val="single"/>
          <w:lang w:val="es-CL"/>
        </w:rPr>
        <w:t>llenamos esta</w:t>
      </w:r>
      <w:r w:rsidR="00FF758D">
        <w:rPr>
          <w:rFonts w:ascii="Times New Roman" w:hAnsi="Times New Roman" w:cs="Times New Roman"/>
          <w:szCs w:val="24"/>
          <w:u w:val="single"/>
          <w:lang w:val="es-CL"/>
        </w:rPr>
        <w:t xml:space="preserve"> pregunta</w:t>
      </w:r>
    </w:p>
    <w:p w14:paraId="34DE99C9" w14:textId="77777777" w:rsidR="0054187E" w:rsidRPr="00C40D7C" w:rsidRDefault="0054187E" w:rsidP="0054187E">
      <w:pPr>
        <w:rPr>
          <w:rFonts w:ascii="Times New Roman" w:hAnsi="Times New Roman" w:cs="Times New Roman"/>
          <w:szCs w:val="24"/>
          <w:lang w:val="es-CL"/>
        </w:rPr>
      </w:pPr>
    </w:p>
    <w:p w14:paraId="5ABE9008" w14:textId="77777777" w:rsidR="0054187E" w:rsidRPr="00C031B1" w:rsidRDefault="0054187E" w:rsidP="00C031B1">
      <w:pPr>
        <w:pStyle w:val="Prrafodelista"/>
        <w:numPr>
          <w:ilvl w:val="0"/>
          <w:numId w:val="18"/>
        </w:numPr>
        <w:spacing w:after="0" w:line="240" w:lineRule="auto"/>
        <w:ind w:left="0"/>
        <w:jc w:val="both"/>
        <w:rPr>
          <w:rFonts w:ascii="Times New Roman" w:hAnsi="Times New Roman" w:cs="Times New Roman"/>
          <w:b/>
          <w:szCs w:val="24"/>
          <w:lang w:val="es-CL"/>
        </w:rPr>
      </w:pPr>
      <w:r w:rsidRPr="00C031B1">
        <w:rPr>
          <w:rFonts w:ascii="Times New Roman" w:hAnsi="Times New Roman" w:cs="Times New Roman"/>
          <w:b/>
          <w:szCs w:val="24"/>
          <w:lang w:val="es-CL"/>
        </w:rPr>
        <w:t xml:space="preserve">Los enfoques multisectoriales de la alimentación y la nutrición suelen verse afectados por asimetrías de poder que excluyen a las personas y comunidades en situación de vulnerabilidad. </w:t>
      </w:r>
    </w:p>
    <w:p w14:paraId="5BA85ED8" w14:textId="77777777" w:rsidR="0054187E" w:rsidRPr="00C031B1" w:rsidRDefault="0054187E" w:rsidP="00C031B1">
      <w:pPr>
        <w:pStyle w:val="Prrafodelista"/>
        <w:ind w:left="0"/>
        <w:jc w:val="both"/>
        <w:rPr>
          <w:rFonts w:ascii="Times New Roman" w:hAnsi="Times New Roman" w:cs="Times New Roman"/>
          <w:b/>
          <w:szCs w:val="24"/>
          <w:lang w:val="es-CL"/>
        </w:rPr>
      </w:pPr>
    </w:p>
    <w:p w14:paraId="6AB20901" w14:textId="57D7D390" w:rsidR="0054187E" w:rsidRPr="00BE1366" w:rsidRDefault="0054187E" w:rsidP="00C031B1">
      <w:pPr>
        <w:pStyle w:val="Prrafodelista"/>
        <w:numPr>
          <w:ilvl w:val="1"/>
          <w:numId w:val="18"/>
        </w:numPr>
        <w:spacing w:after="0" w:line="240" w:lineRule="auto"/>
        <w:ind w:left="0"/>
        <w:jc w:val="both"/>
        <w:rPr>
          <w:rFonts w:ascii="Times New Roman" w:hAnsi="Times New Roman" w:cs="Times New Roman"/>
          <w:szCs w:val="24"/>
          <w:lang w:val="es-CL"/>
        </w:rPr>
      </w:pPr>
      <w:r w:rsidRPr="00C031B1">
        <w:rPr>
          <w:rFonts w:ascii="Times New Roman" w:hAnsi="Times New Roman" w:cs="Times New Roman"/>
          <w:b/>
          <w:szCs w:val="24"/>
          <w:lang w:val="es-CL"/>
        </w:rPr>
        <w:t>Sírvase proporcionar ejemplos concretos de los obstáculos y las oportunidades que tienen estas personas o comunidades, como los pueblos indígenas, las mujeres, los niños y los migrantes, para participar en los procesos nacionales y/o internacionales de formulación de políticas relativas a la alimentación y la nutrición, incluido sobre el proceso de participación.</w:t>
      </w:r>
    </w:p>
    <w:p w14:paraId="568E17D4" w14:textId="0E0C4161" w:rsidR="009172D8" w:rsidRDefault="009172D8" w:rsidP="0054187E">
      <w:pPr>
        <w:pStyle w:val="Prrafodelista"/>
        <w:ind w:left="0"/>
        <w:rPr>
          <w:rFonts w:ascii="Times New Roman" w:hAnsi="Times New Roman" w:cs="Times New Roman"/>
          <w:szCs w:val="24"/>
          <w:lang w:val="es-CL"/>
        </w:rPr>
      </w:pPr>
    </w:p>
    <w:p w14:paraId="50D019AD" w14:textId="52D8E029" w:rsidR="008A46DA" w:rsidRPr="008A46DA" w:rsidRDefault="009172D8" w:rsidP="00C031B1">
      <w:pPr>
        <w:pStyle w:val="Prrafodelista"/>
        <w:ind w:left="0"/>
        <w:jc w:val="both"/>
        <w:rPr>
          <w:rFonts w:ascii="Times New Roman" w:hAnsi="Times New Roman" w:cs="Times New Roman"/>
          <w:szCs w:val="24"/>
          <w:lang w:val="es-CL"/>
        </w:rPr>
      </w:pPr>
      <w:r w:rsidRPr="008A46DA">
        <w:rPr>
          <w:rFonts w:ascii="Times New Roman" w:hAnsi="Times New Roman" w:cs="Times New Roman"/>
          <w:szCs w:val="24"/>
          <w:lang w:val="es-CL"/>
        </w:rPr>
        <w:t xml:space="preserve">Uno de los mayores obstáculos que hemos visto en los últimos años </w:t>
      </w:r>
      <w:r w:rsidR="008A46DA" w:rsidRPr="008A46DA">
        <w:rPr>
          <w:rFonts w:ascii="Times New Roman" w:hAnsi="Times New Roman" w:cs="Times New Roman"/>
          <w:szCs w:val="24"/>
          <w:lang w:val="es-CL"/>
        </w:rPr>
        <w:t xml:space="preserve">ha sido la interferencia corporativa, quienes han excluido tanto a los grupos de la sociedad civil como a personas y comunidades en los procesos de formulación de políticas públicas, cooptando los espacios de decisión y entregándoselos directamente a las grandes corporaciones. </w:t>
      </w:r>
      <w:r w:rsidR="008A46DA">
        <w:rPr>
          <w:rFonts w:ascii="Times New Roman" w:hAnsi="Times New Roman" w:cs="Times New Roman"/>
          <w:szCs w:val="24"/>
          <w:lang w:val="es-CL"/>
        </w:rPr>
        <w:t>La asimetría de poder que existe entre estos grupos de gran poder económico</w:t>
      </w:r>
      <w:r w:rsidR="00BE1366">
        <w:rPr>
          <w:rFonts w:ascii="Times New Roman" w:hAnsi="Times New Roman" w:cs="Times New Roman"/>
          <w:szCs w:val="24"/>
          <w:lang w:val="es-CL"/>
        </w:rPr>
        <w:t>.</w:t>
      </w:r>
    </w:p>
    <w:p w14:paraId="2E3AA7CC" w14:textId="77777777" w:rsidR="008A46DA" w:rsidRPr="00C031B1" w:rsidRDefault="008A46DA" w:rsidP="008A46DA">
      <w:pPr>
        <w:spacing w:line="276" w:lineRule="auto"/>
        <w:jc w:val="both"/>
        <w:rPr>
          <w:rFonts w:ascii="Times New Roman" w:hAnsi="Times New Roman" w:cs="Times New Roman"/>
          <w:szCs w:val="24"/>
        </w:rPr>
      </w:pPr>
      <w:r w:rsidRPr="00C031B1">
        <w:rPr>
          <w:rFonts w:ascii="Times New Roman" w:hAnsi="Times New Roman" w:cs="Times New Roman"/>
          <w:szCs w:val="24"/>
        </w:rPr>
        <w:t xml:space="preserve">La interferencia corporativa se entiende como, la influencia en procesos gubernamentales, políticos, organizacionales, administrativos, normativos, y académicos mediante una amplia gama de estrategias, las cuales, buscan retrasar, debilitar, bloquear y moldear políticas o iniciativas de salud pública, cuyo propósito es la protección del derecho a la salud de la </w:t>
      </w:r>
      <w:r w:rsidRPr="00C031B1">
        <w:rPr>
          <w:rFonts w:ascii="Times New Roman" w:hAnsi="Times New Roman" w:cs="Times New Roman"/>
          <w:szCs w:val="24"/>
        </w:rPr>
        <w:lastRenderedPageBreak/>
        <w:t>población.</w:t>
      </w:r>
      <w:r w:rsidRPr="00C031B1">
        <w:rPr>
          <w:rStyle w:val="Refdenotaalpie"/>
          <w:rFonts w:ascii="Times New Roman" w:hAnsi="Times New Roman" w:cs="Times New Roman"/>
          <w:szCs w:val="24"/>
        </w:rPr>
        <w:footnoteReference w:id="30"/>
      </w:r>
      <w:r w:rsidRPr="00C031B1">
        <w:rPr>
          <w:rFonts w:ascii="Times New Roman" w:hAnsi="Times New Roman" w:cs="Times New Roman"/>
          <w:szCs w:val="24"/>
        </w:rPr>
        <w:t xml:space="preserve"> Así, entendemos que la influencia corporativa indebida es la influencia de las corporaciones en el ámbito político que está utilizado para bloquear, retrasar o debilitar políticas que ponen en riesgo sus intereses. Estas influencias corporativas también incluyan la captura de los medios, la opinión pública y/o la ciencia.</w:t>
      </w:r>
      <w:r w:rsidRPr="00C031B1">
        <w:rPr>
          <w:rFonts w:ascii="Times New Roman" w:hAnsi="Times New Roman" w:cs="Times New Roman"/>
          <w:szCs w:val="24"/>
          <w:vertAlign w:val="superscript"/>
        </w:rPr>
        <w:footnoteReference w:id="31"/>
      </w:r>
    </w:p>
    <w:p w14:paraId="1B43FE4D" w14:textId="4ED6A3F5" w:rsidR="008A46DA" w:rsidRPr="00C031B1" w:rsidRDefault="008A46DA" w:rsidP="008A46DA">
      <w:pPr>
        <w:spacing w:line="276" w:lineRule="auto"/>
        <w:jc w:val="both"/>
        <w:rPr>
          <w:rFonts w:ascii="Times New Roman" w:hAnsi="Times New Roman" w:cs="Times New Roman"/>
          <w:szCs w:val="24"/>
        </w:rPr>
      </w:pPr>
      <w:r w:rsidRPr="00C031B1">
        <w:rPr>
          <w:rFonts w:ascii="Times New Roman" w:hAnsi="Times New Roman" w:cs="Times New Roman"/>
          <w:szCs w:val="24"/>
        </w:rPr>
        <w:t xml:space="preserve">Se ha evidenciado que las corporaciones han utilizado estrategias de </w:t>
      </w:r>
      <w:r w:rsidRPr="00C031B1">
        <w:rPr>
          <w:rFonts w:ascii="Times New Roman" w:hAnsi="Times New Roman" w:cs="Times New Roman"/>
          <w:i/>
          <w:szCs w:val="24"/>
        </w:rPr>
        <w:t>marketing</w:t>
      </w:r>
      <w:r w:rsidRPr="00C031B1">
        <w:rPr>
          <w:rFonts w:ascii="Times New Roman" w:hAnsi="Times New Roman" w:cs="Times New Roman"/>
          <w:szCs w:val="24"/>
        </w:rPr>
        <w:t>, cabildeo, supuesta responsabilidad social, construcción de coaliciones, incentivos financieros, “puertas giratorias”, legales, desregulación, autorregulación y cooptación de la academia, para proteger intereses económicos, comerciales y políticos. Mediante estos mecanismos socavar las responsabilidades del Estado.</w:t>
      </w:r>
      <w:r w:rsidRPr="00C031B1">
        <w:rPr>
          <w:rStyle w:val="Refdenotaalpie"/>
          <w:rFonts w:ascii="Times New Roman" w:hAnsi="Times New Roman" w:cs="Times New Roman"/>
          <w:szCs w:val="24"/>
        </w:rPr>
        <w:footnoteReference w:id="32"/>
      </w:r>
      <w:r>
        <w:rPr>
          <w:rFonts w:ascii="Times New Roman" w:hAnsi="Times New Roman" w:cs="Times New Roman"/>
          <w:szCs w:val="24"/>
          <w:vertAlign w:val="superscript"/>
        </w:rPr>
        <w:t xml:space="preserve">, </w:t>
      </w:r>
      <w:r w:rsidRPr="00C031B1">
        <w:rPr>
          <w:rStyle w:val="Refdenotaalpie"/>
          <w:rFonts w:ascii="Times New Roman" w:hAnsi="Times New Roman" w:cs="Times New Roman"/>
          <w:szCs w:val="24"/>
        </w:rPr>
        <w:footnoteReference w:id="33"/>
      </w:r>
      <w:r>
        <w:rPr>
          <w:rFonts w:ascii="Times New Roman" w:hAnsi="Times New Roman" w:cs="Times New Roman"/>
          <w:szCs w:val="24"/>
          <w:vertAlign w:val="superscript"/>
        </w:rPr>
        <w:t xml:space="preserve">, </w:t>
      </w:r>
      <w:r w:rsidRPr="00C031B1">
        <w:rPr>
          <w:rStyle w:val="Refdenotaalpie"/>
          <w:rFonts w:ascii="Times New Roman" w:hAnsi="Times New Roman" w:cs="Times New Roman"/>
          <w:szCs w:val="24"/>
        </w:rPr>
        <w:footnoteReference w:id="34"/>
      </w:r>
      <w:r>
        <w:rPr>
          <w:rFonts w:ascii="Times New Roman" w:hAnsi="Times New Roman" w:cs="Times New Roman"/>
          <w:szCs w:val="24"/>
          <w:vertAlign w:val="superscript"/>
        </w:rPr>
        <w:t xml:space="preserve">, </w:t>
      </w:r>
      <w:r w:rsidRPr="00C031B1">
        <w:rPr>
          <w:rStyle w:val="Refdenotaalpie"/>
          <w:rFonts w:ascii="Times New Roman" w:hAnsi="Times New Roman" w:cs="Times New Roman"/>
          <w:szCs w:val="24"/>
        </w:rPr>
        <w:footnoteReference w:id="35"/>
      </w:r>
      <w:r>
        <w:rPr>
          <w:rFonts w:ascii="Times New Roman" w:hAnsi="Times New Roman" w:cs="Times New Roman"/>
          <w:szCs w:val="24"/>
          <w:vertAlign w:val="superscript"/>
        </w:rPr>
        <w:t xml:space="preserve">, </w:t>
      </w:r>
      <w:r w:rsidRPr="00C031B1">
        <w:rPr>
          <w:rStyle w:val="Refdenotaalpie"/>
          <w:rFonts w:ascii="Times New Roman" w:hAnsi="Times New Roman" w:cs="Times New Roman"/>
          <w:szCs w:val="24"/>
        </w:rPr>
        <w:footnoteReference w:id="36"/>
      </w:r>
      <w:r w:rsidRPr="00C031B1">
        <w:rPr>
          <w:rFonts w:ascii="Times New Roman" w:hAnsi="Times New Roman" w:cs="Times New Roman"/>
          <w:szCs w:val="24"/>
        </w:rPr>
        <w:t xml:space="preserve"> Esto se ha convertido en un desafío continuo para avanzar en materia normativa, legislativa y regulatoria en política pública y protección a los derechos humanos. La influencia corporativa indebida en asuntos regulatorios y normativos ha tenido como consecuencia la lenta implementación de iniciativas propuestas por organismos internacionales y organizaciones de la sociedad civil como impuestos a productos alimenticios dañinos, etiquetados frontales, regulación de publicidad dirigida a niños, niñas y adolescentes, así como construcción de ambientes escolares saludables, entre otras.</w:t>
      </w:r>
      <w:r w:rsidRPr="00C031B1">
        <w:rPr>
          <w:rStyle w:val="Refdenotaalpie"/>
          <w:rFonts w:ascii="Times New Roman" w:hAnsi="Times New Roman" w:cs="Times New Roman"/>
          <w:szCs w:val="24"/>
        </w:rPr>
        <w:footnoteReference w:id="37"/>
      </w:r>
      <w:r w:rsidR="00277BCD">
        <w:rPr>
          <w:rFonts w:ascii="Times New Roman" w:hAnsi="Times New Roman" w:cs="Times New Roman"/>
          <w:szCs w:val="24"/>
        </w:rPr>
        <w:t xml:space="preserve"> También el efecto de la influencia corporativa indebida es una cooptación de espacios de gobernanza que resulta en menos espacio y poder para la sociedad civil y los grupos vulnerables.</w:t>
      </w:r>
    </w:p>
    <w:p w14:paraId="1A7F8480" w14:textId="77777777" w:rsidR="008A46DA" w:rsidRPr="00C031B1" w:rsidRDefault="008A46DA" w:rsidP="008A46DA">
      <w:pPr>
        <w:spacing w:line="276" w:lineRule="auto"/>
        <w:jc w:val="both"/>
        <w:rPr>
          <w:rFonts w:ascii="Times New Roman" w:hAnsi="Times New Roman" w:cs="Times New Roman"/>
          <w:szCs w:val="24"/>
        </w:rPr>
      </w:pPr>
      <w:r w:rsidRPr="00C031B1">
        <w:rPr>
          <w:rFonts w:ascii="Times New Roman" w:hAnsi="Times New Roman" w:cs="Times New Roman"/>
          <w:szCs w:val="24"/>
        </w:rPr>
        <w:t>Desde la organización El Poder del Consumidor se han impulsado diversas iniciativas de política pública a favor de la salud, alimentación y nutrición de la población. Además, se han documentado y evidenciado casos de conflicto de interés e interferencia corporativa en diferentes procesos regulatorios y de creación normativa. Hemos enfrentado muchos ejemplos de influencia corporativa indebida en nuestro trabajo, los cuales incluyen la falta de un marco regulatorio para prevenir esta influencia y también el hecho de que esta influencia está muy generalizada y ubicuo que el público ni lo cuestiona.</w:t>
      </w:r>
    </w:p>
    <w:p w14:paraId="290AE2A4" w14:textId="77777777" w:rsidR="008A46DA" w:rsidRPr="00C031B1" w:rsidRDefault="008A46DA" w:rsidP="008A46DA">
      <w:pPr>
        <w:spacing w:line="276" w:lineRule="auto"/>
        <w:jc w:val="both"/>
        <w:rPr>
          <w:rFonts w:ascii="Times New Roman" w:hAnsi="Times New Roman" w:cs="Times New Roman"/>
          <w:szCs w:val="24"/>
        </w:rPr>
      </w:pPr>
      <w:r w:rsidRPr="00C031B1">
        <w:rPr>
          <w:rFonts w:ascii="Times New Roman" w:hAnsi="Times New Roman" w:cs="Times New Roman"/>
          <w:szCs w:val="24"/>
        </w:rPr>
        <w:t xml:space="preserve">En particular, El Poder del Consumidor ha identificado en México que la influencia corporativa indebida en asuntos regulatorios y normativos se presenta en forma de fomento del conflicto de interés, cooptación de autoridades, fenómeno de “puertas giratorias” de </w:t>
      </w:r>
      <w:r w:rsidRPr="00C031B1">
        <w:rPr>
          <w:rFonts w:ascii="Times New Roman" w:hAnsi="Times New Roman" w:cs="Times New Roman"/>
          <w:szCs w:val="24"/>
        </w:rPr>
        <w:lastRenderedPageBreak/>
        <w:t xml:space="preserve">personal de los órganos reguladores y legislativos a las empresas y viceversa. De igual manera, las empresas pretenden incidir en dichos asuntos mediante estrategias legales masivas de juicios de constitucionalidad (amparos) que obstaculizan la adopción de regulación que persigue objetivos legítimos y protege derechos humanos. </w:t>
      </w:r>
    </w:p>
    <w:p w14:paraId="28E30C0B" w14:textId="77777777" w:rsidR="00F7796E" w:rsidRDefault="008A46DA" w:rsidP="008A46DA">
      <w:pPr>
        <w:spacing w:line="276" w:lineRule="auto"/>
        <w:jc w:val="both"/>
        <w:rPr>
          <w:rFonts w:ascii="Times New Roman" w:hAnsi="Times New Roman" w:cs="Times New Roman"/>
          <w:szCs w:val="24"/>
        </w:rPr>
      </w:pPr>
      <w:r w:rsidRPr="00C031B1">
        <w:rPr>
          <w:rFonts w:ascii="Times New Roman" w:hAnsi="Times New Roman" w:cs="Times New Roman"/>
          <w:szCs w:val="24"/>
        </w:rPr>
        <w:t xml:space="preserve">Los retos observados en relación con estas prácticas de influencia corporativa indebida son la falta de mecanismos legales que regulen relaciones entre las empresas y las autoridades en el contexto de procesos regulatorios y de creación normativa, así como de disposiciones que obliguen a la autoridad a informar y rendir cuentas de lo que sucede cuando ambos actores se reúnen. </w:t>
      </w:r>
    </w:p>
    <w:p w14:paraId="65F062FD" w14:textId="6801D206" w:rsidR="000E7D74" w:rsidRDefault="006B40FA" w:rsidP="008A46DA">
      <w:pPr>
        <w:spacing w:line="276" w:lineRule="auto"/>
        <w:jc w:val="both"/>
        <w:rPr>
          <w:rFonts w:ascii="Times New Roman" w:hAnsi="Times New Roman" w:cs="Times New Roman"/>
          <w:szCs w:val="24"/>
        </w:rPr>
      </w:pPr>
      <w:bookmarkStart w:id="3" w:name="_GoBack"/>
      <w:bookmarkEnd w:id="3"/>
      <w:r w:rsidRPr="00C031B1">
        <w:rPr>
          <w:rFonts w:ascii="Times New Roman" w:hAnsi="Times New Roman" w:cs="Times New Roman"/>
          <w:b/>
          <w:szCs w:val="24"/>
        </w:rPr>
        <w:t xml:space="preserve">El </w:t>
      </w:r>
      <w:r w:rsidR="00660A2D" w:rsidRPr="00C031B1">
        <w:rPr>
          <w:rFonts w:ascii="Times New Roman" w:hAnsi="Times New Roman" w:cs="Times New Roman"/>
          <w:b/>
          <w:szCs w:val="24"/>
        </w:rPr>
        <w:t>poder político que tiene las empresas de alimentos y bebidas ultraprocesados, la industria agrícola y de semillas y pesticidas</w:t>
      </w:r>
      <w:r w:rsidRPr="00C031B1">
        <w:rPr>
          <w:rFonts w:ascii="Times New Roman" w:hAnsi="Times New Roman" w:cs="Times New Roman"/>
          <w:b/>
          <w:szCs w:val="24"/>
        </w:rPr>
        <w:t xml:space="preserve"> resulta en un desequilibrio en lo que </w:t>
      </w:r>
      <w:r w:rsidR="00660A2D" w:rsidRPr="00C031B1">
        <w:rPr>
          <w:rFonts w:ascii="Times New Roman" w:hAnsi="Times New Roman" w:cs="Times New Roman"/>
          <w:b/>
          <w:szCs w:val="24"/>
        </w:rPr>
        <w:t>estas industrias</w:t>
      </w:r>
      <w:r w:rsidRPr="00C031B1">
        <w:rPr>
          <w:rFonts w:ascii="Times New Roman" w:hAnsi="Times New Roman" w:cs="Times New Roman"/>
          <w:b/>
          <w:szCs w:val="24"/>
        </w:rPr>
        <w:t xml:space="preserve"> tienen mejor representación en procesos </w:t>
      </w:r>
      <w:r w:rsidR="00660A2D" w:rsidRPr="00C031B1">
        <w:rPr>
          <w:rFonts w:ascii="Times New Roman" w:hAnsi="Times New Roman" w:cs="Times New Roman"/>
          <w:b/>
          <w:szCs w:val="24"/>
        </w:rPr>
        <w:t xml:space="preserve">políticos que la sociedad civil y los movimientos sociales libre de conflicto de interés. De esta forma la participación de actores en el interés público y la participación de grupos vulnerables está puesto en riesgo. </w:t>
      </w:r>
      <w:r w:rsidR="008A46DA" w:rsidRPr="00C031B1">
        <w:rPr>
          <w:rFonts w:ascii="Times New Roman" w:hAnsi="Times New Roman" w:cs="Times New Roman"/>
          <w:b/>
          <w:szCs w:val="24"/>
        </w:rPr>
        <w:t>Asimismo, la sociedad civil</w:t>
      </w:r>
      <w:r w:rsidR="00660A2D" w:rsidRPr="00C031B1">
        <w:rPr>
          <w:rFonts w:ascii="Times New Roman" w:hAnsi="Times New Roman" w:cs="Times New Roman"/>
          <w:b/>
          <w:szCs w:val="24"/>
        </w:rPr>
        <w:t xml:space="preserve"> y grupos vulnerables</w:t>
      </w:r>
      <w:r w:rsidR="008A46DA" w:rsidRPr="00C031B1">
        <w:rPr>
          <w:rFonts w:ascii="Times New Roman" w:hAnsi="Times New Roman" w:cs="Times New Roman"/>
          <w:b/>
          <w:szCs w:val="24"/>
        </w:rPr>
        <w:t xml:space="preserve"> no cuenta</w:t>
      </w:r>
      <w:r w:rsidR="00660A2D" w:rsidRPr="00C031B1">
        <w:rPr>
          <w:rFonts w:ascii="Times New Roman" w:hAnsi="Times New Roman" w:cs="Times New Roman"/>
          <w:b/>
          <w:szCs w:val="24"/>
        </w:rPr>
        <w:t>n</w:t>
      </w:r>
      <w:r w:rsidR="008A46DA" w:rsidRPr="00C031B1">
        <w:rPr>
          <w:rFonts w:ascii="Times New Roman" w:hAnsi="Times New Roman" w:cs="Times New Roman"/>
          <w:b/>
          <w:szCs w:val="24"/>
        </w:rPr>
        <w:t xml:space="preserve"> con recursos efectivos para cuestionar jurídicamente dicha influencia indebida.</w:t>
      </w:r>
      <w:r w:rsidR="008A46DA" w:rsidRPr="00C031B1">
        <w:rPr>
          <w:rFonts w:ascii="Times New Roman" w:hAnsi="Times New Roman" w:cs="Times New Roman"/>
          <w:szCs w:val="24"/>
        </w:rPr>
        <w:t xml:space="preserve"> </w:t>
      </w:r>
      <w:r w:rsidR="000E7D74" w:rsidRPr="00C031B1">
        <w:rPr>
          <w:rFonts w:ascii="Times New Roman" w:hAnsi="Times New Roman" w:cs="Times New Roman"/>
          <w:b/>
          <w:szCs w:val="24"/>
        </w:rPr>
        <w:t>El abordaje “multi-stakeholder” tiene muchos limites porque no distingue entre actores no-gubernamentales participando en el interés público vs actores no-gubernamentales actuando en el interés corporativo.</w:t>
      </w:r>
      <w:r w:rsidR="000E7D74">
        <w:rPr>
          <w:rFonts w:ascii="Times New Roman" w:hAnsi="Times New Roman" w:cs="Times New Roman"/>
          <w:b/>
          <w:szCs w:val="24"/>
        </w:rPr>
        <w:t xml:space="preserve"> Asimismo, el abordaje “multistakeholder” reduce el poder del gobierno de liderar procesos de política pública no obstante su obligación de garantizar los derechos de su población.</w:t>
      </w:r>
    </w:p>
    <w:p w14:paraId="21A573A3" w14:textId="0D53E121" w:rsidR="008A46DA" w:rsidRDefault="008A46DA" w:rsidP="008A46DA">
      <w:pPr>
        <w:spacing w:line="276" w:lineRule="auto"/>
        <w:jc w:val="both"/>
        <w:rPr>
          <w:rFonts w:ascii="Times New Roman" w:hAnsi="Times New Roman" w:cs="Times New Roman"/>
          <w:szCs w:val="24"/>
        </w:rPr>
      </w:pPr>
      <w:r w:rsidRPr="00C031B1">
        <w:rPr>
          <w:rFonts w:ascii="Times New Roman" w:hAnsi="Times New Roman" w:cs="Times New Roman"/>
          <w:szCs w:val="24"/>
        </w:rPr>
        <w:t>Algunos ejemplos concretos de influencia corporativa indebida en la generación de regulación y normas para el caso de la industria de ultraprocesados y bebidas azucaradas son:</w:t>
      </w:r>
    </w:p>
    <w:p w14:paraId="1C3FD9D4" w14:textId="77777777" w:rsidR="008A46DA" w:rsidRPr="00C031B1" w:rsidRDefault="008A46DA" w:rsidP="008A46DA">
      <w:pPr>
        <w:spacing w:line="276" w:lineRule="auto"/>
        <w:jc w:val="both"/>
        <w:rPr>
          <w:rFonts w:ascii="Times New Roman" w:hAnsi="Times New Roman" w:cs="Times New Roman"/>
          <w:b/>
          <w:szCs w:val="24"/>
        </w:rPr>
      </w:pPr>
    </w:p>
    <w:p w14:paraId="5B9905DE" w14:textId="77FD161A" w:rsidR="00277BCD" w:rsidRPr="00C031B1" w:rsidRDefault="00277BCD" w:rsidP="008A46DA">
      <w:pPr>
        <w:pStyle w:val="Prrafodelista"/>
        <w:numPr>
          <w:ilvl w:val="0"/>
          <w:numId w:val="26"/>
        </w:numPr>
        <w:spacing w:line="276" w:lineRule="auto"/>
        <w:jc w:val="both"/>
        <w:rPr>
          <w:rFonts w:ascii="Times New Roman" w:hAnsi="Times New Roman" w:cs="Times New Roman"/>
          <w:b/>
          <w:szCs w:val="24"/>
        </w:rPr>
      </w:pPr>
      <w:r w:rsidRPr="00C031B1">
        <w:rPr>
          <w:rFonts w:ascii="Times New Roman" w:hAnsi="Times New Roman" w:cs="Times New Roman"/>
          <w:b/>
          <w:szCs w:val="24"/>
        </w:rPr>
        <w:t>Desarrollo del Observatorio Mexicano de Enfermedades No Transmisibles (OMENT)</w:t>
      </w:r>
    </w:p>
    <w:p w14:paraId="0DE62BA4" w14:textId="074B34BA" w:rsidR="00FC730B" w:rsidRDefault="00FC730B" w:rsidP="00C031B1">
      <w:pPr>
        <w:spacing w:line="276" w:lineRule="auto"/>
        <w:jc w:val="both"/>
        <w:rPr>
          <w:rFonts w:ascii="Times New Roman" w:hAnsi="Times New Roman" w:cs="Times New Roman"/>
        </w:rPr>
      </w:pPr>
      <w:r>
        <w:rPr>
          <w:rFonts w:ascii="Times New Roman" w:hAnsi="Times New Roman" w:cs="Times New Roman"/>
        </w:rPr>
        <w:t>En</w:t>
      </w:r>
      <w:r w:rsidRPr="00C031B1">
        <w:rPr>
          <w:rFonts w:ascii="Times New Roman" w:hAnsi="Times New Roman" w:cs="Times New Roman"/>
        </w:rPr>
        <w:t xml:space="preserve"> 2013, la administración federal lanzó una Estrategia Nacional para la Prevención y el Control del Sobrepeso, la Obesidad y la Diabetes. </w:t>
      </w:r>
      <w:r>
        <w:rPr>
          <w:rFonts w:ascii="Times New Roman" w:hAnsi="Times New Roman" w:cs="Times New Roman"/>
        </w:rPr>
        <w:t>Un elemento de</w:t>
      </w:r>
      <w:r w:rsidRPr="00C031B1">
        <w:rPr>
          <w:rFonts w:ascii="Times New Roman" w:hAnsi="Times New Roman" w:cs="Times New Roman"/>
        </w:rPr>
        <w:t xml:space="preserve"> esta estrategia </w:t>
      </w:r>
      <w:r>
        <w:rPr>
          <w:rFonts w:ascii="Times New Roman" w:hAnsi="Times New Roman" w:cs="Times New Roman"/>
        </w:rPr>
        <w:t xml:space="preserve">fue la creación del </w:t>
      </w:r>
      <w:r w:rsidRPr="00C031B1">
        <w:rPr>
          <w:rFonts w:ascii="Times New Roman" w:hAnsi="Times New Roman" w:cs="Times New Roman"/>
        </w:rPr>
        <w:t xml:space="preserve">Observatorio Mexicano de Enfermedades No Transmisibles </w:t>
      </w:r>
      <w:r>
        <w:rPr>
          <w:rFonts w:ascii="Times New Roman" w:hAnsi="Times New Roman" w:cs="Times New Roman"/>
        </w:rPr>
        <w:t>(OMENT) que tuvo el objetivo de supervisar la estrategia nacional y evaluar las políticas públicas para la prevención y el control de obesidad.</w:t>
      </w:r>
      <w:r w:rsidRPr="00C031B1">
        <w:rPr>
          <w:rFonts w:ascii="Times New Roman" w:hAnsi="Times New Roman" w:cs="Times New Roman"/>
        </w:rPr>
        <w:t xml:space="preserve"> </w:t>
      </w:r>
      <w:r>
        <w:rPr>
          <w:rFonts w:ascii="Times New Roman" w:hAnsi="Times New Roman" w:cs="Times New Roman"/>
        </w:rPr>
        <w:t xml:space="preserve">Casi la mitad de los miembros del observatorio tuvo un conflicto de interés identificado, algunos de los miembros del observatorio más poderosos tenían vínculos con la industria refresquera o de alimentos y bebidas ultraprocesados y </w:t>
      </w:r>
      <w:r w:rsidR="000E7D74">
        <w:rPr>
          <w:rFonts w:ascii="Times New Roman" w:hAnsi="Times New Roman" w:cs="Times New Roman"/>
        </w:rPr>
        <w:t>muchos de las</w:t>
      </w:r>
      <w:r>
        <w:rPr>
          <w:rFonts w:ascii="Times New Roman" w:hAnsi="Times New Roman" w:cs="Times New Roman"/>
        </w:rPr>
        <w:t xml:space="preserve"> organizaciones de la sociedad civil que fueron parte del observatorio recibieron financiamiento de la industria de alimentos y bebidas. Esta es un ejemplo de cómo los espacios de desarrollo y evaluación de la política pública </w:t>
      </w:r>
      <w:r w:rsidR="000E7D74">
        <w:rPr>
          <w:rFonts w:ascii="Times New Roman" w:hAnsi="Times New Roman" w:cs="Times New Roman"/>
        </w:rPr>
        <w:t xml:space="preserve">son </w:t>
      </w:r>
      <w:r>
        <w:rPr>
          <w:rFonts w:ascii="Times New Roman" w:hAnsi="Times New Roman" w:cs="Times New Roman"/>
        </w:rPr>
        <w:t xml:space="preserve">dominados por las </w:t>
      </w:r>
      <w:r>
        <w:rPr>
          <w:rFonts w:ascii="Times New Roman" w:hAnsi="Times New Roman" w:cs="Times New Roman"/>
        </w:rPr>
        <w:lastRenderedPageBreak/>
        <w:t>corporaciones y las organizaciones financiadas por ellas y la sociedad civil y los grupos vulnerables no están invitados a la mesa</w:t>
      </w:r>
      <w:r w:rsidR="000E7D74">
        <w:rPr>
          <w:rFonts w:ascii="Times New Roman" w:hAnsi="Times New Roman" w:cs="Times New Roman"/>
        </w:rPr>
        <w:t>, ni sus voces escuchados</w:t>
      </w:r>
      <w:r>
        <w:rPr>
          <w:rFonts w:ascii="Times New Roman" w:hAnsi="Times New Roman" w:cs="Times New Roman"/>
        </w:rPr>
        <w:t>.</w:t>
      </w:r>
      <w:r w:rsidR="000E7D74">
        <w:rPr>
          <w:rStyle w:val="Refdenotaalpie"/>
          <w:rFonts w:ascii="Times New Roman" w:hAnsi="Times New Roman" w:cs="Times New Roman"/>
        </w:rPr>
        <w:footnoteReference w:id="38"/>
      </w:r>
      <w:r w:rsidR="000E7D74">
        <w:rPr>
          <w:rFonts w:ascii="Times New Roman" w:hAnsi="Times New Roman" w:cs="Times New Roman"/>
        </w:rPr>
        <w:t xml:space="preserve"> </w:t>
      </w:r>
    </w:p>
    <w:p w14:paraId="635207AF" w14:textId="41BF1BC4" w:rsidR="008A46DA" w:rsidRPr="00C031B1" w:rsidRDefault="008A46DA" w:rsidP="008A46DA">
      <w:pPr>
        <w:pStyle w:val="Prrafodelista"/>
        <w:numPr>
          <w:ilvl w:val="0"/>
          <w:numId w:val="26"/>
        </w:numPr>
        <w:spacing w:line="276" w:lineRule="auto"/>
        <w:jc w:val="both"/>
        <w:rPr>
          <w:rFonts w:ascii="Times New Roman" w:hAnsi="Times New Roman" w:cs="Times New Roman"/>
          <w:szCs w:val="24"/>
        </w:rPr>
      </w:pPr>
      <w:r w:rsidRPr="00C031B1">
        <w:rPr>
          <w:rFonts w:ascii="Times New Roman" w:hAnsi="Times New Roman" w:cs="Times New Roman"/>
          <w:b/>
          <w:szCs w:val="24"/>
        </w:rPr>
        <w:t xml:space="preserve">Interacciones indebidas entre funcionarios de la Comisión Federal para la Protección contra Riesgos Sanitarios (COFEPRIS) y empleados de Coca Cola México para imponer regulación a modo y colaborar en litigios para defenderla.  </w:t>
      </w:r>
    </w:p>
    <w:p w14:paraId="5CFDABC0" w14:textId="0F848047" w:rsidR="008A46DA" w:rsidRPr="00C031B1" w:rsidRDefault="008A46DA" w:rsidP="00660A2D">
      <w:pPr>
        <w:spacing w:line="276" w:lineRule="auto"/>
        <w:jc w:val="both"/>
        <w:rPr>
          <w:rFonts w:ascii="Times New Roman" w:hAnsi="Times New Roman" w:cs="Times New Roman"/>
          <w:szCs w:val="24"/>
        </w:rPr>
      </w:pPr>
      <w:r w:rsidRPr="00C031B1">
        <w:rPr>
          <w:rFonts w:ascii="Times New Roman" w:hAnsi="Times New Roman" w:cs="Times New Roman"/>
          <w:szCs w:val="24"/>
        </w:rPr>
        <w:t>Entre 2013 y 2018, funcionarios de la agencia sanitaria de México mantuvieron interacciones, reuniones y correos electrónicos, con empleados de dicha empresa de bebidas azucaradas para colaborar en la inclusión del etiquetado denominado Guías Diarias de Alimentación (GDA) en la NOM-SCFI/SSA1-2010, Especificaciones generales de etiquetado para alimentos y bebidas no alcohólicas preenvasados-Información comercial y sanitaria, lo que se concretó en el 2014.</w:t>
      </w:r>
      <w:r w:rsidRPr="00C031B1">
        <w:rPr>
          <w:rStyle w:val="Refdenotaalpie"/>
          <w:rFonts w:ascii="Times New Roman" w:hAnsi="Times New Roman" w:cs="Times New Roman"/>
          <w:szCs w:val="24"/>
        </w:rPr>
        <w:footnoteReference w:id="39"/>
      </w:r>
      <w:r w:rsidRPr="00C031B1">
        <w:rPr>
          <w:rFonts w:ascii="Times New Roman" w:hAnsi="Times New Roman" w:cs="Times New Roman"/>
          <w:szCs w:val="24"/>
        </w:rPr>
        <w:t xml:space="preserve"> Dicho etiquetado tenía graves deficiencias técnicas que provocaban que las personas consumieran cantidades de azúcar nocivas para la salud, además de que no era comprendido por la población mexicana, ni siquiera por estudiantes de nutrición.</w:t>
      </w:r>
      <w:r w:rsidRPr="00C031B1">
        <w:rPr>
          <w:rStyle w:val="Refdenotaalpie"/>
          <w:rFonts w:ascii="Times New Roman" w:hAnsi="Times New Roman" w:cs="Times New Roman"/>
          <w:szCs w:val="24"/>
        </w:rPr>
        <w:footnoteReference w:id="40"/>
      </w:r>
      <w:r w:rsidRPr="00C031B1">
        <w:rPr>
          <w:rFonts w:ascii="Times New Roman" w:hAnsi="Times New Roman" w:cs="Times New Roman"/>
          <w:szCs w:val="24"/>
        </w:rPr>
        <w:t xml:space="preserve"> Por estos vicios, El Poder del Consumidor y otras organizaciones de la sociedad civil entablaron juicios para que fuera declarado violatorio de derechos humanos. En 2020, El Poder del Consumidor, mediante el procedimiento </w:t>
      </w:r>
      <w:r w:rsidRPr="00C031B1">
        <w:rPr>
          <w:rFonts w:ascii="Times New Roman" w:hAnsi="Times New Roman" w:cs="Times New Roman"/>
          <w:i/>
          <w:szCs w:val="24"/>
        </w:rPr>
        <w:t>Foreign Legal Asistance</w:t>
      </w:r>
      <w:r w:rsidRPr="00C031B1">
        <w:rPr>
          <w:rFonts w:ascii="Times New Roman" w:hAnsi="Times New Roman" w:cs="Times New Roman"/>
          <w:szCs w:val="24"/>
        </w:rPr>
        <w:t xml:space="preserve">, </w:t>
      </w:r>
      <w:r w:rsidRPr="00C031B1">
        <w:rPr>
          <w:rStyle w:val="Refdenotaalpie"/>
          <w:rFonts w:ascii="Times New Roman" w:hAnsi="Times New Roman" w:cs="Times New Roman"/>
          <w:szCs w:val="24"/>
        </w:rPr>
        <w:footnoteReference w:id="41"/>
      </w:r>
      <w:r w:rsidRPr="00C031B1">
        <w:rPr>
          <w:rFonts w:ascii="Times New Roman" w:hAnsi="Times New Roman" w:cs="Times New Roman"/>
          <w:szCs w:val="24"/>
        </w:rPr>
        <w:t>obtuvo evidencia</w:t>
      </w:r>
      <w:r w:rsidRPr="00C031B1">
        <w:rPr>
          <w:rStyle w:val="Refdenotaalpie"/>
          <w:rFonts w:ascii="Times New Roman" w:hAnsi="Times New Roman" w:cs="Times New Roman"/>
          <w:szCs w:val="24"/>
        </w:rPr>
        <w:footnoteReference w:id="42"/>
      </w:r>
      <w:r w:rsidRPr="00C031B1">
        <w:rPr>
          <w:rFonts w:ascii="Times New Roman" w:hAnsi="Times New Roman" w:cs="Times New Roman"/>
          <w:szCs w:val="24"/>
        </w:rPr>
        <w:t xml:space="preserve"> de la colaboración para imponer el etiquetado GDA y de que, durante dichos procesos legales, empleados de Coca Cola auxiliaron a los funcionarios de la COFEPRIS para defender dicho etiquetado, ofreciendo asesoría y proporcionando documentos para el desahogo de pruebas de expertos en nutrición y salud. Derivado del conocimiento de esta información, El Poder del Consumidor presentó denuncias para que la Secretaría de la Función Pública investigará el conflicto de interés de dichos servidores públicos.</w:t>
      </w:r>
      <w:r w:rsidRPr="00C031B1">
        <w:rPr>
          <w:rStyle w:val="Refdenotaalpie"/>
          <w:rFonts w:ascii="Times New Roman" w:hAnsi="Times New Roman" w:cs="Times New Roman"/>
          <w:szCs w:val="24"/>
        </w:rPr>
        <w:footnoteReference w:id="43"/>
      </w:r>
      <w:r w:rsidR="00660A2D">
        <w:rPr>
          <w:rFonts w:ascii="Times New Roman" w:hAnsi="Times New Roman" w:cs="Times New Roman"/>
          <w:szCs w:val="24"/>
        </w:rPr>
        <w:t xml:space="preserve"> De </w:t>
      </w:r>
      <w:r w:rsidR="00FE610A">
        <w:rPr>
          <w:rFonts w:ascii="Times New Roman" w:hAnsi="Times New Roman" w:cs="Times New Roman"/>
          <w:szCs w:val="24"/>
        </w:rPr>
        <w:t xml:space="preserve">esta forma, es claro como la oportunidad para participación de la sociedad civil y grupos vulnerables en procesos de política pública esta cooptada dado a la manipulación de estos procesos por actores corporativos. </w:t>
      </w:r>
    </w:p>
    <w:p w14:paraId="7AEBAD16" w14:textId="77777777" w:rsidR="008A46DA" w:rsidRPr="00C031B1" w:rsidRDefault="008A46DA" w:rsidP="008A46DA">
      <w:pPr>
        <w:pStyle w:val="Prrafodelista"/>
        <w:numPr>
          <w:ilvl w:val="0"/>
          <w:numId w:val="26"/>
        </w:numPr>
        <w:spacing w:line="276" w:lineRule="auto"/>
        <w:jc w:val="both"/>
        <w:rPr>
          <w:rFonts w:ascii="Times New Roman" w:hAnsi="Times New Roman" w:cs="Times New Roman"/>
          <w:szCs w:val="24"/>
        </w:rPr>
      </w:pPr>
      <w:r w:rsidRPr="00C031B1">
        <w:rPr>
          <w:rFonts w:ascii="Times New Roman" w:hAnsi="Times New Roman" w:cs="Times New Roman"/>
          <w:b/>
          <w:szCs w:val="24"/>
        </w:rPr>
        <w:t>Impulso de estrategias legales masivas en contra de regulación protectora de los derechos a la salud, alimentación adecuada y medio ambiente sano.</w:t>
      </w:r>
    </w:p>
    <w:p w14:paraId="6536C6BA" w14:textId="008DDCD7" w:rsidR="0054187E" w:rsidRPr="00C40D7C" w:rsidRDefault="008A46DA" w:rsidP="00C031B1">
      <w:pPr>
        <w:spacing w:line="276" w:lineRule="auto"/>
        <w:jc w:val="both"/>
      </w:pPr>
      <w:r w:rsidRPr="00C031B1">
        <w:rPr>
          <w:rFonts w:ascii="Times New Roman" w:hAnsi="Times New Roman" w:cs="Times New Roman"/>
          <w:szCs w:val="24"/>
        </w:rPr>
        <w:lastRenderedPageBreak/>
        <w:t>La industria alimentaria ha desplegado una estrategia de amparos masivos, juicios federales, para tratar de que la regulación del etiquetado de advertencia</w:t>
      </w:r>
      <w:r w:rsidRPr="00C031B1">
        <w:rPr>
          <w:rStyle w:val="Refdenotaalpie"/>
          <w:rFonts w:ascii="Times New Roman" w:hAnsi="Times New Roman" w:cs="Times New Roman"/>
          <w:szCs w:val="24"/>
        </w:rPr>
        <w:footnoteReference w:id="44"/>
      </w:r>
      <w:r w:rsidRPr="00C031B1">
        <w:rPr>
          <w:rFonts w:ascii="Times New Roman" w:hAnsi="Times New Roman" w:cs="Times New Roman"/>
          <w:szCs w:val="24"/>
        </w:rPr>
        <w:t xml:space="preserve"> y de que el decreto presidencial que prohíbe el glifosato y el maíz transgénico hacia el 2024.</w:t>
      </w:r>
      <w:r w:rsidRPr="00C031B1">
        <w:rPr>
          <w:rStyle w:val="Refdenotaalpie"/>
          <w:rFonts w:ascii="Times New Roman" w:hAnsi="Times New Roman" w:cs="Times New Roman"/>
          <w:szCs w:val="24"/>
        </w:rPr>
        <w:footnoteReference w:id="45"/>
      </w:r>
      <w:r w:rsidRPr="00C031B1">
        <w:rPr>
          <w:rFonts w:ascii="Times New Roman" w:hAnsi="Times New Roman" w:cs="Times New Roman"/>
          <w:szCs w:val="24"/>
        </w:rPr>
        <w:t xml:space="preserve"> La industria alimentaria ha presentado aproximadamente 111 juicios de amparo en contra del etiquetado frontal de advertencia.</w:t>
      </w:r>
      <w:r w:rsidRPr="00C031B1">
        <w:rPr>
          <w:rStyle w:val="Refdenotaalpie"/>
          <w:rFonts w:ascii="Times New Roman" w:hAnsi="Times New Roman" w:cs="Times New Roman"/>
          <w:szCs w:val="24"/>
        </w:rPr>
        <w:footnoteReference w:id="46"/>
      </w:r>
      <w:r w:rsidRPr="00C031B1">
        <w:rPr>
          <w:rFonts w:ascii="Times New Roman" w:hAnsi="Times New Roman" w:cs="Times New Roman"/>
          <w:szCs w:val="24"/>
        </w:rPr>
        <w:t xml:space="preserve"> Por otro lado, en el caso del decreto, la agroindustria, a través una de sus asociaciones, el Consejo Nacional Agropecuario (CNA) anunció una estrategia valuada en millones de pesos en su contra, que incluía la presentación de múltiples juicios de amparo,</w:t>
      </w:r>
      <w:r w:rsidRPr="00C031B1">
        <w:rPr>
          <w:rStyle w:val="Refdenotaalpie"/>
          <w:rFonts w:ascii="Times New Roman" w:hAnsi="Times New Roman" w:cs="Times New Roman"/>
          <w:szCs w:val="24"/>
        </w:rPr>
        <w:footnoteReference w:id="47"/>
      </w:r>
      <w:r w:rsidRPr="00C031B1">
        <w:rPr>
          <w:rFonts w:ascii="Times New Roman" w:hAnsi="Times New Roman" w:cs="Times New Roman"/>
          <w:szCs w:val="24"/>
        </w:rPr>
        <w:t xml:space="preserve"> a la fecha se conocen 26 procesos judiciales.</w:t>
      </w:r>
      <w:r w:rsidRPr="00C031B1">
        <w:rPr>
          <w:rStyle w:val="Refdenotaalpie"/>
          <w:rFonts w:ascii="Times New Roman" w:hAnsi="Times New Roman" w:cs="Times New Roman"/>
          <w:szCs w:val="24"/>
        </w:rPr>
        <w:footnoteReference w:id="48"/>
      </w:r>
      <w:r w:rsidR="00FE610A">
        <w:rPr>
          <w:rFonts w:ascii="Times New Roman" w:hAnsi="Times New Roman" w:cs="Times New Roman"/>
          <w:szCs w:val="24"/>
        </w:rPr>
        <w:t xml:space="preserve"> En estos procesos es muy difícil que los productores pequeños y los grupos vulnerables participan para defender la política contra las estrategias legales de las empresas.</w:t>
      </w:r>
    </w:p>
    <w:p w14:paraId="0172CC5A" w14:textId="77777777" w:rsidR="0054187E" w:rsidRPr="00C031B1" w:rsidRDefault="0054187E" w:rsidP="0054187E">
      <w:pPr>
        <w:pStyle w:val="Prrafodelista"/>
        <w:ind w:left="0"/>
        <w:rPr>
          <w:rFonts w:ascii="Times New Roman" w:hAnsi="Times New Roman" w:cs="Times New Roman"/>
          <w:b/>
          <w:szCs w:val="24"/>
          <w:lang w:val="es-CL"/>
        </w:rPr>
      </w:pPr>
    </w:p>
    <w:p w14:paraId="2C16590F" w14:textId="77777777" w:rsidR="0054187E" w:rsidRPr="00C031B1" w:rsidRDefault="0054187E" w:rsidP="00C031B1">
      <w:pPr>
        <w:pStyle w:val="Prrafodelista"/>
        <w:numPr>
          <w:ilvl w:val="1"/>
          <w:numId w:val="18"/>
        </w:numPr>
        <w:spacing w:after="0" w:line="240" w:lineRule="auto"/>
        <w:ind w:left="0"/>
        <w:jc w:val="both"/>
        <w:rPr>
          <w:rFonts w:ascii="Times New Roman" w:hAnsi="Times New Roman" w:cs="Times New Roman"/>
          <w:b/>
          <w:szCs w:val="24"/>
          <w:lang w:val="es-CL"/>
        </w:rPr>
      </w:pPr>
      <w:r w:rsidRPr="00C031B1">
        <w:rPr>
          <w:rFonts w:ascii="Times New Roman" w:hAnsi="Times New Roman" w:cs="Times New Roman"/>
          <w:b/>
          <w:szCs w:val="24"/>
          <w:lang w:val="es-CL"/>
        </w:rPr>
        <w:t>¿Qué medidas proactivas o buenas prácticas puede informar sobre las adoptadas por el Estado para participar en actividades destinadas a fortalecer el acceso de las personas a los recursos para la seguridad alimentaria y su utilización a este respecto?</w:t>
      </w:r>
    </w:p>
    <w:p w14:paraId="70636F69" w14:textId="77777777" w:rsidR="0054187E" w:rsidRPr="00C40D7C" w:rsidRDefault="0054187E" w:rsidP="0054187E">
      <w:pPr>
        <w:pStyle w:val="Prrafodelista"/>
        <w:ind w:left="0"/>
        <w:rPr>
          <w:rFonts w:ascii="Times New Roman" w:hAnsi="Times New Roman" w:cs="Times New Roman"/>
          <w:szCs w:val="24"/>
          <w:lang w:val="es-CL"/>
        </w:rPr>
      </w:pPr>
    </w:p>
    <w:p w14:paraId="5D1090FB" w14:textId="3E955658" w:rsidR="0054187E" w:rsidRPr="00C40D7C" w:rsidRDefault="0054187E" w:rsidP="00C031B1">
      <w:pPr>
        <w:pStyle w:val="Prrafodelista"/>
        <w:ind w:left="0"/>
        <w:jc w:val="both"/>
        <w:rPr>
          <w:lang w:val="es-CL"/>
        </w:rPr>
      </w:pPr>
      <w:r w:rsidRPr="00C40D7C">
        <w:rPr>
          <w:rFonts w:ascii="Times New Roman" w:hAnsi="Times New Roman" w:cs="Times New Roman"/>
          <w:szCs w:val="24"/>
          <w:lang w:val="es-CL"/>
        </w:rPr>
        <w:t xml:space="preserve">Actualmente, una de las buenas prácticas desde el Estado es el impulso de un sistema agroalimentario justo, saludable, sustentable y competitivo. El Grupo Intersectorial de Salud, Alimentación, Medio Ambiente y Competitividad (GISAMAC) busca una </w:t>
      </w:r>
      <w:r w:rsidRPr="00C40D7C">
        <w:rPr>
          <w:rFonts w:ascii="Times New Roman" w:hAnsi="Times New Roman" w:cs="Times New Roman"/>
          <w:b/>
          <w:szCs w:val="24"/>
          <w:lang w:val="es-CL"/>
        </w:rPr>
        <w:t>política pública a favor de un sistema agroalimentario justo, saludable, sustentable y competitivo en el campo mexicano</w:t>
      </w:r>
      <w:r w:rsidRPr="00C40D7C">
        <w:rPr>
          <w:rFonts w:ascii="Times New Roman" w:hAnsi="Times New Roman" w:cs="Times New Roman"/>
          <w:szCs w:val="24"/>
          <w:lang w:val="es-CL"/>
        </w:rPr>
        <w:t xml:space="preserve">. Mediante la articulación y armonización de las políticas públicas, el GISAMAC busca promover una producción suficiente y sustentable de alimentos saludables, priorizando la producción proveniente de los productores de la agricultura familiar, y medianos productores, así como la protección y restauración de los servicios ambientales de los que depende el campo mexicano. </w:t>
      </w:r>
      <w:r w:rsidR="00BE1366">
        <w:rPr>
          <w:rFonts w:ascii="Times New Roman" w:hAnsi="Times New Roman" w:cs="Times New Roman"/>
          <w:szCs w:val="24"/>
          <w:lang w:val="es-CL"/>
        </w:rPr>
        <w:t xml:space="preserve">GISAMAC está desarrollando una estrategia para promover un sistema alimentario justo, saludable y sustentable. Esta estrategia, aunque todavía no ha sido lanzado, contempla la participación de la sociedad civil y contempla salvaguardias contra el conflicto de interés. </w:t>
      </w:r>
    </w:p>
    <w:p w14:paraId="5F96CD64" w14:textId="77777777" w:rsidR="0054187E" w:rsidRPr="00C40D7C" w:rsidRDefault="0054187E" w:rsidP="0054187E">
      <w:pPr>
        <w:pStyle w:val="Prrafodelista"/>
        <w:ind w:left="0"/>
        <w:rPr>
          <w:rFonts w:ascii="Times New Roman" w:hAnsi="Times New Roman" w:cs="Times New Roman"/>
          <w:szCs w:val="24"/>
          <w:lang w:val="es-CL"/>
        </w:rPr>
      </w:pPr>
    </w:p>
    <w:p w14:paraId="375257DC" w14:textId="77777777" w:rsidR="0054187E" w:rsidRPr="00C031B1" w:rsidRDefault="0054187E" w:rsidP="00C031B1">
      <w:pPr>
        <w:pStyle w:val="Prrafodelista"/>
        <w:numPr>
          <w:ilvl w:val="0"/>
          <w:numId w:val="18"/>
        </w:numPr>
        <w:spacing w:after="0" w:line="240" w:lineRule="auto"/>
        <w:ind w:left="0"/>
        <w:jc w:val="both"/>
        <w:rPr>
          <w:rFonts w:ascii="Times New Roman" w:hAnsi="Times New Roman" w:cs="Times New Roman"/>
          <w:b/>
          <w:szCs w:val="24"/>
          <w:lang w:val="es-CL"/>
        </w:rPr>
      </w:pPr>
      <w:r w:rsidRPr="00C031B1">
        <w:rPr>
          <w:rFonts w:ascii="Times New Roman" w:hAnsi="Times New Roman" w:cs="Times New Roman"/>
          <w:b/>
          <w:szCs w:val="24"/>
          <w:lang w:val="es-CL"/>
        </w:rPr>
        <w:t>¿Cuál es el impacto del aburguesamiento, el desarrollo, la tecnología, la actividad industrial y la deforestación en la seguridad alimentaria? Por favor, comparta algunos ejemplos concretos.</w:t>
      </w:r>
    </w:p>
    <w:p w14:paraId="6D01674A" w14:textId="77777777" w:rsidR="0054187E" w:rsidRPr="00C40D7C" w:rsidRDefault="0054187E" w:rsidP="0054187E">
      <w:pPr>
        <w:rPr>
          <w:rFonts w:ascii="Times New Roman" w:hAnsi="Times New Roman" w:cs="Times New Roman"/>
          <w:szCs w:val="24"/>
          <w:lang w:val="es-CL"/>
        </w:rPr>
      </w:pPr>
    </w:p>
    <w:p w14:paraId="69E46FF3" w14:textId="5E0369E3" w:rsidR="0054187E" w:rsidRPr="00C40D7C" w:rsidRDefault="00BE1366" w:rsidP="0054187E">
      <w:pPr>
        <w:pStyle w:val="Prrafodelista"/>
        <w:ind w:left="0"/>
        <w:jc w:val="both"/>
        <w:rPr>
          <w:rFonts w:ascii="Times New Roman" w:hAnsi="Times New Roman" w:cs="Times New Roman"/>
          <w:szCs w:val="24"/>
          <w:lang w:val="es-CL"/>
        </w:rPr>
      </w:pPr>
      <w:r>
        <w:rPr>
          <w:rFonts w:ascii="Times New Roman" w:hAnsi="Times New Roman" w:cs="Times New Roman"/>
          <w:szCs w:val="24"/>
          <w:lang w:val="es-CL"/>
        </w:rPr>
        <w:lastRenderedPageBreak/>
        <w:t xml:space="preserve">La actividad industrial y corporativa ha tenido mucho impacto en la seguridad alimentaria. </w:t>
      </w:r>
      <w:r w:rsidR="0054187E" w:rsidRPr="00C40D7C">
        <w:rPr>
          <w:rFonts w:ascii="Times New Roman" w:hAnsi="Times New Roman" w:cs="Times New Roman"/>
          <w:szCs w:val="24"/>
          <w:lang w:val="es-CL"/>
        </w:rPr>
        <w:t>Desde los determinantes Comerciales de la Salud (DCS), se ha podido analizar como las grandes corporaciones de alimentos, bebidas y agroecología han utilizado las nuevas tecnologías para afianzar el poder corporativo sobre la alimentación y agricultura</w:t>
      </w:r>
      <w:r w:rsidR="00D80014">
        <w:rPr>
          <w:rFonts w:ascii="Times New Roman" w:hAnsi="Times New Roman" w:cs="Times New Roman"/>
          <w:szCs w:val="24"/>
          <w:lang w:val="es-CL"/>
        </w:rPr>
        <w:t>,</w:t>
      </w:r>
      <w:r w:rsidR="0054187E" w:rsidRPr="00C40D7C">
        <w:rPr>
          <w:rFonts w:ascii="Times New Roman" w:hAnsi="Times New Roman" w:cs="Times New Roman"/>
          <w:szCs w:val="24"/>
          <w:lang w:val="es-CL"/>
        </w:rPr>
        <w:t xml:space="preserve"> y de esta forma influir en el comercio local o global e ir incrementando sus beneficios. La globalización ha conllevado a la modificación de estilos de vida y alimentación, donde las dietas tradicionales caracterizadas por consumo de maíz, frijol, granos enteros, frutas y vegetales se han visto afectadas por el desplazamiento de productos ultraprocesados que se caracterizan por elevado contenido en azucares, sodio, grasas saturadas y grasas trans </w:t>
      </w:r>
      <w:r w:rsidR="0054187E" w:rsidRPr="00C40D7C">
        <w:rPr>
          <w:rStyle w:val="Refdenotaalpie"/>
          <w:rFonts w:ascii="Times New Roman" w:hAnsi="Times New Roman" w:cs="Times New Roman"/>
          <w:szCs w:val="24"/>
          <w:lang w:val="es-CL"/>
        </w:rPr>
        <w:footnoteReference w:id="49"/>
      </w:r>
      <w:r w:rsidR="0054187E" w:rsidRPr="00C40D7C">
        <w:rPr>
          <w:rFonts w:ascii="Times New Roman" w:hAnsi="Times New Roman" w:cs="Times New Roman"/>
          <w:szCs w:val="24"/>
          <w:lang w:val="es-CL"/>
        </w:rPr>
        <w:t>.  Esto es conocido como la transición alimentaria y nutricional, y que está relacionada con el establecimiento de acuerdos comerciales internacionales entre naciones. En el caso mexicano, el tratado de libre comercio (TLC) entre México, Estados Unidos y Canadá, ha tenido graves consecuencias en la transición epidemiológica</w:t>
      </w:r>
      <w:r w:rsidR="00D80014">
        <w:rPr>
          <w:rFonts w:ascii="Times New Roman" w:hAnsi="Times New Roman" w:cs="Times New Roman"/>
          <w:szCs w:val="24"/>
          <w:lang w:val="es-CL"/>
        </w:rPr>
        <w:t>. L</w:t>
      </w:r>
      <w:r w:rsidR="0054187E" w:rsidRPr="00C40D7C">
        <w:rPr>
          <w:rFonts w:ascii="Times New Roman" w:hAnsi="Times New Roman" w:cs="Times New Roman"/>
          <w:szCs w:val="24"/>
          <w:lang w:val="es-CL"/>
        </w:rPr>
        <w:t xml:space="preserve">os registros han mostrado como las prevalencias de sobrepeso, obesidad y diabetes han ido en aumento a lo largo de los años y estrechamente asociado al consumo de alimentos industrializados. </w:t>
      </w:r>
    </w:p>
    <w:p w14:paraId="7BA7B708" w14:textId="77777777" w:rsidR="0054187E" w:rsidRPr="00C40D7C" w:rsidRDefault="0054187E" w:rsidP="0054187E">
      <w:pPr>
        <w:pStyle w:val="Prrafodelista"/>
        <w:ind w:left="0"/>
        <w:jc w:val="both"/>
        <w:rPr>
          <w:rFonts w:ascii="Times New Roman" w:hAnsi="Times New Roman" w:cs="Times New Roman"/>
          <w:szCs w:val="24"/>
          <w:lang w:val="es-CL"/>
        </w:rPr>
      </w:pPr>
    </w:p>
    <w:p w14:paraId="6C25B47A" w14:textId="3BCF871D" w:rsidR="0054187E" w:rsidRPr="00C40D7C" w:rsidRDefault="0054187E" w:rsidP="0054187E">
      <w:pPr>
        <w:pStyle w:val="Prrafodelista"/>
        <w:ind w:left="0"/>
        <w:jc w:val="both"/>
        <w:rPr>
          <w:rFonts w:ascii="Times New Roman" w:hAnsi="Times New Roman" w:cs="Times New Roman"/>
          <w:szCs w:val="24"/>
          <w:lang w:val="es-CL"/>
        </w:rPr>
      </w:pPr>
      <w:r w:rsidRPr="00C40D7C">
        <w:rPr>
          <w:rFonts w:ascii="Times New Roman" w:hAnsi="Times New Roman" w:cs="Times New Roman"/>
          <w:szCs w:val="24"/>
          <w:lang w:val="es-CL"/>
        </w:rPr>
        <w:t>Por otra parte, el libre comercio abre las puertas a las grandes corporaciones y deja olvidado y rezagado a pequeños y medianos productores, desplazando la agricultura tradicional por los avances en la modificación genética, uso de fertilizantes y pesticidas</w:t>
      </w:r>
      <w:r w:rsidR="00D80014">
        <w:rPr>
          <w:rFonts w:ascii="Times New Roman" w:hAnsi="Times New Roman" w:cs="Times New Roman"/>
          <w:szCs w:val="24"/>
          <w:lang w:val="es-CL"/>
        </w:rPr>
        <w:t>,</w:t>
      </w:r>
      <w:r w:rsidRPr="00C40D7C">
        <w:rPr>
          <w:rFonts w:ascii="Times New Roman" w:hAnsi="Times New Roman" w:cs="Times New Roman"/>
          <w:szCs w:val="24"/>
          <w:lang w:val="es-CL"/>
        </w:rPr>
        <w:t xml:space="preserve"> el uso de ingredientes en la cocina tradicional como el maíz y frijol se han sustituido por cadenas de comida rápida. En este sentido, la alimentación, la agricultura y el comercio, han tenido que transitar al mundo globalizado y del capitalismo</w:t>
      </w:r>
      <w:r w:rsidR="00D80014">
        <w:rPr>
          <w:rFonts w:ascii="Times New Roman" w:hAnsi="Times New Roman" w:cs="Times New Roman"/>
          <w:szCs w:val="24"/>
          <w:lang w:val="es-CL"/>
        </w:rPr>
        <w:t>.</w:t>
      </w:r>
      <w:r w:rsidRPr="00C40D7C">
        <w:rPr>
          <w:rStyle w:val="Refdenotaalpie"/>
          <w:rFonts w:ascii="Times New Roman" w:hAnsi="Times New Roman" w:cs="Times New Roman"/>
          <w:szCs w:val="24"/>
          <w:lang w:val="es-CL"/>
        </w:rPr>
        <w:footnoteReference w:id="50"/>
      </w:r>
      <w:r w:rsidRPr="00C40D7C">
        <w:rPr>
          <w:rFonts w:ascii="Times New Roman" w:hAnsi="Times New Roman" w:cs="Times New Roman"/>
          <w:szCs w:val="24"/>
          <w:lang w:val="es-CL"/>
        </w:rPr>
        <w:t xml:space="preserve"> Las grandes corporaciones (producción, distribución, comercialización, tecnología, marketing, etc), han diseñado a la cadena alimentaria industrial para tener control más efectivo sobre los productores y el medio ambiente. Sin importar los daños a la salud y su contribución al calentamiento global, las corporaciones han buscado la obtención de ganancias económicas, comerciales y políticas por encima de cualquier daño que puedan producir. La modificación genética, el uso de fertilizantes, pesticidas han tenido un gran impacto en la contaminación de suelo, agua y aire. La digitalización y automatización ha tenido efecto en la pérdida de empleos, con la sustitución de humanos por máquinas que facilitan el trabajo y tiempo de las industrias. </w:t>
      </w:r>
    </w:p>
    <w:p w14:paraId="7D898ED9" w14:textId="77777777" w:rsidR="0054187E" w:rsidRPr="00C40D7C" w:rsidRDefault="0054187E" w:rsidP="0054187E">
      <w:pPr>
        <w:pStyle w:val="Prrafodelista"/>
        <w:ind w:left="0"/>
        <w:jc w:val="both"/>
        <w:rPr>
          <w:rFonts w:ascii="Times New Roman" w:hAnsi="Times New Roman" w:cs="Times New Roman"/>
          <w:szCs w:val="24"/>
          <w:lang w:val="es-CL"/>
        </w:rPr>
      </w:pPr>
    </w:p>
    <w:p w14:paraId="4C5D0354" w14:textId="6328E022" w:rsidR="0054187E" w:rsidRDefault="0054187E" w:rsidP="0054187E">
      <w:pPr>
        <w:pStyle w:val="Prrafodelista"/>
        <w:ind w:left="0"/>
        <w:jc w:val="both"/>
        <w:rPr>
          <w:rFonts w:ascii="Times New Roman" w:hAnsi="Times New Roman" w:cs="Times New Roman"/>
          <w:szCs w:val="24"/>
          <w:lang w:val="es-CL"/>
        </w:rPr>
      </w:pPr>
      <w:r w:rsidRPr="00C40D7C">
        <w:rPr>
          <w:rFonts w:ascii="Times New Roman" w:hAnsi="Times New Roman" w:cs="Times New Roman"/>
          <w:szCs w:val="24"/>
          <w:lang w:val="es-CL"/>
        </w:rPr>
        <w:t>Finalmente, en México uno de los principales problemas en la actualidad es el saqueo de agua por parte de corporaciones refresqueras, de ultraprocesados, alcoholeras, entre otras, se ha visto que las concesiones de pozos se han multiplicado para las grandes transnacionales, afectando a comunidades enteras como es el caso de San Cristóbal de las Casas, Chiapas, donde la compañía de refrescos más grande del mundo ha privado del recurso a la población de esa zona</w:t>
      </w:r>
      <w:r w:rsidR="006B40FA">
        <w:rPr>
          <w:rFonts w:ascii="Times New Roman" w:hAnsi="Times New Roman" w:cs="Times New Roman"/>
          <w:szCs w:val="24"/>
          <w:lang w:val="es-CL"/>
        </w:rPr>
        <w:t>.</w:t>
      </w:r>
      <w:r w:rsidRPr="00C40D7C">
        <w:rPr>
          <w:rStyle w:val="Refdenotaalpie"/>
          <w:rFonts w:ascii="Times New Roman" w:hAnsi="Times New Roman" w:cs="Times New Roman"/>
          <w:szCs w:val="24"/>
          <w:lang w:val="es-CL"/>
        </w:rPr>
        <w:footnoteReference w:id="51"/>
      </w:r>
      <w:r w:rsidRPr="00C40D7C">
        <w:rPr>
          <w:rFonts w:ascii="Times New Roman" w:hAnsi="Times New Roman" w:cs="Times New Roman"/>
          <w:szCs w:val="24"/>
          <w:lang w:val="es-CL"/>
        </w:rPr>
        <w:t xml:space="preserve"> La sobre explotación de mantos acuíferos del Valle</w:t>
      </w:r>
      <w:r w:rsidR="00CB1746">
        <w:rPr>
          <w:rFonts w:ascii="Times New Roman" w:hAnsi="Times New Roman" w:cs="Times New Roman"/>
          <w:szCs w:val="24"/>
          <w:lang w:val="es-CL"/>
        </w:rPr>
        <w:t xml:space="preserve"> </w:t>
      </w:r>
      <w:r w:rsidRPr="00C40D7C">
        <w:rPr>
          <w:rFonts w:ascii="Times New Roman" w:hAnsi="Times New Roman" w:cs="Times New Roman"/>
          <w:szCs w:val="24"/>
          <w:lang w:val="es-CL"/>
        </w:rPr>
        <w:t xml:space="preserve">de San Cristóbal por Femsa-Coca-Cola alimenta la epidemia de diabetes en la región Altos de Chiapas, al tiempo </w:t>
      </w:r>
      <w:r w:rsidRPr="00C40D7C">
        <w:rPr>
          <w:rFonts w:ascii="Times New Roman" w:hAnsi="Times New Roman" w:cs="Times New Roman"/>
          <w:szCs w:val="24"/>
          <w:lang w:val="es-CL"/>
        </w:rPr>
        <w:lastRenderedPageBreak/>
        <w:t>de que se agrava la crisis por la contaminación y la escasez de agua disponible para sus habitantes.</w:t>
      </w:r>
    </w:p>
    <w:p w14:paraId="123F9389" w14:textId="77777777" w:rsidR="00BE1366" w:rsidRPr="00C40D7C" w:rsidRDefault="00BE1366" w:rsidP="0054187E">
      <w:pPr>
        <w:pStyle w:val="Prrafodelista"/>
        <w:ind w:left="0"/>
        <w:jc w:val="both"/>
        <w:rPr>
          <w:rFonts w:ascii="Times New Roman" w:hAnsi="Times New Roman" w:cs="Times New Roman"/>
          <w:szCs w:val="24"/>
          <w:lang w:val="es-CL"/>
        </w:rPr>
      </w:pPr>
    </w:p>
    <w:p w14:paraId="275583AF" w14:textId="7AC8D554" w:rsidR="0054187E" w:rsidRPr="00C031B1" w:rsidRDefault="00BE1366" w:rsidP="00C031B1">
      <w:pPr>
        <w:pStyle w:val="Prrafodelista"/>
        <w:numPr>
          <w:ilvl w:val="0"/>
          <w:numId w:val="18"/>
        </w:numPr>
        <w:rPr>
          <w:rFonts w:ascii="Times New Roman" w:hAnsi="Times New Roman" w:cs="Times New Roman"/>
          <w:b/>
          <w:u w:val="single"/>
        </w:rPr>
      </w:pPr>
      <w:r w:rsidRPr="00C031B1">
        <w:rPr>
          <w:rFonts w:ascii="Times New Roman" w:hAnsi="Times New Roman" w:cs="Times New Roman"/>
          <w:b/>
          <w:u w:val="single"/>
        </w:rPr>
        <w:t>No llenamos esta pregunta</w:t>
      </w:r>
    </w:p>
    <w:p w14:paraId="5E5C6E4F" w14:textId="12D77A15" w:rsidR="00D703E8" w:rsidRPr="00C031B1" w:rsidRDefault="00D703E8" w:rsidP="0054187E">
      <w:pPr>
        <w:shd w:val="clear" w:color="auto" w:fill="FFFFFF"/>
        <w:spacing w:before="30" w:after="30" w:line="240" w:lineRule="auto"/>
        <w:ind w:right="850"/>
        <w:jc w:val="both"/>
        <w:rPr>
          <w:rFonts w:asciiTheme="minorHAnsi" w:eastAsia="Times New Roman" w:hAnsiTheme="minorHAnsi" w:cstheme="minorHAnsi"/>
          <w:color w:val="000000"/>
          <w:sz w:val="16"/>
          <w:szCs w:val="16"/>
          <w:lang w:val="es-CL" w:eastAsia="es-MX"/>
        </w:rPr>
      </w:pPr>
    </w:p>
    <w:sectPr w:rsidR="00D703E8" w:rsidRPr="00C031B1" w:rsidSect="0054187E">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D257" w14:textId="77777777" w:rsidR="003069E8" w:rsidRDefault="003069E8" w:rsidP="003E1D81">
      <w:pPr>
        <w:spacing w:after="0" w:line="240" w:lineRule="auto"/>
      </w:pPr>
      <w:r>
        <w:separator/>
      </w:r>
    </w:p>
  </w:endnote>
  <w:endnote w:type="continuationSeparator" w:id="0">
    <w:p w14:paraId="15B0C4CD" w14:textId="77777777" w:rsidR="003069E8" w:rsidRDefault="003069E8" w:rsidP="003E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827345"/>
      <w:docPartObj>
        <w:docPartGallery w:val="Page Numbers (Bottom of Page)"/>
        <w:docPartUnique/>
      </w:docPartObj>
    </w:sdtPr>
    <w:sdtEndPr>
      <w:rPr>
        <w:sz w:val="16"/>
        <w:szCs w:val="16"/>
      </w:rPr>
    </w:sdtEndPr>
    <w:sdtContent>
      <w:p w14:paraId="09D49B9E" w14:textId="70549240" w:rsidR="00C75BA9" w:rsidRPr="003E3AF4" w:rsidRDefault="00C75BA9">
        <w:pPr>
          <w:pStyle w:val="Piedepgina"/>
          <w:jc w:val="right"/>
          <w:rPr>
            <w:sz w:val="16"/>
            <w:szCs w:val="16"/>
          </w:rPr>
        </w:pPr>
        <w:r w:rsidRPr="003E3AF4">
          <w:rPr>
            <w:sz w:val="16"/>
            <w:szCs w:val="16"/>
          </w:rPr>
          <w:fldChar w:fldCharType="begin"/>
        </w:r>
        <w:r w:rsidRPr="003E3AF4">
          <w:rPr>
            <w:sz w:val="16"/>
            <w:szCs w:val="16"/>
          </w:rPr>
          <w:instrText>PAGE   \* MERGEFORMAT</w:instrText>
        </w:r>
        <w:r w:rsidRPr="003E3AF4">
          <w:rPr>
            <w:sz w:val="16"/>
            <w:szCs w:val="16"/>
          </w:rPr>
          <w:fldChar w:fldCharType="separate"/>
        </w:r>
        <w:r w:rsidR="00F7796E" w:rsidRPr="00F7796E">
          <w:rPr>
            <w:noProof/>
            <w:sz w:val="16"/>
            <w:szCs w:val="16"/>
            <w:lang w:val="es-ES"/>
          </w:rPr>
          <w:t>15</w:t>
        </w:r>
        <w:r w:rsidRPr="003E3AF4">
          <w:rPr>
            <w:sz w:val="16"/>
            <w:szCs w:val="16"/>
          </w:rPr>
          <w:fldChar w:fldCharType="end"/>
        </w:r>
      </w:p>
    </w:sdtContent>
  </w:sdt>
  <w:p w14:paraId="3C62BD23" w14:textId="77777777" w:rsidR="00C75BA9" w:rsidRDefault="00C75B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CA730" w14:textId="77777777" w:rsidR="003069E8" w:rsidRDefault="003069E8" w:rsidP="003E1D81">
      <w:pPr>
        <w:spacing w:after="0" w:line="240" w:lineRule="auto"/>
      </w:pPr>
      <w:r>
        <w:separator/>
      </w:r>
    </w:p>
  </w:footnote>
  <w:footnote w:type="continuationSeparator" w:id="0">
    <w:p w14:paraId="0B0CC84A" w14:textId="77777777" w:rsidR="003069E8" w:rsidRDefault="003069E8" w:rsidP="003E1D81">
      <w:pPr>
        <w:spacing w:after="0" w:line="240" w:lineRule="auto"/>
      </w:pPr>
      <w:r>
        <w:continuationSeparator/>
      </w:r>
    </w:p>
  </w:footnote>
  <w:footnote w:id="1">
    <w:p w14:paraId="48D1A2E6" w14:textId="77F993E3" w:rsidR="00C75BA9" w:rsidRPr="00C031B1" w:rsidRDefault="00C75BA9" w:rsidP="00C031B1">
      <w:pPr>
        <w:jc w:val="both"/>
        <w:rPr>
          <w:sz w:val="16"/>
          <w:szCs w:val="16"/>
          <w:lang w:val="fr-BE"/>
        </w:rPr>
      </w:pPr>
      <w:r w:rsidRPr="00C031B1">
        <w:rPr>
          <w:rFonts w:ascii="Times New Roman" w:hAnsi="Times New Roman" w:cs="Times New Roman"/>
          <w:sz w:val="16"/>
          <w:szCs w:val="16"/>
          <w:vertAlign w:val="superscript"/>
        </w:rPr>
        <w:t>1</w:t>
      </w:r>
      <w:r w:rsidRPr="00C031B1">
        <w:rPr>
          <w:rFonts w:ascii="Times New Roman" w:hAnsi="Times New Roman" w:cs="Times New Roman"/>
          <w:sz w:val="16"/>
          <w:szCs w:val="16"/>
        </w:rPr>
        <w:t xml:space="preserve">Pelcastre-Villafuerte BE, Meneses-Navarro S, Sánchez-Domínguez M, Meléndez-Navarro D, Freyermuth-Enciso G. Condiciones de salud y uso de servicios en pueblos indígenas de México. Salud Publica Mex [Internet]. 24 de noviembre de 2020 [citado 23 de marzo de 2023];62(6, Nov-Dic):810-9. </w:t>
      </w:r>
      <w:r w:rsidRPr="00C031B1">
        <w:rPr>
          <w:rFonts w:ascii="Times New Roman" w:hAnsi="Times New Roman" w:cs="Times New Roman"/>
          <w:sz w:val="16"/>
          <w:szCs w:val="16"/>
          <w:lang w:val="fr-BE"/>
        </w:rPr>
        <w:t>Disponible en: https://www.saludpublica.mx/index.php/spm/article/view/11861</w:t>
      </w:r>
    </w:p>
  </w:footnote>
  <w:footnote w:id="2">
    <w:p w14:paraId="78111EF5" w14:textId="328D1DC6" w:rsidR="00C75BA9" w:rsidRPr="00C031B1" w:rsidRDefault="00C75BA9" w:rsidP="00526C68">
      <w:pPr>
        <w:pStyle w:val="Textonotapie"/>
        <w:rPr>
          <w:rFonts w:ascii="Times New Roman" w:hAnsi="Times New Roman" w:cs="Times New Roman"/>
          <w:sz w:val="16"/>
          <w:szCs w:val="16"/>
        </w:rPr>
      </w:pPr>
      <w:r w:rsidRPr="00C031B1">
        <w:rPr>
          <w:rFonts w:ascii="Times New Roman" w:hAnsi="Times New Roman" w:cs="Times New Roman"/>
          <w:sz w:val="16"/>
          <w:szCs w:val="16"/>
          <w:vertAlign w:val="superscript"/>
        </w:rPr>
        <w:t>2</w:t>
      </w:r>
      <w:r w:rsidRPr="00C031B1">
        <w:rPr>
          <w:rFonts w:ascii="Times New Roman" w:hAnsi="Times New Roman" w:cs="Times New Roman"/>
          <w:sz w:val="16"/>
          <w:szCs w:val="16"/>
        </w:rPr>
        <w:t xml:space="preserve"> </w:t>
      </w:r>
      <w:r w:rsidRPr="000E7D74">
        <w:rPr>
          <w:rFonts w:ascii="Times New Roman" w:hAnsi="Times New Roman" w:cs="Times New Roman"/>
          <w:sz w:val="16"/>
          <w:szCs w:val="16"/>
        </w:rPr>
        <w:t xml:space="preserve">Alyshia Gàlvez. </w:t>
      </w:r>
      <w:r w:rsidRPr="00C031B1">
        <w:rPr>
          <w:rFonts w:ascii="Times New Roman" w:hAnsi="Times New Roman" w:cs="Times New Roman"/>
          <w:sz w:val="16"/>
          <w:szCs w:val="16"/>
        </w:rPr>
        <w:t xml:space="preserve">Comer con el TLC: </w:t>
      </w:r>
      <w:r w:rsidRPr="000E7D74">
        <w:rPr>
          <w:rFonts w:ascii="Times New Roman" w:hAnsi="Times New Roman" w:cs="Times New Roman"/>
          <w:sz w:val="16"/>
          <w:szCs w:val="16"/>
        </w:rPr>
        <w:t xml:space="preserve">Comercio, políticas alimentarias y la destrucción de </w:t>
      </w:r>
      <w:r w:rsidR="00F7796E" w:rsidRPr="000E7D74">
        <w:rPr>
          <w:rFonts w:ascii="Times New Roman" w:hAnsi="Times New Roman" w:cs="Times New Roman"/>
          <w:sz w:val="16"/>
          <w:szCs w:val="16"/>
        </w:rPr>
        <w:t>México</w:t>
      </w:r>
      <w:r w:rsidRPr="000E7D74">
        <w:rPr>
          <w:rFonts w:ascii="Times New Roman" w:hAnsi="Times New Roman" w:cs="Times New Roman"/>
          <w:sz w:val="16"/>
          <w:szCs w:val="16"/>
        </w:rPr>
        <w:t xml:space="preserve">, 2022. </w:t>
      </w:r>
    </w:p>
    <w:p w14:paraId="3A0EE146" w14:textId="3B7E51B3" w:rsidR="00C75BA9" w:rsidRPr="00C031B1" w:rsidRDefault="00C75BA9" w:rsidP="00526C68">
      <w:pPr>
        <w:pStyle w:val="Textonotapie"/>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0E7D74">
        <w:rPr>
          <w:rFonts w:ascii="Times New Roman" w:hAnsi="Times New Roman" w:cs="Times New Roman"/>
          <w:sz w:val="16"/>
          <w:szCs w:val="16"/>
          <w:lang w:val="en-US"/>
        </w:rPr>
        <w:t>Clark SE, Hawkes C, Murphy SME, Hansen-Kuhn KA, Wallinga D. Exporting obesity: US farm and trade policy and the transformation of the Mexican consumer food environment. Int J Occup Environ Health. 2012;18(1):53-64. https://doi.org/10.1179/1077352512Z.0000000007</w:t>
      </w:r>
    </w:p>
  </w:footnote>
  <w:footnote w:id="3">
    <w:p w14:paraId="0772508F" w14:textId="3F63A6DD" w:rsidR="00C75BA9" w:rsidRPr="00C031B1" w:rsidRDefault="00C75BA9">
      <w:pPr>
        <w:pStyle w:val="Textonotapie"/>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w:t>
      </w:r>
      <w:r w:rsidRPr="000E7D74">
        <w:rPr>
          <w:rFonts w:ascii="Times New Roman" w:hAnsi="Times New Roman" w:cs="Times New Roman"/>
          <w:sz w:val="16"/>
          <w:szCs w:val="16"/>
          <w:lang w:val="en-US"/>
        </w:rPr>
        <w:t xml:space="preserve">Barlow P, McKee M, Basu S, Stuckler D. Impact of the North American Free Trade Agreement on highfructose corn syrup supply in Canada: a natural experiment using synthetic control methods. </w:t>
      </w:r>
      <w:r w:rsidRPr="000E7D74">
        <w:rPr>
          <w:rFonts w:ascii="Times New Roman" w:hAnsi="Times New Roman" w:cs="Times New Roman"/>
          <w:sz w:val="16"/>
          <w:szCs w:val="16"/>
        </w:rPr>
        <w:t>Can Med Assoc J. 2017;189(26):E881-7. https://doi.org/10.1503/ cmaj.161152</w:t>
      </w:r>
    </w:p>
  </w:footnote>
  <w:footnote w:id="4">
    <w:p w14:paraId="1C1172BE" w14:textId="29387619" w:rsidR="00E7094E" w:rsidRPr="00C031B1" w:rsidRDefault="00E7094E" w:rsidP="00C031B1">
      <w:pPr>
        <w:spacing w:after="0" w:line="240" w:lineRule="auto"/>
        <w:jc w:val="both"/>
        <w:rPr>
          <w:rFonts w:ascii="Times New Roman" w:hAnsi="Times New Roman" w:cs="Times New Roman"/>
          <w:sz w:val="16"/>
          <w:szCs w:val="16"/>
          <w:lang w:val="es-CL"/>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CL"/>
        </w:rPr>
        <w:t>Informe de evolución histórica de la situación nutricional de la población y los programas de alimentación, nutrición y abasto en México. Ciudad de México: Consejo Nacional de Evaluación de la Política de Desarrollo Social, 2010.</w:t>
      </w:r>
    </w:p>
  </w:footnote>
  <w:footnote w:id="5">
    <w:p w14:paraId="5847E920" w14:textId="20C784A9" w:rsidR="00E7094E" w:rsidRPr="00C031B1" w:rsidRDefault="00E7094E">
      <w:pPr>
        <w:pStyle w:val="Textonotapie"/>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5D55A2">
        <w:rPr>
          <w:rFonts w:ascii="Times New Roman" w:hAnsi="Times New Roman" w:cs="Times New Roman"/>
          <w:sz w:val="16"/>
          <w:szCs w:val="16"/>
          <w:lang w:val="es-CL"/>
        </w:rPr>
        <w:t>Consejo Nacional de Evaluación de la Política de Desarrollo Social. Coneval informa la evolución de la pobreza 2010- 2016. Comunicado de prensa No. 09. Coneval, 2017.</w:t>
      </w:r>
    </w:p>
  </w:footnote>
  <w:footnote w:id="6">
    <w:p w14:paraId="6404A238" w14:textId="77777777" w:rsidR="00C75BA9" w:rsidRPr="00C031B1" w:rsidRDefault="00C75BA9" w:rsidP="00F70A3E">
      <w:pPr>
        <w:pStyle w:val="Textonotapie"/>
        <w:jc w:val="both"/>
        <w:rPr>
          <w:rFonts w:ascii="Times New Roman" w:hAnsi="Times New Roman" w:cs="Times New Roman"/>
          <w:sz w:val="16"/>
          <w:szCs w:val="16"/>
          <w:lang w:val="es-E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ES"/>
        </w:rPr>
        <w:t>Establecido en la Modificación a la NOM-051</w:t>
      </w:r>
      <w:r w:rsidRPr="00C031B1">
        <w:rPr>
          <w:rFonts w:ascii="Times New Roman" w:hAnsi="Times New Roman" w:cs="Times New Roman"/>
          <w:sz w:val="16"/>
          <w:szCs w:val="16"/>
        </w:rPr>
        <w:t xml:space="preserve">-SCFI/SSA1-2010, publicada el 27 de marzo de 2020 en el Diario Oficial de la Federación. </w:t>
      </w:r>
      <w:hyperlink r:id="rId1" w:history="1">
        <w:r w:rsidRPr="00C031B1">
          <w:rPr>
            <w:rStyle w:val="Hipervnculo"/>
            <w:rFonts w:ascii="Times New Roman" w:hAnsi="Times New Roman" w:cs="Times New Roman"/>
            <w:sz w:val="16"/>
            <w:szCs w:val="16"/>
          </w:rPr>
          <w:t>https://www.dof.gob.mx/2020/SEECO/NOM_051.pdf</w:t>
        </w:r>
      </w:hyperlink>
      <w:r w:rsidRPr="00C031B1">
        <w:rPr>
          <w:rFonts w:ascii="Times New Roman" w:hAnsi="Times New Roman" w:cs="Times New Roman"/>
          <w:sz w:val="16"/>
          <w:szCs w:val="16"/>
        </w:rPr>
        <w:t xml:space="preserve"> </w:t>
      </w:r>
    </w:p>
  </w:footnote>
  <w:footnote w:id="7">
    <w:p w14:paraId="2A6A5C93" w14:textId="3BA905A5" w:rsidR="00C75BA9" w:rsidRPr="00C031B1" w:rsidRDefault="00C75BA9">
      <w:pPr>
        <w:pStyle w:val="Textonotapie"/>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hyperlink r:id="rId2" w:history="1">
        <w:r w:rsidRPr="00C031B1">
          <w:rPr>
            <w:rStyle w:val="Hipervnculo"/>
            <w:rFonts w:ascii="Times New Roman" w:hAnsi="Times New Roman" w:cs="Times New Roman"/>
            <w:sz w:val="16"/>
            <w:szCs w:val="16"/>
          </w:rPr>
          <w:t>https://www.dof.gob.mx/nota_detalle.php?codigo=5663776&amp;fecha=08/09/2022#gsc.tab=0</w:t>
        </w:r>
      </w:hyperlink>
      <w:r w:rsidRPr="00C031B1">
        <w:rPr>
          <w:rFonts w:ascii="Times New Roman" w:hAnsi="Times New Roman" w:cs="Times New Roman"/>
          <w:sz w:val="16"/>
          <w:szCs w:val="16"/>
        </w:rPr>
        <w:t xml:space="preserve"> </w:t>
      </w:r>
    </w:p>
  </w:footnote>
  <w:footnote w:id="8">
    <w:p w14:paraId="40797A65" w14:textId="77777777" w:rsidR="00C75BA9" w:rsidRPr="00C031B1" w:rsidRDefault="00C75BA9" w:rsidP="00F70A3E">
      <w:pPr>
        <w:pStyle w:val="Textonotapie"/>
        <w:jc w:val="both"/>
        <w:rPr>
          <w:rFonts w:ascii="Times New Roman" w:hAnsi="Times New Roman" w:cs="Times New Roman"/>
          <w:sz w:val="16"/>
          <w:szCs w:val="16"/>
          <w:lang w:val="es-E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ES"/>
        </w:rPr>
        <w:t xml:space="preserve">Mediante reformas a leyes sobre derechos de las niñas y niños, salud y educación. En el caso de Oaxaca, se adicionó el artículo 20 BIS a la Ley de los Derechos de Niñas, Niños y Adolescentes del Estado de Oaxaca., publicado en el medio oficial el 4 de septiembre de 2020, </w:t>
      </w:r>
      <w:hyperlink r:id="rId3" w:history="1">
        <w:r w:rsidRPr="00C031B1">
          <w:rPr>
            <w:rStyle w:val="Hipervnculo"/>
            <w:rFonts w:ascii="Times New Roman" w:hAnsi="Times New Roman" w:cs="Times New Roman"/>
            <w:sz w:val="16"/>
            <w:szCs w:val="16"/>
            <w:lang w:val="es-ES"/>
          </w:rPr>
          <w:t>http://www.periodicooficial.oaxaca.gob.mx/listado.php?d=2020-9-4</w:t>
        </w:r>
      </w:hyperlink>
      <w:r w:rsidRPr="00C031B1">
        <w:rPr>
          <w:rFonts w:ascii="Times New Roman" w:hAnsi="Times New Roman" w:cs="Times New Roman"/>
          <w:sz w:val="16"/>
          <w:szCs w:val="16"/>
          <w:lang w:val="es-ES"/>
        </w:rPr>
        <w:t xml:space="preserve"> </w:t>
      </w:r>
    </w:p>
  </w:footnote>
  <w:footnote w:id="9">
    <w:p w14:paraId="0F5949BD" w14:textId="77777777" w:rsidR="00C75BA9" w:rsidRPr="00C031B1" w:rsidRDefault="00C75BA9" w:rsidP="00F70A3E">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El Poder del Consumidor, Organizaciones civiles instamos al secretario de Salud de Oaxaca a cumplir la ley antichatarra, México, 1 de marzo de 2021, </w:t>
      </w:r>
      <w:hyperlink r:id="rId4" w:history="1">
        <w:r w:rsidRPr="00C031B1">
          <w:rPr>
            <w:rStyle w:val="Hipervnculo"/>
            <w:rFonts w:ascii="Times New Roman" w:hAnsi="Times New Roman" w:cs="Times New Roman"/>
            <w:sz w:val="16"/>
            <w:szCs w:val="16"/>
          </w:rPr>
          <w:t>https://elpoderdelconsumidor.org/2021/03/organizaciones-civiles-instan-al-secretario-de-salud-de-oaxaca-a-cumplir-ley-antichatarra/</w:t>
        </w:r>
      </w:hyperlink>
      <w:r w:rsidRPr="00C031B1">
        <w:rPr>
          <w:rFonts w:ascii="Times New Roman" w:hAnsi="Times New Roman" w:cs="Times New Roman"/>
          <w:sz w:val="16"/>
          <w:szCs w:val="16"/>
        </w:rPr>
        <w:t xml:space="preserve"> </w:t>
      </w:r>
    </w:p>
  </w:footnote>
  <w:footnote w:id="10">
    <w:p w14:paraId="6F6E915A" w14:textId="77777777" w:rsidR="00C75BA9" w:rsidRPr="00C031B1" w:rsidRDefault="00C75BA9" w:rsidP="00F70A3E">
      <w:pPr>
        <w:pStyle w:val="Textonotapie"/>
        <w:jc w:val="both"/>
        <w:rPr>
          <w:rFonts w:ascii="Times New Roman" w:hAnsi="Times New Roman" w:cs="Times New Roman"/>
          <w:sz w:val="16"/>
          <w:szCs w:val="16"/>
          <w:lang w:val="es-E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ES"/>
        </w:rPr>
        <w:t xml:space="preserve">Establecido en el artículo 2, fracción I, inciso G de la Ley del Impuesto Especial sobre Producción y Servicios </w:t>
      </w:r>
    </w:p>
  </w:footnote>
  <w:footnote w:id="11">
    <w:p w14:paraId="7FCB24A6" w14:textId="77777777" w:rsidR="00C75BA9" w:rsidRPr="00C031B1" w:rsidRDefault="00C75BA9" w:rsidP="00F70A3E">
      <w:pPr>
        <w:pStyle w:val="Textonotapie"/>
        <w:jc w:val="both"/>
        <w:rPr>
          <w:rFonts w:ascii="Times New Roman" w:hAnsi="Times New Roman" w:cs="Times New Roman"/>
          <w:sz w:val="16"/>
          <w:szCs w:val="16"/>
          <w:lang w:val="es-E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ES"/>
        </w:rPr>
        <w:t xml:space="preserve">Rivera, Dommarco </w:t>
      </w:r>
      <w:r w:rsidRPr="00C031B1">
        <w:rPr>
          <w:rFonts w:ascii="Times New Roman" w:hAnsi="Times New Roman" w:cs="Times New Roman"/>
          <w:i/>
          <w:sz w:val="16"/>
          <w:szCs w:val="16"/>
          <w:lang w:val="es-ES"/>
        </w:rPr>
        <w:t>et al.</w:t>
      </w:r>
      <w:r w:rsidRPr="00C031B1">
        <w:rPr>
          <w:rFonts w:ascii="Times New Roman" w:hAnsi="Times New Roman" w:cs="Times New Roman"/>
          <w:sz w:val="16"/>
          <w:szCs w:val="16"/>
          <w:lang w:val="es-ES"/>
        </w:rPr>
        <w:t xml:space="preserve">, </w:t>
      </w:r>
      <w:r w:rsidRPr="00C031B1">
        <w:rPr>
          <w:rFonts w:ascii="Times New Roman" w:hAnsi="Times New Roman" w:cs="Times New Roman"/>
          <w:sz w:val="16"/>
          <w:szCs w:val="16"/>
        </w:rPr>
        <w:t xml:space="preserve">Consumo de refrescos, bebidas azucaradas y el riesgo de obesidad y diabetes, Instituto Nacional de Salud Pública, México, (s.a.), 6 pp., </w:t>
      </w:r>
      <w:hyperlink r:id="rId5" w:history="1">
        <w:r w:rsidRPr="00C031B1">
          <w:rPr>
            <w:rStyle w:val="Hipervnculo"/>
            <w:rFonts w:ascii="Times New Roman" w:hAnsi="Times New Roman" w:cs="Times New Roman"/>
            <w:sz w:val="16"/>
            <w:szCs w:val="16"/>
          </w:rPr>
          <w:t>https://www.paho.org/mex/index.php?option=com_docman&amp;view=download&amp;category_slug=presentaciones&amp;alias=849-vfinal-consumo-de-bebidas-azucaradas&amp;Itemid=493</w:t>
        </w:r>
      </w:hyperlink>
      <w:r w:rsidRPr="00C031B1">
        <w:rPr>
          <w:rFonts w:ascii="Times New Roman" w:hAnsi="Times New Roman" w:cs="Times New Roman"/>
          <w:sz w:val="16"/>
          <w:szCs w:val="16"/>
        </w:rPr>
        <w:t xml:space="preserve">  y INSP, Investigaciones demuestran los efectos nocivos de las bebidas azucaradas, INSP, México, 2020, </w:t>
      </w:r>
      <w:hyperlink r:id="rId6" w:history="1">
        <w:r w:rsidRPr="00C031B1">
          <w:rPr>
            <w:rStyle w:val="Hipervnculo"/>
            <w:rFonts w:ascii="Times New Roman" w:hAnsi="Times New Roman" w:cs="Times New Roman"/>
            <w:sz w:val="16"/>
            <w:szCs w:val="16"/>
          </w:rPr>
          <w:t>https://www.insp.mx/epppo/blog/3756-efectos-nocivos-bebidas-azucaradas.html</w:t>
        </w:r>
      </w:hyperlink>
      <w:r w:rsidRPr="00C031B1">
        <w:rPr>
          <w:rFonts w:ascii="Times New Roman" w:hAnsi="Times New Roman" w:cs="Times New Roman"/>
          <w:sz w:val="16"/>
          <w:szCs w:val="16"/>
        </w:rPr>
        <w:t xml:space="preserve"> </w:t>
      </w:r>
    </w:p>
  </w:footnote>
  <w:footnote w:id="12">
    <w:p w14:paraId="2F49F75B" w14:textId="77777777" w:rsidR="00C75BA9" w:rsidRPr="00C031B1" w:rsidRDefault="00C75BA9" w:rsidP="00F70A3E">
      <w:pPr>
        <w:pStyle w:val="Textonotapie"/>
        <w:jc w:val="both"/>
        <w:rPr>
          <w:rFonts w:ascii="Times New Roman" w:hAnsi="Times New Roman" w:cs="Times New Roman"/>
          <w:sz w:val="16"/>
          <w:szCs w:val="16"/>
          <w:lang w:val="es-E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ES"/>
        </w:rPr>
        <w:t xml:space="preserve">POP LAB, En un país con sed, sobra el agua para la industria de las bebidas chatarra, México2021, </w:t>
      </w:r>
      <w:hyperlink r:id="rId7" w:history="1">
        <w:r w:rsidRPr="00C031B1">
          <w:rPr>
            <w:rStyle w:val="Hipervnculo"/>
            <w:rFonts w:ascii="Times New Roman" w:hAnsi="Times New Roman" w:cs="Times New Roman"/>
            <w:sz w:val="16"/>
            <w:szCs w:val="16"/>
            <w:lang w:val="es-ES"/>
          </w:rPr>
          <w:t>https://pozoschatarra.poplab.mx/</w:t>
        </w:r>
      </w:hyperlink>
      <w:r w:rsidRPr="00C031B1">
        <w:rPr>
          <w:rFonts w:ascii="Times New Roman" w:hAnsi="Times New Roman" w:cs="Times New Roman"/>
          <w:sz w:val="16"/>
          <w:szCs w:val="16"/>
          <w:lang w:val="es-ES"/>
        </w:rPr>
        <w:t xml:space="preserve"> </w:t>
      </w:r>
    </w:p>
  </w:footnote>
  <w:footnote w:id="13">
    <w:p w14:paraId="43A32C0F" w14:textId="77777777" w:rsidR="00C75BA9" w:rsidRPr="00C031B1" w:rsidRDefault="00C75BA9" w:rsidP="00F70A3E">
      <w:pPr>
        <w:pStyle w:val="Textonotapie"/>
        <w:jc w:val="both"/>
        <w:rPr>
          <w:rFonts w:ascii="Times New Roman" w:hAnsi="Times New Roman" w:cs="Times New Roman"/>
          <w:sz w:val="16"/>
          <w:szCs w:val="16"/>
          <w:lang w:val="es-E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Lira, Ivette, Greenpeace exige a Coca, Nestlé, Pepsi… no usar plásticos y evitar que los mares sean su basurero, Sin Embargo, México, 14 de abril de 2018, </w:t>
      </w:r>
      <w:hyperlink r:id="rId8" w:history="1">
        <w:r w:rsidRPr="00C031B1">
          <w:rPr>
            <w:rStyle w:val="Hipervnculo"/>
            <w:rFonts w:ascii="Times New Roman" w:hAnsi="Times New Roman" w:cs="Times New Roman"/>
            <w:sz w:val="16"/>
            <w:szCs w:val="16"/>
          </w:rPr>
          <w:t>https://www.sinembargo.mx/14-04-2018/3403564</w:t>
        </w:r>
      </w:hyperlink>
      <w:r w:rsidRPr="00C031B1">
        <w:rPr>
          <w:rFonts w:ascii="Times New Roman" w:hAnsi="Times New Roman" w:cs="Times New Roman"/>
          <w:sz w:val="16"/>
          <w:szCs w:val="16"/>
        </w:rPr>
        <w:t xml:space="preserve"> </w:t>
      </w:r>
    </w:p>
  </w:footnote>
  <w:footnote w:id="14">
    <w:p w14:paraId="65DE18A8" w14:textId="77777777" w:rsidR="00C75BA9" w:rsidRPr="00C031B1" w:rsidRDefault="00C75BA9" w:rsidP="00F70A3E">
      <w:pPr>
        <w:pStyle w:val="Textonotapie"/>
        <w:jc w:val="both"/>
        <w:rPr>
          <w:rFonts w:ascii="Times New Roman" w:hAnsi="Times New Roman" w:cs="Times New Roman"/>
          <w:sz w:val="16"/>
          <w:szCs w:val="16"/>
          <w:lang w:val="es-E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ES"/>
        </w:rPr>
        <w:t xml:space="preserve">OMS/OPS, Los Impuestos a los Refrescos y a las Bebidas Azucaradas como Medida de Salud Pública, (s.d.), </w:t>
      </w:r>
      <w:hyperlink r:id="rId9" w:anchor=":~:text=1.,a%20refrescos%20y%20bebidas%20azucaradas" w:history="1">
        <w:r w:rsidRPr="00C031B1">
          <w:rPr>
            <w:rStyle w:val="Hipervnculo"/>
            <w:rFonts w:ascii="Times New Roman" w:hAnsi="Times New Roman" w:cs="Times New Roman"/>
            <w:sz w:val="16"/>
            <w:szCs w:val="16"/>
            <w:lang w:val="es-ES"/>
          </w:rPr>
          <w:t>https://www.paho.org/mex/index.php?option=com_content&amp;view=article&amp;id=627:los-impuestos-refrescos-bebidas-azucaradas-medida-salud-publica&amp;Itemid=499#:~:text=1.,a%20refrescos%20y%20bebidas%20azucaradas</w:t>
        </w:r>
      </w:hyperlink>
      <w:r w:rsidRPr="00C031B1">
        <w:rPr>
          <w:rFonts w:ascii="Times New Roman" w:hAnsi="Times New Roman" w:cs="Times New Roman"/>
          <w:sz w:val="16"/>
          <w:szCs w:val="16"/>
          <w:lang w:val="es-ES"/>
        </w:rPr>
        <w:t xml:space="preserve">. </w:t>
      </w:r>
    </w:p>
  </w:footnote>
  <w:footnote w:id="15">
    <w:p w14:paraId="11E1E957" w14:textId="77777777" w:rsidR="00BE1366" w:rsidRPr="00BE0A19" w:rsidRDefault="00BE1366" w:rsidP="00BE1366">
      <w:pPr>
        <w:pStyle w:val="Textonotapie"/>
        <w:rPr>
          <w:rFonts w:ascii="Times New Roman" w:hAnsi="Times New Roman" w:cs="Times New Roman"/>
          <w:sz w:val="14"/>
          <w:szCs w:val="14"/>
        </w:rPr>
      </w:pPr>
      <w:r w:rsidRPr="00DC46AB">
        <w:rPr>
          <w:rStyle w:val="Refdenotaalpie"/>
          <w:rFonts w:ascii="Times New Roman" w:hAnsi="Times New Roman" w:cs="Times New Roman"/>
          <w:sz w:val="16"/>
          <w:szCs w:val="16"/>
        </w:rPr>
        <w:footnoteRef/>
      </w:r>
      <w:r w:rsidRPr="00DC46AB">
        <w:rPr>
          <w:rFonts w:ascii="Times New Roman" w:hAnsi="Times New Roman" w:cs="Times New Roman"/>
          <w:sz w:val="16"/>
          <w:szCs w:val="16"/>
        </w:rPr>
        <w:t xml:space="preserve"> Organización de las Naciones Unidas para la Alimentación y la Agricultura. Alimentación y nutrición escolar, disponible en </w:t>
      </w:r>
      <w:hyperlink r:id="rId10" w:history="1">
        <w:r w:rsidRPr="00DC46AB">
          <w:rPr>
            <w:rStyle w:val="Hipervnculo"/>
            <w:rFonts w:ascii="Times New Roman" w:hAnsi="Times New Roman" w:cs="Times New Roman"/>
            <w:sz w:val="16"/>
            <w:szCs w:val="16"/>
          </w:rPr>
          <w:t>https://www.fao.org/school-food/areas-work/food-environment/es/,consultado</w:t>
        </w:r>
      </w:hyperlink>
      <w:r w:rsidRPr="00DC46AB">
        <w:rPr>
          <w:rFonts w:ascii="Times New Roman" w:hAnsi="Times New Roman" w:cs="Times New Roman"/>
          <w:sz w:val="16"/>
          <w:szCs w:val="16"/>
        </w:rPr>
        <w:t xml:space="preserve"> el 23 de marzo 2023.</w:t>
      </w:r>
    </w:p>
  </w:footnote>
  <w:footnote w:id="16">
    <w:p w14:paraId="6C765463" w14:textId="77777777" w:rsidR="000E1266" w:rsidRPr="00F2554C" w:rsidRDefault="000E1266" w:rsidP="000E1266">
      <w:pPr>
        <w:pStyle w:val="Textonotapie"/>
        <w:jc w:val="both"/>
        <w:rPr>
          <w:rFonts w:ascii="Times New Roman" w:hAnsi="Times New Roman" w:cs="Times New Roman"/>
          <w:sz w:val="16"/>
          <w:szCs w:val="16"/>
          <w:lang w:val="es-ES"/>
        </w:rPr>
      </w:pPr>
      <w:r w:rsidRPr="00F2554C">
        <w:rPr>
          <w:rStyle w:val="Refdenotaalpie"/>
          <w:rFonts w:ascii="Times New Roman" w:hAnsi="Times New Roman" w:cs="Times New Roman"/>
          <w:sz w:val="16"/>
          <w:szCs w:val="16"/>
        </w:rPr>
        <w:footnoteRef/>
      </w:r>
      <w:r w:rsidRPr="00F2554C">
        <w:rPr>
          <w:rFonts w:ascii="Times New Roman" w:hAnsi="Times New Roman" w:cs="Times New Roman"/>
          <w:sz w:val="16"/>
          <w:szCs w:val="16"/>
        </w:rPr>
        <w:t xml:space="preserve"> </w:t>
      </w:r>
      <w:hyperlink r:id="rId11" w:history="1">
        <w:r w:rsidRPr="00F2554C">
          <w:rPr>
            <w:rStyle w:val="Hipervnculo"/>
            <w:rFonts w:ascii="Times New Roman" w:hAnsi="Times New Roman" w:cs="Times New Roman"/>
            <w:sz w:val="16"/>
            <w:szCs w:val="16"/>
          </w:rPr>
          <w:t>https://dof.gob.mx/nota_detalle.php?codigo=5679405&amp;fecha=13/02/2023#gsc.tab=0</w:t>
        </w:r>
      </w:hyperlink>
      <w:r w:rsidRPr="00F2554C">
        <w:rPr>
          <w:rFonts w:ascii="Times New Roman" w:hAnsi="Times New Roman" w:cs="Times New Roman"/>
          <w:sz w:val="16"/>
          <w:szCs w:val="16"/>
        </w:rPr>
        <w:t xml:space="preserve"> </w:t>
      </w:r>
    </w:p>
  </w:footnote>
  <w:footnote w:id="17">
    <w:p w14:paraId="12903994" w14:textId="77777777" w:rsidR="000E1266" w:rsidRPr="00F2554C" w:rsidRDefault="000E1266" w:rsidP="000E1266">
      <w:pPr>
        <w:pStyle w:val="Textonotapie"/>
        <w:jc w:val="both"/>
        <w:rPr>
          <w:rFonts w:ascii="Times New Roman" w:hAnsi="Times New Roman" w:cs="Times New Roman"/>
          <w:sz w:val="16"/>
          <w:szCs w:val="16"/>
          <w:lang w:val="es-ES"/>
        </w:rPr>
      </w:pPr>
      <w:r w:rsidRPr="00F2554C">
        <w:rPr>
          <w:rStyle w:val="Refdenotaalpie"/>
          <w:rFonts w:ascii="Times New Roman" w:hAnsi="Times New Roman" w:cs="Times New Roman"/>
          <w:sz w:val="16"/>
          <w:szCs w:val="16"/>
        </w:rPr>
        <w:footnoteRef/>
      </w:r>
      <w:r w:rsidRPr="00F2554C">
        <w:rPr>
          <w:rFonts w:ascii="Times New Roman" w:hAnsi="Times New Roman" w:cs="Times New Roman"/>
          <w:sz w:val="16"/>
          <w:szCs w:val="16"/>
        </w:rPr>
        <w:t xml:space="preserve"> CONACYT, El Conacyt define reducción de cotas de importación de glifosato para 2021, México, 4 de abril de 2021, </w:t>
      </w:r>
      <w:hyperlink r:id="rId12" w:history="1">
        <w:r w:rsidRPr="00F2554C">
          <w:rPr>
            <w:rStyle w:val="Hipervnculo"/>
            <w:rFonts w:ascii="Times New Roman" w:hAnsi="Times New Roman" w:cs="Times New Roman"/>
            <w:sz w:val="16"/>
            <w:szCs w:val="16"/>
          </w:rPr>
          <w:t>https://www.conacyt.mx/Comunicados-202.html</w:t>
        </w:r>
      </w:hyperlink>
      <w:r w:rsidRPr="00F2554C">
        <w:rPr>
          <w:rFonts w:ascii="Times New Roman" w:hAnsi="Times New Roman" w:cs="Times New Roman"/>
          <w:sz w:val="16"/>
          <w:szCs w:val="16"/>
        </w:rPr>
        <w:t xml:space="preserve"> </w:t>
      </w:r>
    </w:p>
  </w:footnote>
  <w:footnote w:id="18">
    <w:p w14:paraId="1464E3BD" w14:textId="77777777" w:rsidR="00C75BA9" w:rsidRPr="00C031B1" w:rsidRDefault="00C75BA9" w:rsidP="00F70A3E">
      <w:pPr>
        <w:pStyle w:val="Textonotapie"/>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Ley Federal para el Fomento y Protección del Maíz Nativo: </w:t>
      </w:r>
      <w:hyperlink r:id="rId13" w:anchor=":~:text=%22EL%20CONGRESO%20GENERAL%20DE%20LOS,Art%C3%ADculo%20%C3%9Anico.&amp;text=Se%20reconoce%20a%20la%20producci%C3%B3n,Nativo%2C%20como%20manifestaci%C3%B3n%20cultural%20nacional" w:history="1">
        <w:r w:rsidRPr="00C031B1">
          <w:rPr>
            <w:rStyle w:val="Hipervnculo"/>
            <w:rFonts w:ascii="Times New Roman" w:hAnsi="Times New Roman" w:cs="Times New Roman"/>
            <w:sz w:val="16"/>
            <w:szCs w:val="16"/>
          </w:rPr>
          <w:t>http://dof.gob.mx/nota_detalle.php?codigo=5591534&amp;fecha=13/04/2020#:~:text=%22EL%20CONGRESO%20GENERAL%20DE%20LOS,Art%C3%ADculo%20%C3%9Anico.&amp;text=Se%20reconoce%20a%20la%20producci%C3%B3n,Nativo%2C%20como%20manifestaci%C3%B3n%20cultural%20nacional</w:t>
        </w:r>
      </w:hyperlink>
      <w:r w:rsidRPr="00C031B1">
        <w:rPr>
          <w:rFonts w:ascii="Times New Roman" w:hAnsi="Times New Roman" w:cs="Times New Roman"/>
          <w:sz w:val="16"/>
          <w:szCs w:val="16"/>
        </w:rPr>
        <w:t xml:space="preserve"> </w:t>
      </w:r>
    </w:p>
  </w:footnote>
  <w:footnote w:id="19">
    <w:p w14:paraId="76FA7FD8" w14:textId="77777777" w:rsidR="00D24F57" w:rsidRPr="00DC46AB" w:rsidRDefault="00D24F57">
      <w:pPr>
        <w:pStyle w:val="Textonotapie"/>
        <w:tabs>
          <w:tab w:val="left" w:pos="851"/>
        </w:tabs>
        <w:jc w:val="both"/>
        <w:rPr>
          <w:rFonts w:ascii="Times New Roman" w:hAnsi="Times New Roman" w:cs="Times New Roman"/>
          <w:sz w:val="16"/>
          <w:szCs w:val="16"/>
          <w:lang w:val="en-US"/>
        </w:rPr>
      </w:pPr>
      <w:r w:rsidRPr="00DC46AB">
        <w:rPr>
          <w:rStyle w:val="Refdenotaalpie"/>
          <w:rFonts w:ascii="Times New Roman" w:hAnsi="Times New Roman" w:cs="Times New Roman"/>
          <w:sz w:val="16"/>
          <w:szCs w:val="16"/>
        </w:rPr>
        <w:footnoteRef/>
      </w:r>
      <w:r w:rsidRPr="00DC46AB">
        <w:rPr>
          <w:rFonts w:ascii="Times New Roman" w:hAnsi="Times New Roman" w:cs="Times New Roman"/>
          <w:sz w:val="16"/>
          <w:szCs w:val="16"/>
          <w:lang w:val="en-US"/>
        </w:rPr>
        <w:t xml:space="preserve"> </w:t>
      </w:r>
      <w:r w:rsidRPr="00DC46AB">
        <w:rPr>
          <w:rFonts w:ascii="Times New Roman" w:hAnsi="Times New Roman" w:cs="Times New Roman"/>
          <w:color w:val="212121"/>
          <w:sz w:val="16"/>
          <w:szCs w:val="16"/>
          <w:shd w:val="clear" w:color="auto" w:fill="FFFFFF"/>
          <w:lang w:val="en-US"/>
        </w:rPr>
        <w:t>Cruz-Casarrubias C, Tolentino-Mayo L, Nieto C, Théodore FL, Monterrubio-Flores E. Use of advertising strategies to target children in sugar-sweetened beverages packaging in Mexico and the nutritional quality of those beverages. Pediatr Obes. 2021 Feb;16(2):e12710. doi: 10.1111/ijpo.12710. Epub 2020 Aug 11. PMID: 32783401.</w:t>
      </w:r>
    </w:p>
  </w:footnote>
  <w:footnote w:id="20">
    <w:p w14:paraId="030770BE" w14:textId="77777777" w:rsidR="00D24F57" w:rsidRPr="00C031B1" w:rsidRDefault="00D24F57" w:rsidP="00C031B1">
      <w:pPr>
        <w:pStyle w:val="Textonotapie"/>
        <w:tabs>
          <w:tab w:val="left" w:pos="851"/>
        </w:tabs>
        <w:jc w:val="both"/>
        <w:rPr>
          <w:rFonts w:ascii="Times New Roman" w:hAnsi="Times New Roman" w:cs="Times New Roman"/>
          <w:sz w:val="16"/>
          <w:szCs w:val="16"/>
        </w:rPr>
      </w:pPr>
      <w:r w:rsidRPr="00DC46AB">
        <w:rPr>
          <w:rStyle w:val="Refdenotaalpie"/>
          <w:rFonts w:ascii="Times New Roman" w:hAnsi="Times New Roman" w:cs="Times New Roman"/>
          <w:sz w:val="16"/>
          <w:szCs w:val="16"/>
        </w:rPr>
        <w:footnoteRef/>
      </w:r>
      <w:r w:rsidRPr="00DC46AB">
        <w:rPr>
          <w:rFonts w:ascii="Times New Roman" w:hAnsi="Times New Roman" w:cs="Times New Roman"/>
          <w:sz w:val="16"/>
          <w:szCs w:val="16"/>
          <w:lang w:val="en-US"/>
        </w:rPr>
        <w:t xml:space="preserve"> Jáuregui A, Vargas-Meza J, Nieto C, Contreras-Manzano A, Alejandro NZ, Tolentino-Mayo L, Hall MG, Barquera S. Impact of front-of-pack nutrition labels on consumer purchasing intentions: a randomized experiment in low- and middle-income Mexican adults. </w:t>
      </w:r>
      <w:r w:rsidRPr="00C031B1">
        <w:rPr>
          <w:rFonts w:ascii="Times New Roman" w:hAnsi="Times New Roman" w:cs="Times New Roman"/>
          <w:sz w:val="16"/>
          <w:szCs w:val="16"/>
        </w:rPr>
        <w:t>BMC Public Health. 2020 Apr 6;20(1):463. doi: 10.1186/s12889-020-08549-0. PMID: 32252716; PMCID: PMC7137298.</w:t>
      </w:r>
    </w:p>
  </w:footnote>
  <w:footnote w:id="21">
    <w:p w14:paraId="16EE2495" w14:textId="4D8D0E65" w:rsidR="00D24F57" w:rsidRPr="00D24F57" w:rsidRDefault="00D24F57" w:rsidP="00C031B1">
      <w:pPr>
        <w:jc w:val="both"/>
        <w:rPr>
          <w:rFonts w:ascii="Times New Roman" w:hAnsi="Times New Roman" w:cs="Times New Roman"/>
          <w:sz w:val="16"/>
          <w:szCs w:val="16"/>
          <w:lang w:val="es-CL"/>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w:t>
      </w:r>
      <w:r w:rsidRPr="00C031B1">
        <w:rPr>
          <w:rFonts w:ascii="Times New Roman" w:hAnsi="Times New Roman" w:cs="Times New Roman"/>
          <w:sz w:val="16"/>
          <w:szCs w:val="16"/>
          <w:lang w:val="es-CL"/>
        </w:rPr>
        <w:t xml:space="preserve">Resultados preliminares presentados por Dra. Alejandra Contreras Manzano durante la conferencia de prensa: “Resultados del etiquetado de advertencia demuestran que funciona”. Noviembre 2022. Alianza por la Salud Alimentaria. Disponible en: </w:t>
      </w:r>
      <w:hyperlink r:id="rId14" w:history="1">
        <w:r w:rsidRPr="00C031B1">
          <w:rPr>
            <w:rFonts w:ascii="Times New Roman" w:hAnsi="Times New Roman" w:cs="Times New Roman"/>
            <w:sz w:val="16"/>
            <w:szCs w:val="16"/>
            <w:lang w:val="es-CL"/>
          </w:rPr>
          <w:t>https://elpoderdelconsumidor.org/2022/11/el-etiquetado-de-advertencia-contribuye-a-proteger-la-salud-retirarlo-es-un-atentado-en-contra-de-la-poblacion-mexicana/</w:t>
        </w:r>
      </w:hyperlink>
      <w:r w:rsidRPr="00D24F57">
        <w:rPr>
          <w:rFonts w:ascii="Times New Roman" w:hAnsi="Times New Roman" w:cs="Times New Roman"/>
          <w:sz w:val="16"/>
          <w:szCs w:val="16"/>
          <w:lang w:val="es-CL"/>
        </w:rPr>
        <w:t xml:space="preserve">  </w:t>
      </w:r>
    </w:p>
    <w:p w14:paraId="16846C75" w14:textId="3CAB7436" w:rsidR="00D24F57" w:rsidRPr="00C031B1" w:rsidRDefault="00D24F57" w:rsidP="00C031B1">
      <w:pPr>
        <w:jc w:val="both"/>
        <w:rPr>
          <w:rFonts w:ascii="Times New Roman" w:hAnsi="Times New Roman" w:cs="Times New Roman"/>
          <w:sz w:val="16"/>
          <w:szCs w:val="16"/>
          <w:lang w:val="es-CL"/>
        </w:rPr>
      </w:pPr>
      <w:hyperlink r:id="rId15" w:history="1">
        <w:r w:rsidRPr="00D24F57">
          <w:rPr>
            <w:rFonts w:ascii="Times New Roman" w:hAnsi="Times New Roman" w:cs="Times New Roman"/>
            <w:sz w:val="16"/>
            <w:szCs w:val="16"/>
            <w:lang w:val="es-CL"/>
          </w:rPr>
          <w:t>https://elpoderdelconsumidor.org/wp-content/uploads/2022/11/p-2211-etiquetado-funciona-aunque-corporaciones-lo-combaten-alejandra-contreras-insp.pdf</w:t>
        </w:r>
      </w:hyperlink>
      <w:r w:rsidRPr="00D24F57">
        <w:rPr>
          <w:rFonts w:ascii="Times New Roman" w:hAnsi="Times New Roman" w:cs="Times New Roman"/>
          <w:sz w:val="16"/>
          <w:szCs w:val="16"/>
          <w:lang w:val="es-CL"/>
        </w:rPr>
        <w:t xml:space="preserve"> </w:t>
      </w:r>
    </w:p>
  </w:footnote>
  <w:footnote w:id="22">
    <w:p w14:paraId="619588DB" w14:textId="0323D021" w:rsidR="00D24F57" w:rsidRPr="00C031B1" w:rsidRDefault="00D24F57" w:rsidP="00C031B1">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ibid</w:t>
      </w:r>
    </w:p>
  </w:footnote>
  <w:footnote w:id="23">
    <w:p w14:paraId="58FF2418" w14:textId="5475CDE6" w:rsidR="00D24F57" w:rsidRPr="00C031B1" w:rsidRDefault="00D24F57" w:rsidP="00C031B1">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ibid</w:t>
      </w:r>
    </w:p>
  </w:footnote>
  <w:footnote w:id="24">
    <w:p w14:paraId="4E5140E9" w14:textId="196FEA46" w:rsidR="00D24F57" w:rsidRPr="00C031B1" w:rsidRDefault="00D24F57" w:rsidP="00C031B1">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ibid</w:t>
      </w:r>
    </w:p>
  </w:footnote>
  <w:footnote w:id="25">
    <w:p w14:paraId="0B3B7948" w14:textId="77777777" w:rsidR="00C75BA9" w:rsidRPr="00C031B1" w:rsidRDefault="00C75BA9" w:rsidP="008A46DA">
      <w:pPr>
        <w:pStyle w:val="Textonotapie"/>
        <w:rPr>
          <w:rFonts w:ascii="Times New Roman" w:hAnsi="Times New Roman" w:cs="Times New Roman"/>
          <w:sz w:val="16"/>
          <w:szCs w:val="16"/>
          <w:lang w:val="en-US"/>
        </w:rPr>
      </w:pPr>
      <w:r w:rsidRPr="00C031B1">
        <w:rPr>
          <w:rFonts w:ascii="Times New Roman" w:hAnsi="Times New Roman" w:cs="Times New Roman"/>
          <w:noProof/>
          <w:sz w:val="16"/>
          <w:szCs w:val="16"/>
          <w:lang w:eastAsia="es-MX"/>
        </w:rPr>
        <w:footnoteRef/>
      </w:r>
      <w:r w:rsidRPr="00C031B1">
        <w:rPr>
          <w:rFonts w:ascii="Times New Roman" w:hAnsi="Times New Roman" w:cs="Times New Roman"/>
          <w:noProof/>
          <w:sz w:val="16"/>
          <w:szCs w:val="16"/>
          <w:lang w:val="en-US" w:eastAsia="es-MX"/>
        </w:rPr>
        <w:t xml:space="preserve"> Sagaceta-Mejía J, Tolentino-Mayo L, Cruz-Casarrubias C, Nieto C, Barquera S (2022) Understanding of front of package nutrition labels: Guideline daily amount and warning labels in Mexicans with non-communicable diseases. PLOS ONE 17(6): e0269892. </w:t>
      </w:r>
      <w:hyperlink r:id="rId16" w:history="1">
        <w:r w:rsidRPr="00C031B1">
          <w:rPr>
            <w:rFonts w:ascii="Times New Roman" w:hAnsi="Times New Roman" w:cs="Times New Roman"/>
            <w:noProof/>
            <w:sz w:val="16"/>
            <w:szCs w:val="16"/>
            <w:lang w:val="en-US" w:eastAsia="es-MX"/>
          </w:rPr>
          <w:t>https://doi.org/10.1371/journal.pone.0269892</w:t>
        </w:r>
      </w:hyperlink>
    </w:p>
  </w:footnote>
  <w:footnote w:id="26">
    <w:p w14:paraId="67B1FE23" w14:textId="77777777" w:rsidR="00C75BA9" w:rsidRPr="00C031B1" w:rsidRDefault="00C75BA9" w:rsidP="008A46DA">
      <w:pPr>
        <w:shd w:val="clear" w:color="auto" w:fill="FFFFFF"/>
        <w:spacing w:after="0" w:line="240" w:lineRule="auto"/>
        <w:textAlignment w:val="baseline"/>
        <w:rPr>
          <w:rFonts w:ascii="Times New Roman" w:hAnsi="Times New Roman" w:cs="Times New Roman"/>
          <w:noProof/>
          <w:sz w:val="16"/>
          <w:szCs w:val="16"/>
          <w:lang w:val="en-US" w:eastAsia="es-MX"/>
        </w:rPr>
      </w:pPr>
      <w:r w:rsidRPr="00C031B1">
        <w:rPr>
          <w:rFonts w:ascii="Times New Roman" w:hAnsi="Times New Roman" w:cs="Times New Roman"/>
          <w:noProof/>
          <w:sz w:val="16"/>
          <w:szCs w:val="16"/>
          <w:lang w:eastAsia="es-MX"/>
        </w:rPr>
        <w:footnoteRef/>
      </w:r>
      <w:r w:rsidRPr="00C031B1">
        <w:rPr>
          <w:rFonts w:ascii="Times New Roman" w:hAnsi="Times New Roman" w:cs="Times New Roman"/>
          <w:noProof/>
          <w:sz w:val="16"/>
          <w:szCs w:val="16"/>
          <w:lang w:eastAsia="es-MX"/>
        </w:rPr>
        <w:t xml:space="preserve"> Vargas-Meza, J., Jáuregui, A., Contreras-Manzano, A. et al. </w:t>
      </w:r>
      <w:r w:rsidRPr="00C031B1">
        <w:rPr>
          <w:rFonts w:ascii="Times New Roman" w:hAnsi="Times New Roman" w:cs="Times New Roman"/>
          <w:noProof/>
          <w:sz w:val="16"/>
          <w:szCs w:val="16"/>
          <w:lang w:val="en-US" w:eastAsia="es-MX"/>
        </w:rPr>
        <w:t xml:space="preserve">Acceptability and understanding of front-of-pack nutritional labels: an experimental study in Mexican consumers. BMC Public Health 19, 1751 (2019). </w:t>
      </w:r>
      <w:hyperlink r:id="rId17" w:history="1">
        <w:r w:rsidRPr="00C031B1">
          <w:rPr>
            <w:rFonts w:ascii="Times New Roman" w:hAnsi="Times New Roman" w:cs="Times New Roman"/>
            <w:noProof/>
            <w:sz w:val="16"/>
            <w:szCs w:val="16"/>
            <w:lang w:val="en-US" w:eastAsia="es-MX"/>
          </w:rPr>
          <w:t>https://doi.org/10.1186/s12889-019-8108-z</w:t>
        </w:r>
      </w:hyperlink>
    </w:p>
  </w:footnote>
  <w:footnote w:id="27">
    <w:p w14:paraId="326F6A18" w14:textId="77777777" w:rsidR="00C75BA9" w:rsidRPr="00C031B1" w:rsidRDefault="00C75BA9" w:rsidP="008A46DA">
      <w:pPr>
        <w:shd w:val="clear" w:color="auto" w:fill="FFFFFF"/>
        <w:spacing w:after="0" w:line="240" w:lineRule="auto"/>
        <w:textAlignment w:val="baseline"/>
        <w:rPr>
          <w:rFonts w:ascii="Times New Roman" w:hAnsi="Times New Roman" w:cs="Times New Roman"/>
          <w:noProof/>
          <w:sz w:val="16"/>
          <w:szCs w:val="16"/>
          <w:lang w:val="en-US" w:eastAsia="es-MX"/>
        </w:rPr>
      </w:pPr>
      <w:r w:rsidRPr="00C031B1">
        <w:rPr>
          <w:rFonts w:ascii="Times New Roman" w:hAnsi="Times New Roman" w:cs="Times New Roman"/>
          <w:noProof/>
          <w:sz w:val="16"/>
          <w:szCs w:val="16"/>
          <w:lang w:eastAsia="es-MX"/>
        </w:rPr>
        <w:footnoteRef/>
      </w:r>
      <w:r w:rsidRPr="00C031B1">
        <w:rPr>
          <w:rFonts w:ascii="Times New Roman" w:hAnsi="Times New Roman" w:cs="Times New Roman"/>
          <w:noProof/>
          <w:sz w:val="16"/>
          <w:szCs w:val="16"/>
          <w:lang w:val="en-US" w:eastAsia="es-MX"/>
        </w:rPr>
        <w:t xml:space="preserve"> Jáuregui A, Vargas-Meza J, Nieto C, et al. Impact of front-of-pack nutrition labels on consumer purchasing intentions: a randomized experiment in low- and middle-income Mexican adults. BMC Public Health. 2020 Apr 6;20(1):463. doi: 10.1186/s12889-020-08549-0. PMID: 32252716; PMCID: PMC7137298.</w:t>
      </w:r>
    </w:p>
  </w:footnote>
  <w:footnote w:id="28">
    <w:p w14:paraId="2DC9B43C" w14:textId="4DDC5C8B" w:rsidR="000245CD" w:rsidRPr="00C031B1" w:rsidRDefault="000245CD" w:rsidP="00C031B1">
      <w:pPr>
        <w:spacing w:line="240" w:lineRule="auto"/>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w:t>
      </w:r>
      <w:r w:rsidRPr="00B300A8">
        <w:rPr>
          <w:rFonts w:ascii="Times New Roman" w:hAnsi="Times New Roman" w:cs="Times New Roman"/>
          <w:sz w:val="16"/>
          <w:szCs w:val="16"/>
          <w:lang w:val="pt-BR"/>
        </w:rPr>
        <w:t xml:space="preserve">Salgado Hernández JC, Ng SW, Colchero MA. </w:t>
      </w:r>
      <w:r w:rsidRPr="00B300A8">
        <w:rPr>
          <w:rFonts w:ascii="Times New Roman" w:hAnsi="Times New Roman" w:cs="Times New Roman"/>
          <w:sz w:val="16"/>
          <w:szCs w:val="16"/>
          <w:lang w:val="en-US"/>
        </w:rPr>
        <w:t>Changes in sugar-sweetened beverage purchases across the price distribution after the implementation of a tax in Mexico: a before-and-after analysis. BMC Public Health. 2023 Feb 7;23(1):265. doi: 10.1186/s12889-023-15041-y. PMID: 36750794; PMCID: PMC9906831.</w:t>
      </w:r>
    </w:p>
  </w:footnote>
  <w:footnote w:id="29">
    <w:p w14:paraId="5006FBFA" w14:textId="23B2E293" w:rsidR="00B300A8" w:rsidRPr="00C031B1" w:rsidRDefault="00B300A8" w:rsidP="00C031B1">
      <w:pPr>
        <w:pStyle w:val="Textonotapie"/>
        <w:jc w:val="both"/>
        <w:rPr>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Colchero MA, Rivera-Dommarco J, Popkin BM, Ng SW. In Mexico, Evidence Of Sustained Consumer Response Two Years After Implementing A Sugar-Sweetened Beverage Tax. Health Affairs. 2017 Mar 1;36(3):564–71.</w:t>
      </w:r>
    </w:p>
  </w:footnote>
  <w:footnote w:id="30">
    <w:p w14:paraId="292D190F" w14:textId="77777777" w:rsidR="00C75BA9" w:rsidRPr="00C031B1" w:rsidRDefault="00C75BA9" w:rsidP="008A46DA">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Global Health Advocacy Incubator (GHAI) - Campaign for Tobacco-Free Kids (CTFK). Behind the labels: Big Food’s War on Healthy Food Policies. </w:t>
      </w:r>
      <w:r w:rsidRPr="00C031B1">
        <w:rPr>
          <w:rFonts w:ascii="Times New Roman" w:hAnsi="Times New Roman" w:cs="Times New Roman"/>
          <w:sz w:val="16"/>
          <w:szCs w:val="16"/>
        </w:rPr>
        <w:t>November, 2021. Available at: https://UPPindustrywatch.net</w:t>
      </w:r>
    </w:p>
  </w:footnote>
  <w:footnote w:id="31">
    <w:p w14:paraId="4227242D" w14:textId="77777777" w:rsidR="00C75BA9" w:rsidRPr="00C031B1" w:rsidRDefault="00C75BA9" w:rsidP="008A46DA">
      <w:pPr>
        <w:pStyle w:val="Textonotapie"/>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Freudenberg N. Corporaciones, conflicto de interés y defensa de la salud pública, 2017. https://elpoderdelconsumidor.org/wp-content/uploads/2017/10/003-resumen-nicholas-2017-final.pdf</w:t>
      </w:r>
    </w:p>
  </w:footnote>
  <w:footnote w:id="32">
    <w:p w14:paraId="72A39B83" w14:textId="77777777" w:rsidR="00C75BA9" w:rsidRPr="00C031B1" w:rsidRDefault="00C75BA9" w:rsidP="008A46DA">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Gómez E. Coca-Cola’s political and policy influence in Mexico: understanding the role of institutions, interests and divided society. Health Policy and Planning, 34, 2019, 520–528 doi: 10.1093/heapol/czz063.</w:t>
      </w:r>
    </w:p>
  </w:footnote>
  <w:footnote w:id="33">
    <w:p w14:paraId="0991EBED" w14:textId="77777777" w:rsidR="00C75BA9" w:rsidRPr="00C031B1" w:rsidRDefault="00C75BA9" w:rsidP="008A46DA">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Ojeda E; Torres C; Carriedo A; Mialon M; Parekh N; Orozco E. The influence of the sugar-sweetened beverage industry on public policies in Mexico. . Int J Public Health. 2020;65(7):1037-1044. doi:10.1007/s00038020-01414-2</w:t>
      </w:r>
    </w:p>
  </w:footnote>
  <w:footnote w:id="34">
    <w:p w14:paraId="3E1495F9" w14:textId="77777777" w:rsidR="00C75BA9" w:rsidRPr="00C031B1" w:rsidRDefault="00C75BA9" w:rsidP="008A46DA">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Crosbie E; Carriedo A; Schmidt L. Hollow threats: transnational food and beverage companies’ use of international agreements to fight front-of-pack nutrition labeling in Mexico and beyond. d. Int J Health Policy Manag. </w:t>
      </w:r>
      <w:r w:rsidRPr="00C031B1">
        <w:rPr>
          <w:rFonts w:ascii="Times New Roman" w:hAnsi="Times New Roman" w:cs="Times New Roman"/>
          <w:sz w:val="16"/>
          <w:szCs w:val="16"/>
        </w:rPr>
        <w:t>2022;11(6):722–725.  doi:10.34172/ijhpm.2020.146.</w:t>
      </w:r>
    </w:p>
  </w:footnote>
  <w:footnote w:id="35">
    <w:p w14:paraId="36CA581C" w14:textId="77777777" w:rsidR="00C75BA9" w:rsidRPr="00C031B1" w:rsidRDefault="00C75BA9" w:rsidP="008A46DA">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Pedroza- Tobias A, Crosbie E, Mialon M, et al. </w:t>
      </w:r>
      <w:r w:rsidRPr="00C031B1">
        <w:rPr>
          <w:rFonts w:ascii="Times New Roman" w:hAnsi="Times New Roman" w:cs="Times New Roman"/>
          <w:sz w:val="16"/>
          <w:szCs w:val="16"/>
          <w:lang w:val="en-US"/>
        </w:rPr>
        <w:t>Food and beverage industry interference in science and policy: efforts to block soda tax implementation in Mexico and prevent international diffusion. BMJ Global Health 2021;6:e005662. doi:10.1136/ bmjgh-2021-005662.</w:t>
      </w:r>
    </w:p>
  </w:footnote>
  <w:footnote w:id="36">
    <w:p w14:paraId="0BA2FE2C" w14:textId="77777777" w:rsidR="00C75BA9" w:rsidRPr="00C031B1" w:rsidRDefault="00C75BA9" w:rsidP="008A46DA">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Durán R; Asmitia E; Rivera J; Barquera S; Tolentino-Mayo L. Effect of stakeholders’ perspectives on the Front-ofPack Labeling regulation in Mexico. : https://doi.org/10.21203/rs.3.rs-1527580/v1</w:t>
      </w:r>
    </w:p>
  </w:footnote>
  <w:footnote w:id="37">
    <w:p w14:paraId="06FD82DA" w14:textId="77777777" w:rsidR="00C75BA9" w:rsidRPr="00197FBC" w:rsidRDefault="00C75BA9" w:rsidP="008A46DA">
      <w:pPr>
        <w:pStyle w:val="Textonotapie"/>
        <w:jc w:val="both"/>
        <w:rPr>
          <w:sz w:val="18"/>
          <w:szCs w:val="18"/>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Corporación Colectivo de Abogados José Alvear Restrepo. La interferencia de la industria es nociva para la salud. Estrategias corporativas contra el etiquetado frontal de advertencia: un estudio comparado de Chile, Perú, México y Uruguay. Disponible en: </w:t>
      </w:r>
      <w:hyperlink r:id="rId18" w:history="1">
        <w:r w:rsidRPr="00C031B1">
          <w:rPr>
            <w:rStyle w:val="Hipervnculo"/>
            <w:rFonts w:ascii="Times New Roman" w:hAnsi="Times New Roman" w:cs="Times New Roman"/>
            <w:sz w:val="16"/>
            <w:szCs w:val="16"/>
          </w:rPr>
          <w:t>https://colectivodeabogados.org/interferenciaetiquetado/imagenes/Interferencia_industria_etiquetado_latam_25sept.pdf</w:t>
        </w:r>
      </w:hyperlink>
      <w:r w:rsidRPr="00C031B1">
        <w:rPr>
          <w:rFonts w:ascii="Times New Roman" w:hAnsi="Times New Roman" w:cs="Times New Roman"/>
          <w:sz w:val="16"/>
          <w:szCs w:val="16"/>
        </w:rPr>
        <w:t xml:space="preserve"> </w:t>
      </w:r>
    </w:p>
  </w:footnote>
  <w:footnote w:id="38">
    <w:p w14:paraId="6B3276AB" w14:textId="7EB3A313" w:rsidR="000E7D74" w:rsidRPr="00C031B1" w:rsidRDefault="000E7D74" w:rsidP="00C031B1">
      <w:pPr>
        <w:pStyle w:val="Textonotapie"/>
        <w:jc w:val="both"/>
        <w:rPr>
          <w:rFonts w:ascii="Times New Roman" w:hAnsi="Times New Roman" w:cs="Times New Roman"/>
          <w:sz w:val="16"/>
          <w:szCs w:val="16"/>
          <w:lang w:val="en-US"/>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UK Health Forum (2018). Public health and the food and drinks industry: The governance and ethics of interaction. Lessons from research, policy and practice. London: UKHF.</w:t>
      </w:r>
    </w:p>
  </w:footnote>
  <w:footnote w:id="39">
    <w:p w14:paraId="4691A6C2" w14:textId="77777777" w:rsidR="00C75BA9" w:rsidRPr="00C031B1" w:rsidRDefault="00C75BA9">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Regulación de 2014 que implementa el etiquetado GDA disponible en </w:t>
      </w:r>
      <w:hyperlink r:id="rId19" w:anchor="gsc.tab=0" w:history="1">
        <w:r w:rsidRPr="00C031B1">
          <w:rPr>
            <w:rStyle w:val="Hipervnculo"/>
            <w:rFonts w:ascii="Times New Roman" w:hAnsi="Times New Roman" w:cs="Times New Roman"/>
            <w:sz w:val="16"/>
            <w:szCs w:val="16"/>
          </w:rPr>
          <w:t>http://www.dof.gob.mx/nota_detalle.php?codigo=5356328&amp;fecha=14/08/2014#gsc.tab=0</w:t>
        </w:r>
      </w:hyperlink>
      <w:r w:rsidRPr="00C031B1">
        <w:rPr>
          <w:rFonts w:ascii="Times New Roman" w:hAnsi="Times New Roman" w:cs="Times New Roman"/>
          <w:sz w:val="16"/>
          <w:szCs w:val="16"/>
        </w:rPr>
        <w:t xml:space="preserve"> </w:t>
      </w:r>
    </w:p>
  </w:footnote>
  <w:footnote w:id="40">
    <w:p w14:paraId="5CB737D7" w14:textId="77777777" w:rsidR="00C75BA9" w:rsidRPr="00C031B1" w:rsidRDefault="00C75BA9">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Stern </w:t>
      </w:r>
      <w:r w:rsidRPr="00C031B1">
        <w:rPr>
          <w:rFonts w:ascii="Times New Roman" w:hAnsi="Times New Roman" w:cs="Times New Roman"/>
          <w:i/>
          <w:sz w:val="16"/>
          <w:szCs w:val="16"/>
        </w:rPr>
        <w:t>et al</w:t>
      </w:r>
      <w:r w:rsidRPr="00C031B1">
        <w:rPr>
          <w:rFonts w:ascii="Times New Roman" w:hAnsi="Times New Roman" w:cs="Times New Roman"/>
          <w:sz w:val="16"/>
          <w:szCs w:val="16"/>
        </w:rPr>
        <w:t xml:space="preserve">., Revisión del etiquetado frontal: análisis de las Guías Diarias de Alimentación (GDA) y su comprensión por estudiantes de nutrición en México, México, INSP, 2011, 136 pp. , Disponible en </w:t>
      </w:r>
      <w:hyperlink r:id="rId20" w:history="1">
        <w:r w:rsidRPr="00C031B1">
          <w:rPr>
            <w:rStyle w:val="Hipervnculo"/>
            <w:rFonts w:ascii="Times New Roman" w:hAnsi="Times New Roman" w:cs="Times New Roman"/>
            <w:sz w:val="16"/>
            <w:szCs w:val="16"/>
          </w:rPr>
          <w:t>https://elpoderdelconsumidor.org/wp-content/uploads/2015/07/Etiquetado-Evaluaci%C3%B3n-GDA-por-Barquera-y-col.pdf</w:t>
        </w:r>
      </w:hyperlink>
      <w:r w:rsidRPr="00C031B1">
        <w:rPr>
          <w:rFonts w:ascii="Times New Roman" w:hAnsi="Times New Roman" w:cs="Times New Roman"/>
          <w:sz w:val="16"/>
          <w:szCs w:val="16"/>
        </w:rPr>
        <w:t xml:space="preserve"> </w:t>
      </w:r>
    </w:p>
  </w:footnote>
  <w:footnote w:id="41">
    <w:p w14:paraId="7BE62B5D" w14:textId="77777777" w:rsidR="00C75BA9" w:rsidRPr="00C031B1" w:rsidRDefault="00C75BA9">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Dicho procedimiento permite obtener documentos o testimonios de personas o empresas localizadas en los Estados Unidos de América a personas interesadas, cuando esta información es relevante para un procedimiento legal fuera de dicho país. Así, El Poder del Consumidor posee archivos con textos de correos electrónicos con los nombres y datos de varias cuentas institucionales de los funcionarios participantes en dichas comunicaciones indebidas.</w:t>
      </w:r>
    </w:p>
  </w:footnote>
  <w:footnote w:id="42">
    <w:p w14:paraId="481A7D14" w14:textId="77777777" w:rsidR="00C75BA9" w:rsidRPr="00197FBC" w:rsidRDefault="00C75BA9" w:rsidP="008A46DA">
      <w:pPr>
        <w:pStyle w:val="Textonotapie"/>
        <w:rPr>
          <w:sz w:val="18"/>
          <w:szCs w:val="18"/>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Se anexan al presente escrito.</w:t>
      </w:r>
    </w:p>
  </w:footnote>
  <w:footnote w:id="43">
    <w:p w14:paraId="3B3D507E" w14:textId="77777777" w:rsidR="00C75BA9" w:rsidRPr="00C031B1" w:rsidRDefault="00C75BA9" w:rsidP="008A46DA">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POP LAB, Denuncian a Patricio Caso y Mikel Arriola por presunto conflicto de interés, México, 2022, disponiblen e </w:t>
      </w:r>
      <w:hyperlink r:id="rId21" w:history="1">
        <w:r w:rsidRPr="00C031B1">
          <w:rPr>
            <w:rStyle w:val="Hipervnculo"/>
            <w:rFonts w:ascii="Times New Roman" w:hAnsi="Times New Roman" w:cs="Times New Roman"/>
            <w:sz w:val="16"/>
            <w:szCs w:val="16"/>
          </w:rPr>
          <w:t>https://poplab.mx/article/DenuncianaPatricioCasoyMikelArriolaporpresuntoconflictodeinteres</w:t>
        </w:r>
      </w:hyperlink>
      <w:r w:rsidRPr="00C031B1">
        <w:rPr>
          <w:rFonts w:ascii="Times New Roman" w:hAnsi="Times New Roman" w:cs="Times New Roman"/>
          <w:sz w:val="16"/>
          <w:szCs w:val="16"/>
        </w:rPr>
        <w:t xml:space="preserve"> </w:t>
      </w:r>
    </w:p>
  </w:footnote>
  <w:footnote w:id="44">
    <w:p w14:paraId="535D90CF" w14:textId="77777777" w:rsidR="00C75BA9" w:rsidRPr="00C031B1" w:rsidRDefault="00C75BA9" w:rsidP="008A46DA">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"Modificación a la Norma Oficial Mexicana NOM-051-SCFI/SSA1-2010, Especificaciones generales de etiquetado para alimentos y bebidas no alcohólicas preenvasados-Información comercial y sanitaria, publicada el 5 de abril de 2010 </w:t>
      </w:r>
      <w:hyperlink r:id="rId22" w:anchor="gsc.tab=0" w:history="1">
        <w:r w:rsidRPr="00C031B1">
          <w:rPr>
            <w:rStyle w:val="Hipervnculo"/>
            <w:rFonts w:ascii="Times New Roman" w:hAnsi="Times New Roman" w:cs="Times New Roman"/>
            <w:sz w:val="16"/>
            <w:szCs w:val="16"/>
          </w:rPr>
          <w:t>https://www.dof.gob.mx/nota_detalle.php?codigo=5590668&amp;fecha=27/03/2020#gsc.tab=0</w:t>
        </w:r>
      </w:hyperlink>
      <w:r w:rsidRPr="00C031B1">
        <w:rPr>
          <w:rFonts w:ascii="Times New Roman" w:hAnsi="Times New Roman" w:cs="Times New Roman"/>
          <w:sz w:val="16"/>
          <w:szCs w:val="16"/>
        </w:rPr>
        <w:t xml:space="preserve"> </w:t>
      </w:r>
    </w:p>
  </w:footnote>
  <w:footnote w:id="45">
    <w:p w14:paraId="47892C44" w14:textId="77777777" w:rsidR="00C75BA9" w:rsidRPr="00C031B1" w:rsidRDefault="00C75BA9" w:rsidP="008A46DA">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Decreto por el que se establecen las acciones que deberán realizar las dependencias y entidades que integran la Administración Pública Federal, en el ámbito de sus competencias, para sustituir gradualmente el uso, adquisición, distribución, promoción e importación de la sustancia química denominada glifosato y de los agroquímicos utilizados en nuestro país que lo contienen como ingrediente activo, por alternativas sostenibles y culturalmente adecuadas, que permitan mantener la producción y resulten seguras para la salud humana, la diversidad biocultural del país y el ambiente,</w:t>
      </w:r>
      <w:hyperlink r:id="rId23" w:anchor="gsc.tab=0" w:history="1">
        <w:r w:rsidRPr="00C031B1">
          <w:rPr>
            <w:rStyle w:val="Hipervnculo"/>
            <w:rFonts w:ascii="Times New Roman" w:hAnsi="Times New Roman" w:cs="Times New Roman"/>
            <w:sz w:val="16"/>
            <w:szCs w:val="16"/>
          </w:rPr>
          <w:t>https://www.dof.gob.mx/nota_detalle.php?codigo=5609365&amp;fecha=31/12/2020#gsc.tab=0</w:t>
        </w:r>
      </w:hyperlink>
      <w:r w:rsidRPr="00C031B1">
        <w:rPr>
          <w:rFonts w:ascii="Times New Roman" w:hAnsi="Times New Roman" w:cs="Times New Roman"/>
          <w:sz w:val="16"/>
          <w:szCs w:val="16"/>
        </w:rPr>
        <w:t xml:space="preserve"> </w:t>
      </w:r>
    </w:p>
  </w:footnote>
  <w:footnote w:id="46">
    <w:p w14:paraId="74740916" w14:textId="77777777" w:rsidR="00C75BA9" w:rsidRPr="00C031B1" w:rsidRDefault="00C75BA9" w:rsidP="008A46DA">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Información conocida por la respuesta a la solicitud de acceso a la información, que se anexa al presente escrito. </w:t>
      </w:r>
    </w:p>
  </w:footnote>
  <w:footnote w:id="47">
    <w:p w14:paraId="228D8FC6" w14:textId="77777777" w:rsidR="00C75BA9" w:rsidRPr="00C031B1" w:rsidRDefault="00C75BA9" w:rsidP="008A46DA">
      <w:pPr>
        <w:pStyle w:val="Textonotapie"/>
        <w:jc w:val="both"/>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Camacho, Zósimo, El plan de los señores del glifosato: 12 millones para echar abajo decreto presidencial, Contralínea, 2021, disponible en  </w:t>
      </w:r>
      <w:hyperlink r:id="rId24" w:history="1">
        <w:r w:rsidRPr="00C031B1">
          <w:rPr>
            <w:rStyle w:val="Hipervnculo"/>
            <w:rFonts w:ascii="Times New Roman" w:hAnsi="Times New Roman" w:cs="Times New Roman"/>
            <w:sz w:val="16"/>
            <w:szCs w:val="16"/>
          </w:rPr>
          <w:t>https://contralinea.com.mx/opinion/el-plan-de-los-senores-del-glifosato-12-millones-para-echar-abajo-decreto-presidencial/</w:t>
        </w:r>
      </w:hyperlink>
      <w:r w:rsidRPr="00C031B1">
        <w:rPr>
          <w:rFonts w:ascii="Times New Roman" w:hAnsi="Times New Roman" w:cs="Times New Roman"/>
          <w:sz w:val="16"/>
          <w:szCs w:val="16"/>
        </w:rPr>
        <w:t xml:space="preserve"> </w:t>
      </w:r>
    </w:p>
  </w:footnote>
  <w:footnote w:id="48">
    <w:p w14:paraId="2BD15F4B" w14:textId="2C5D5077" w:rsidR="00C75BA9" w:rsidRPr="00197FBC" w:rsidRDefault="00C75BA9" w:rsidP="008A46DA">
      <w:pPr>
        <w:pStyle w:val="Textonotapie"/>
        <w:jc w:val="both"/>
        <w:rPr>
          <w:sz w:val="18"/>
          <w:szCs w:val="18"/>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Acuden al amparo 26 empresas contra eliminación de glifosato, disponible en  </w:t>
      </w:r>
      <w:hyperlink r:id="rId25" w:history="1">
        <w:r w:rsidR="00277BCD" w:rsidRPr="00C031B1">
          <w:rPr>
            <w:rStyle w:val="Hipervnculo"/>
            <w:rFonts w:ascii="Times New Roman" w:hAnsi="Times New Roman" w:cs="Times New Roman"/>
            <w:sz w:val="16"/>
            <w:szCs w:val="16"/>
          </w:rPr>
          <w:t>https://www.jornada.com.mx/notas/2021/09/28/sociedad/acuden-al-amparo-26-empresas-contra-eliminacion-de-glifosato/</w:t>
        </w:r>
      </w:hyperlink>
      <w:r w:rsidRPr="00197FBC">
        <w:rPr>
          <w:sz w:val="18"/>
          <w:szCs w:val="18"/>
        </w:rPr>
        <w:t xml:space="preserve"> </w:t>
      </w:r>
    </w:p>
  </w:footnote>
  <w:footnote w:id="49">
    <w:p w14:paraId="48756891" w14:textId="77777777" w:rsidR="00C75BA9" w:rsidRPr="00C031B1" w:rsidRDefault="00C75BA9" w:rsidP="0054187E">
      <w:pPr>
        <w:pStyle w:val="Textonotapie"/>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lang w:val="en-US"/>
        </w:rPr>
        <w:t xml:space="preserve"> Popkin BM. 2002b The shift in stages of the nutrition transition in the developing world differs from past experiences. </w:t>
      </w:r>
      <w:r w:rsidRPr="00C031B1">
        <w:rPr>
          <w:rFonts w:ascii="Times New Roman" w:hAnsi="Times New Roman" w:cs="Times New Roman"/>
          <w:sz w:val="16"/>
          <w:szCs w:val="16"/>
        </w:rPr>
        <w:t>Public Health Nutr. 5:205-214.</w:t>
      </w:r>
    </w:p>
  </w:footnote>
  <w:footnote w:id="50">
    <w:p w14:paraId="5B395AA4" w14:textId="77777777" w:rsidR="00C75BA9" w:rsidRPr="00F451A0" w:rsidRDefault="00C75BA9" w:rsidP="0054187E">
      <w:pPr>
        <w:pStyle w:val="Textonotapie"/>
        <w:jc w:val="both"/>
        <w:rPr>
          <w:rFonts w:ascii="Times New Roman" w:hAnsi="Times New Roman" w:cs="Times New Roman"/>
          <w:sz w:val="14"/>
          <w:szCs w:val="14"/>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Gálvez A. Comer con el TLC, comercio, políticas alimentarias y la destrucción de México. FCE, Editorial Ítaca, 2022 348 pp. : ilus. ; 21 x 14 cm., Colección ECONOMÍA</w:t>
      </w:r>
    </w:p>
  </w:footnote>
  <w:footnote w:id="51">
    <w:p w14:paraId="425728DC" w14:textId="77777777" w:rsidR="00C75BA9" w:rsidRPr="00C031B1" w:rsidRDefault="00C75BA9" w:rsidP="0054187E">
      <w:pPr>
        <w:pStyle w:val="Textonotapie"/>
        <w:rPr>
          <w:rFonts w:ascii="Times New Roman" w:hAnsi="Times New Roman" w:cs="Times New Roman"/>
          <w:sz w:val="16"/>
          <w:szCs w:val="16"/>
        </w:rPr>
      </w:pPr>
      <w:r w:rsidRPr="00C031B1">
        <w:rPr>
          <w:rStyle w:val="Refdenotaalpie"/>
          <w:rFonts w:ascii="Times New Roman" w:hAnsi="Times New Roman" w:cs="Times New Roman"/>
          <w:sz w:val="16"/>
          <w:szCs w:val="16"/>
        </w:rPr>
        <w:footnoteRef/>
      </w:r>
      <w:r w:rsidRPr="00C031B1">
        <w:rPr>
          <w:rFonts w:ascii="Times New Roman" w:hAnsi="Times New Roman" w:cs="Times New Roman"/>
          <w:sz w:val="16"/>
          <w:szCs w:val="16"/>
        </w:rPr>
        <w:t xml:space="preserve"> El Poder del Consumidor. Piden revisar concesiones de agua a embotelladora en San Cristóbal las Casas, garantizar el derecho al agua potable y establecer políticas efectivas para reducir consumo de bebidas azucaradas. Disponible en </w:t>
      </w:r>
      <w:hyperlink r:id="rId26" w:history="1">
        <w:r w:rsidRPr="00C031B1">
          <w:rPr>
            <w:rStyle w:val="Hipervnculo"/>
            <w:rFonts w:ascii="Times New Roman" w:hAnsi="Times New Roman" w:cs="Times New Roman"/>
            <w:sz w:val="16"/>
            <w:szCs w:val="16"/>
          </w:rPr>
          <w:t>https://elpoderdelconsumidor.org/wp-content/uploads/2018/07/b-desabasto-agua-chiapas-diabetes.pdf</w:t>
        </w:r>
      </w:hyperlink>
      <w:r w:rsidRPr="00C031B1">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4F8"/>
    <w:multiLevelType w:val="multilevel"/>
    <w:tmpl w:val="FD2AFC06"/>
    <w:lvl w:ilvl="0">
      <w:start w:val="1"/>
      <w:numFmt w:val="decimal"/>
      <w:lvlText w:val="%1."/>
      <w:lvlJc w:val="left"/>
      <w:pPr>
        <w:tabs>
          <w:tab w:val="num" w:pos="720"/>
        </w:tabs>
        <w:ind w:left="720" w:hanging="360"/>
      </w:pPr>
    </w:lvl>
    <w:lvl w:ilvl="1">
      <w:start w:val="4"/>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03D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B5970"/>
    <w:multiLevelType w:val="multilevel"/>
    <w:tmpl w:val="F9BE7A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rPr>
        <w:rFonts w:hint="default"/>
        <w:b/>
        <w:lang w:val="es-C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lowerRoman"/>
      <w:lvlText w:val="%5."/>
      <w:lvlJc w:val="left"/>
      <w:pPr>
        <w:ind w:left="3600" w:hanging="720"/>
      </w:pPr>
      <w:rPr>
        <w:rFonts w:eastAsiaTheme="minorHAnsi" w:cstheme="minorBidi" w:hint="default"/>
        <w:color w:val="auto"/>
        <w:sz w:val="24"/>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1E24423"/>
    <w:multiLevelType w:val="hybridMultilevel"/>
    <w:tmpl w:val="495E1B68"/>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4" w15:restartNumberingAfterBreak="0">
    <w:nsid w:val="14A406D1"/>
    <w:multiLevelType w:val="multilevel"/>
    <w:tmpl w:val="A16669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lang w:val="es-CL"/>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7B2926"/>
    <w:multiLevelType w:val="multilevel"/>
    <w:tmpl w:val="A16669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lang w:val="es-CL"/>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EDB61EC"/>
    <w:multiLevelType w:val="hybridMultilevel"/>
    <w:tmpl w:val="4F6AFF66"/>
    <w:lvl w:ilvl="0" w:tplc="107A62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446D98"/>
    <w:multiLevelType w:val="multilevel"/>
    <w:tmpl w:val="38489D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7379E"/>
    <w:multiLevelType w:val="hybridMultilevel"/>
    <w:tmpl w:val="E6A622E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8E34AB"/>
    <w:multiLevelType w:val="hybridMultilevel"/>
    <w:tmpl w:val="F3C6B562"/>
    <w:lvl w:ilvl="0" w:tplc="080A0001">
      <w:start w:val="1"/>
      <w:numFmt w:val="bullet"/>
      <w:lvlText w:val=""/>
      <w:lvlJc w:val="left"/>
      <w:pPr>
        <w:ind w:left="1031" w:hanging="360"/>
      </w:pPr>
      <w:rPr>
        <w:rFonts w:ascii="Symbol" w:hAnsi="Symbol" w:hint="default"/>
      </w:rPr>
    </w:lvl>
    <w:lvl w:ilvl="1" w:tplc="080A0003" w:tentative="1">
      <w:start w:val="1"/>
      <w:numFmt w:val="bullet"/>
      <w:lvlText w:val="o"/>
      <w:lvlJc w:val="left"/>
      <w:pPr>
        <w:ind w:left="1751" w:hanging="360"/>
      </w:pPr>
      <w:rPr>
        <w:rFonts w:ascii="Courier New" w:hAnsi="Courier New" w:cs="Courier New" w:hint="default"/>
      </w:rPr>
    </w:lvl>
    <w:lvl w:ilvl="2" w:tplc="080A0005" w:tentative="1">
      <w:start w:val="1"/>
      <w:numFmt w:val="bullet"/>
      <w:lvlText w:val=""/>
      <w:lvlJc w:val="left"/>
      <w:pPr>
        <w:ind w:left="2471" w:hanging="360"/>
      </w:pPr>
      <w:rPr>
        <w:rFonts w:ascii="Wingdings" w:hAnsi="Wingdings" w:hint="default"/>
      </w:rPr>
    </w:lvl>
    <w:lvl w:ilvl="3" w:tplc="080A0001" w:tentative="1">
      <w:start w:val="1"/>
      <w:numFmt w:val="bullet"/>
      <w:lvlText w:val=""/>
      <w:lvlJc w:val="left"/>
      <w:pPr>
        <w:ind w:left="3191" w:hanging="360"/>
      </w:pPr>
      <w:rPr>
        <w:rFonts w:ascii="Symbol" w:hAnsi="Symbol" w:hint="default"/>
      </w:rPr>
    </w:lvl>
    <w:lvl w:ilvl="4" w:tplc="080A0003" w:tentative="1">
      <w:start w:val="1"/>
      <w:numFmt w:val="bullet"/>
      <w:lvlText w:val="o"/>
      <w:lvlJc w:val="left"/>
      <w:pPr>
        <w:ind w:left="3911" w:hanging="360"/>
      </w:pPr>
      <w:rPr>
        <w:rFonts w:ascii="Courier New" w:hAnsi="Courier New" w:cs="Courier New" w:hint="default"/>
      </w:rPr>
    </w:lvl>
    <w:lvl w:ilvl="5" w:tplc="080A0005" w:tentative="1">
      <w:start w:val="1"/>
      <w:numFmt w:val="bullet"/>
      <w:lvlText w:val=""/>
      <w:lvlJc w:val="left"/>
      <w:pPr>
        <w:ind w:left="4631" w:hanging="360"/>
      </w:pPr>
      <w:rPr>
        <w:rFonts w:ascii="Wingdings" w:hAnsi="Wingdings" w:hint="default"/>
      </w:rPr>
    </w:lvl>
    <w:lvl w:ilvl="6" w:tplc="080A0001" w:tentative="1">
      <w:start w:val="1"/>
      <w:numFmt w:val="bullet"/>
      <w:lvlText w:val=""/>
      <w:lvlJc w:val="left"/>
      <w:pPr>
        <w:ind w:left="5351" w:hanging="360"/>
      </w:pPr>
      <w:rPr>
        <w:rFonts w:ascii="Symbol" w:hAnsi="Symbol" w:hint="default"/>
      </w:rPr>
    </w:lvl>
    <w:lvl w:ilvl="7" w:tplc="080A0003" w:tentative="1">
      <w:start w:val="1"/>
      <w:numFmt w:val="bullet"/>
      <w:lvlText w:val="o"/>
      <w:lvlJc w:val="left"/>
      <w:pPr>
        <w:ind w:left="6071" w:hanging="360"/>
      </w:pPr>
      <w:rPr>
        <w:rFonts w:ascii="Courier New" w:hAnsi="Courier New" w:cs="Courier New" w:hint="default"/>
      </w:rPr>
    </w:lvl>
    <w:lvl w:ilvl="8" w:tplc="080A0005" w:tentative="1">
      <w:start w:val="1"/>
      <w:numFmt w:val="bullet"/>
      <w:lvlText w:val=""/>
      <w:lvlJc w:val="left"/>
      <w:pPr>
        <w:ind w:left="6791" w:hanging="360"/>
      </w:pPr>
      <w:rPr>
        <w:rFonts w:ascii="Wingdings" w:hAnsi="Wingdings" w:hint="default"/>
      </w:rPr>
    </w:lvl>
  </w:abstractNum>
  <w:abstractNum w:abstractNumId="10" w15:restartNumberingAfterBreak="0">
    <w:nsid w:val="27082ABB"/>
    <w:multiLevelType w:val="hybridMultilevel"/>
    <w:tmpl w:val="E7564F8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2775740E"/>
    <w:multiLevelType w:val="hybridMultilevel"/>
    <w:tmpl w:val="F6B884C6"/>
    <w:lvl w:ilvl="0" w:tplc="080A000F">
      <w:start w:val="1"/>
      <w:numFmt w:val="decimal"/>
      <w:lvlText w:val="%1."/>
      <w:lvlJc w:val="left"/>
      <w:pPr>
        <w:ind w:left="1031" w:hanging="360"/>
      </w:pPr>
    </w:lvl>
    <w:lvl w:ilvl="1" w:tplc="080A0019" w:tentative="1">
      <w:start w:val="1"/>
      <w:numFmt w:val="lowerLetter"/>
      <w:lvlText w:val="%2."/>
      <w:lvlJc w:val="left"/>
      <w:pPr>
        <w:ind w:left="1751" w:hanging="360"/>
      </w:pPr>
    </w:lvl>
    <w:lvl w:ilvl="2" w:tplc="080A001B" w:tentative="1">
      <w:start w:val="1"/>
      <w:numFmt w:val="lowerRoman"/>
      <w:lvlText w:val="%3."/>
      <w:lvlJc w:val="right"/>
      <w:pPr>
        <w:ind w:left="2471" w:hanging="180"/>
      </w:pPr>
    </w:lvl>
    <w:lvl w:ilvl="3" w:tplc="080A000F" w:tentative="1">
      <w:start w:val="1"/>
      <w:numFmt w:val="decimal"/>
      <w:lvlText w:val="%4."/>
      <w:lvlJc w:val="left"/>
      <w:pPr>
        <w:ind w:left="3191" w:hanging="360"/>
      </w:pPr>
    </w:lvl>
    <w:lvl w:ilvl="4" w:tplc="080A0019" w:tentative="1">
      <w:start w:val="1"/>
      <w:numFmt w:val="lowerLetter"/>
      <w:lvlText w:val="%5."/>
      <w:lvlJc w:val="left"/>
      <w:pPr>
        <w:ind w:left="3911" w:hanging="360"/>
      </w:pPr>
    </w:lvl>
    <w:lvl w:ilvl="5" w:tplc="080A001B" w:tentative="1">
      <w:start w:val="1"/>
      <w:numFmt w:val="lowerRoman"/>
      <w:lvlText w:val="%6."/>
      <w:lvlJc w:val="right"/>
      <w:pPr>
        <w:ind w:left="4631" w:hanging="180"/>
      </w:pPr>
    </w:lvl>
    <w:lvl w:ilvl="6" w:tplc="080A000F" w:tentative="1">
      <w:start w:val="1"/>
      <w:numFmt w:val="decimal"/>
      <w:lvlText w:val="%7."/>
      <w:lvlJc w:val="left"/>
      <w:pPr>
        <w:ind w:left="5351" w:hanging="360"/>
      </w:pPr>
    </w:lvl>
    <w:lvl w:ilvl="7" w:tplc="080A0019" w:tentative="1">
      <w:start w:val="1"/>
      <w:numFmt w:val="lowerLetter"/>
      <w:lvlText w:val="%8."/>
      <w:lvlJc w:val="left"/>
      <w:pPr>
        <w:ind w:left="6071" w:hanging="360"/>
      </w:pPr>
    </w:lvl>
    <w:lvl w:ilvl="8" w:tplc="080A001B" w:tentative="1">
      <w:start w:val="1"/>
      <w:numFmt w:val="lowerRoman"/>
      <w:lvlText w:val="%9."/>
      <w:lvlJc w:val="right"/>
      <w:pPr>
        <w:ind w:left="6791" w:hanging="180"/>
      </w:pPr>
    </w:lvl>
  </w:abstractNum>
  <w:abstractNum w:abstractNumId="12" w15:restartNumberingAfterBreak="0">
    <w:nsid w:val="2F5800B0"/>
    <w:multiLevelType w:val="multilevel"/>
    <w:tmpl w:val="A16669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lang w:val="es-CL"/>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14A17D8"/>
    <w:multiLevelType w:val="hybridMultilevel"/>
    <w:tmpl w:val="32205FD8"/>
    <w:lvl w:ilvl="0" w:tplc="3FE81EA0">
      <w:start w:val="1"/>
      <w:numFmt w:val="bullet"/>
      <w:lvlText w:val="•"/>
      <w:lvlJc w:val="left"/>
      <w:pPr>
        <w:tabs>
          <w:tab w:val="num" w:pos="720"/>
        </w:tabs>
        <w:ind w:left="720" w:hanging="360"/>
      </w:pPr>
      <w:rPr>
        <w:rFonts w:ascii="Arial" w:hAnsi="Arial" w:hint="default"/>
      </w:rPr>
    </w:lvl>
    <w:lvl w:ilvl="1" w:tplc="B16E3D7A">
      <w:start w:val="3"/>
      <w:numFmt w:val="bullet"/>
      <w:lvlText w:val="-"/>
      <w:lvlJc w:val="left"/>
      <w:pPr>
        <w:tabs>
          <w:tab w:val="num" w:pos="1440"/>
        </w:tabs>
        <w:ind w:left="1440" w:hanging="360"/>
      </w:pPr>
      <w:rPr>
        <w:rFonts w:ascii="Calibri" w:eastAsiaTheme="minorHAnsi" w:hAnsi="Calibri" w:cstheme="minorBidi" w:hint="default"/>
      </w:rPr>
    </w:lvl>
    <w:lvl w:ilvl="2" w:tplc="4830BEFC" w:tentative="1">
      <w:start w:val="1"/>
      <w:numFmt w:val="bullet"/>
      <w:lvlText w:val="•"/>
      <w:lvlJc w:val="left"/>
      <w:pPr>
        <w:tabs>
          <w:tab w:val="num" w:pos="2160"/>
        </w:tabs>
        <w:ind w:left="2160" w:hanging="360"/>
      </w:pPr>
      <w:rPr>
        <w:rFonts w:ascii="Arial" w:hAnsi="Arial" w:hint="default"/>
      </w:rPr>
    </w:lvl>
    <w:lvl w:ilvl="3" w:tplc="5B8EB8DA" w:tentative="1">
      <w:start w:val="1"/>
      <w:numFmt w:val="bullet"/>
      <w:lvlText w:val="•"/>
      <w:lvlJc w:val="left"/>
      <w:pPr>
        <w:tabs>
          <w:tab w:val="num" w:pos="2880"/>
        </w:tabs>
        <w:ind w:left="2880" w:hanging="360"/>
      </w:pPr>
      <w:rPr>
        <w:rFonts w:ascii="Arial" w:hAnsi="Arial" w:hint="default"/>
      </w:rPr>
    </w:lvl>
    <w:lvl w:ilvl="4" w:tplc="36C20C18" w:tentative="1">
      <w:start w:val="1"/>
      <w:numFmt w:val="bullet"/>
      <w:lvlText w:val="•"/>
      <w:lvlJc w:val="left"/>
      <w:pPr>
        <w:tabs>
          <w:tab w:val="num" w:pos="3600"/>
        </w:tabs>
        <w:ind w:left="3600" w:hanging="360"/>
      </w:pPr>
      <w:rPr>
        <w:rFonts w:ascii="Arial" w:hAnsi="Arial" w:hint="default"/>
      </w:rPr>
    </w:lvl>
    <w:lvl w:ilvl="5" w:tplc="485C8506" w:tentative="1">
      <w:start w:val="1"/>
      <w:numFmt w:val="bullet"/>
      <w:lvlText w:val="•"/>
      <w:lvlJc w:val="left"/>
      <w:pPr>
        <w:tabs>
          <w:tab w:val="num" w:pos="4320"/>
        </w:tabs>
        <w:ind w:left="4320" w:hanging="360"/>
      </w:pPr>
      <w:rPr>
        <w:rFonts w:ascii="Arial" w:hAnsi="Arial" w:hint="default"/>
      </w:rPr>
    </w:lvl>
    <w:lvl w:ilvl="6" w:tplc="9EDA96C0" w:tentative="1">
      <w:start w:val="1"/>
      <w:numFmt w:val="bullet"/>
      <w:lvlText w:val="•"/>
      <w:lvlJc w:val="left"/>
      <w:pPr>
        <w:tabs>
          <w:tab w:val="num" w:pos="5040"/>
        </w:tabs>
        <w:ind w:left="5040" w:hanging="360"/>
      </w:pPr>
      <w:rPr>
        <w:rFonts w:ascii="Arial" w:hAnsi="Arial" w:hint="default"/>
      </w:rPr>
    </w:lvl>
    <w:lvl w:ilvl="7" w:tplc="DA86CE8A" w:tentative="1">
      <w:start w:val="1"/>
      <w:numFmt w:val="bullet"/>
      <w:lvlText w:val="•"/>
      <w:lvlJc w:val="left"/>
      <w:pPr>
        <w:tabs>
          <w:tab w:val="num" w:pos="5760"/>
        </w:tabs>
        <w:ind w:left="5760" w:hanging="360"/>
      </w:pPr>
      <w:rPr>
        <w:rFonts w:ascii="Arial" w:hAnsi="Arial" w:hint="default"/>
      </w:rPr>
    </w:lvl>
    <w:lvl w:ilvl="8" w:tplc="01C89C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9F33C2"/>
    <w:multiLevelType w:val="multilevel"/>
    <w:tmpl w:val="A16669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lang w:val="es-CL"/>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4670297"/>
    <w:multiLevelType w:val="multilevel"/>
    <w:tmpl w:val="A16669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lang w:val="es-CL"/>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4D5014B"/>
    <w:multiLevelType w:val="multilevel"/>
    <w:tmpl w:val="AA6C99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E730B"/>
    <w:multiLevelType w:val="hybridMultilevel"/>
    <w:tmpl w:val="CD2226E6"/>
    <w:lvl w:ilvl="0" w:tplc="32CADA38">
      <w:start w:val="1"/>
      <w:numFmt w:val="lowerLetter"/>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7767946"/>
    <w:multiLevelType w:val="hybridMultilevel"/>
    <w:tmpl w:val="56BCBD06"/>
    <w:lvl w:ilvl="0" w:tplc="C49AF70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2F4F84"/>
    <w:multiLevelType w:val="hybridMultilevel"/>
    <w:tmpl w:val="5BC02B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A2F2036"/>
    <w:multiLevelType w:val="multilevel"/>
    <w:tmpl w:val="A16669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lang w:val="es-CL"/>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CC1253"/>
    <w:multiLevelType w:val="multilevel"/>
    <w:tmpl w:val="B6BA9978"/>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lang w:val="es-C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lowerRoman"/>
      <w:lvlText w:val="%5."/>
      <w:lvlJc w:val="left"/>
      <w:pPr>
        <w:ind w:left="3600" w:hanging="720"/>
      </w:pPr>
      <w:rPr>
        <w:rFonts w:eastAsiaTheme="minorHAnsi" w:cstheme="minorBidi" w:hint="default"/>
        <w:color w:val="auto"/>
        <w:sz w:val="24"/>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D377E58"/>
    <w:multiLevelType w:val="hybridMultilevel"/>
    <w:tmpl w:val="7C0676B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4D4A44B1"/>
    <w:multiLevelType w:val="multilevel"/>
    <w:tmpl w:val="F9BE7A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rPr>
        <w:rFonts w:hint="default"/>
        <w:b/>
        <w:lang w:val="es-C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lowerRoman"/>
      <w:lvlText w:val="%5."/>
      <w:lvlJc w:val="left"/>
      <w:pPr>
        <w:ind w:left="3600" w:hanging="720"/>
      </w:pPr>
      <w:rPr>
        <w:rFonts w:eastAsiaTheme="minorHAnsi" w:cstheme="minorBidi" w:hint="default"/>
        <w:color w:val="auto"/>
        <w:sz w:val="24"/>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E031520"/>
    <w:multiLevelType w:val="multilevel"/>
    <w:tmpl w:val="3828CC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917E8"/>
    <w:multiLevelType w:val="hybridMultilevel"/>
    <w:tmpl w:val="3BC20A10"/>
    <w:lvl w:ilvl="0" w:tplc="F0F447C2">
      <w:start w:val="15"/>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18240F6"/>
    <w:multiLevelType w:val="multilevel"/>
    <w:tmpl w:val="B07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61D23"/>
    <w:multiLevelType w:val="hybridMultilevel"/>
    <w:tmpl w:val="F0D6F402"/>
    <w:lvl w:ilvl="0" w:tplc="8AA68EA2">
      <w:start w:val="1"/>
      <w:numFmt w:val="lowerLetter"/>
      <w:lvlText w:val="%1)"/>
      <w:lvlJc w:val="left"/>
      <w:pPr>
        <w:ind w:left="720" w:hanging="360"/>
      </w:pPr>
      <w:rPr>
        <w:rFonts w:hint="default"/>
        <w:b/>
        <w:sz w:val="28"/>
        <w:szCs w:val="28"/>
      </w:rPr>
    </w:lvl>
    <w:lvl w:ilvl="1" w:tplc="7EC4926A">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165882"/>
    <w:multiLevelType w:val="multilevel"/>
    <w:tmpl w:val="84646C8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5AA10D8A"/>
    <w:multiLevelType w:val="hybridMultilevel"/>
    <w:tmpl w:val="33163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A11D2"/>
    <w:multiLevelType w:val="hybridMultilevel"/>
    <w:tmpl w:val="CD1C69E8"/>
    <w:lvl w:ilvl="0" w:tplc="32CADA38">
      <w:start w:val="1"/>
      <w:numFmt w:val="lowerLetter"/>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0723509"/>
    <w:multiLevelType w:val="multilevel"/>
    <w:tmpl w:val="9D86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B66F84"/>
    <w:multiLevelType w:val="hybridMultilevel"/>
    <w:tmpl w:val="E41CA3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35241D"/>
    <w:multiLevelType w:val="hybridMultilevel"/>
    <w:tmpl w:val="1890B342"/>
    <w:lvl w:ilvl="0" w:tplc="1ACC6E7C">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8D3A79"/>
    <w:multiLevelType w:val="multilevel"/>
    <w:tmpl w:val="D4A8A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6775B7"/>
    <w:multiLevelType w:val="hybridMultilevel"/>
    <w:tmpl w:val="983A53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9191677"/>
    <w:multiLevelType w:val="hybridMultilevel"/>
    <w:tmpl w:val="FF224322"/>
    <w:lvl w:ilvl="0" w:tplc="F634D878">
      <w:start w:val="9"/>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A167680"/>
    <w:multiLevelType w:val="hybridMultilevel"/>
    <w:tmpl w:val="BF68A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F3B84"/>
    <w:multiLevelType w:val="multilevel"/>
    <w:tmpl w:val="EF1CCB12"/>
    <w:lvl w:ilvl="0">
      <w:start w:val="1"/>
      <w:numFmt w:val="lowerLetter"/>
      <w:lvlText w:val="%1)"/>
      <w:lvlJc w:val="left"/>
      <w:pPr>
        <w:tabs>
          <w:tab w:val="num" w:pos="360"/>
        </w:tabs>
        <w:ind w:left="360" w:hanging="360"/>
      </w:pPr>
      <w:rPr>
        <w:rFonts w:hint="default"/>
        <w:b/>
      </w:rPr>
    </w:lvl>
    <w:lvl w:ilvl="1">
      <w:start w:val="1"/>
      <w:numFmt w:val="lowerLetter"/>
      <w:lvlText w:val="%2)"/>
      <w:lvlJc w:val="left"/>
      <w:pPr>
        <w:ind w:left="1080" w:hanging="360"/>
      </w:pPr>
      <w:rPr>
        <w:rFonts w:hint="default"/>
        <w:b/>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34"/>
  </w:num>
  <w:num w:numId="3">
    <w:abstractNumId w:val="24"/>
  </w:num>
  <w:num w:numId="4">
    <w:abstractNumId w:val="7"/>
  </w:num>
  <w:num w:numId="5">
    <w:abstractNumId w:val="16"/>
  </w:num>
  <w:num w:numId="6">
    <w:abstractNumId w:val="17"/>
  </w:num>
  <w:num w:numId="7">
    <w:abstractNumId w:val="37"/>
  </w:num>
  <w:num w:numId="8">
    <w:abstractNumId w:val="21"/>
  </w:num>
  <w:num w:numId="9">
    <w:abstractNumId w:val="32"/>
  </w:num>
  <w:num w:numId="10">
    <w:abstractNumId w:val="8"/>
  </w:num>
  <w:num w:numId="11">
    <w:abstractNumId w:val="30"/>
  </w:num>
  <w:num w:numId="12">
    <w:abstractNumId w:val="38"/>
  </w:num>
  <w:num w:numId="13">
    <w:abstractNumId w:val="3"/>
  </w:num>
  <w:num w:numId="14">
    <w:abstractNumId w:val="22"/>
  </w:num>
  <w:num w:numId="15">
    <w:abstractNumId w:val="28"/>
  </w:num>
  <w:num w:numId="16">
    <w:abstractNumId w:val="31"/>
  </w:num>
  <w:num w:numId="17">
    <w:abstractNumId w:val="2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29"/>
  </w:num>
  <w:num w:numId="22">
    <w:abstractNumId w:val="6"/>
  </w:num>
  <w:num w:numId="23">
    <w:abstractNumId w:val="36"/>
  </w:num>
  <w:num w:numId="24">
    <w:abstractNumId w:val="33"/>
  </w:num>
  <w:num w:numId="25">
    <w:abstractNumId w:val="14"/>
  </w:num>
  <w:num w:numId="26">
    <w:abstractNumId w:val="18"/>
  </w:num>
  <w:num w:numId="27">
    <w:abstractNumId w:val="27"/>
  </w:num>
  <w:num w:numId="28">
    <w:abstractNumId w:val="9"/>
  </w:num>
  <w:num w:numId="29">
    <w:abstractNumId w:val="13"/>
  </w:num>
  <w:num w:numId="3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1"/>
  </w:num>
  <w:num w:numId="32">
    <w:abstractNumId w:val="5"/>
  </w:num>
  <w:num w:numId="33">
    <w:abstractNumId w:val="4"/>
  </w:num>
  <w:num w:numId="34">
    <w:abstractNumId w:val="12"/>
  </w:num>
  <w:num w:numId="35">
    <w:abstractNumId w:val="20"/>
  </w:num>
  <w:num w:numId="36">
    <w:abstractNumId w:val="15"/>
  </w:num>
  <w:num w:numId="37">
    <w:abstractNumId w:val="35"/>
  </w:num>
  <w:num w:numId="38">
    <w:abstractNumId w:val="2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2A"/>
    <w:rsid w:val="000245CD"/>
    <w:rsid w:val="00035BB9"/>
    <w:rsid w:val="00076982"/>
    <w:rsid w:val="00085D9D"/>
    <w:rsid w:val="000A1026"/>
    <w:rsid w:val="000E1266"/>
    <w:rsid w:val="000E7D74"/>
    <w:rsid w:val="001113F2"/>
    <w:rsid w:val="00113879"/>
    <w:rsid w:val="001203FA"/>
    <w:rsid w:val="00120448"/>
    <w:rsid w:val="001A2B7A"/>
    <w:rsid w:val="00202C73"/>
    <w:rsid w:val="00215422"/>
    <w:rsid w:val="00226D80"/>
    <w:rsid w:val="00232643"/>
    <w:rsid w:val="00232974"/>
    <w:rsid w:val="00277BCD"/>
    <w:rsid w:val="002876B7"/>
    <w:rsid w:val="003069E8"/>
    <w:rsid w:val="00334963"/>
    <w:rsid w:val="0038313F"/>
    <w:rsid w:val="003B6EC4"/>
    <w:rsid w:val="003E1D81"/>
    <w:rsid w:val="003E3AF4"/>
    <w:rsid w:val="00411742"/>
    <w:rsid w:val="0041178B"/>
    <w:rsid w:val="004133B9"/>
    <w:rsid w:val="0042439F"/>
    <w:rsid w:val="00436CEA"/>
    <w:rsid w:val="004534D6"/>
    <w:rsid w:val="004B025B"/>
    <w:rsid w:val="004B2010"/>
    <w:rsid w:val="004E45FF"/>
    <w:rsid w:val="00526C68"/>
    <w:rsid w:val="0054187E"/>
    <w:rsid w:val="00543925"/>
    <w:rsid w:val="00552300"/>
    <w:rsid w:val="005D55A2"/>
    <w:rsid w:val="00613CD9"/>
    <w:rsid w:val="00660A2D"/>
    <w:rsid w:val="006B40FA"/>
    <w:rsid w:val="00744D21"/>
    <w:rsid w:val="007E1F24"/>
    <w:rsid w:val="007E7459"/>
    <w:rsid w:val="00835955"/>
    <w:rsid w:val="008A46DA"/>
    <w:rsid w:val="008B43ED"/>
    <w:rsid w:val="009120C1"/>
    <w:rsid w:val="009172D8"/>
    <w:rsid w:val="009461AF"/>
    <w:rsid w:val="009751EB"/>
    <w:rsid w:val="009A07B1"/>
    <w:rsid w:val="00A236D3"/>
    <w:rsid w:val="00A72926"/>
    <w:rsid w:val="00A72ADB"/>
    <w:rsid w:val="00A80D46"/>
    <w:rsid w:val="00AC72DB"/>
    <w:rsid w:val="00B03DC7"/>
    <w:rsid w:val="00B04094"/>
    <w:rsid w:val="00B300A8"/>
    <w:rsid w:val="00BE1366"/>
    <w:rsid w:val="00C031B1"/>
    <w:rsid w:val="00C05A6F"/>
    <w:rsid w:val="00C3066B"/>
    <w:rsid w:val="00C37F9F"/>
    <w:rsid w:val="00C75BA9"/>
    <w:rsid w:val="00CB1746"/>
    <w:rsid w:val="00D24F57"/>
    <w:rsid w:val="00D3496C"/>
    <w:rsid w:val="00D362E6"/>
    <w:rsid w:val="00D5667F"/>
    <w:rsid w:val="00D703E8"/>
    <w:rsid w:val="00D80014"/>
    <w:rsid w:val="00D81E2A"/>
    <w:rsid w:val="00D91375"/>
    <w:rsid w:val="00DE09BA"/>
    <w:rsid w:val="00E234CB"/>
    <w:rsid w:val="00E7094E"/>
    <w:rsid w:val="00E92E2F"/>
    <w:rsid w:val="00F002D6"/>
    <w:rsid w:val="00F667F3"/>
    <w:rsid w:val="00F70A3E"/>
    <w:rsid w:val="00F7796E"/>
    <w:rsid w:val="00FB5F25"/>
    <w:rsid w:val="00FC4BF1"/>
    <w:rsid w:val="00FC730B"/>
    <w:rsid w:val="00FE610A"/>
    <w:rsid w:val="00FF75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7B21"/>
  <w15:chartTrackingRefBased/>
  <w15:docId w15:val="{0BC3A366-3953-4D89-8E32-46A6C284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1E2A"/>
    <w:pPr>
      <w:spacing w:before="100" w:beforeAutospacing="1" w:after="100" w:afterAutospacing="1" w:line="240" w:lineRule="auto"/>
    </w:pPr>
    <w:rPr>
      <w:rFonts w:ascii="Times New Roman" w:eastAsia="Times New Roman" w:hAnsi="Times New Roman" w:cs="Times New Roman"/>
      <w:szCs w:val="24"/>
      <w:lang w:eastAsia="es-MX"/>
    </w:rPr>
  </w:style>
  <w:style w:type="character" w:styleId="Refdecomentario">
    <w:name w:val="annotation reference"/>
    <w:basedOn w:val="Fuentedeprrafopredeter"/>
    <w:uiPriority w:val="99"/>
    <w:semiHidden/>
    <w:unhideWhenUsed/>
    <w:rsid w:val="00D81E2A"/>
    <w:rPr>
      <w:sz w:val="16"/>
      <w:szCs w:val="16"/>
    </w:rPr>
  </w:style>
  <w:style w:type="paragraph" w:styleId="Textocomentario">
    <w:name w:val="annotation text"/>
    <w:basedOn w:val="Normal"/>
    <w:link w:val="TextocomentarioCar"/>
    <w:uiPriority w:val="99"/>
    <w:semiHidden/>
    <w:unhideWhenUsed/>
    <w:rsid w:val="00D81E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1E2A"/>
    <w:rPr>
      <w:sz w:val="20"/>
      <w:szCs w:val="20"/>
    </w:rPr>
  </w:style>
  <w:style w:type="paragraph" w:styleId="Asuntodelcomentario">
    <w:name w:val="annotation subject"/>
    <w:basedOn w:val="Textocomentario"/>
    <w:next w:val="Textocomentario"/>
    <w:link w:val="AsuntodelcomentarioCar"/>
    <w:uiPriority w:val="99"/>
    <w:unhideWhenUsed/>
    <w:rsid w:val="00D81E2A"/>
    <w:rPr>
      <w:b/>
      <w:bCs/>
    </w:rPr>
  </w:style>
  <w:style w:type="character" w:customStyle="1" w:styleId="AsuntodelcomentarioCar">
    <w:name w:val="Asunto del comentario Car"/>
    <w:basedOn w:val="TextocomentarioCar"/>
    <w:link w:val="Asuntodelcomentario"/>
    <w:uiPriority w:val="99"/>
    <w:rsid w:val="00D81E2A"/>
    <w:rPr>
      <w:b/>
      <w:bCs/>
      <w:sz w:val="20"/>
      <w:szCs w:val="20"/>
    </w:rPr>
  </w:style>
  <w:style w:type="paragraph" w:styleId="Textodeglobo">
    <w:name w:val="Balloon Text"/>
    <w:basedOn w:val="Normal"/>
    <w:link w:val="TextodegloboCar"/>
    <w:uiPriority w:val="99"/>
    <w:semiHidden/>
    <w:unhideWhenUsed/>
    <w:rsid w:val="00D81E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1E2A"/>
    <w:rPr>
      <w:rFonts w:ascii="Segoe UI" w:hAnsi="Segoe UI" w:cs="Segoe UI"/>
      <w:sz w:val="18"/>
      <w:szCs w:val="18"/>
    </w:rPr>
  </w:style>
  <w:style w:type="character" w:styleId="Textoennegrita">
    <w:name w:val="Strong"/>
    <w:basedOn w:val="Fuentedeprrafopredeter"/>
    <w:uiPriority w:val="22"/>
    <w:qFormat/>
    <w:rsid w:val="003E1D81"/>
    <w:rPr>
      <w:b/>
      <w:bCs/>
    </w:rPr>
  </w:style>
  <w:style w:type="paragraph" w:styleId="Encabezado">
    <w:name w:val="header"/>
    <w:basedOn w:val="Normal"/>
    <w:link w:val="EncabezadoCar"/>
    <w:uiPriority w:val="99"/>
    <w:unhideWhenUsed/>
    <w:rsid w:val="003E1D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D81"/>
  </w:style>
  <w:style w:type="paragraph" w:styleId="Piedepgina">
    <w:name w:val="footer"/>
    <w:basedOn w:val="Normal"/>
    <w:link w:val="PiedepginaCar"/>
    <w:uiPriority w:val="99"/>
    <w:unhideWhenUsed/>
    <w:rsid w:val="003E1D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D81"/>
  </w:style>
  <w:style w:type="paragraph" w:styleId="Prrafodelista">
    <w:name w:val="List Paragraph"/>
    <w:basedOn w:val="Normal"/>
    <w:uiPriority w:val="34"/>
    <w:qFormat/>
    <w:rsid w:val="001203FA"/>
    <w:pPr>
      <w:ind w:left="720"/>
      <w:contextualSpacing/>
    </w:pPr>
  </w:style>
  <w:style w:type="paragraph" w:styleId="Textonotapie">
    <w:name w:val="footnote text"/>
    <w:aliases w:val="5_G"/>
    <w:basedOn w:val="Normal"/>
    <w:link w:val="TextonotapieCar"/>
    <w:uiPriority w:val="99"/>
    <w:unhideWhenUsed/>
    <w:qFormat/>
    <w:rsid w:val="001203FA"/>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1203FA"/>
    <w:rPr>
      <w:sz w:val="20"/>
      <w:szCs w:val="20"/>
    </w:rPr>
  </w:style>
  <w:style w:type="character" w:styleId="Refdenotaalpie">
    <w:name w:val="footnote reference"/>
    <w:aliases w:val="4_G"/>
    <w:basedOn w:val="Fuentedeprrafopredeter"/>
    <w:uiPriority w:val="99"/>
    <w:semiHidden/>
    <w:unhideWhenUsed/>
    <w:qFormat/>
    <w:rsid w:val="001203FA"/>
    <w:rPr>
      <w:vertAlign w:val="superscript"/>
    </w:rPr>
  </w:style>
  <w:style w:type="character" w:styleId="Hipervnculo">
    <w:name w:val="Hyperlink"/>
    <w:basedOn w:val="Fuentedeprrafopredeter"/>
    <w:uiPriority w:val="99"/>
    <w:unhideWhenUsed/>
    <w:rsid w:val="001203FA"/>
    <w:rPr>
      <w:color w:val="0563C1" w:themeColor="hyperlink"/>
      <w:u w:val="single"/>
    </w:rPr>
  </w:style>
  <w:style w:type="paragraph" w:styleId="Textonotaalfinal">
    <w:name w:val="endnote text"/>
    <w:basedOn w:val="Normal"/>
    <w:link w:val="TextonotaalfinalCar"/>
    <w:uiPriority w:val="99"/>
    <w:semiHidden/>
    <w:unhideWhenUsed/>
    <w:rsid w:val="00D362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362E6"/>
    <w:rPr>
      <w:sz w:val="20"/>
      <w:szCs w:val="20"/>
    </w:rPr>
  </w:style>
  <w:style w:type="character" w:styleId="Refdenotaalfinal">
    <w:name w:val="endnote reference"/>
    <w:basedOn w:val="Fuentedeprrafopredeter"/>
    <w:uiPriority w:val="99"/>
    <w:semiHidden/>
    <w:unhideWhenUsed/>
    <w:rsid w:val="00D362E6"/>
    <w:rPr>
      <w:vertAlign w:val="superscript"/>
    </w:rPr>
  </w:style>
  <w:style w:type="paragraph" w:styleId="Revisin">
    <w:name w:val="Revision"/>
    <w:hidden/>
    <w:uiPriority w:val="99"/>
    <w:semiHidden/>
    <w:rsid w:val="000A1026"/>
    <w:pPr>
      <w:spacing w:after="0" w:line="240" w:lineRule="auto"/>
    </w:pPr>
  </w:style>
  <w:style w:type="table" w:styleId="Tablaconcuadrcula">
    <w:name w:val="Table Grid"/>
    <w:basedOn w:val="Tablanormal"/>
    <w:uiPriority w:val="59"/>
    <w:rsid w:val="0054187E"/>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2427">
      <w:bodyDiv w:val="1"/>
      <w:marLeft w:val="0"/>
      <w:marRight w:val="0"/>
      <w:marTop w:val="0"/>
      <w:marBottom w:val="0"/>
      <w:divBdr>
        <w:top w:val="none" w:sz="0" w:space="0" w:color="auto"/>
        <w:left w:val="none" w:sz="0" w:space="0" w:color="auto"/>
        <w:bottom w:val="none" w:sz="0" w:space="0" w:color="auto"/>
        <w:right w:val="none" w:sz="0" w:space="0" w:color="auto"/>
      </w:divBdr>
    </w:div>
    <w:div w:id="494149199">
      <w:bodyDiv w:val="1"/>
      <w:marLeft w:val="0"/>
      <w:marRight w:val="0"/>
      <w:marTop w:val="0"/>
      <w:marBottom w:val="0"/>
      <w:divBdr>
        <w:top w:val="none" w:sz="0" w:space="0" w:color="auto"/>
        <w:left w:val="none" w:sz="0" w:space="0" w:color="auto"/>
        <w:bottom w:val="none" w:sz="0" w:space="0" w:color="auto"/>
        <w:right w:val="none" w:sz="0" w:space="0" w:color="auto"/>
      </w:divBdr>
    </w:div>
    <w:div w:id="498883414">
      <w:bodyDiv w:val="1"/>
      <w:marLeft w:val="0"/>
      <w:marRight w:val="0"/>
      <w:marTop w:val="0"/>
      <w:marBottom w:val="0"/>
      <w:divBdr>
        <w:top w:val="none" w:sz="0" w:space="0" w:color="auto"/>
        <w:left w:val="none" w:sz="0" w:space="0" w:color="auto"/>
        <w:bottom w:val="none" w:sz="0" w:space="0" w:color="auto"/>
        <w:right w:val="none" w:sz="0" w:space="0" w:color="auto"/>
      </w:divBdr>
    </w:div>
    <w:div w:id="1390612263">
      <w:bodyDiv w:val="1"/>
      <w:marLeft w:val="0"/>
      <w:marRight w:val="0"/>
      <w:marTop w:val="0"/>
      <w:marBottom w:val="0"/>
      <w:divBdr>
        <w:top w:val="none" w:sz="0" w:space="0" w:color="auto"/>
        <w:left w:val="none" w:sz="0" w:space="0" w:color="auto"/>
        <w:bottom w:val="none" w:sz="0" w:space="0" w:color="auto"/>
        <w:right w:val="none" w:sz="0" w:space="0" w:color="auto"/>
      </w:divBdr>
    </w:div>
    <w:div w:id="1626236216">
      <w:bodyDiv w:val="1"/>
      <w:marLeft w:val="0"/>
      <w:marRight w:val="0"/>
      <w:marTop w:val="0"/>
      <w:marBottom w:val="0"/>
      <w:divBdr>
        <w:top w:val="none" w:sz="0" w:space="0" w:color="auto"/>
        <w:left w:val="none" w:sz="0" w:space="0" w:color="auto"/>
        <w:bottom w:val="none" w:sz="0" w:space="0" w:color="auto"/>
        <w:right w:val="none" w:sz="0" w:space="0" w:color="auto"/>
      </w:divBdr>
    </w:div>
    <w:div w:id="1747147877">
      <w:bodyDiv w:val="1"/>
      <w:marLeft w:val="0"/>
      <w:marRight w:val="0"/>
      <w:marTop w:val="0"/>
      <w:marBottom w:val="0"/>
      <w:divBdr>
        <w:top w:val="none" w:sz="0" w:space="0" w:color="auto"/>
        <w:left w:val="none" w:sz="0" w:space="0" w:color="auto"/>
        <w:bottom w:val="none" w:sz="0" w:space="0" w:color="auto"/>
        <w:right w:val="none" w:sz="0" w:space="0" w:color="auto"/>
      </w:divBdr>
    </w:div>
    <w:div w:id="18480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inembargo.mx/14-04-2018/3403564" TargetMode="External"/><Relationship Id="rId13" Type="http://schemas.openxmlformats.org/officeDocument/2006/relationships/hyperlink" Target="http://dof.gob.mx/nota_detalle.php?codigo=5591534&amp;fecha=13/04/2020" TargetMode="External"/><Relationship Id="rId18" Type="http://schemas.openxmlformats.org/officeDocument/2006/relationships/hyperlink" Target="https://colectivodeabogados.org/interferenciaetiquetado/imagenes/Interferencia_industria_etiquetado_latam_25sept.pdf" TargetMode="External"/><Relationship Id="rId26" Type="http://schemas.openxmlformats.org/officeDocument/2006/relationships/hyperlink" Target="https://elpoderdelconsumidor.org/wp-content/uploads/2018/07/b-desabasto-agua-chiapas-diabetes.pdf" TargetMode="External"/><Relationship Id="rId3" Type="http://schemas.openxmlformats.org/officeDocument/2006/relationships/hyperlink" Target="http://www.periodicooficial.oaxaca.gob.mx/listado.php?d=2020-9-4" TargetMode="External"/><Relationship Id="rId21" Type="http://schemas.openxmlformats.org/officeDocument/2006/relationships/hyperlink" Target="https://poplab.mx/article/DenuncianaPatricioCasoyMikelArriolaporpresuntoconflictodeinteres" TargetMode="External"/><Relationship Id="rId7" Type="http://schemas.openxmlformats.org/officeDocument/2006/relationships/hyperlink" Target="https://pozoschatarra.poplab.mx/" TargetMode="External"/><Relationship Id="rId12" Type="http://schemas.openxmlformats.org/officeDocument/2006/relationships/hyperlink" Target="https://www.conacyt.mx/Comunicados-202.html" TargetMode="External"/><Relationship Id="rId17" Type="http://schemas.openxmlformats.org/officeDocument/2006/relationships/hyperlink" Target="https://doi.org/10.1186/s12889-019-8108-z" TargetMode="External"/><Relationship Id="rId25" Type="http://schemas.openxmlformats.org/officeDocument/2006/relationships/hyperlink" Target="https://www.jornada.com.mx/notas/2021/09/28/sociedad/acuden-al-amparo-26-empresas-contra-eliminacion-de-glifosato/" TargetMode="External"/><Relationship Id="rId2" Type="http://schemas.openxmlformats.org/officeDocument/2006/relationships/hyperlink" Target="https://www.dof.gob.mx/nota_detalle.php?codigo=5663776&amp;fecha=08/09/2022#gsc.tab=0" TargetMode="External"/><Relationship Id="rId16" Type="http://schemas.openxmlformats.org/officeDocument/2006/relationships/hyperlink" Target="https://doi.org/10.1371/journal.pone.0269892" TargetMode="External"/><Relationship Id="rId20" Type="http://schemas.openxmlformats.org/officeDocument/2006/relationships/hyperlink" Target="https://elpoderdelconsumidor.org/wp-content/uploads/2015/07/Etiquetado-Evaluaci%C3%B3n-GDA-por-Barquera-y-col.pdf" TargetMode="External"/><Relationship Id="rId1" Type="http://schemas.openxmlformats.org/officeDocument/2006/relationships/hyperlink" Target="https://www.dof.gob.mx/2020/SEECO/NOM_051.pdf" TargetMode="External"/><Relationship Id="rId6" Type="http://schemas.openxmlformats.org/officeDocument/2006/relationships/hyperlink" Target="https://www.insp.mx/epppo/blog/3756-efectos-nocivos-bebidas-azucaradas.html" TargetMode="External"/><Relationship Id="rId11" Type="http://schemas.openxmlformats.org/officeDocument/2006/relationships/hyperlink" Target="https://dof.gob.mx/nota_detalle.php?codigo=5679405&amp;fecha=13/02/2023#gsc.tab=0" TargetMode="External"/><Relationship Id="rId24" Type="http://schemas.openxmlformats.org/officeDocument/2006/relationships/hyperlink" Target="https://contralinea.com.mx/opinion/el-plan-de-los-senores-del-glifosato-12-millones-para-echar-abajo-decreto-presidencial/" TargetMode="External"/><Relationship Id="rId5" Type="http://schemas.openxmlformats.org/officeDocument/2006/relationships/hyperlink" Target="https://www.paho.org/mex/index.php?option=com_docman&amp;view=download&amp;category_slug=presentaciones&amp;alias=849-vfinal-consumo-de-bebidas-azucaradas&amp;Itemid=493" TargetMode="External"/><Relationship Id="rId15" Type="http://schemas.openxmlformats.org/officeDocument/2006/relationships/hyperlink" Target="https://elpoderdelconsumidor.org/wp-content/uploads/2022/11/p-2211-etiquetado-funciona-aunque-corporaciones-lo-combaten-alejandra-contreras-insp.pdf" TargetMode="External"/><Relationship Id="rId23" Type="http://schemas.openxmlformats.org/officeDocument/2006/relationships/hyperlink" Target="https://www.dof.gob.mx/nota_detalle.php?codigo=5609365&amp;fecha=31/12/2020" TargetMode="External"/><Relationship Id="rId10" Type="http://schemas.openxmlformats.org/officeDocument/2006/relationships/hyperlink" Target="https://www.fao.org/school-food/areas-work/food-environment/es/,consultado" TargetMode="External"/><Relationship Id="rId19" Type="http://schemas.openxmlformats.org/officeDocument/2006/relationships/hyperlink" Target="http://www.dof.gob.mx/nota_detalle.php?codigo=5356328&amp;fecha=14/08/2014" TargetMode="External"/><Relationship Id="rId4" Type="http://schemas.openxmlformats.org/officeDocument/2006/relationships/hyperlink" Target="https://elpoderdelconsumidor.org/2021/03/organizaciones-civiles-instan-al-secretario-de-salud-de-oaxaca-a-cumplir-ley-antichatarra/" TargetMode="External"/><Relationship Id="rId9" Type="http://schemas.openxmlformats.org/officeDocument/2006/relationships/hyperlink" Target="https://www.paho.org/mex/index.php?option=com_content&amp;view=article&amp;id=627:los-impuestos-refrescos-bebidas-azucaradas-medida-salud-publica&amp;Itemid=499" TargetMode="External"/><Relationship Id="rId14" Type="http://schemas.openxmlformats.org/officeDocument/2006/relationships/hyperlink" Target="https://elpoderdelconsumidor.org/2022/11/el-etiquetado-de-advertencia-contribuye-a-proteger-la-salud-retirarlo-es-un-atentado-en-contra-de-la-poblacion-mexicana/" TargetMode="External"/><Relationship Id="rId22" Type="http://schemas.openxmlformats.org/officeDocument/2006/relationships/hyperlink" Target="https://www.dof.gob.mx/nota_detalle.php?codigo=5590668&amp;fecha=27/03/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El Poder del Consumidor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919A582-6240-4793-9ECE-7339A05C3984}">
  <ds:schemaRefs>
    <ds:schemaRef ds:uri="http://schemas.openxmlformats.org/officeDocument/2006/bibliography"/>
  </ds:schemaRefs>
</ds:datastoreItem>
</file>

<file path=customXml/itemProps2.xml><?xml version="1.0" encoding="utf-8"?>
<ds:datastoreItem xmlns:ds="http://schemas.openxmlformats.org/officeDocument/2006/customXml" ds:itemID="{A7EB28CC-DD7A-4293-9EE1-E9DBF5125A4D}"/>
</file>

<file path=customXml/itemProps3.xml><?xml version="1.0" encoding="utf-8"?>
<ds:datastoreItem xmlns:ds="http://schemas.openxmlformats.org/officeDocument/2006/customXml" ds:itemID="{3987E346-0806-4C25-98F5-ACDB709CF978}"/>
</file>

<file path=customXml/itemProps4.xml><?xml version="1.0" encoding="utf-8"?>
<ds:datastoreItem xmlns:ds="http://schemas.openxmlformats.org/officeDocument/2006/customXml" ds:itemID="{3B334D9F-73EB-4794-805B-01DF41F107FA}"/>
</file>

<file path=docProps/app.xml><?xml version="1.0" encoding="utf-8"?>
<Properties xmlns="http://schemas.openxmlformats.org/officeDocument/2006/extended-properties" xmlns:vt="http://schemas.openxmlformats.org/officeDocument/2006/docPropsVTypes">
  <Template>Normal.dotm</Template>
  <TotalTime>4</TotalTime>
  <Pages>15</Pages>
  <Words>4426</Words>
  <Characters>24348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Windows User</cp:lastModifiedBy>
  <cp:revision>3</cp:revision>
  <dcterms:created xsi:type="dcterms:W3CDTF">2023-03-26T02:51:00Z</dcterms:created>
  <dcterms:modified xsi:type="dcterms:W3CDTF">2023-03-26T02:54:00Z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