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0E05" w14:textId="77777777" w:rsidR="008434C3" w:rsidRDefault="008434C3" w:rsidP="4621190E">
      <w:pPr>
        <w:ind w:left="2160" w:firstLine="720"/>
        <w:rPr>
          <w:b/>
          <w:bCs/>
          <w:sz w:val="24"/>
          <w:szCs w:val="24"/>
          <w:u w:val="single"/>
        </w:rPr>
      </w:pPr>
      <w:r w:rsidRPr="2A760153">
        <w:rPr>
          <w:b/>
          <w:bCs/>
          <w:sz w:val="24"/>
          <w:szCs w:val="24"/>
          <w:u w:val="single"/>
        </w:rPr>
        <w:t>QUESTIONNAIRE</w:t>
      </w:r>
    </w:p>
    <w:p w14:paraId="5B25D86A" w14:textId="77777777" w:rsidR="008434C3" w:rsidRDefault="008434C3" w:rsidP="008434C3">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55EC4B6C" w14:textId="77777777" w:rsidR="008434C3" w:rsidRPr="00E021C1" w:rsidRDefault="008434C3" w:rsidP="008434C3">
      <w:pPr>
        <w:pStyle w:val="BodyA"/>
        <w:outlineLvl w:val="0"/>
        <w:rPr>
          <w:rStyle w:val="None"/>
          <w:rFonts w:ascii="Times New Roman" w:eastAsia="Times New Roman" w:hAnsi="Times New Roman" w:cs="Times New Roman"/>
          <w:b/>
          <w:bCs/>
        </w:rPr>
      </w:pPr>
      <w:r w:rsidRPr="00E021C1">
        <w:rPr>
          <w:rStyle w:val="None"/>
          <w:rFonts w:ascii="Times New Roman" w:hAnsi="Times New Roman" w:cs="Times New Roman"/>
          <w:b/>
          <w:bCs/>
        </w:rPr>
        <w:t>Contact Details</w:t>
      </w:r>
    </w:p>
    <w:p w14:paraId="6516642B" w14:textId="77777777" w:rsidR="008434C3" w:rsidRPr="00E021C1" w:rsidRDefault="008434C3" w:rsidP="008434C3">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8434C3" w:rsidRPr="00E021C1" w14:paraId="0D784222" w14:textId="77777777">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F802" w14:textId="77777777" w:rsidR="008434C3" w:rsidRPr="00E021C1" w:rsidRDefault="008434C3">
            <w:pPr>
              <w:pStyle w:val="BodyA"/>
              <w:rPr>
                <w:rFonts w:ascii="Times New Roman" w:hAnsi="Times New Roman" w:cs="Times New Roman"/>
              </w:rPr>
            </w:pPr>
            <w:r w:rsidRPr="00E021C1">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04696" w14:textId="77777777" w:rsidR="008434C3" w:rsidRPr="00E021C1" w:rsidRDefault="008434C3">
            <w:pPr>
              <w:rPr>
                <w:sz w:val="24"/>
                <w:szCs w:val="24"/>
              </w:rPr>
            </w:pPr>
            <w:r w:rsidRPr="00E021C1">
              <w:rPr>
                <w:sz w:val="24"/>
                <w:szCs w:val="24"/>
              </w:rPr>
              <w:fldChar w:fldCharType="begin">
                <w:ffData>
                  <w:name w:val="Check3"/>
                  <w:enabled/>
                  <w:calcOnExit w:val="0"/>
                  <w:checkBox>
                    <w:sizeAuto/>
                    <w:default w:val="0"/>
                  </w:checkBox>
                </w:ffData>
              </w:fldChar>
            </w:r>
            <w:bookmarkStart w:id="0" w:name="Check3"/>
            <w:r w:rsidRPr="00E021C1">
              <w:rPr>
                <w:sz w:val="24"/>
                <w:szCs w:val="24"/>
              </w:rPr>
              <w:instrText xml:space="preserve"> FORMCHECKBOX </w:instrText>
            </w:r>
            <w:r w:rsidR="00A84B78">
              <w:rPr>
                <w:sz w:val="24"/>
                <w:szCs w:val="24"/>
              </w:rPr>
            </w:r>
            <w:r w:rsidR="00A84B78">
              <w:rPr>
                <w:sz w:val="24"/>
                <w:szCs w:val="24"/>
              </w:rPr>
              <w:fldChar w:fldCharType="separate"/>
            </w:r>
            <w:r w:rsidRPr="00E021C1">
              <w:rPr>
                <w:sz w:val="24"/>
                <w:szCs w:val="24"/>
              </w:rPr>
              <w:fldChar w:fldCharType="end"/>
            </w:r>
            <w:bookmarkEnd w:id="0"/>
            <w:r w:rsidRPr="00E021C1">
              <w:rPr>
                <w:sz w:val="24"/>
                <w:szCs w:val="24"/>
              </w:rPr>
              <w:t xml:space="preserve">  Member State     </w:t>
            </w:r>
          </w:p>
          <w:p w14:paraId="2DA0A483" w14:textId="39652924" w:rsidR="008434C3" w:rsidRPr="00E021C1" w:rsidRDefault="008434C3">
            <w:pPr>
              <w:ind w:left="394" w:hanging="394"/>
              <w:rPr>
                <w:sz w:val="24"/>
                <w:szCs w:val="24"/>
              </w:rPr>
            </w:pPr>
            <w:r w:rsidRPr="00E021C1">
              <w:rPr>
                <w:sz w:val="24"/>
                <w:szCs w:val="24"/>
              </w:rPr>
              <w:fldChar w:fldCharType="begin">
                <w:ffData>
                  <w:name w:val=""/>
                  <w:enabled/>
                  <w:calcOnExit w:val="0"/>
                  <w:checkBox>
                    <w:sizeAuto/>
                    <w:default w:val="0"/>
                  </w:checkBox>
                </w:ffData>
              </w:fldChar>
            </w:r>
            <w:r w:rsidRPr="00E021C1">
              <w:rPr>
                <w:sz w:val="24"/>
                <w:szCs w:val="24"/>
              </w:rPr>
              <w:instrText xml:space="preserve"> FORMCHECKBOX </w:instrText>
            </w:r>
            <w:r w:rsidR="00A84B78">
              <w:rPr>
                <w:sz w:val="24"/>
                <w:szCs w:val="24"/>
              </w:rPr>
            </w:r>
            <w:r w:rsidR="00A84B78">
              <w:rPr>
                <w:sz w:val="24"/>
                <w:szCs w:val="24"/>
              </w:rPr>
              <w:fldChar w:fldCharType="separate"/>
            </w:r>
            <w:r w:rsidRPr="00E021C1">
              <w:rPr>
                <w:sz w:val="24"/>
                <w:szCs w:val="24"/>
              </w:rPr>
              <w:fldChar w:fldCharType="end"/>
            </w:r>
            <w:r w:rsidRPr="00E021C1">
              <w:rPr>
                <w:sz w:val="24"/>
                <w:szCs w:val="24"/>
              </w:rPr>
              <w:t xml:space="preserve">  Observer State</w:t>
            </w:r>
          </w:p>
          <w:p w14:paraId="06D3FC07" w14:textId="5DAA9766" w:rsidR="008434C3" w:rsidRPr="00E021C1" w:rsidRDefault="008434C3">
            <w:pPr>
              <w:ind w:left="394" w:hanging="394"/>
              <w:rPr>
                <w:sz w:val="24"/>
                <w:szCs w:val="24"/>
              </w:rPr>
            </w:pPr>
            <w:r w:rsidRPr="00E021C1">
              <w:rPr>
                <w:sz w:val="24"/>
                <w:szCs w:val="24"/>
              </w:rPr>
              <w:fldChar w:fldCharType="begin">
                <w:ffData>
                  <w:name w:val="Check3"/>
                  <w:enabled/>
                  <w:calcOnExit w:val="0"/>
                  <w:checkBox>
                    <w:sizeAuto/>
                    <w:default w:val="0"/>
                  </w:checkBox>
                </w:ffData>
              </w:fldChar>
            </w:r>
            <w:r w:rsidRPr="00E021C1">
              <w:rPr>
                <w:sz w:val="24"/>
                <w:szCs w:val="24"/>
              </w:rPr>
              <w:instrText xml:space="preserve"> FORMCHECKBOX </w:instrText>
            </w:r>
            <w:r w:rsidR="00A84B78">
              <w:rPr>
                <w:sz w:val="24"/>
                <w:szCs w:val="24"/>
              </w:rPr>
            </w:r>
            <w:r w:rsidR="00A84B78">
              <w:rPr>
                <w:sz w:val="24"/>
                <w:szCs w:val="24"/>
              </w:rPr>
              <w:fldChar w:fldCharType="separate"/>
            </w:r>
            <w:r w:rsidRPr="00E021C1">
              <w:rPr>
                <w:sz w:val="24"/>
                <w:szCs w:val="24"/>
              </w:rPr>
              <w:fldChar w:fldCharType="end"/>
            </w:r>
            <w:r w:rsidRPr="00E021C1">
              <w:rPr>
                <w:sz w:val="24"/>
                <w:szCs w:val="24"/>
              </w:rPr>
              <w:t xml:space="preserve">  </w:t>
            </w:r>
            <w:r w:rsidRPr="004612D2">
              <w:rPr>
                <w:sz w:val="24"/>
                <w:szCs w:val="24"/>
                <w:highlight w:val="yellow"/>
              </w:rPr>
              <w:t>Other (please specify)</w:t>
            </w:r>
            <w:r w:rsidR="004612D2">
              <w:rPr>
                <w:sz w:val="24"/>
                <w:szCs w:val="24"/>
              </w:rPr>
              <w:t xml:space="preserve"> Civil Society Organisation</w:t>
            </w:r>
          </w:p>
        </w:tc>
      </w:tr>
      <w:tr w:rsidR="008434C3" w:rsidRPr="00E021C1" w14:paraId="16515513" w14:textId="77777777">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DBE8F" w14:textId="77777777" w:rsidR="008434C3" w:rsidRPr="00E021C1" w:rsidRDefault="008434C3">
            <w:pPr>
              <w:pStyle w:val="BodyA"/>
              <w:rPr>
                <w:rStyle w:val="None"/>
                <w:rFonts w:ascii="Times New Roman" w:eastAsia="Times New Roman" w:hAnsi="Times New Roman" w:cs="Times New Roman"/>
              </w:rPr>
            </w:pPr>
            <w:r w:rsidRPr="00E021C1">
              <w:rPr>
                <w:rStyle w:val="None"/>
                <w:rFonts w:ascii="Times New Roman" w:hAnsi="Times New Roman" w:cs="Times New Roman"/>
              </w:rPr>
              <w:t>Name of State</w:t>
            </w:r>
          </w:p>
          <w:p w14:paraId="2DD4543C" w14:textId="77777777" w:rsidR="008434C3" w:rsidRPr="00E021C1" w:rsidRDefault="008434C3">
            <w:pPr>
              <w:pStyle w:val="BodyA"/>
              <w:rPr>
                <w:rFonts w:ascii="Times New Roman" w:hAnsi="Times New Roman" w:cs="Times New Roman"/>
              </w:rPr>
            </w:pPr>
            <w:r w:rsidRPr="00E021C1">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044EF" w14:textId="5E05384F" w:rsidR="008434C3" w:rsidRPr="00E021C1" w:rsidRDefault="00AE2D59">
            <w:pPr>
              <w:rPr>
                <w:sz w:val="24"/>
                <w:szCs w:val="24"/>
              </w:rPr>
            </w:pPr>
            <w:r>
              <w:rPr>
                <w:sz w:val="24"/>
                <w:szCs w:val="24"/>
              </w:rPr>
              <w:t>Equal Education Law Centre</w:t>
            </w:r>
          </w:p>
        </w:tc>
      </w:tr>
      <w:tr w:rsidR="008434C3" w:rsidRPr="00E021C1" w14:paraId="2FAECAF8" w14:textId="77777777">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981FC" w14:textId="77777777" w:rsidR="008434C3" w:rsidRPr="00E021C1" w:rsidRDefault="008434C3">
            <w:pPr>
              <w:pStyle w:val="BodyA"/>
              <w:rPr>
                <w:rStyle w:val="None"/>
                <w:rFonts w:ascii="Times New Roman" w:hAnsi="Times New Roman" w:cs="Times New Roman"/>
              </w:rPr>
            </w:pPr>
            <w:r w:rsidRPr="00E021C1">
              <w:rPr>
                <w:rStyle w:val="None"/>
                <w:rFonts w:ascii="Times New Roman" w:hAnsi="Times New Roman" w:cs="Times New Roman"/>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C7059" w14:textId="2804E0B6" w:rsidR="008434C3" w:rsidRPr="00E021C1" w:rsidRDefault="00AE2D59">
            <w:pPr>
              <w:rPr>
                <w:sz w:val="24"/>
                <w:szCs w:val="24"/>
              </w:rPr>
            </w:pPr>
            <w:r>
              <w:rPr>
                <w:sz w:val="24"/>
                <w:szCs w:val="24"/>
              </w:rPr>
              <w:t>robyn@eelawcentre.org.za</w:t>
            </w:r>
          </w:p>
        </w:tc>
      </w:tr>
      <w:tr w:rsidR="008434C3" w:rsidRPr="00E021C1" w14:paraId="6221FBED" w14:textId="77777777">
        <w:trPr>
          <w:trHeight w:val="1835"/>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D4E41" w14:textId="77777777" w:rsidR="008434C3" w:rsidRPr="00E021C1" w:rsidRDefault="008434C3">
            <w:pPr>
              <w:pStyle w:val="BodyA"/>
              <w:rPr>
                <w:rFonts w:ascii="Times New Roman" w:hAnsi="Times New Roman" w:cs="Times New Roman"/>
              </w:rPr>
            </w:pPr>
            <w:r w:rsidRPr="00E021C1">
              <w:rPr>
                <w:rStyle w:val="None"/>
                <w:rFonts w:ascii="Times New Roman" w:hAnsi="Times New Roman" w:cs="Times New Roman"/>
              </w:rPr>
              <w:t>Can we attribute responses to this questionnaire to your State publicly</w:t>
            </w:r>
            <w:r w:rsidRPr="00E021C1">
              <w:rPr>
                <w:rFonts w:ascii="Times New Roman" w:hAnsi="Times New Roman" w:cs="Times New Roman"/>
              </w:rPr>
              <w:t>*</w:t>
            </w:r>
            <w:r w:rsidRPr="00E021C1">
              <w:rPr>
                <w:rStyle w:val="None"/>
                <w:rFonts w:ascii="Times New Roman" w:hAnsi="Times New Roman" w:cs="Times New Roman"/>
              </w:rPr>
              <w:t>?</w:t>
            </w:r>
            <w:r w:rsidRPr="00E021C1">
              <w:rPr>
                <w:rFonts w:ascii="Times New Roman" w:hAnsi="Times New Roman" w:cs="Times New Roman"/>
              </w:rPr>
              <w:t xml:space="preserve"> </w:t>
            </w:r>
          </w:p>
          <w:p w14:paraId="169FFC5E" w14:textId="77777777" w:rsidR="008434C3" w:rsidRPr="00E021C1" w:rsidRDefault="008434C3">
            <w:pPr>
              <w:pStyle w:val="BodyA"/>
              <w:rPr>
                <w:rFonts w:ascii="Times New Roman" w:hAnsi="Times New Roman" w:cs="Times New Roman"/>
              </w:rPr>
            </w:pPr>
          </w:p>
          <w:p w14:paraId="12A15314" w14:textId="77777777" w:rsidR="008434C3" w:rsidRPr="00E021C1" w:rsidRDefault="008434C3">
            <w:pPr>
              <w:pStyle w:val="BodyA"/>
              <w:rPr>
                <w:rFonts w:ascii="Times New Roman" w:hAnsi="Times New Roman" w:cs="Times New Roman"/>
              </w:rPr>
            </w:pPr>
            <w:r w:rsidRPr="00E021C1">
              <w:rPr>
                <w:rFonts w:ascii="Times New Roman" w:hAnsi="Times New Roman" w:cs="Times New Roman"/>
              </w:rPr>
              <w:t>*On OHCHR website, under the section of SR health</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CF131" w14:textId="77777777" w:rsidR="008434C3" w:rsidRPr="00E021C1" w:rsidRDefault="008434C3">
            <w:pPr>
              <w:pStyle w:val="BodyA"/>
              <w:rPr>
                <w:rStyle w:val="None"/>
                <w:rFonts w:ascii="Times New Roman" w:eastAsia="Times New Roman" w:hAnsi="Times New Roman" w:cs="Times New Roman"/>
              </w:rPr>
            </w:pPr>
            <w:r w:rsidRPr="00E021C1">
              <w:rPr>
                <w:rStyle w:val="None"/>
                <w:rFonts w:ascii="Times New Roman" w:hAnsi="Times New Roman" w:cs="Times New Roman"/>
              </w:rPr>
              <w:t xml:space="preserve"> </w:t>
            </w:r>
            <w:r w:rsidRPr="009E2524">
              <w:rPr>
                <w:rStyle w:val="None"/>
                <w:rFonts w:ascii="Times New Roman" w:hAnsi="Times New Roman" w:cs="Times New Roman"/>
                <w:highlight w:val="yellow"/>
              </w:rPr>
              <w:t>Yes</w:t>
            </w:r>
            <w:r w:rsidRPr="00E021C1">
              <w:rPr>
                <w:rStyle w:val="None"/>
                <w:rFonts w:ascii="Times New Roman" w:hAnsi="Times New Roman" w:cs="Times New Roman"/>
              </w:rPr>
              <w:t xml:space="preserve">           No</w:t>
            </w:r>
          </w:p>
          <w:p w14:paraId="6FBDD737" w14:textId="77777777" w:rsidR="008434C3" w:rsidRPr="00E021C1" w:rsidRDefault="008434C3">
            <w:pPr>
              <w:pStyle w:val="BodyA"/>
              <w:rPr>
                <w:rStyle w:val="None"/>
                <w:rFonts w:ascii="Times New Roman" w:eastAsia="Times New Roman" w:hAnsi="Times New Roman" w:cs="Times New Roman"/>
              </w:rPr>
            </w:pPr>
          </w:p>
          <w:p w14:paraId="60F640D4" w14:textId="77777777" w:rsidR="008434C3" w:rsidRPr="00E021C1" w:rsidRDefault="008434C3">
            <w:pPr>
              <w:pStyle w:val="BodyA"/>
              <w:rPr>
                <w:rFonts w:ascii="Times New Roman" w:hAnsi="Times New Roman" w:cs="Times New Roman"/>
              </w:rPr>
            </w:pPr>
            <w:r w:rsidRPr="00E021C1">
              <w:rPr>
                <w:rStyle w:val="None"/>
                <w:rFonts w:ascii="Times New Roman" w:hAnsi="Times New Roman" w:cs="Times New Roman"/>
              </w:rPr>
              <w:t>Comments (if any):</w:t>
            </w:r>
          </w:p>
        </w:tc>
      </w:tr>
    </w:tbl>
    <w:p w14:paraId="4CCA970D" w14:textId="77777777" w:rsidR="008434C3" w:rsidRPr="00E021C1" w:rsidRDefault="008434C3" w:rsidP="008434C3">
      <w:pPr>
        <w:pStyle w:val="BodyA"/>
        <w:outlineLvl w:val="0"/>
        <w:rPr>
          <w:rStyle w:val="None"/>
          <w:rFonts w:ascii="Times New Roman" w:hAnsi="Times New Roman" w:cs="Times New Roman"/>
          <w:b/>
          <w:bCs/>
          <w:lang w:val="en-GB"/>
        </w:rPr>
      </w:pPr>
    </w:p>
    <w:p w14:paraId="464DD4C6" w14:textId="77777777" w:rsidR="008434C3" w:rsidRDefault="008434C3" w:rsidP="008434C3">
      <w:pPr>
        <w:pStyle w:val="Heading1"/>
        <w:jc w:val="both"/>
        <w:rPr>
          <w:sz w:val="24"/>
          <w:szCs w:val="24"/>
        </w:rPr>
      </w:pPr>
      <w:bookmarkStart w:id="1" w:name="_Toc48734683"/>
    </w:p>
    <w:p w14:paraId="7D122F36" w14:textId="77777777" w:rsidR="008434C3" w:rsidRDefault="008434C3" w:rsidP="008434C3">
      <w:pPr>
        <w:pStyle w:val="Heading1"/>
        <w:jc w:val="both"/>
        <w:rPr>
          <w:sz w:val="24"/>
          <w:szCs w:val="24"/>
        </w:rPr>
      </w:pPr>
      <w:bookmarkStart w:id="2" w:name="_Hlk127352150"/>
      <w:bookmarkEnd w:id="1"/>
      <w:r w:rsidRPr="00E021C1">
        <w:rPr>
          <w:sz w:val="24"/>
          <w:szCs w:val="24"/>
        </w:rPr>
        <w:t>Key Questions</w:t>
      </w:r>
    </w:p>
    <w:p w14:paraId="3DAA183D" w14:textId="77777777" w:rsidR="008434C3" w:rsidRPr="009571C5" w:rsidRDefault="008434C3" w:rsidP="008434C3"/>
    <w:p w14:paraId="50B3F7F7" w14:textId="09B2932F" w:rsidR="008434C3" w:rsidRPr="00CA6A57" w:rsidRDefault="008434C3" w:rsidP="008434C3">
      <w:pPr>
        <w:numPr>
          <w:ilvl w:val="0"/>
          <w:numId w:val="2"/>
        </w:numPr>
        <w:jc w:val="both"/>
        <w:rPr>
          <w:b/>
          <w:bCs/>
          <w:sz w:val="24"/>
          <w:szCs w:val="24"/>
        </w:rPr>
      </w:pPr>
      <w:r w:rsidRPr="00CA6A57">
        <w:rPr>
          <w:b/>
          <w:bCs/>
          <w:sz w:val="24"/>
          <w:szCs w:val="24"/>
        </w:rPr>
        <w:t xml:space="preserve">What are the major factors that challenge </w:t>
      </w:r>
      <w:r w:rsidRPr="00CA6A57">
        <w:rPr>
          <w:b/>
          <w:bCs/>
          <w:spacing w:val="4"/>
          <w:sz w:val="24"/>
          <w:szCs w:val="24"/>
        </w:rPr>
        <w:t>quantitatively and qualitatively</w:t>
      </w:r>
      <w:r w:rsidRPr="00CA6A57">
        <w:rPr>
          <w:b/>
          <w:bCs/>
          <w:sz w:val="24"/>
          <w:szCs w:val="24"/>
        </w:rPr>
        <w:t xml:space="preserve"> adequate access to food and nutrition in your country and/or community (including external to your country)? Taking into consideration the underlying determinants of health, in what ways do they contribute to health inequities? </w:t>
      </w:r>
    </w:p>
    <w:p w14:paraId="2408B33E" w14:textId="24E92FCD" w:rsidR="008434C3" w:rsidRPr="00CA6A57" w:rsidRDefault="008434C3" w:rsidP="6B7C3E21">
      <w:pPr>
        <w:ind w:left="360"/>
        <w:jc w:val="both"/>
        <w:rPr>
          <w:sz w:val="24"/>
          <w:szCs w:val="24"/>
        </w:rPr>
      </w:pPr>
    </w:p>
    <w:p w14:paraId="1D24A194" w14:textId="645B82D6" w:rsidR="0052327C" w:rsidRPr="00CA6A57" w:rsidRDefault="00161DFA" w:rsidP="009849E2">
      <w:pPr>
        <w:spacing w:line="276" w:lineRule="auto"/>
        <w:ind w:left="360"/>
        <w:jc w:val="both"/>
        <w:rPr>
          <w:i/>
          <w:iCs/>
          <w:sz w:val="22"/>
          <w:szCs w:val="22"/>
        </w:rPr>
      </w:pPr>
      <w:r w:rsidRPr="00CA6A57">
        <w:rPr>
          <w:i/>
          <w:iCs/>
          <w:sz w:val="22"/>
          <w:szCs w:val="22"/>
        </w:rPr>
        <w:t xml:space="preserve">Insufficient </w:t>
      </w:r>
      <w:r w:rsidR="006439D8" w:rsidRPr="00CA6A57">
        <w:rPr>
          <w:i/>
          <w:iCs/>
          <w:sz w:val="22"/>
          <w:szCs w:val="22"/>
        </w:rPr>
        <w:t xml:space="preserve">social spending due to austerity budgeting </w:t>
      </w:r>
    </w:p>
    <w:p w14:paraId="6D3D3902" w14:textId="77777777" w:rsidR="00B304FD" w:rsidRPr="00CA6A57" w:rsidRDefault="003C4C97" w:rsidP="009849E2">
      <w:pPr>
        <w:spacing w:line="276" w:lineRule="auto"/>
        <w:ind w:left="360"/>
        <w:jc w:val="both"/>
        <w:rPr>
          <w:sz w:val="22"/>
          <w:szCs w:val="22"/>
        </w:rPr>
      </w:pPr>
      <w:r w:rsidRPr="00CA6A57">
        <w:rPr>
          <w:sz w:val="22"/>
          <w:szCs w:val="22"/>
        </w:rPr>
        <w:t>The South African government has implemented budget cuts in an effort to reduce public borrowing – budget cuts which are largely targeted toward decreasing social spending. A reduction in social spending disproportionately impacts the most vulnerable, marginalised and poor population groups in South Africa, such as those who rely on social grants</w:t>
      </w:r>
      <w:r w:rsidR="00790F87" w:rsidRPr="00CA6A57">
        <w:rPr>
          <w:sz w:val="22"/>
          <w:szCs w:val="22"/>
        </w:rPr>
        <w:t xml:space="preserve"> or free public services</w:t>
      </w:r>
      <w:r w:rsidRPr="00CA6A57">
        <w:rPr>
          <w:sz w:val="22"/>
          <w:szCs w:val="22"/>
        </w:rPr>
        <w:t xml:space="preserve">. The inevitable consequence of this will be a widening of </w:t>
      </w:r>
      <w:r w:rsidR="00790F87" w:rsidRPr="00CA6A57">
        <w:rPr>
          <w:sz w:val="22"/>
          <w:szCs w:val="22"/>
        </w:rPr>
        <w:t xml:space="preserve">already vast levels of inequality. </w:t>
      </w:r>
    </w:p>
    <w:p w14:paraId="646987A7" w14:textId="77777777" w:rsidR="00B304FD" w:rsidRPr="00CA6A57" w:rsidRDefault="00B304FD" w:rsidP="009849E2">
      <w:pPr>
        <w:spacing w:line="276" w:lineRule="auto"/>
        <w:ind w:left="360"/>
        <w:jc w:val="both"/>
        <w:rPr>
          <w:sz w:val="22"/>
          <w:szCs w:val="22"/>
        </w:rPr>
      </w:pPr>
    </w:p>
    <w:p w14:paraId="0918922F" w14:textId="12F9EAFA" w:rsidR="6B014533" w:rsidRDefault="6B014533" w:rsidP="0F50C4BB">
      <w:pPr>
        <w:spacing w:line="276" w:lineRule="auto"/>
        <w:ind w:left="360"/>
        <w:jc w:val="both"/>
        <w:rPr>
          <w:rFonts w:eastAsiaTheme="minorEastAsia"/>
          <w:color w:val="000000" w:themeColor="text1"/>
          <w:sz w:val="22"/>
          <w:szCs w:val="22"/>
          <w:lang w:val="en-US" w:eastAsia="en-ZA"/>
        </w:rPr>
      </w:pPr>
      <w:r w:rsidRPr="0F50C4BB">
        <w:rPr>
          <w:rFonts w:eastAsiaTheme="minorEastAsia"/>
          <w:color w:val="000000" w:themeColor="text1"/>
          <w:sz w:val="22"/>
          <w:szCs w:val="22"/>
          <w:lang w:val="en-US" w:eastAsia="en-ZA"/>
        </w:rPr>
        <w:t xml:space="preserve">Despite </w:t>
      </w:r>
      <w:r w:rsidRPr="0F50C4BB">
        <w:rPr>
          <w:rFonts w:eastAsiaTheme="minorEastAsia"/>
          <w:sz w:val="22"/>
          <w:szCs w:val="22"/>
          <w:lang w:val="en-US" w:eastAsia="en-ZA"/>
        </w:rPr>
        <w:t>55% of South Africans living below the poverty line</w:t>
      </w:r>
      <w:r w:rsidRPr="0F50C4BB">
        <w:rPr>
          <w:rFonts w:eastAsiaTheme="minorEastAsia"/>
          <w:color w:val="000000" w:themeColor="text1"/>
          <w:sz w:val="22"/>
          <w:szCs w:val="22"/>
          <w:lang w:val="en-US" w:eastAsia="en-ZA"/>
        </w:rPr>
        <w:t>,</w:t>
      </w:r>
      <w:r w:rsidRPr="0F50C4BB">
        <w:rPr>
          <w:rStyle w:val="FootnoteReference"/>
          <w:rFonts w:eastAsiaTheme="minorEastAsia"/>
          <w:color w:val="000000" w:themeColor="text1"/>
          <w:sz w:val="22"/>
          <w:szCs w:val="22"/>
          <w:lang w:val="en-US" w:eastAsia="en-ZA"/>
        </w:rPr>
        <w:footnoteReference w:id="2"/>
      </w:r>
      <w:r w:rsidRPr="0F50C4BB">
        <w:rPr>
          <w:rFonts w:eastAsiaTheme="minorEastAsia"/>
          <w:color w:val="000000" w:themeColor="text1"/>
          <w:sz w:val="22"/>
          <w:szCs w:val="22"/>
          <w:lang w:val="en-US" w:eastAsia="en-ZA"/>
        </w:rPr>
        <w:t xml:space="preserve"> and the huge number of ECD institutions who cater to learners from poor families, “</w:t>
      </w:r>
      <w:r w:rsidRPr="0F50C4BB">
        <w:rPr>
          <w:rFonts w:eastAsiaTheme="minorEastAsia"/>
          <w:sz w:val="22"/>
          <w:szCs w:val="22"/>
          <w:lang w:val="en-US" w:eastAsia="en-ZA"/>
        </w:rPr>
        <w:t>only 33% of early learning programmes, or 668 518 children, received the subsidy in 2021</w:t>
      </w:r>
      <w:r w:rsidRPr="0F50C4BB">
        <w:rPr>
          <w:rStyle w:val="Hyperlink"/>
          <w:rFonts w:eastAsiaTheme="minorEastAsia"/>
          <w:color w:val="auto"/>
          <w:sz w:val="22"/>
          <w:szCs w:val="22"/>
          <w:u w:val="none"/>
          <w:lang w:val="en-US" w:eastAsia="en-ZA"/>
        </w:rPr>
        <w:t>.</w:t>
      </w:r>
      <w:r w:rsidRPr="0F50C4BB">
        <w:rPr>
          <w:rFonts w:eastAsiaTheme="minorEastAsia"/>
          <w:color w:val="000000" w:themeColor="text1"/>
          <w:sz w:val="22"/>
          <w:szCs w:val="22"/>
          <w:lang w:val="en-US" w:eastAsia="en-ZA"/>
        </w:rPr>
        <w:t>”</w:t>
      </w:r>
      <w:r w:rsidRPr="0F50C4BB">
        <w:rPr>
          <w:rStyle w:val="FootnoteReference"/>
          <w:rFonts w:eastAsiaTheme="minorEastAsia"/>
          <w:color w:val="000000" w:themeColor="text1"/>
          <w:sz w:val="22"/>
          <w:szCs w:val="22"/>
          <w:lang w:val="en-US" w:eastAsia="en-ZA"/>
        </w:rPr>
        <w:footnoteReference w:id="3"/>
      </w:r>
      <w:r w:rsidRPr="0F50C4BB">
        <w:rPr>
          <w:rFonts w:eastAsiaTheme="minorEastAsia"/>
          <w:color w:val="000000" w:themeColor="text1"/>
          <w:sz w:val="22"/>
          <w:szCs w:val="22"/>
          <w:lang w:val="en-US" w:eastAsia="en-ZA"/>
        </w:rPr>
        <w:t xml:space="preserve"> There are nearly seven million young children in South Africa who are of ECD-going age (excluding Grade R), and approximately 60% (4.2 million) of these children live in poverty. Of the 7 million ch</w:t>
      </w:r>
      <w:r w:rsidR="5B1CFD27" w:rsidRPr="0F50C4BB">
        <w:rPr>
          <w:rFonts w:eastAsiaTheme="minorEastAsia"/>
          <w:color w:val="000000" w:themeColor="text1"/>
          <w:sz w:val="22"/>
          <w:szCs w:val="22"/>
          <w:lang w:val="en-US" w:eastAsia="en-ZA"/>
        </w:rPr>
        <w:t>ildren of ECD-going age</w:t>
      </w:r>
      <w:r w:rsidRPr="0F50C4BB">
        <w:rPr>
          <w:rFonts w:eastAsiaTheme="minorEastAsia"/>
          <w:color w:val="000000" w:themeColor="text1"/>
          <w:sz w:val="22"/>
          <w:szCs w:val="22"/>
          <w:lang w:val="en-US" w:eastAsia="en-ZA"/>
        </w:rPr>
        <w:t xml:space="preserve">, 3.2 million are not in any form of ECD programme, and of those who do have access to ELPs, 2.9 million children are in unregistered programmes – only 11% (800 654) children attend registered ELPs. For those learners who are lucky enough to benefit from State ECD subsidies – only 25% of children who need it - meals provided by ECD institutions can sometimes be their main and most stable source of nutrition.  </w:t>
      </w:r>
    </w:p>
    <w:p w14:paraId="43A32F61" w14:textId="0D11F574" w:rsidR="0F50C4BB" w:rsidRDefault="0F50C4BB" w:rsidP="0F50C4BB">
      <w:pPr>
        <w:spacing w:line="276" w:lineRule="auto"/>
        <w:ind w:left="360"/>
        <w:jc w:val="both"/>
        <w:rPr>
          <w:sz w:val="22"/>
          <w:szCs w:val="22"/>
        </w:rPr>
      </w:pPr>
    </w:p>
    <w:p w14:paraId="375634D6" w14:textId="220E0409" w:rsidR="003C5974" w:rsidRPr="00CA6A57" w:rsidRDefault="00B26428" w:rsidP="0F50C4BB">
      <w:pPr>
        <w:spacing w:line="276" w:lineRule="auto"/>
        <w:ind w:left="360"/>
        <w:jc w:val="both"/>
        <w:rPr>
          <w:rFonts w:eastAsiaTheme="minorEastAsia"/>
          <w:color w:val="000000"/>
          <w:kern w:val="24"/>
          <w:sz w:val="22"/>
          <w:szCs w:val="22"/>
          <w:lang w:val="en-US" w:eastAsia="en-ZA"/>
        </w:rPr>
      </w:pPr>
      <w:r w:rsidRPr="00CA6A57">
        <w:rPr>
          <w:sz w:val="22"/>
          <w:szCs w:val="22"/>
        </w:rPr>
        <w:t xml:space="preserve">While funding for Early Childhood Development </w:t>
      </w:r>
      <w:r w:rsidR="005E46B7" w:rsidRPr="00CA6A57">
        <w:rPr>
          <w:sz w:val="22"/>
          <w:szCs w:val="22"/>
        </w:rPr>
        <w:t>(ECD) sector has shown some signs of improvement, t</w:t>
      </w:r>
      <w:r w:rsidR="00790F87" w:rsidRPr="00CA6A57">
        <w:rPr>
          <w:sz w:val="22"/>
          <w:szCs w:val="22"/>
        </w:rPr>
        <w:t xml:space="preserve">he per child </w:t>
      </w:r>
      <w:r w:rsidR="007F16D9" w:rsidRPr="00CA6A57">
        <w:rPr>
          <w:sz w:val="22"/>
          <w:szCs w:val="22"/>
        </w:rPr>
        <w:t xml:space="preserve">per day </w:t>
      </w:r>
      <w:r w:rsidR="00790F87" w:rsidRPr="00CA6A57">
        <w:rPr>
          <w:sz w:val="22"/>
          <w:szCs w:val="22"/>
        </w:rPr>
        <w:t>subsidy</w:t>
      </w:r>
      <w:r w:rsidR="007F16D9" w:rsidRPr="00CA6A57">
        <w:rPr>
          <w:sz w:val="22"/>
          <w:szCs w:val="22"/>
        </w:rPr>
        <w:t>, which is meant to support access to ECD services for learners from low-income families,</w:t>
      </w:r>
      <w:r w:rsidR="00790F87" w:rsidRPr="00CA6A57">
        <w:rPr>
          <w:sz w:val="22"/>
          <w:szCs w:val="22"/>
        </w:rPr>
        <w:t xml:space="preserve"> has not increased in nominal terms since 2019, at </w:t>
      </w:r>
      <w:r w:rsidR="00790F87" w:rsidRPr="00617912">
        <w:rPr>
          <w:sz w:val="22"/>
          <w:szCs w:val="22"/>
        </w:rPr>
        <w:t>R17 per child per day for ECD centres and R6 for non-centre based programmes</w:t>
      </w:r>
      <w:r w:rsidR="00790F87" w:rsidRPr="00CA6A57">
        <w:rPr>
          <w:sz w:val="22"/>
          <w:szCs w:val="22"/>
        </w:rPr>
        <w:t>.</w:t>
      </w:r>
      <w:r w:rsidR="00463E86">
        <w:rPr>
          <w:rStyle w:val="FootnoteReference"/>
          <w:sz w:val="22"/>
          <w:szCs w:val="22"/>
        </w:rPr>
        <w:footnoteReference w:id="4"/>
      </w:r>
      <w:r w:rsidR="00790F87" w:rsidRPr="00CA6A57">
        <w:rPr>
          <w:sz w:val="22"/>
          <w:szCs w:val="22"/>
        </w:rPr>
        <w:t xml:space="preserve"> This means that in real terms, taking inflation</w:t>
      </w:r>
      <w:r w:rsidR="00B304FD" w:rsidRPr="00CA6A57">
        <w:rPr>
          <w:sz w:val="22"/>
          <w:szCs w:val="22"/>
        </w:rPr>
        <w:t xml:space="preserve"> into account</w:t>
      </w:r>
      <w:r w:rsidR="00790F87" w:rsidRPr="00CA6A57">
        <w:rPr>
          <w:sz w:val="22"/>
          <w:szCs w:val="22"/>
        </w:rPr>
        <w:t>, th</w:t>
      </w:r>
      <w:r w:rsidR="00B304FD" w:rsidRPr="00CA6A57">
        <w:rPr>
          <w:sz w:val="22"/>
          <w:szCs w:val="22"/>
        </w:rPr>
        <w:t>is</w:t>
      </w:r>
      <w:r w:rsidR="00790F87" w:rsidRPr="00CA6A57">
        <w:rPr>
          <w:sz w:val="22"/>
          <w:szCs w:val="22"/>
        </w:rPr>
        <w:t xml:space="preserve"> already </w:t>
      </w:r>
      <w:r w:rsidR="005E46B7" w:rsidRPr="00CA6A57">
        <w:rPr>
          <w:sz w:val="22"/>
          <w:szCs w:val="22"/>
        </w:rPr>
        <w:t xml:space="preserve">wholly </w:t>
      </w:r>
      <w:r w:rsidR="00B304FD" w:rsidRPr="00CA6A57">
        <w:rPr>
          <w:sz w:val="22"/>
          <w:szCs w:val="22"/>
        </w:rPr>
        <w:t xml:space="preserve">inadequate </w:t>
      </w:r>
      <w:r w:rsidR="00790F87" w:rsidRPr="00CA6A57">
        <w:rPr>
          <w:sz w:val="22"/>
          <w:szCs w:val="22"/>
        </w:rPr>
        <w:t xml:space="preserve">subsidy has actually </w:t>
      </w:r>
      <w:r w:rsidR="00790F87" w:rsidRPr="0F50C4BB">
        <w:rPr>
          <w:i/>
          <w:iCs/>
          <w:sz w:val="22"/>
          <w:szCs w:val="22"/>
        </w:rPr>
        <w:t>decreased</w:t>
      </w:r>
      <w:r w:rsidR="00790F87" w:rsidRPr="00CA6A57">
        <w:rPr>
          <w:sz w:val="22"/>
          <w:szCs w:val="22"/>
        </w:rPr>
        <w:t>.</w:t>
      </w:r>
      <w:r w:rsidR="005E46B7" w:rsidRPr="00CA6A57">
        <w:rPr>
          <w:rStyle w:val="FootnoteReference"/>
          <w:sz w:val="22"/>
          <w:szCs w:val="22"/>
        </w:rPr>
        <w:footnoteReference w:id="5"/>
      </w:r>
      <w:r w:rsidR="00790F87" w:rsidRPr="00CA6A57">
        <w:rPr>
          <w:sz w:val="22"/>
          <w:szCs w:val="22"/>
        </w:rPr>
        <w:t xml:space="preserve"> Aside from covering the costs of staff, rent and equipment, this subsidy </w:t>
      </w:r>
      <w:r w:rsidR="009A19F0">
        <w:rPr>
          <w:sz w:val="22"/>
          <w:szCs w:val="22"/>
        </w:rPr>
        <w:t>also</w:t>
      </w:r>
      <w:r w:rsidR="00790F87" w:rsidRPr="00CA6A57">
        <w:rPr>
          <w:sz w:val="22"/>
          <w:szCs w:val="22"/>
        </w:rPr>
        <w:t xml:space="preserve"> cover</w:t>
      </w:r>
      <w:r w:rsidR="009A19F0">
        <w:rPr>
          <w:sz w:val="22"/>
          <w:szCs w:val="22"/>
        </w:rPr>
        <w:t>s</w:t>
      </w:r>
      <w:r w:rsidR="00790F87" w:rsidRPr="00CA6A57">
        <w:rPr>
          <w:sz w:val="22"/>
          <w:szCs w:val="22"/>
        </w:rPr>
        <w:t xml:space="preserve"> food for learners</w:t>
      </w:r>
      <w:r w:rsidR="5B258EB6" w:rsidRPr="00CA6A57">
        <w:rPr>
          <w:sz w:val="22"/>
          <w:szCs w:val="22"/>
        </w:rPr>
        <w:t xml:space="preserve"> – only 50% of this subsidy can be allocated to food, which amounts to R8.50 per day. </w:t>
      </w:r>
      <w:r w:rsidR="322C9033" w:rsidRPr="00CA6A57">
        <w:rPr>
          <w:sz w:val="22"/>
          <w:szCs w:val="22"/>
        </w:rPr>
        <w:t xml:space="preserve">The inadequacy of this subsidy is further highlighted when considering that many </w:t>
      </w:r>
      <w:r w:rsidR="0B468086" w:rsidRPr="00CA6A57">
        <w:rPr>
          <w:sz w:val="22"/>
          <w:szCs w:val="22"/>
        </w:rPr>
        <w:t>learners in Early Learning Programmes (ELPs) attend centres from 7am to 6pm,</w:t>
      </w:r>
      <w:r w:rsidR="5D8198C3" w:rsidRPr="00CA6A57">
        <w:rPr>
          <w:sz w:val="22"/>
          <w:szCs w:val="22"/>
        </w:rPr>
        <w:t xml:space="preserve"> and that</w:t>
      </w:r>
      <w:r w:rsidR="0B468086" w:rsidRPr="00CA6A57">
        <w:rPr>
          <w:sz w:val="22"/>
          <w:szCs w:val="22"/>
        </w:rPr>
        <w:t xml:space="preserve"> this R8.50 subsidy is expected to cover the cost of food for learners</w:t>
      </w:r>
      <w:r w:rsidR="50B2BCFB" w:rsidRPr="00CA6A57">
        <w:rPr>
          <w:sz w:val="22"/>
          <w:szCs w:val="22"/>
        </w:rPr>
        <w:t xml:space="preserve"> for the entire day.</w:t>
      </w:r>
      <w:r w:rsidR="00790F87" w:rsidRPr="00CA6A57">
        <w:rPr>
          <w:sz w:val="22"/>
          <w:szCs w:val="22"/>
        </w:rPr>
        <w:t xml:space="preserve"> </w:t>
      </w:r>
      <w:r w:rsidR="00B304FD" w:rsidRPr="00CA6A57">
        <w:rPr>
          <w:sz w:val="22"/>
          <w:szCs w:val="22"/>
        </w:rPr>
        <w:t>According to the Budget Justice Coalition, “</w:t>
      </w:r>
      <w:r w:rsidR="00B304FD" w:rsidRPr="0F50C4BB">
        <w:rPr>
          <w:rFonts w:eastAsiaTheme="minorEastAsia"/>
          <w:color w:val="000000"/>
          <w:kern w:val="24"/>
          <w:sz w:val="22"/>
          <w:szCs w:val="22"/>
          <w:lang w:val="en-US" w:eastAsia="en-ZA"/>
        </w:rPr>
        <w:t>Erosion of its real value at a time when food inflation is as high as 13% will likely translate into reduced nutritional support for children under 5 years of age - the group most in need of adequate nutrition to prevent malnutrition and stunting.”</w:t>
      </w:r>
      <w:r w:rsidR="002C140A" w:rsidRPr="0F50C4BB">
        <w:rPr>
          <w:rStyle w:val="FootnoteReference"/>
          <w:rFonts w:eastAsiaTheme="minorEastAsia"/>
          <w:color w:val="000000"/>
          <w:kern w:val="24"/>
          <w:sz w:val="22"/>
          <w:szCs w:val="22"/>
          <w:lang w:val="en-US" w:eastAsia="en-ZA"/>
        </w:rPr>
        <w:footnoteReference w:id="6"/>
      </w:r>
      <w:r w:rsidR="007F16D9" w:rsidRPr="0F50C4BB">
        <w:rPr>
          <w:rFonts w:eastAsiaTheme="minorEastAsia"/>
          <w:color w:val="000000"/>
          <w:kern w:val="24"/>
          <w:sz w:val="22"/>
          <w:szCs w:val="22"/>
          <w:lang w:val="en-US" w:eastAsia="en-ZA"/>
        </w:rPr>
        <w:t xml:space="preserve"> </w:t>
      </w:r>
    </w:p>
    <w:p w14:paraId="10B6BA4A" w14:textId="300310F1" w:rsidR="00B26428" w:rsidRPr="00CA6A57" w:rsidRDefault="00B26428" w:rsidP="0F50C4BB">
      <w:pPr>
        <w:spacing w:line="276" w:lineRule="auto"/>
        <w:ind w:left="360"/>
        <w:jc w:val="both"/>
        <w:rPr>
          <w:rFonts w:eastAsiaTheme="minorEastAsia"/>
          <w:color w:val="000000"/>
          <w:kern w:val="24"/>
          <w:sz w:val="22"/>
          <w:szCs w:val="22"/>
          <w:lang w:val="en-US" w:eastAsia="en-ZA"/>
        </w:rPr>
      </w:pPr>
    </w:p>
    <w:p w14:paraId="3F48B33C" w14:textId="1596036F" w:rsidR="00790F87" w:rsidRDefault="003C5974" w:rsidP="009849E2">
      <w:pPr>
        <w:spacing w:line="276" w:lineRule="auto"/>
        <w:ind w:left="360"/>
        <w:jc w:val="both"/>
        <w:rPr>
          <w:rFonts w:eastAsiaTheme="minorEastAsia"/>
          <w:color w:val="000000"/>
          <w:kern w:val="24"/>
          <w:sz w:val="22"/>
          <w:szCs w:val="22"/>
          <w:lang w:val="en-US" w:eastAsia="en-ZA"/>
        </w:rPr>
      </w:pPr>
      <w:r w:rsidRPr="00CA6A57">
        <w:rPr>
          <w:rFonts w:eastAsiaTheme="minorEastAsia"/>
          <w:color w:val="000000"/>
          <w:kern w:val="24"/>
          <w:sz w:val="22"/>
          <w:szCs w:val="22"/>
          <w:lang w:val="en-US" w:eastAsia="en-ZA"/>
        </w:rPr>
        <w:t>Similarly, many school going children in public primary and secondary education systems rely on the National School Nutrition Programme (</w:t>
      </w:r>
      <w:r w:rsidR="00B26428" w:rsidRPr="00CA6A57">
        <w:rPr>
          <w:rFonts w:eastAsiaTheme="minorEastAsia"/>
          <w:color w:val="000000"/>
          <w:kern w:val="24"/>
          <w:sz w:val="22"/>
          <w:szCs w:val="22"/>
          <w:lang w:val="en-US" w:eastAsia="en-ZA"/>
        </w:rPr>
        <w:t>NSNP</w:t>
      </w:r>
      <w:r w:rsidRPr="00CA6A57">
        <w:rPr>
          <w:rFonts w:eastAsiaTheme="minorEastAsia"/>
          <w:color w:val="000000"/>
          <w:kern w:val="24"/>
          <w:sz w:val="22"/>
          <w:szCs w:val="22"/>
          <w:lang w:val="en-US" w:eastAsia="en-ZA"/>
        </w:rPr>
        <w:t>)</w:t>
      </w:r>
      <w:r w:rsidR="007B66BD" w:rsidRPr="00CA6A57">
        <w:rPr>
          <w:rFonts w:eastAsiaTheme="minorEastAsia"/>
          <w:color w:val="000000"/>
          <w:kern w:val="24"/>
          <w:sz w:val="22"/>
          <w:szCs w:val="22"/>
          <w:lang w:val="en-US" w:eastAsia="en-ZA"/>
        </w:rPr>
        <w:t xml:space="preserve"> as their main or even sole source of nutrition. The NSNP</w:t>
      </w:r>
      <w:r w:rsidRPr="00CA6A57">
        <w:rPr>
          <w:rFonts w:eastAsiaTheme="minorEastAsia"/>
          <w:color w:val="000000"/>
          <w:kern w:val="24"/>
          <w:sz w:val="22"/>
          <w:szCs w:val="22"/>
          <w:lang w:val="en-US" w:eastAsia="en-ZA"/>
        </w:rPr>
        <w:t xml:space="preserve"> provides school </w:t>
      </w:r>
      <w:r w:rsidR="0033797E">
        <w:rPr>
          <w:rFonts w:eastAsiaTheme="minorEastAsia"/>
          <w:color w:val="000000"/>
          <w:kern w:val="24"/>
          <w:sz w:val="22"/>
          <w:szCs w:val="22"/>
          <w:lang w:val="en-US" w:eastAsia="en-ZA"/>
        </w:rPr>
        <w:t>meals</w:t>
      </w:r>
      <w:r w:rsidR="007B66BD" w:rsidRPr="00CA6A57">
        <w:rPr>
          <w:rFonts w:eastAsiaTheme="minorEastAsia"/>
          <w:color w:val="000000"/>
          <w:kern w:val="24"/>
          <w:sz w:val="22"/>
          <w:szCs w:val="22"/>
          <w:lang w:val="en-US" w:eastAsia="en-ZA"/>
        </w:rPr>
        <w:t xml:space="preserve"> to over 9 million learners in under-resourced schools</w:t>
      </w:r>
      <w:r w:rsidRPr="00CA6A57">
        <w:rPr>
          <w:rFonts w:eastAsiaTheme="minorEastAsia"/>
          <w:color w:val="000000"/>
          <w:kern w:val="24"/>
          <w:sz w:val="22"/>
          <w:szCs w:val="22"/>
          <w:lang w:val="en-US" w:eastAsia="en-ZA"/>
        </w:rPr>
        <w:t>. In 2023, the budget for the NSNP increased by 9.1%. This is above the headline CPI, with National Treasury declaring a food inflation rate of 7%. However, StatsSA</w:t>
      </w:r>
      <w:r w:rsidR="00417C32" w:rsidRPr="00CA6A57">
        <w:rPr>
          <w:rFonts w:eastAsiaTheme="minorEastAsia"/>
          <w:color w:val="000000"/>
          <w:kern w:val="24"/>
          <w:sz w:val="22"/>
          <w:szCs w:val="22"/>
          <w:lang w:val="en-US" w:eastAsia="en-ZA"/>
        </w:rPr>
        <w:t xml:space="preserve"> -- </w:t>
      </w:r>
      <w:r w:rsidR="007B66BD" w:rsidRPr="00CA6A57">
        <w:rPr>
          <w:rFonts w:eastAsiaTheme="minorEastAsia"/>
          <w:color w:val="000000"/>
          <w:kern w:val="24"/>
          <w:sz w:val="22"/>
          <w:szCs w:val="22"/>
          <w:lang w:val="en-US" w:eastAsia="en-ZA"/>
        </w:rPr>
        <w:t>the national statistical service of South Africa</w:t>
      </w:r>
      <w:r w:rsidR="00417C32" w:rsidRPr="00CA6A57">
        <w:rPr>
          <w:rFonts w:eastAsiaTheme="minorEastAsia"/>
          <w:color w:val="000000"/>
          <w:kern w:val="24"/>
          <w:sz w:val="22"/>
          <w:szCs w:val="22"/>
          <w:lang w:val="en-US" w:eastAsia="en-ZA"/>
        </w:rPr>
        <w:t xml:space="preserve"> – </w:t>
      </w:r>
      <w:r w:rsidR="007B66BD" w:rsidRPr="00CA6A57">
        <w:rPr>
          <w:rFonts w:eastAsiaTheme="minorEastAsia"/>
          <w:color w:val="000000"/>
          <w:kern w:val="24"/>
          <w:sz w:val="22"/>
          <w:szCs w:val="22"/>
          <w:lang w:val="en-US" w:eastAsia="en-ZA"/>
        </w:rPr>
        <w:t>record</w:t>
      </w:r>
      <w:r w:rsidR="00417C32" w:rsidRPr="00CA6A57">
        <w:rPr>
          <w:rFonts w:eastAsiaTheme="minorEastAsia"/>
          <w:color w:val="000000"/>
          <w:kern w:val="24"/>
          <w:sz w:val="22"/>
          <w:szCs w:val="22"/>
          <w:lang w:val="en-US" w:eastAsia="en-ZA"/>
        </w:rPr>
        <w:t>ed</w:t>
      </w:r>
      <w:r w:rsidR="007B66BD" w:rsidRPr="00CA6A57">
        <w:rPr>
          <w:rFonts w:eastAsiaTheme="minorEastAsia"/>
          <w:color w:val="000000"/>
          <w:kern w:val="24"/>
          <w:sz w:val="22"/>
          <w:szCs w:val="22"/>
          <w:lang w:val="en-US" w:eastAsia="en-ZA"/>
        </w:rPr>
        <w:t xml:space="preserve"> a 13.8% increase in food prices.</w:t>
      </w:r>
      <w:r w:rsidR="00FE777A">
        <w:rPr>
          <w:rStyle w:val="FootnoteReference"/>
          <w:rFonts w:eastAsiaTheme="minorEastAsia"/>
          <w:color w:val="000000"/>
          <w:kern w:val="24"/>
          <w:sz w:val="22"/>
          <w:szCs w:val="22"/>
          <w:lang w:val="en-US" w:eastAsia="en-ZA"/>
        </w:rPr>
        <w:footnoteReference w:id="7"/>
      </w:r>
      <w:r w:rsidR="007B66BD" w:rsidRPr="00CA6A57">
        <w:rPr>
          <w:rFonts w:eastAsiaTheme="minorEastAsia"/>
          <w:color w:val="000000"/>
          <w:kern w:val="24"/>
          <w:sz w:val="22"/>
          <w:szCs w:val="22"/>
          <w:lang w:val="en-US" w:eastAsia="en-ZA"/>
        </w:rPr>
        <w:t xml:space="preserve"> The consequence of the NSNP budget not rising in accordance with food prices is that the quality and/or quantity of food provided to learners is likely to decrease.</w:t>
      </w:r>
    </w:p>
    <w:p w14:paraId="75A62F55" w14:textId="77777777" w:rsidR="003B187D" w:rsidRDefault="003B187D" w:rsidP="009849E2">
      <w:pPr>
        <w:spacing w:line="276" w:lineRule="auto"/>
        <w:ind w:left="360"/>
        <w:jc w:val="both"/>
        <w:rPr>
          <w:rFonts w:eastAsiaTheme="minorEastAsia"/>
          <w:color w:val="000000"/>
          <w:kern w:val="24"/>
          <w:sz w:val="22"/>
          <w:szCs w:val="22"/>
          <w:lang w:val="en-US" w:eastAsia="en-ZA"/>
        </w:rPr>
      </w:pPr>
    </w:p>
    <w:p w14:paraId="28496FC0" w14:textId="4C3F8764" w:rsidR="00735086" w:rsidRDefault="00164B2D" w:rsidP="2A760153">
      <w:pPr>
        <w:spacing w:line="276" w:lineRule="auto"/>
        <w:ind w:left="360"/>
        <w:jc w:val="both"/>
        <w:rPr>
          <w:sz w:val="22"/>
          <w:szCs w:val="22"/>
        </w:rPr>
      </w:pPr>
      <w:r w:rsidRPr="6B7C3E21">
        <w:rPr>
          <w:sz w:val="22"/>
          <w:szCs w:val="22"/>
        </w:rPr>
        <w:t>The purpose of feeding schemes in learning institutions is to augment a child’s nutrition, and not to provide their sole or main source of nutrition. Unfortunately, the latter is frequently the case</w:t>
      </w:r>
      <w:r>
        <w:rPr>
          <w:sz w:val="22"/>
          <w:szCs w:val="22"/>
        </w:rPr>
        <w:t xml:space="preserve">. </w:t>
      </w:r>
    </w:p>
    <w:p w14:paraId="3F6C7878" w14:textId="77777777" w:rsidR="007E6BA5" w:rsidRDefault="007E6BA5" w:rsidP="2A760153">
      <w:pPr>
        <w:spacing w:line="276" w:lineRule="auto"/>
        <w:ind w:left="360"/>
        <w:jc w:val="both"/>
        <w:rPr>
          <w:sz w:val="22"/>
          <w:szCs w:val="22"/>
        </w:rPr>
      </w:pPr>
    </w:p>
    <w:p w14:paraId="2557A220" w14:textId="77777777" w:rsidR="007E6BA5" w:rsidRDefault="007E6BA5" w:rsidP="2A760153">
      <w:pPr>
        <w:spacing w:line="276" w:lineRule="auto"/>
        <w:ind w:left="360"/>
        <w:jc w:val="both"/>
        <w:rPr>
          <w:sz w:val="22"/>
          <w:szCs w:val="22"/>
        </w:rPr>
      </w:pPr>
    </w:p>
    <w:p w14:paraId="6F993EFB" w14:textId="77777777" w:rsidR="007E6BA5" w:rsidRDefault="007E6BA5" w:rsidP="2A760153">
      <w:pPr>
        <w:spacing w:line="276" w:lineRule="auto"/>
        <w:ind w:left="360"/>
        <w:jc w:val="both"/>
        <w:rPr>
          <w:sz w:val="22"/>
          <w:szCs w:val="22"/>
        </w:rPr>
      </w:pPr>
    </w:p>
    <w:p w14:paraId="0101A007" w14:textId="77777777" w:rsidR="007E6BA5" w:rsidRDefault="007E6BA5" w:rsidP="2A760153">
      <w:pPr>
        <w:spacing w:line="276" w:lineRule="auto"/>
        <w:ind w:left="360"/>
        <w:jc w:val="both"/>
        <w:rPr>
          <w:i/>
          <w:iCs/>
          <w:sz w:val="22"/>
          <w:szCs w:val="22"/>
        </w:rPr>
      </w:pPr>
    </w:p>
    <w:p w14:paraId="4EF06E1D" w14:textId="77777777" w:rsidR="00735086" w:rsidRDefault="00735086" w:rsidP="2A760153">
      <w:pPr>
        <w:spacing w:line="276" w:lineRule="auto"/>
        <w:ind w:left="360"/>
        <w:jc w:val="both"/>
        <w:rPr>
          <w:i/>
          <w:iCs/>
          <w:sz w:val="22"/>
          <w:szCs w:val="22"/>
        </w:rPr>
      </w:pPr>
    </w:p>
    <w:p w14:paraId="69E8A530" w14:textId="4FFDF048" w:rsidR="007630A5" w:rsidRPr="00CA6A57" w:rsidRDefault="009849E2" w:rsidP="2A760153">
      <w:pPr>
        <w:spacing w:line="276" w:lineRule="auto"/>
        <w:ind w:left="360"/>
        <w:jc w:val="both"/>
        <w:rPr>
          <w:i/>
          <w:iCs/>
          <w:sz w:val="22"/>
          <w:szCs w:val="22"/>
        </w:rPr>
      </w:pPr>
      <w:r w:rsidRPr="2A760153">
        <w:rPr>
          <w:i/>
          <w:iCs/>
          <w:sz w:val="22"/>
          <w:szCs w:val="22"/>
        </w:rPr>
        <w:t>In</w:t>
      </w:r>
      <w:r w:rsidR="001149AF" w:rsidRPr="2A760153">
        <w:rPr>
          <w:i/>
          <w:iCs/>
          <w:sz w:val="22"/>
          <w:szCs w:val="22"/>
        </w:rPr>
        <w:t>adequa</w:t>
      </w:r>
      <w:r w:rsidR="00161DFA" w:rsidRPr="2A760153">
        <w:rPr>
          <w:i/>
          <w:iCs/>
          <w:sz w:val="22"/>
          <w:szCs w:val="22"/>
        </w:rPr>
        <w:t xml:space="preserve">cy of </w:t>
      </w:r>
      <w:r w:rsidR="00417C32" w:rsidRPr="2A760153">
        <w:rPr>
          <w:i/>
          <w:iCs/>
          <w:sz w:val="22"/>
          <w:szCs w:val="22"/>
        </w:rPr>
        <w:t xml:space="preserve">Social </w:t>
      </w:r>
      <w:r w:rsidR="00B26428" w:rsidRPr="2A760153">
        <w:rPr>
          <w:i/>
          <w:iCs/>
          <w:sz w:val="22"/>
          <w:szCs w:val="22"/>
        </w:rPr>
        <w:t>Grant</w:t>
      </w:r>
      <w:r w:rsidR="00417C32" w:rsidRPr="2A760153">
        <w:rPr>
          <w:i/>
          <w:iCs/>
          <w:sz w:val="22"/>
          <w:szCs w:val="22"/>
        </w:rPr>
        <w:t>s</w:t>
      </w:r>
    </w:p>
    <w:p w14:paraId="3BACFFB3" w14:textId="1797BF1F" w:rsidR="007F16D9" w:rsidRDefault="31967EFF" w:rsidP="009849E2">
      <w:pPr>
        <w:spacing w:line="276" w:lineRule="auto"/>
        <w:ind w:left="360"/>
        <w:jc w:val="both"/>
        <w:rPr>
          <w:sz w:val="22"/>
          <w:szCs w:val="22"/>
        </w:rPr>
      </w:pPr>
      <w:r w:rsidRPr="6B7C3E21">
        <w:rPr>
          <w:sz w:val="22"/>
          <w:szCs w:val="22"/>
        </w:rPr>
        <w:t>South Africa has an unemployment rate of 32.7%</w:t>
      </w:r>
      <w:r w:rsidR="00287EB9" w:rsidRPr="6B7C3E21">
        <w:rPr>
          <w:sz w:val="22"/>
          <w:szCs w:val="22"/>
        </w:rPr>
        <w:t xml:space="preserve"> extremely high levels </w:t>
      </w:r>
      <w:r w:rsidR="79D09E2A" w:rsidRPr="6B7C3E21">
        <w:rPr>
          <w:sz w:val="22"/>
          <w:szCs w:val="22"/>
        </w:rPr>
        <w:t xml:space="preserve">and extremely high levels </w:t>
      </w:r>
      <w:r w:rsidR="79D09E2A" w:rsidRPr="00A46C41">
        <w:rPr>
          <w:sz w:val="22"/>
          <w:szCs w:val="22"/>
        </w:rPr>
        <w:t>of</w:t>
      </w:r>
      <w:r w:rsidR="00287EB9" w:rsidRPr="00A46C41">
        <w:rPr>
          <w:sz w:val="22"/>
          <w:szCs w:val="22"/>
        </w:rPr>
        <w:t xml:space="preserve"> poverty</w:t>
      </w:r>
      <w:r w:rsidR="437E02A7" w:rsidRPr="00A46C41">
        <w:rPr>
          <w:sz w:val="22"/>
          <w:szCs w:val="22"/>
        </w:rPr>
        <w:t>.</w:t>
      </w:r>
      <w:r w:rsidR="00A46C41" w:rsidRPr="00A46C41">
        <w:rPr>
          <w:rStyle w:val="FootnoteReference"/>
          <w:sz w:val="22"/>
          <w:szCs w:val="22"/>
        </w:rPr>
        <w:footnoteReference w:id="8"/>
      </w:r>
      <w:r w:rsidR="00287EB9" w:rsidRPr="00A46C41">
        <w:rPr>
          <w:sz w:val="22"/>
          <w:szCs w:val="22"/>
        </w:rPr>
        <w:t xml:space="preserve"> </w:t>
      </w:r>
      <w:r w:rsidR="3C49A12F" w:rsidRPr="00A46C41">
        <w:rPr>
          <w:sz w:val="22"/>
          <w:szCs w:val="22"/>
        </w:rPr>
        <w:t xml:space="preserve">This has a direct impact on food security for children, as </w:t>
      </w:r>
      <w:r w:rsidR="00287EB9" w:rsidRPr="00A46C41">
        <w:rPr>
          <w:sz w:val="22"/>
          <w:szCs w:val="22"/>
        </w:rPr>
        <w:t>many</w:t>
      </w:r>
      <w:r w:rsidR="00287EB9" w:rsidRPr="6B7C3E21">
        <w:rPr>
          <w:sz w:val="22"/>
          <w:szCs w:val="22"/>
        </w:rPr>
        <w:t xml:space="preserve"> </w:t>
      </w:r>
      <w:r w:rsidR="00D36C61" w:rsidRPr="6B7C3E21">
        <w:rPr>
          <w:sz w:val="22"/>
          <w:szCs w:val="22"/>
        </w:rPr>
        <w:t>families rely</w:t>
      </w:r>
      <w:r w:rsidR="00287EB9" w:rsidRPr="6B7C3E21">
        <w:rPr>
          <w:sz w:val="22"/>
          <w:szCs w:val="22"/>
        </w:rPr>
        <w:t xml:space="preserve"> heavily</w:t>
      </w:r>
      <w:r w:rsidR="00D36C61" w:rsidRPr="6B7C3E21">
        <w:rPr>
          <w:sz w:val="22"/>
          <w:szCs w:val="22"/>
        </w:rPr>
        <w:t xml:space="preserve"> on the</w:t>
      </w:r>
      <w:r w:rsidR="5FA8D068" w:rsidRPr="6B7C3E21">
        <w:rPr>
          <w:sz w:val="22"/>
          <w:szCs w:val="22"/>
        </w:rPr>
        <w:t xml:space="preserve"> social welfare provided by the State, like the</w:t>
      </w:r>
      <w:r w:rsidR="00D36C61" w:rsidRPr="6B7C3E21">
        <w:rPr>
          <w:sz w:val="22"/>
          <w:szCs w:val="22"/>
        </w:rPr>
        <w:t xml:space="preserve"> Child Support Grant</w:t>
      </w:r>
      <w:r w:rsidR="009C76EF" w:rsidRPr="6B7C3E21">
        <w:rPr>
          <w:sz w:val="22"/>
          <w:szCs w:val="22"/>
        </w:rPr>
        <w:t xml:space="preserve"> (CSG)</w:t>
      </w:r>
      <w:r w:rsidR="00D36C61" w:rsidRPr="6B7C3E21">
        <w:rPr>
          <w:sz w:val="22"/>
          <w:szCs w:val="22"/>
        </w:rPr>
        <w:t>. Th</w:t>
      </w:r>
      <w:r w:rsidR="3CB97946" w:rsidRPr="6B7C3E21">
        <w:rPr>
          <w:sz w:val="22"/>
          <w:szCs w:val="22"/>
        </w:rPr>
        <w:t>e CSG</w:t>
      </w:r>
      <w:r w:rsidR="00D36C61" w:rsidRPr="6B7C3E21">
        <w:rPr>
          <w:sz w:val="22"/>
          <w:szCs w:val="22"/>
        </w:rPr>
        <w:t xml:space="preserve"> is supposed to cover the cost of food and clothing for a child, but in practice covers neither. There is an increasingly large gap between the CSG and the food poverty line </w:t>
      </w:r>
      <w:r w:rsidR="00287EB9" w:rsidRPr="6B7C3E21">
        <w:rPr>
          <w:sz w:val="22"/>
          <w:szCs w:val="22"/>
        </w:rPr>
        <w:t>(the minimum nutritional requirement)</w:t>
      </w:r>
      <w:r w:rsidR="36D4F62A" w:rsidRPr="6B7C3E21">
        <w:rPr>
          <w:sz w:val="22"/>
          <w:szCs w:val="22"/>
        </w:rPr>
        <w:t xml:space="preserve"> - with the CSG at R500 per month and the food poverty line at R663 per person per month, even if the subsidy was entirely spent on food, it </w:t>
      </w:r>
      <w:r w:rsidR="5FE499DC" w:rsidRPr="6B7C3E21">
        <w:rPr>
          <w:sz w:val="22"/>
          <w:szCs w:val="22"/>
        </w:rPr>
        <w:t>would still not be enough.</w:t>
      </w:r>
      <w:r w:rsidR="03612F62" w:rsidRPr="6B7C3E21">
        <w:rPr>
          <w:sz w:val="22"/>
          <w:szCs w:val="22"/>
        </w:rPr>
        <w:t xml:space="preserve"> </w:t>
      </w:r>
    </w:p>
    <w:p w14:paraId="19C5B792" w14:textId="77777777" w:rsidR="005E5DE2" w:rsidRPr="00CA6A57" w:rsidRDefault="005E5DE2" w:rsidP="009849E2">
      <w:pPr>
        <w:spacing w:line="276" w:lineRule="auto"/>
        <w:ind w:left="360"/>
        <w:jc w:val="both"/>
        <w:rPr>
          <w:sz w:val="22"/>
          <w:szCs w:val="22"/>
        </w:rPr>
      </w:pPr>
    </w:p>
    <w:p w14:paraId="4098CDD6" w14:textId="03B251C7" w:rsidR="00287EB9" w:rsidRDefault="00287EB9" w:rsidP="009849E2">
      <w:pPr>
        <w:spacing w:line="276" w:lineRule="auto"/>
        <w:ind w:left="360"/>
        <w:jc w:val="both"/>
        <w:rPr>
          <w:sz w:val="22"/>
          <w:szCs w:val="22"/>
        </w:rPr>
      </w:pPr>
      <w:r w:rsidRPr="00CA6A57">
        <w:rPr>
          <w:noProof/>
          <w:sz w:val="22"/>
          <w:szCs w:val="22"/>
        </w:rPr>
        <w:drawing>
          <wp:inline distT="0" distB="0" distL="0" distR="0" wp14:anchorId="6AF7FB15" wp14:editId="7655D4DC">
            <wp:extent cx="5400040" cy="3824605"/>
            <wp:effectExtent l="0" t="0" r="0" b="4445"/>
            <wp:docPr id="7" name="Picture 7">
              <a:extLst xmlns:a="http://schemas.openxmlformats.org/drawingml/2006/main">
                <a:ext uri="{FF2B5EF4-FFF2-40B4-BE49-F238E27FC236}">
                  <a16:creationId xmlns:a16="http://schemas.microsoft.com/office/drawing/2014/main" id="{FB9E45E7-C2C9-AEA1-9269-C875E9EB7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B9E45E7-C2C9-AEA1-9269-C875E9EB7E23}"/>
                        </a:ext>
                      </a:extLst>
                    </pic:cNvPr>
                    <pic:cNvPicPr>
                      <a:picLocks noChangeAspect="1"/>
                    </pic:cNvPicPr>
                  </pic:nvPicPr>
                  <pic:blipFill>
                    <a:blip r:embed="rId11"/>
                    <a:stretch>
                      <a:fillRect/>
                    </a:stretch>
                  </pic:blipFill>
                  <pic:spPr>
                    <a:xfrm>
                      <a:off x="0" y="0"/>
                      <a:ext cx="5400040" cy="3824605"/>
                    </a:xfrm>
                    <a:prstGeom prst="rect">
                      <a:avLst/>
                    </a:prstGeom>
                  </pic:spPr>
                </pic:pic>
              </a:graphicData>
            </a:graphic>
          </wp:inline>
        </w:drawing>
      </w:r>
    </w:p>
    <w:p w14:paraId="2DD9E694" w14:textId="6F2E167B" w:rsidR="00FE777A" w:rsidRPr="00FE777A" w:rsidRDefault="00242479" w:rsidP="009849E2">
      <w:pPr>
        <w:spacing w:line="276" w:lineRule="auto"/>
        <w:ind w:left="360"/>
        <w:jc w:val="both"/>
        <w:rPr>
          <w:i/>
          <w:iCs/>
          <w:sz w:val="22"/>
          <w:szCs w:val="22"/>
        </w:rPr>
      </w:pPr>
      <w:r>
        <w:rPr>
          <w:i/>
          <w:iCs/>
          <w:sz w:val="18"/>
          <w:szCs w:val="18"/>
          <w:lang w:val="en-US"/>
        </w:rPr>
        <w:t xml:space="preserve">TABLE 1: </w:t>
      </w:r>
      <w:r w:rsidR="00FE777A" w:rsidRPr="00FE777A">
        <w:rPr>
          <w:i/>
          <w:iCs/>
          <w:sz w:val="18"/>
          <w:szCs w:val="18"/>
          <w:lang w:val="en-US"/>
        </w:rPr>
        <w:t xml:space="preserve">Source: Budget Justice Coalition, ‘FOA Submission on the 2023 MTEF’. </w:t>
      </w:r>
      <w:r w:rsidR="00651D81">
        <w:rPr>
          <w:i/>
          <w:iCs/>
          <w:sz w:val="18"/>
          <w:szCs w:val="18"/>
          <w:lang w:val="en-US"/>
        </w:rPr>
        <w:t>Presen</w:t>
      </w:r>
      <w:r w:rsidR="006B2D22">
        <w:rPr>
          <w:i/>
          <w:iCs/>
          <w:sz w:val="18"/>
          <w:szCs w:val="18"/>
          <w:lang w:val="en-US"/>
        </w:rPr>
        <w:t>ted in the Public Hearings</w:t>
      </w:r>
      <w:r w:rsidR="00FA041B">
        <w:rPr>
          <w:i/>
          <w:iCs/>
          <w:sz w:val="18"/>
          <w:szCs w:val="18"/>
          <w:lang w:val="en-US"/>
        </w:rPr>
        <w:t xml:space="preserve"> on the 2023 Division of Revenue Bill</w:t>
      </w:r>
      <w:r w:rsidR="00173D78">
        <w:rPr>
          <w:i/>
          <w:iCs/>
          <w:sz w:val="18"/>
          <w:szCs w:val="18"/>
          <w:lang w:val="en-US"/>
        </w:rPr>
        <w:t>, 13 March 2023</w:t>
      </w:r>
    </w:p>
    <w:p w14:paraId="6C6F32F7" w14:textId="77777777" w:rsidR="0052327C" w:rsidRPr="00CA6A57" w:rsidRDefault="0052327C" w:rsidP="009849E2">
      <w:pPr>
        <w:spacing w:line="276" w:lineRule="auto"/>
        <w:ind w:left="360"/>
        <w:jc w:val="both"/>
        <w:rPr>
          <w:sz w:val="22"/>
          <w:szCs w:val="22"/>
        </w:rPr>
      </w:pPr>
    </w:p>
    <w:p w14:paraId="65382ACE" w14:textId="476491A7" w:rsidR="00287EB9" w:rsidRPr="00CA6A57" w:rsidRDefault="00287EB9" w:rsidP="009849E2">
      <w:pPr>
        <w:spacing w:line="276" w:lineRule="auto"/>
        <w:ind w:left="360"/>
        <w:jc w:val="both"/>
        <w:rPr>
          <w:sz w:val="22"/>
          <w:szCs w:val="22"/>
        </w:rPr>
      </w:pPr>
      <w:r w:rsidRPr="00CA6A57">
        <w:rPr>
          <w:sz w:val="22"/>
          <w:szCs w:val="22"/>
        </w:rPr>
        <w:t xml:space="preserve">With National Treasury (NT) </w:t>
      </w:r>
      <w:r w:rsidR="00153D33">
        <w:rPr>
          <w:sz w:val="22"/>
          <w:szCs w:val="22"/>
        </w:rPr>
        <w:t>using</w:t>
      </w:r>
      <w:r w:rsidRPr="00CA6A57">
        <w:rPr>
          <w:sz w:val="22"/>
          <w:szCs w:val="22"/>
        </w:rPr>
        <w:t xml:space="preserve"> headline CPI to determine inflationary increases for social grants like the CSG, the way in which inflation unequally impacts the rich and the poor remains unaccounted for.</w:t>
      </w:r>
      <w:r w:rsidR="0099542B">
        <w:rPr>
          <w:rStyle w:val="FootnoteReference"/>
          <w:sz w:val="22"/>
          <w:szCs w:val="22"/>
        </w:rPr>
        <w:footnoteReference w:id="9"/>
      </w:r>
      <w:r w:rsidRPr="00CA6A57">
        <w:rPr>
          <w:sz w:val="22"/>
          <w:szCs w:val="22"/>
        </w:rPr>
        <w:t xml:space="preserve"> </w:t>
      </w:r>
    </w:p>
    <w:p w14:paraId="251BE310" w14:textId="39E2B621" w:rsidR="00287EB9" w:rsidRPr="00CA6A57" w:rsidRDefault="00287EB9" w:rsidP="009849E2">
      <w:pPr>
        <w:spacing w:line="276" w:lineRule="auto"/>
        <w:ind w:left="360"/>
        <w:jc w:val="both"/>
        <w:rPr>
          <w:sz w:val="22"/>
          <w:szCs w:val="22"/>
        </w:rPr>
      </w:pPr>
    </w:p>
    <w:p w14:paraId="4971D73F" w14:textId="0FC14B4B" w:rsidR="00287EB9" w:rsidRPr="00CA6A57" w:rsidRDefault="00287EB9" w:rsidP="009849E2">
      <w:pPr>
        <w:spacing w:line="276" w:lineRule="auto"/>
        <w:ind w:left="360"/>
        <w:jc w:val="both"/>
        <w:rPr>
          <w:sz w:val="22"/>
          <w:szCs w:val="22"/>
        </w:rPr>
      </w:pPr>
      <w:r w:rsidRPr="00CA6A57">
        <w:rPr>
          <w:noProof/>
          <w:sz w:val="22"/>
          <w:szCs w:val="22"/>
        </w:rPr>
        <w:drawing>
          <wp:inline distT="0" distB="0" distL="0" distR="0" wp14:anchorId="0417DD45" wp14:editId="18AF14E5">
            <wp:extent cx="4949825" cy="276288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9825" cy="2762885"/>
                    </a:xfrm>
                    <a:prstGeom prst="rect">
                      <a:avLst/>
                    </a:prstGeom>
                    <a:noFill/>
                    <a:ln>
                      <a:noFill/>
                    </a:ln>
                  </pic:spPr>
                </pic:pic>
              </a:graphicData>
            </a:graphic>
          </wp:inline>
        </w:drawing>
      </w:r>
    </w:p>
    <w:p w14:paraId="646D6276" w14:textId="329C07F0" w:rsidR="00242479" w:rsidRPr="00FE777A" w:rsidRDefault="00242479" w:rsidP="00242479">
      <w:pPr>
        <w:spacing w:line="276" w:lineRule="auto"/>
        <w:ind w:left="360"/>
        <w:jc w:val="both"/>
        <w:rPr>
          <w:i/>
          <w:iCs/>
          <w:sz w:val="22"/>
          <w:szCs w:val="22"/>
        </w:rPr>
      </w:pPr>
      <w:r>
        <w:rPr>
          <w:i/>
          <w:iCs/>
          <w:sz w:val="18"/>
          <w:szCs w:val="18"/>
          <w:lang w:val="en-US"/>
        </w:rPr>
        <w:t xml:space="preserve">TABLE 2: </w:t>
      </w:r>
      <w:r w:rsidRPr="00FE777A">
        <w:rPr>
          <w:i/>
          <w:iCs/>
          <w:sz w:val="18"/>
          <w:szCs w:val="18"/>
          <w:lang w:val="en-US"/>
        </w:rPr>
        <w:t xml:space="preserve">Source: Budget Justice Coalition, ‘FOA Submission on the 2023 MTEF’. </w:t>
      </w:r>
      <w:r>
        <w:rPr>
          <w:i/>
          <w:iCs/>
          <w:sz w:val="18"/>
          <w:szCs w:val="18"/>
          <w:lang w:val="en-US"/>
        </w:rPr>
        <w:t>Presented in the Public Hearings on the 2023 Division of Revenue Bill</w:t>
      </w:r>
      <w:r w:rsidR="00173D78">
        <w:rPr>
          <w:i/>
          <w:iCs/>
          <w:sz w:val="18"/>
          <w:szCs w:val="18"/>
          <w:lang w:val="en-US"/>
        </w:rPr>
        <w:t>, 13 March 2023</w:t>
      </w:r>
    </w:p>
    <w:p w14:paraId="77812752" w14:textId="77777777" w:rsidR="00287EB9" w:rsidRPr="00CA6A57" w:rsidRDefault="00287EB9" w:rsidP="009849E2">
      <w:pPr>
        <w:spacing w:line="276" w:lineRule="auto"/>
        <w:ind w:left="360"/>
        <w:jc w:val="both"/>
        <w:rPr>
          <w:i/>
          <w:iCs/>
          <w:sz w:val="22"/>
          <w:szCs w:val="22"/>
        </w:rPr>
      </w:pPr>
    </w:p>
    <w:p w14:paraId="19DEF50B" w14:textId="6E5AEDA5" w:rsidR="00287EB9" w:rsidRPr="00CA6A57" w:rsidRDefault="0056102A" w:rsidP="009849E2">
      <w:pPr>
        <w:spacing w:line="276" w:lineRule="auto"/>
        <w:ind w:left="360"/>
        <w:jc w:val="both"/>
        <w:rPr>
          <w:i/>
          <w:iCs/>
          <w:sz w:val="22"/>
          <w:szCs w:val="22"/>
        </w:rPr>
      </w:pPr>
      <w:r w:rsidRPr="00CA6A57">
        <w:rPr>
          <w:i/>
          <w:iCs/>
          <w:sz w:val="22"/>
          <w:szCs w:val="22"/>
        </w:rPr>
        <w:t>Ambiguity Regarding the</w:t>
      </w:r>
      <w:r w:rsidR="00287EB9" w:rsidRPr="00CA6A57">
        <w:rPr>
          <w:i/>
          <w:iCs/>
          <w:sz w:val="22"/>
          <w:szCs w:val="22"/>
        </w:rPr>
        <w:t xml:space="preserve"> Right to Nutrition </w:t>
      </w:r>
      <w:r w:rsidR="00690F57" w:rsidRPr="00CA6A57">
        <w:rPr>
          <w:i/>
          <w:iCs/>
          <w:sz w:val="22"/>
          <w:szCs w:val="22"/>
        </w:rPr>
        <w:t>as part of</w:t>
      </w:r>
      <w:r w:rsidR="00287EB9" w:rsidRPr="00CA6A57">
        <w:rPr>
          <w:i/>
          <w:iCs/>
          <w:sz w:val="22"/>
          <w:szCs w:val="22"/>
        </w:rPr>
        <w:t xml:space="preserve"> ECCE/ECD</w:t>
      </w:r>
    </w:p>
    <w:p w14:paraId="196B6D5B" w14:textId="264635BF" w:rsidR="00287EB9" w:rsidRPr="00CA6A57" w:rsidRDefault="007B3506" w:rsidP="009849E2">
      <w:pPr>
        <w:spacing w:line="276" w:lineRule="auto"/>
        <w:ind w:left="360"/>
        <w:jc w:val="both"/>
        <w:rPr>
          <w:sz w:val="22"/>
          <w:szCs w:val="22"/>
        </w:rPr>
      </w:pPr>
      <w:r w:rsidRPr="6B7C3E21">
        <w:rPr>
          <w:sz w:val="22"/>
          <w:szCs w:val="22"/>
        </w:rPr>
        <w:t>Whilst the</w:t>
      </w:r>
      <w:r w:rsidR="00C53F4B" w:rsidRPr="6B7C3E21">
        <w:rPr>
          <w:sz w:val="22"/>
          <w:szCs w:val="22"/>
        </w:rPr>
        <w:t xml:space="preserve"> content of</w:t>
      </w:r>
      <w:r w:rsidRPr="6B7C3E21">
        <w:rPr>
          <w:sz w:val="22"/>
          <w:szCs w:val="22"/>
        </w:rPr>
        <w:t xml:space="preserve"> right to basic education has been </w:t>
      </w:r>
      <w:r w:rsidR="00C53F4B" w:rsidRPr="6B7C3E21">
        <w:rPr>
          <w:sz w:val="22"/>
          <w:szCs w:val="22"/>
        </w:rPr>
        <w:t xml:space="preserve">substantially fleshed out by the South African courts, </w:t>
      </w:r>
      <w:r w:rsidR="002B3271" w:rsidRPr="6B7C3E21">
        <w:rPr>
          <w:sz w:val="22"/>
          <w:szCs w:val="22"/>
        </w:rPr>
        <w:t xml:space="preserve">with courts </w:t>
      </w:r>
      <w:r w:rsidR="00AD5D2A" w:rsidRPr="6B7C3E21">
        <w:rPr>
          <w:sz w:val="22"/>
          <w:szCs w:val="22"/>
        </w:rPr>
        <w:t>confirming</w:t>
      </w:r>
      <w:r w:rsidR="002B3271" w:rsidRPr="6B7C3E21">
        <w:rPr>
          <w:sz w:val="22"/>
          <w:szCs w:val="22"/>
        </w:rPr>
        <w:t xml:space="preserve"> that part of the right i</w:t>
      </w:r>
      <w:r w:rsidR="00CA0BD6" w:rsidRPr="6B7C3E21">
        <w:rPr>
          <w:sz w:val="22"/>
          <w:szCs w:val="22"/>
        </w:rPr>
        <w:t>s inclusive of</w:t>
      </w:r>
      <w:r w:rsidR="002B3271" w:rsidRPr="6B7C3E21">
        <w:rPr>
          <w:sz w:val="22"/>
          <w:szCs w:val="22"/>
        </w:rPr>
        <w:t xml:space="preserve"> the right to nutrition, it is </w:t>
      </w:r>
      <w:r w:rsidR="00E8149A" w:rsidRPr="6B7C3E21">
        <w:rPr>
          <w:sz w:val="22"/>
          <w:szCs w:val="22"/>
        </w:rPr>
        <w:t xml:space="preserve">still </w:t>
      </w:r>
      <w:r w:rsidR="00AD5D2A" w:rsidRPr="6B7C3E21">
        <w:rPr>
          <w:sz w:val="22"/>
          <w:szCs w:val="22"/>
        </w:rPr>
        <w:t>unconfirmed</w:t>
      </w:r>
      <w:r w:rsidR="002B3271" w:rsidRPr="6B7C3E21">
        <w:rPr>
          <w:sz w:val="22"/>
          <w:szCs w:val="22"/>
        </w:rPr>
        <w:t xml:space="preserve"> whether the State has a duty to provide nutrition to learners</w:t>
      </w:r>
      <w:r w:rsidR="00B16B8C" w:rsidRPr="6B7C3E21">
        <w:rPr>
          <w:sz w:val="22"/>
          <w:szCs w:val="22"/>
        </w:rPr>
        <w:t xml:space="preserve"> in the ECD/Early Childhood Care and Education sector. The consequence of this is that there is no</w:t>
      </w:r>
      <w:r w:rsidR="004A7DD2" w:rsidRPr="6B7C3E21">
        <w:rPr>
          <w:sz w:val="22"/>
          <w:szCs w:val="22"/>
        </w:rPr>
        <w:t xml:space="preserve"> public programme to ensure </w:t>
      </w:r>
      <w:r w:rsidR="004D234B" w:rsidRPr="6B7C3E21">
        <w:rPr>
          <w:sz w:val="22"/>
          <w:szCs w:val="22"/>
        </w:rPr>
        <w:t xml:space="preserve">that </w:t>
      </w:r>
      <w:r w:rsidR="004A7DD2" w:rsidRPr="6B7C3E21">
        <w:rPr>
          <w:sz w:val="22"/>
          <w:szCs w:val="22"/>
        </w:rPr>
        <w:t xml:space="preserve">meals are provided to children </w:t>
      </w:r>
      <w:r w:rsidR="0014616F" w:rsidRPr="6B7C3E21">
        <w:rPr>
          <w:sz w:val="22"/>
          <w:szCs w:val="22"/>
        </w:rPr>
        <w:t xml:space="preserve">in </w:t>
      </w:r>
      <w:r w:rsidR="0036108D" w:rsidRPr="6B7C3E21">
        <w:rPr>
          <w:sz w:val="22"/>
          <w:szCs w:val="22"/>
        </w:rPr>
        <w:t>Early Learning Programmes (ELPs)</w:t>
      </w:r>
      <w:r w:rsidR="00BA43EB" w:rsidRPr="6B7C3E21">
        <w:rPr>
          <w:sz w:val="22"/>
          <w:szCs w:val="22"/>
        </w:rPr>
        <w:t xml:space="preserve">. However, in April 2022, </w:t>
      </w:r>
      <w:r w:rsidR="00FB45E6" w:rsidRPr="6B7C3E21">
        <w:rPr>
          <w:sz w:val="22"/>
          <w:szCs w:val="22"/>
        </w:rPr>
        <w:t>the ECD sector transitioned from the Department of Social Development (DSD) to the Department of Basic Education (DBE).</w:t>
      </w:r>
      <w:r w:rsidR="00946CB6" w:rsidRPr="6B7C3E21">
        <w:rPr>
          <w:sz w:val="22"/>
          <w:szCs w:val="22"/>
        </w:rPr>
        <w:t xml:space="preserve"> </w:t>
      </w:r>
      <w:r w:rsidR="00633B80" w:rsidRPr="6B7C3E21">
        <w:rPr>
          <w:sz w:val="22"/>
          <w:szCs w:val="22"/>
        </w:rPr>
        <w:t xml:space="preserve">The DBE has taken steps toward </w:t>
      </w:r>
      <w:r w:rsidR="00507477" w:rsidRPr="6B7C3E21">
        <w:rPr>
          <w:sz w:val="22"/>
          <w:szCs w:val="22"/>
        </w:rPr>
        <w:t xml:space="preserve">piloting </w:t>
      </w:r>
      <w:r w:rsidR="00F14D28" w:rsidRPr="6B7C3E21">
        <w:rPr>
          <w:sz w:val="22"/>
          <w:szCs w:val="22"/>
        </w:rPr>
        <w:t xml:space="preserve">a nutrition scheme for young </w:t>
      </w:r>
      <w:r w:rsidR="00A366C8" w:rsidRPr="6B7C3E21">
        <w:rPr>
          <w:sz w:val="22"/>
          <w:szCs w:val="22"/>
        </w:rPr>
        <w:t>children in</w:t>
      </w:r>
      <w:r w:rsidR="003A0BC1" w:rsidRPr="6B7C3E21">
        <w:rPr>
          <w:sz w:val="22"/>
          <w:szCs w:val="22"/>
        </w:rPr>
        <w:t xml:space="preserve"> ELPs</w:t>
      </w:r>
      <w:r w:rsidR="00FB492F" w:rsidRPr="6B7C3E21">
        <w:rPr>
          <w:sz w:val="22"/>
          <w:szCs w:val="22"/>
        </w:rPr>
        <w:t>. Whilst this is a step in the right direction</w:t>
      </w:r>
      <w:r w:rsidR="005E3184" w:rsidRPr="6B7C3E21">
        <w:rPr>
          <w:sz w:val="22"/>
          <w:szCs w:val="22"/>
        </w:rPr>
        <w:t xml:space="preserve">, </w:t>
      </w:r>
      <w:r w:rsidR="0056102A" w:rsidRPr="6B7C3E21">
        <w:rPr>
          <w:sz w:val="22"/>
          <w:szCs w:val="22"/>
        </w:rPr>
        <w:t>because</w:t>
      </w:r>
      <w:r w:rsidR="005E3184" w:rsidRPr="6B7C3E21">
        <w:rPr>
          <w:sz w:val="22"/>
          <w:szCs w:val="22"/>
        </w:rPr>
        <w:t xml:space="preserve"> it is </w:t>
      </w:r>
      <w:r w:rsidR="0056102A" w:rsidRPr="6B7C3E21">
        <w:rPr>
          <w:sz w:val="22"/>
          <w:szCs w:val="22"/>
        </w:rPr>
        <w:t xml:space="preserve">only </w:t>
      </w:r>
      <w:r w:rsidR="005E3184" w:rsidRPr="6B7C3E21">
        <w:rPr>
          <w:sz w:val="22"/>
          <w:szCs w:val="22"/>
        </w:rPr>
        <w:t>a pilot pr</w:t>
      </w:r>
      <w:r w:rsidR="00B842EA" w:rsidRPr="6B7C3E21">
        <w:rPr>
          <w:sz w:val="22"/>
          <w:szCs w:val="22"/>
        </w:rPr>
        <w:t>o</w:t>
      </w:r>
      <w:r w:rsidR="005E3184" w:rsidRPr="6B7C3E21">
        <w:rPr>
          <w:sz w:val="22"/>
          <w:szCs w:val="22"/>
        </w:rPr>
        <w:t>gramme</w:t>
      </w:r>
      <w:r w:rsidR="00AD5D2A" w:rsidRPr="6B7C3E21">
        <w:rPr>
          <w:sz w:val="22"/>
          <w:szCs w:val="22"/>
        </w:rPr>
        <w:t>,</w:t>
      </w:r>
      <w:r w:rsidR="005E3184" w:rsidRPr="6B7C3E21">
        <w:rPr>
          <w:sz w:val="22"/>
          <w:szCs w:val="22"/>
        </w:rPr>
        <w:t xml:space="preserve"> majority of children in ECD programmes will not benefit from this</w:t>
      </w:r>
      <w:r w:rsidR="00B842EA" w:rsidRPr="6B7C3E21">
        <w:rPr>
          <w:sz w:val="22"/>
          <w:szCs w:val="22"/>
        </w:rPr>
        <w:t xml:space="preserve">. </w:t>
      </w:r>
    </w:p>
    <w:p w14:paraId="7C53DB77" w14:textId="698BD445" w:rsidR="00287EB9" w:rsidRDefault="00287EB9">
      <w:pPr>
        <w:spacing w:after="160" w:line="259" w:lineRule="auto"/>
        <w:rPr>
          <w:b/>
          <w:bCs/>
          <w:sz w:val="24"/>
          <w:szCs w:val="24"/>
          <w:highlight w:val="green"/>
        </w:rPr>
      </w:pPr>
    </w:p>
    <w:p w14:paraId="3BA3D7FE" w14:textId="30CE7B10" w:rsidR="008434C3" w:rsidRPr="00CA6A57" w:rsidRDefault="008434C3" w:rsidP="008434C3">
      <w:pPr>
        <w:numPr>
          <w:ilvl w:val="0"/>
          <w:numId w:val="2"/>
        </w:numPr>
        <w:jc w:val="both"/>
        <w:rPr>
          <w:b/>
          <w:bCs/>
          <w:sz w:val="24"/>
          <w:szCs w:val="24"/>
        </w:rPr>
      </w:pPr>
      <w:r w:rsidRPr="00CA6A57">
        <w:rPr>
          <w:b/>
          <w:bCs/>
          <w:sz w:val="24"/>
          <w:szCs w:val="24"/>
        </w:rPr>
        <w:t>What legislative or regulatory measures (such as those related to nutrition standards, labelling, marketing, procurement in institutional settings including – but not limited to – schools and prisons, and fiscal measures) have been considered or adopted in your country and/or community to improve food and nutrition, especially for persons in vulnerable situations? Where relevant, how are those measures being enforced?</w:t>
      </w:r>
    </w:p>
    <w:p w14:paraId="6A9878FE" w14:textId="77777777" w:rsidR="001061DC" w:rsidRPr="00AD5D2A" w:rsidRDefault="001061DC" w:rsidP="001061DC">
      <w:pPr>
        <w:ind w:left="360"/>
        <w:jc w:val="both"/>
        <w:rPr>
          <w:b/>
          <w:bCs/>
          <w:sz w:val="22"/>
          <w:szCs w:val="22"/>
        </w:rPr>
      </w:pPr>
    </w:p>
    <w:p w14:paraId="6C35BB16" w14:textId="7C2583C9" w:rsidR="00772260" w:rsidRDefault="00772260" w:rsidP="6B7C3E21">
      <w:pPr>
        <w:spacing w:line="276" w:lineRule="auto"/>
        <w:ind w:left="360"/>
        <w:jc w:val="both"/>
        <w:rPr>
          <w:sz w:val="22"/>
          <w:szCs w:val="22"/>
        </w:rPr>
      </w:pPr>
      <w:r w:rsidRPr="6B7C3E21">
        <w:rPr>
          <w:sz w:val="22"/>
          <w:szCs w:val="22"/>
        </w:rPr>
        <w:t xml:space="preserve">The following will exclusively </w:t>
      </w:r>
      <w:r w:rsidR="000F7770" w:rsidRPr="6B7C3E21">
        <w:rPr>
          <w:sz w:val="22"/>
          <w:szCs w:val="22"/>
        </w:rPr>
        <w:t xml:space="preserve">discuss </w:t>
      </w:r>
      <w:r w:rsidR="00B852CA" w:rsidRPr="6B7C3E21">
        <w:rPr>
          <w:sz w:val="22"/>
          <w:szCs w:val="22"/>
        </w:rPr>
        <w:t>legislative and regulatory measures regarding</w:t>
      </w:r>
      <w:r w:rsidRPr="6B7C3E21">
        <w:rPr>
          <w:sz w:val="22"/>
          <w:szCs w:val="22"/>
        </w:rPr>
        <w:t xml:space="preserve"> nutrition </w:t>
      </w:r>
      <w:r w:rsidR="00085FFF" w:rsidRPr="6B7C3E21">
        <w:rPr>
          <w:sz w:val="22"/>
          <w:szCs w:val="22"/>
        </w:rPr>
        <w:t xml:space="preserve">provided to learners </w:t>
      </w:r>
      <w:r w:rsidR="00B852CA" w:rsidRPr="6B7C3E21">
        <w:rPr>
          <w:sz w:val="22"/>
          <w:szCs w:val="22"/>
        </w:rPr>
        <w:t xml:space="preserve">in schools, specifically through the implementation of the National School Nutrition Programme (NSNP). </w:t>
      </w:r>
      <w:r w:rsidR="1AE6A4D6" w:rsidRPr="6B7C3E21">
        <w:rPr>
          <w:sz w:val="22"/>
          <w:szCs w:val="22"/>
        </w:rPr>
        <w:t xml:space="preserve">Regulation and enforcement of </w:t>
      </w:r>
      <w:r w:rsidR="707D4838" w:rsidRPr="6B7C3E21">
        <w:rPr>
          <w:sz w:val="22"/>
          <w:szCs w:val="22"/>
        </w:rPr>
        <w:t>the NSNP food scheme h</w:t>
      </w:r>
      <w:r w:rsidR="72F2D0DC" w:rsidRPr="6B7C3E21">
        <w:rPr>
          <w:sz w:val="22"/>
          <w:szCs w:val="22"/>
        </w:rPr>
        <w:t>as historically been</w:t>
      </w:r>
      <w:r w:rsidR="16C1D82D" w:rsidRPr="6B7C3E21">
        <w:rPr>
          <w:sz w:val="22"/>
          <w:szCs w:val="22"/>
        </w:rPr>
        <w:t xml:space="preserve"> weak. </w:t>
      </w:r>
      <w:r w:rsidR="7C702C6D" w:rsidRPr="6B7C3E21">
        <w:rPr>
          <w:sz w:val="22"/>
          <w:szCs w:val="22"/>
        </w:rPr>
        <w:t>Almost all regulation of the NSNP takes the form of guidelines – guidelines that are largely very outdated, referring to outdated legislation</w:t>
      </w:r>
      <w:r w:rsidR="36AB3FCF" w:rsidRPr="6B7C3E21">
        <w:rPr>
          <w:sz w:val="22"/>
          <w:szCs w:val="22"/>
        </w:rPr>
        <w:t>, and provide very little uniformity in how schools should implement the programme and how government officials should monitor and enforce the delivery as well as quality of the programme. To this end,</w:t>
      </w:r>
      <w:r w:rsidR="6A8852AE" w:rsidRPr="6B7C3E21">
        <w:rPr>
          <w:sz w:val="22"/>
          <w:szCs w:val="22"/>
        </w:rPr>
        <w:t xml:space="preserve"> Equal Education Law Centre</w:t>
      </w:r>
      <w:r w:rsidR="5046C346" w:rsidRPr="6B7C3E21">
        <w:rPr>
          <w:sz w:val="22"/>
          <w:szCs w:val="22"/>
        </w:rPr>
        <w:t xml:space="preserve"> (EELC)</w:t>
      </w:r>
      <w:r w:rsidR="6A8852AE" w:rsidRPr="6B7C3E21">
        <w:rPr>
          <w:sz w:val="22"/>
          <w:szCs w:val="22"/>
        </w:rPr>
        <w:t xml:space="preserve"> represented</w:t>
      </w:r>
      <w:r w:rsidR="36AB3FCF" w:rsidRPr="6B7C3E21">
        <w:rPr>
          <w:sz w:val="22"/>
          <w:szCs w:val="22"/>
        </w:rPr>
        <w:t xml:space="preserve"> Equal Education</w:t>
      </w:r>
      <w:r w:rsidR="71068BDE" w:rsidRPr="6B7C3E21">
        <w:rPr>
          <w:sz w:val="22"/>
          <w:szCs w:val="22"/>
        </w:rPr>
        <w:t xml:space="preserve"> (EE)</w:t>
      </w:r>
      <w:r w:rsidR="36AB3FCF" w:rsidRPr="6B7C3E21">
        <w:rPr>
          <w:sz w:val="22"/>
          <w:szCs w:val="22"/>
        </w:rPr>
        <w:t>, a grass</w:t>
      </w:r>
      <w:r w:rsidR="0DD76591" w:rsidRPr="6B7C3E21">
        <w:rPr>
          <w:sz w:val="22"/>
          <w:szCs w:val="22"/>
        </w:rPr>
        <w:t>roots democratic movement of learners, parents and post-school youth</w:t>
      </w:r>
      <w:r w:rsidR="65038B52" w:rsidRPr="6B7C3E21">
        <w:rPr>
          <w:sz w:val="22"/>
          <w:szCs w:val="22"/>
        </w:rPr>
        <w:t xml:space="preserve">, in a court case against the Department of Basic Education </w:t>
      </w:r>
      <w:r w:rsidR="44870C46" w:rsidRPr="6B7C3E21">
        <w:rPr>
          <w:sz w:val="22"/>
          <w:szCs w:val="22"/>
        </w:rPr>
        <w:t xml:space="preserve">(DBE) </w:t>
      </w:r>
      <w:r w:rsidR="65038B52" w:rsidRPr="6B7C3E21">
        <w:rPr>
          <w:sz w:val="22"/>
          <w:szCs w:val="22"/>
        </w:rPr>
        <w:t xml:space="preserve">and provincial MECs which sought the continuation of school meal provisioning through the NSNP during the COVID-19 lockdown. </w:t>
      </w:r>
      <w:r w:rsidR="452372E8" w:rsidRPr="6B7C3E21">
        <w:rPr>
          <w:sz w:val="22"/>
          <w:szCs w:val="22"/>
        </w:rPr>
        <w:t xml:space="preserve">Through gathering the testimony of EE’s learner members who received meals through the NSNP, EELC learnt that the quality </w:t>
      </w:r>
      <w:r w:rsidR="0722F887" w:rsidRPr="6B7C3E21">
        <w:rPr>
          <w:sz w:val="22"/>
          <w:szCs w:val="22"/>
        </w:rPr>
        <w:t xml:space="preserve">and quantity of the </w:t>
      </w:r>
      <w:r w:rsidR="452372E8" w:rsidRPr="6B7C3E21">
        <w:rPr>
          <w:sz w:val="22"/>
          <w:szCs w:val="22"/>
        </w:rPr>
        <w:t xml:space="preserve">food provided was </w:t>
      </w:r>
      <w:r w:rsidR="0A221AE8" w:rsidRPr="6B7C3E21">
        <w:rPr>
          <w:sz w:val="22"/>
          <w:szCs w:val="22"/>
        </w:rPr>
        <w:t xml:space="preserve">often </w:t>
      </w:r>
      <w:r w:rsidR="452372E8" w:rsidRPr="6B7C3E21">
        <w:rPr>
          <w:sz w:val="22"/>
          <w:szCs w:val="22"/>
        </w:rPr>
        <w:t>extremely ina</w:t>
      </w:r>
      <w:r w:rsidR="0D7753BA" w:rsidRPr="6B7C3E21">
        <w:rPr>
          <w:sz w:val="22"/>
          <w:szCs w:val="22"/>
        </w:rPr>
        <w:t>dequate,</w:t>
      </w:r>
      <w:r w:rsidR="03CDBFB5" w:rsidRPr="6B7C3E21">
        <w:rPr>
          <w:sz w:val="22"/>
          <w:szCs w:val="22"/>
        </w:rPr>
        <w:t xml:space="preserve"> and that not all learners who qualified for NSNP meals were receiving them. Following judgment in favour of EE, provincial education MECs were ordered to provide mont</w:t>
      </w:r>
      <w:r w:rsidR="020E0942" w:rsidRPr="6B7C3E21">
        <w:rPr>
          <w:sz w:val="22"/>
          <w:szCs w:val="22"/>
        </w:rPr>
        <w:t>hly reports to EE on the quality of meals as well as the success of the rollout – in other words, how many learners who qualifi</w:t>
      </w:r>
      <w:r w:rsidR="74055828" w:rsidRPr="6B7C3E21">
        <w:rPr>
          <w:sz w:val="22"/>
          <w:szCs w:val="22"/>
        </w:rPr>
        <w:t xml:space="preserve">ed for meals had actually received them. Following this, whilst still not up to scratch, regulation and monitoring of the feeding scheme substantially improved. </w:t>
      </w:r>
      <w:r w:rsidR="1B333D9A" w:rsidRPr="6B7C3E21">
        <w:rPr>
          <w:sz w:val="22"/>
          <w:szCs w:val="22"/>
        </w:rPr>
        <w:t xml:space="preserve">Below is an outline of some of the key guidelines issued by the DBE </w:t>
      </w:r>
      <w:r w:rsidR="2D1AC142" w:rsidRPr="6B7C3E21">
        <w:rPr>
          <w:sz w:val="22"/>
          <w:szCs w:val="22"/>
        </w:rPr>
        <w:t xml:space="preserve">relating to the NSNP. </w:t>
      </w:r>
    </w:p>
    <w:p w14:paraId="6E872A7D" w14:textId="77777777" w:rsidR="00B852CA" w:rsidRPr="00AD5D2A" w:rsidRDefault="00B852CA" w:rsidP="00AD5D2A">
      <w:pPr>
        <w:spacing w:line="276" w:lineRule="auto"/>
        <w:ind w:left="360"/>
        <w:jc w:val="both"/>
        <w:rPr>
          <w:sz w:val="22"/>
          <w:szCs w:val="22"/>
        </w:rPr>
      </w:pPr>
    </w:p>
    <w:p w14:paraId="135B841D" w14:textId="7CD6CD07" w:rsidR="00B852CA" w:rsidRPr="00AD5D2A" w:rsidRDefault="005E09D4" w:rsidP="00AD5D2A">
      <w:pPr>
        <w:spacing w:line="276" w:lineRule="auto"/>
        <w:ind w:left="360"/>
        <w:jc w:val="both"/>
        <w:rPr>
          <w:i/>
          <w:iCs/>
          <w:sz w:val="22"/>
          <w:szCs w:val="22"/>
        </w:rPr>
      </w:pPr>
      <w:r w:rsidRPr="00AD5D2A">
        <w:rPr>
          <w:i/>
          <w:iCs/>
          <w:sz w:val="22"/>
          <w:szCs w:val="22"/>
        </w:rPr>
        <w:t>Food Specifications</w:t>
      </w:r>
    </w:p>
    <w:p w14:paraId="4F3B8979" w14:textId="1E908D7B" w:rsidR="00237B0E" w:rsidRPr="00AD5D2A" w:rsidRDefault="001F30AE" w:rsidP="00AD5D2A">
      <w:pPr>
        <w:spacing w:line="276" w:lineRule="auto"/>
        <w:ind w:left="360"/>
        <w:jc w:val="both"/>
        <w:rPr>
          <w:sz w:val="22"/>
          <w:szCs w:val="22"/>
        </w:rPr>
      </w:pPr>
      <w:r w:rsidRPr="00AD5D2A">
        <w:rPr>
          <w:sz w:val="22"/>
          <w:szCs w:val="22"/>
        </w:rPr>
        <w:t>The Department of Basic Education (DBE) has developed a policy document entitled “Food Specifications – for products marketed to the National School Nutrition Programme”</w:t>
      </w:r>
      <w:r w:rsidR="006733DF" w:rsidRPr="00AD5D2A">
        <w:rPr>
          <w:sz w:val="22"/>
          <w:szCs w:val="22"/>
        </w:rPr>
        <w:t>.</w:t>
      </w:r>
      <w:r w:rsidR="009D7548" w:rsidRPr="00AD5D2A">
        <w:rPr>
          <w:rStyle w:val="FootnoteReference"/>
          <w:sz w:val="22"/>
          <w:szCs w:val="22"/>
        </w:rPr>
        <w:footnoteReference w:id="10"/>
      </w:r>
      <w:r w:rsidR="00EB7442" w:rsidRPr="00AD5D2A">
        <w:rPr>
          <w:sz w:val="22"/>
          <w:szCs w:val="22"/>
        </w:rPr>
        <w:t xml:space="preserve"> This </w:t>
      </w:r>
      <w:r w:rsidR="0000726F" w:rsidRPr="00AD5D2A">
        <w:rPr>
          <w:sz w:val="22"/>
          <w:szCs w:val="22"/>
        </w:rPr>
        <w:t>document</w:t>
      </w:r>
      <w:r w:rsidR="00EB7442" w:rsidRPr="00AD5D2A">
        <w:rPr>
          <w:sz w:val="22"/>
          <w:szCs w:val="22"/>
        </w:rPr>
        <w:t xml:space="preserve"> </w:t>
      </w:r>
      <w:r w:rsidR="00460B22" w:rsidRPr="00AD5D2A">
        <w:rPr>
          <w:sz w:val="22"/>
          <w:szCs w:val="22"/>
        </w:rPr>
        <w:t xml:space="preserve">aims to </w:t>
      </w:r>
      <w:r w:rsidR="00FC520F" w:rsidRPr="00AD5D2A">
        <w:rPr>
          <w:sz w:val="22"/>
          <w:szCs w:val="22"/>
        </w:rPr>
        <w:t xml:space="preserve">maintain </w:t>
      </w:r>
      <w:r w:rsidR="00FB3BE5" w:rsidRPr="00AD5D2A">
        <w:rPr>
          <w:sz w:val="22"/>
          <w:szCs w:val="22"/>
        </w:rPr>
        <w:t xml:space="preserve">and improve the quality and standard of food </w:t>
      </w:r>
      <w:r w:rsidR="0032376E" w:rsidRPr="00AD5D2A">
        <w:rPr>
          <w:sz w:val="22"/>
          <w:szCs w:val="22"/>
        </w:rPr>
        <w:t>that is given to learners through the NSNP</w:t>
      </w:r>
      <w:r w:rsidR="00237B0E" w:rsidRPr="00AD5D2A">
        <w:rPr>
          <w:sz w:val="22"/>
          <w:szCs w:val="22"/>
        </w:rPr>
        <w:t xml:space="preserve"> and to</w:t>
      </w:r>
      <w:r w:rsidR="001E0BB9" w:rsidRPr="00AD5D2A">
        <w:rPr>
          <w:sz w:val="22"/>
          <w:szCs w:val="22"/>
        </w:rPr>
        <w:t xml:space="preserve"> provide guidance to service providers</w:t>
      </w:r>
      <w:r w:rsidR="00237B0E" w:rsidRPr="00AD5D2A">
        <w:rPr>
          <w:sz w:val="22"/>
          <w:szCs w:val="22"/>
        </w:rPr>
        <w:t xml:space="preserve">. </w:t>
      </w:r>
    </w:p>
    <w:p w14:paraId="705B5ABA" w14:textId="77777777" w:rsidR="00237B0E" w:rsidRPr="00AD5D2A" w:rsidRDefault="00237B0E" w:rsidP="00AD5D2A">
      <w:pPr>
        <w:spacing w:line="276" w:lineRule="auto"/>
        <w:ind w:left="360"/>
        <w:jc w:val="both"/>
        <w:rPr>
          <w:sz w:val="22"/>
          <w:szCs w:val="22"/>
        </w:rPr>
      </w:pPr>
    </w:p>
    <w:p w14:paraId="1A1B603F" w14:textId="17812FAA" w:rsidR="00D37E55" w:rsidRPr="00AD5D2A" w:rsidRDefault="00237B0E" w:rsidP="00AD5D2A">
      <w:pPr>
        <w:spacing w:line="276" w:lineRule="auto"/>
        <w:ind w:left="360"/>
        <w:jc w:val="both"/>
        <w:rPr>
          <w:sz w:val="22"/>
          <w:szCs w:val="22"/>
        </w:rPr>
      </w:pPr>
      <w:r w:rsidRPr="00AD5D2A">
        <w:rPr>
          <w:sz w:val="22"/>
          <w:szCs w:val="22"/>
        </w:rPr>
        <w:t>It outlines</w:t>
      </w:r>
      <w:r w:rsidR="004D0C42" w:rsidRPr="00AD5D2A">
        <w:rPr>
          <w:sz w:val="22"/>
          <w:szCs w:val="22"/>
        </w:rPr>
        <w:t xml:space="preserve"> </w:t>
      </w:r>
      <w:r w:rsidRPr="00AD5D2A">
        <w:rPr>
          <w:sz w:val="22"/>
          <w:szCs w:val="22"/>
        </w:rPr>
        <w:t xml:space="preserve">applicable </w:t>
      </w:r>
      <w:r w:rsidR="00E44273" w:rsidRPr="00AD5D2A">
        <w:rPr>
          <w:sz w:val="22"/>
          <w:szCs w:val="22"/>
        </w:rPr>
        <w:t xml:space="preserve">regulations and legislation that apply to </w:t>
      </w:r>
      <w:r w:rsidR="00A25429" w:rsidRPr="00AD5D2A">
        <w:rPr>
          <w:sz w:val="22"/>
          <w:szCs w:val="22"/>
        </w:rPr>
        <w:t>th</w:t>
      </w:r>
      <w:r w:rsidR="004D0C42" w:rsidRPr="00AD5D2A">
        <w:rPr>
          <w:sz w:val="22"/>
          <w:szCs w:val="22"/>
        </w:rPr>
        <w:t xml:space="preserve">ose who </w:t>
      </w:r>
      <w:r w:rsidR="00463160" w:rsidRPr="00AD5D2A">
        <w:rPr>
          <w:sz w:val="22"/>
          <w:szCs w:val="22"/>
        </w:rPr>
        <w:t xml:space="preserve">procure, </w:t>
      </w:r>
      <w:r w:rsidR="004D0C42" w:rsidRPr="00AD5D2A">
        <w:rPr>
          <w:sz w:val="22"/>
          <w:szCs w:val="22"/>
        </w:rPr>
        <w:t>provide and cook meals for learners</w:t>
      </w:r>
      <w:r w:rsidR="00556525" w:rsidRPr="00AD5D2A">
        <w:rPr>
          <w:sz w:val="22"/>
          <w:szCs w:val="22"/>
        </w:rPr>
        <w:t xml:space="preserve">. </w:t>
      </w:r>
      <w:r w:rsidR="00196CAE" w:rsidRPr="00AD5D2A">
        <w:rPr>
          <w:sz w:val="22"/>
          <w:szCs w:val="22"/>
        </w:rPr>
        <w:t>This</w:t>
      </w:r>
      <w:r w:rsidR="00802DEB" w:rsidRPr="00AD5D2A">
        <w:rPr>
          <w:sz w:val="22"/>
          <w:szCs w:val="22"/>
        </w:rPr>
        <w:t xml:space="preserve"> is inclusive of regulations and laws related to </w:t>
      </w:r>
      <w:r w:rsidR="002B0DF2" w:rsidRPr="00AD5D2A">
        <w:rPr>
          <w:sz w:val="22"/>
          <w:szCs w:val="22"/>
        </w:rPr>
        <w:t xml:space="preserve">tenders and procurement, </w:t>
      </w:r>
      <w:r w:rsidR="009B4A90" w:rsidRPr="00AD5D2A">
        <w:rPr>
          <w:sz w:val="22"/>
          <w:szCs w:val="22"/>
        </w:rPr>
        <w:t xml:space="preserve">agricultural production standards, </w:t>
      </w:r>
      <w:r w:rsidR="00A67A14" w:rsidRPr="00AD5D2A">
        <w:rPr>
          <w:sz w:val="22"/>
          <w:szCs w:val="22"/>
        </w:rPr>
        <w:t>marketing</w:t>
      </w:r>
      <w:r w:rsidR="00372B7A" w:rsidRPr="00AD5D2A">
        <w:rPr>
          <w:sz w:val="22"/>
          <w:szCs w:val="22"/>
        </w:rPr>
        <w:t>, quality management</w:t>
      </w:r>
      <w:r w:rsidR="00767DEC" w:rsidRPr="00AD5D2A">
        <w:rPr>
          <w:sz w:val="22"/>
          <w:szCs w:val="22"/>
        </w:rPr>
        <w:t xml:space="preserve">. </w:t>
      </w:r>
      <w:r w:rsidR="001A42C1" w:rsidRPr="00AD5D2A">
        <w:rPr>
          <w:sz w:val="22"/>
          <w:szCs w:val="22"/>
        </w:rPr>
        <w:t xml:space="preserve">It must be noted that this </w:t>
      </w:r>
      <w:r w:rsidR="00ED6185" w:rsidRPr="00AD5D2A">
        <w:rPr>
          <w:sz w:val="22"/>
          <w:szCs w:val="22"/>
        </w:rPr>
        <w:t>document</w:t>
      </w:r>
      <w:r w:rsidR="007D175C" w:rsidRPr="00AD5D2A">
        <w:rPr>
          <w:sz w:val="22"/>
          <w:szCs w:val="22"/>
        </w:rPr>
        <w:t xml:space="preserve"> is extremely outdated. </w:t>
      </w:r>
      <w:r w:rsidR="00D37E55" w:rsidRPr="00AD5D2A">
        <w:rPr>
          <w:sz w:val="22"/>
          <w:szCs w:val="22"/>
        </w:rPr>
        <w:t>The document further sets out definitions</w:t>
      </w:r>
      <w:r w:rsidR="00805B62" w:rsidRPr="00AD5D2A">
        <w:rPr>
          <w:sz w:val="22"/>
          <w:szCs w:val="22"/>
        </w:rPr>
        <w:t xml:space="preserve">, </w:t>
      </w:r>
      <w:r w:rsidR="0063665E" w:rsidRPr="00AD5D2A">
        <w:rPr>
          <w:sz w:val="22"/>
          <w:szCs w:val="22"/>
        </w:rPr>
        <w:t>general, nutritional, physical, micr</w:t>
      </w:r>
      <w:r w:rsidR="009F6814" w:rsidRPr="00AD5D2A">
        <w:rPr>
          <w:sz w:val="22"/>
          <w:szCs w:val="22"/>
        </w:rPr>
        <w:t>obiological, packaging</w:t>
      </w:r>
      <w:r w:rsidR="00342B49" w:rsidRPr="00AD5D2A">
        <w:rPr>
          <w:sz w:val="22"/>
          <w:szCs w:val="22"/>
        </w:rPr>
        <w:t>, labelling, delivery, storage</w:t>
      </w:r>
      <w:r w:rsidR="00DE38B1" w:rsidRPr="00AD5D2A">
        <w:rPr>
          <w:sz w:val="22"/>
          <w:szCs w:val="22"/>
        </w:rPr>
        <w:t xml:space="preserve">, </w:t>
      </w:r>
      <w:r w:rsidR="00342B49" w:rsidRPr="00AD5D2A">
        <w:rPr>
          <w:sz w:val="22"/>
          <w:szCs w:val="22"/>
        </w:rPr>
        <w:t>and shelf-life requirements for each category of food</w:t>
      </w:r>
      <w:r w:rsidR="00BA2740" w:rsidRPr="00AD5D2A">
        <w:rPr>
          <w:sz w:val="22"/>
          <w:szCs w:val="22"/>
        </w:rPr>
        <w:t>.</w:t>
      </w:r>
    </w:p>
    <w:p w14:paraId="061D4F53" w14:textId="77777777" w:rsidR="00237B0E" w:rsidRPr="00AD5D2A" w:rsidRDefault="00237B0E" w:rsidP="00AD5D2A">
      <w:pPr>
        <w:spacing w:line="276" w:lineRule="auto"/>
        <w:ind w:left="360"/>
        <w:jc w:val="both"/>
        <w:rPr>
          <w:sz w:val="22"/>
          <w:szCs w:val="22"/>
        </w:rPr>
      </w:pPr>
    </w:p>
    <w:p w14:paraId="44BAA6B0" w14:textId="423436F8" w:rsidR="006342C9" w:rsidRPr="00AD5D2A" w:rsidRDefault="001C7400" w:rsidP="00AD5D2A">
      <w:pPr>
        <w:spacing w:line="276" w:lineRule="auto"/>
        <w:ind w:left="360"/>
        <w:jc w:val="both"/>
        <w:rPr>
          <w:i/>
          <w:iCs/>
          <w:sz w:val="22"/>
          <w:szCs w:val="22"/>
        </w:rPr>
      </w:pPr>
      <w:r w:rsidRPr="00AD5D2A">
        <w:rPr>
          <w:i/>
          <w:iCs/>
          <w:sz w:val="22"/>
          <w:szCs w:val="22"/>
        </w:rPr>
        <w:t>Implementation and Oversight</w:t>
      </w:r>
    </w:p>
    <w:p w14:paraId="13817153" w14:textId="45A6BB24" w:rsidR="005E09D4" w:rsidRPr="00AD5D2A" w:rsidRDefault="006342C9" w:rsidP="00AD5D2A">
      <w:pPr>
        <w:spacing w:line="276" w:lineRule="auto"/>
        <w:ind w:left="360"/>
        <w:jc w:val="both"/>
        <w:rPr>
          <w:sz w:val="22"/>
          <w:szCs w:val="22"/>
        </w:rPr>
      </w:pPr>
      <w:r w:rsidRPr="00AD5D2A">
        <w:rPr>
          <w:sz w:val="22"/>
          <w:szCs w:val="22"/>
        </w:rPr>
        <w:t xml:space="preserve">The Conditional Grants Framework </w:t>
      </w:r>
      <w:r w:rsidR="00A66DCD" w:rsidRPr="00AD5D2A">
        <w:rPr>
          <w:sz w:val="22"/>
          <w:szCs w:val="22"/>
        </w:rPr>
        <w:t xml:space="preserve">allocates specific responsibilities to national and provincial governments in the implementation of the NSNP. </w:t>
      </w:r>
      <w:r w:rsidR="005421D9" w:rsidRPr="00AD5D2A">
        <w:rPr>
          <w:sz w:val="22"/>
          <w:szCs w:val="22"/>
        </w:rPr>
        <w:t xml:space="preserve">Provincial Education Departments (PEDs) </w:t>
      </w:r>
      <w:r w:rsidR="001901A1" w:rsidRPr="00AD5D2A">
        <w:rPr>
          <w:sz w:val="22"/>
          <w:szCs w:val="22"/>
        </w:rPr>
        <w:t>are responsibl</w:t>
      </w:r>
      <w:r w:rsidR="00C41A3C" w:rsidRPr="00AD5D2A">
        <w:rPr>
          <w:sz w:val="22"/>
          <w:szCs w:val="22"/>
        </w:rPr>
        <w:t>e for ensuring the implementation of the programme and the delivery of school meals to every qualifying leaner, whilst the national Department of Basic Education (DBE) plays an oversight role.</w:t>
      </w:r>
    </w:p>
    <w:p w14:paraId="65F82857" w14:textId="77777777" w:rsidR="001C7400" w:rsidRPr="00AD5D2A" w:rsidRDefault="001C7400" w:rsidP="00AD5D2A">
      <w:pPr>
        <w:spacing w:line="276" w:lineRule="auto"/>
        <w:ind w:left="360"/>
        <w:jc w:val="both"/>
        <w:rPr>
          <w:sz w:val="22"/>
          <w:szCs w:val="22"/>
        </w:rPr>
      </w:pPr>
    </w:p>
    <w:p w14:paraId="54D3350B" w14:textId="77777777" w:rsidR="001C7400" w:rsidRPr="00AD5D2A" w:rsidRDefault="001C7400" w:rsidP="00AD5D2A">
      <w:pPr>
        <w:spacing w:line="276" w:lineRule="auto"/>
        <w:ind w:left="360"/>
        <w:jc w:val="both"/>
        <w:rPr>
          <w:i/>
          <w:iCs/>
          <w:sz w:val="22"/>
          <w:szCs w:val="22"/>
        </w:rPr>
      </w:pPr>
      <w:r w:rsidRPr="00AD5D2A">
        <w:rPr>
          <w:i/>
          <w:iCs/>
          <w:sz w:val="22"/>
          <w:szCs w:val="22"/>
        </w:rPr>
        <w:t>Health and safety</w:t>
      </w:r>
    </w:p>
    <w:p w14:paraId="3FD27EB4" w14:textId="06833FAA" w:rsidR="00730AAF" w:rsidRPr="00AD5D2A" w:rsidRDefault="007A5093" w:rsidP="00AD5D2A">
      <w:pPr>
        <w:spacing w:line="276" w:lineRule="auto"/>
        <w:ind w:left="360"/>
        <w:jc w:val="both"/>
        <w:rPr>
          <w:sz w:val="22"/>
          <w:szCs w:val="22"/>
        </w:rPr>
      </w:pPr>
      <w:r w:rsidRPr="00AD5D2A">
        <w:rPr>
          <w:sz w:val="22"/>
          <w:szCs w:val="22"/>
        </w:rPr>
        <w:t xml:space="preserve">The DBE has </w:t>
      </w:r>
      <w:r w:rsidR="00B87CD8" w:rsidRPr="00AD5D2A">
        <w:rPr>
          <w:sz w:val="22"/>
          <w:szCs w:val="22"/>
        </w:rPr>
        <w:t>provided an NSNP Safety Directory</w:t>
      </w:r>
      <w:r w:rsidR="00352856" w:rsidRPr="00AD5D2A">
        <w:rPr>
          <w:sz w:val="22"/>
          <w:szCs w:val="22"/>
        </w:rPr>
        <w:t xml:space="preserve"> which </w:t>
      </w:r>
      <w:r w:rsidR="00645F31" w:rsidRPr="00AD5D2A">
        <w:rPr>
          <w:sz w:val="22"/>
          <w:szCs w:val="22"/>
        </w:rPr>
        <w:t>provides guidance on how to ensure that school meals are prepared in a hygienic manner</w:t>
      </w:r>
      <w:r w:rsidR="0017122A" w:rsidRPr="00AD5D2A">
        <w:rPr>
          <w:sz w:val="22"/>
          <w:szCs w:val="22"/>
        </w:rPr>
        <w:t xml:space="preserve">, on safe premises, and </w:t>
      </w:r>
      <w:r w:rsidR="0087099F" w:rsidRPr="00AD5D2A">
        <w:rPr>
          <w:sz w:val="22"/>
          <w:szCs w:val="22"/>
        </w:rPr>
        <w:t>result in reduced wa</w:t>
      </w:r>
      <w:r w:rsidR="00E0671B" w:rsidRPr="00AD5D2A">
        <w:rPr>
          <w:sz w:val="22"/>
          <w:szCs w:val="22"/>
        </w:rPr>
        <w:t xml:space="preserve">ste that </w:t>
      </w:r>
      <w:r w:rsidR="00630BB8" w:rsidRPr="00AD5D2A">
        <w:rPr>
          <w:sz w:val="22"/>
          <w:szCs w:val="22"/>
        </w:rPr>
        <w:t xml:space="preserve">does not negatively impact the environment. </w:t>
      </w:r>
      <w:r w:rsidR="004C6C57" w:rsidRPr="00AD5D2A">
        <w:rPr>
          <w:sz w:val="22"/>
          <w:szCs w:val="22"/>
        </w:rPr>
        <w:t>This document is not only used for guidance but also for monitoring by PEDs, districts, schools and food handlers.</w:t>
      </w:r>
      <w:r w:rsidR="00665055" w:rsidRPr="00AD5D2A">
        <w:rPr>
          <w:rStyle w:val="FootnoteReference"/>
          <w:sz w:val="22"/>
          <w:szCs w:val="22"/>
        </w:rPr>
        <w:footnoteReference w:id="11"/>
      </w:r>
      <w:r w:rsidR="004C6C57" w:rsidRPr="00AD5D2A">
        <w:rPr>
          <w:sz w:val="22"/>
          <w:szCs w:val="22"/>
        </w:rPr>
        <w:t xml:space="preserve"> </w:t>
      </w:r>
      <w:r w:rsidR="002355A2" w:rsidRPr="00AD5D2A">
        <w:rPr>
          <w:sz w:val="22"/>
          <w:szCs w:val="22"/>
        </w:rPr>
        <w:t>It d</w:t>
      </w:r>
      <w:r w:rsidR="002217D1" w:rsidRPr="00AD5D2A">
        <w:rPr>
          <w:sz w:val="22"/>
          <w:szCs w:val="22"/>
        </w:rPr>
        <w:t>eals</w:t>
      </w:r>
      <w:r w:rsidR="00730AAF" w:rsidRPr="00AD5D2A">
        <w:rPr>
          <w:sz w:val="22"/>
          <w:szCs w:val="22"/>
        </w:rPr>
        <w:t xml:space="preserve"> with the following topics:</w:t>
      </w:r>
    </w:p>
    <w:p w14:paraId="7BCB55EF" w14:textId="77777777" w:rsidR="0065105E" w:rsidRPr="00AD5D2A" w:rsidRDefault="0065105E" w:rsidP="00AD5D2A">
      <w:pPr>
        <w:pStyle w:val="ListParagraph"/>
        <w:numPr>
          <w:ilvl w:val="0"/>
          <w:numId w:val="13"/>
        </w:numPr>
        <w:spacing w:line="276" w:lineRule="auto"/>
        <w:jc w:val="both"/>
        <w:rPr>
          <w:i/>
          <w:iCs/>
          <w:sz w:val="22"/>
          <w:szCs w:val="22"/>
        </w:rPr>
      </w:pPr>
      <w:r w:rsidRPr="00AD5D2A">
        <w:rPr>
          <w:sz w:val="22"/>
          <w:szCs w:val="22"/>
        </w:rPr>
        <w:t>Safe food transportation</w:t>
      </w:r>
    </w:p>
    <w:p w14:paraId="2C113C4A" w14:textId="77777777" w:rsidR="005724C1" w:rsidRPr="00AD5D2A" w:rsidRDefault="005724C1" w:rsidP="00AD5D2A">
      <w:pPr>
        <w:pStyle w:val="ListParagraph"/>
        <w:numPr>
          <w:ilvl w:val="0"/>
          <w:numId w:val="13"/>
        </w:numPr>
        <w:spacing w:line="276" w:lineRule="auto"/>
        <w:jc w:val="both"/>
        <w:rPr>
          <w:i/>
          <w:iCs/>
          <w:sz w:val="22"/>
          <w:szCs w:val="22"/>
        </w:rPr>
      </w:pPr>
      <w:r w:rsidRPr="00AD5D2A">
        <w:rPr>
          <w:sz w:val="22"/>
          <w:szCs w:val="22"/>
        </w:rPr>
        <w:t>Personal hygiene</w:t>
      </w:r>
    </w:p>
    <w:p w14:paraId="0E5DC9E1" w14:textId="77777777" w:rsidR="008D0E79" w:rsidRPr="00AD5D2A" w:rsidRDefault="008D0E79" w:rsidP="00AD5D2A">
      <w:pPr>
        <w:pStyle w:val="ListParagraph"/>
        <w:numPr>
          <w:ilvl w:val="0"/>
          <w:numId w:val="13"/>
        </w:numPr>
        <w:spacing w:line="276" w:lineRule="auto"/>
        <w:jc w:val="both"/>
        <w:rPr>
          <w:i/>
          <w:iCs/>
          <w:sz w:val="22"/>
          <w:szCs w:val="22"/>
        </w:rPr>
      </w:pPr>
      <w:r w:rsidRPr="00AD5D2A">
        <w:rPr>
          <w:sz w:val="22"/>
          <w:szCs w:val="22"/>
        </w:rPr>
        <w:t>Kitchen hygiene</w:t>
      </w:r>
    </w:p>
    <w:p w14:paraId="230C314C" w14:textId="77777777" w:rsidR="008D0E79" w:rsidRPr="00AD5D2A" w:rsidRDefault="008D0E79" w:rsidP="00AD5D2A">
      <w:pPr>
        <w:pStyle w:val="ListParagraph"/>
        <w:numPr>
          <w:ilvl w:val="0"/>
          <w:numId w:val="13"/>
        </w:numPr>
        <w:spacing w:line="276" w:lineRule="auto"/>
        <w:jc w:val="both"/>
        <w:rPr>
          <w:i/>
          <w:iCs/>
          <w:sz w:val="22"/>
          <w:szCs w:val="22"/>
        </w:rPr>
      </w:pPr>
      <w:r w:rsidRPr="00AD5D2A">
        <w:rPr>
          <w:sz w:val="22"/>
          <w:szCs w:val="22"/>
        </w:rPr>
        <w:t>Kitchen safety</w:t>
      </w:r>
    </w:p>
    <w:p w14:paraId="1BEA29D9" w14:textId="77777777" w:rsidR="008D0E79" w:rsidRPr="00AD5D2A" w:rsidRDefault="008D0E79" w:rsidP="00AD5D2A">
      <w:pPr>
        <w:pStyle w:val="ListParagraph"/>
        <w:numPr>
          <w:ilvl w:val="0"/>
          <w:numId w:val="13"/>
        </w:numPr>
        <w:spacing w:line="276" w:lineRule="auto"/>
        <w:jc w:val="both"/>
        <w:rPr>
          <w:i/>
          <w:iCs/>
          <w:sz w:val="22"/>
          <w:szCs w:val="22"/>
        </w:rPr>
      </w:pPr>
      <w:r w:rsidRPr="00AD5D2A">
        <w:rPr>
          <w:sz w:val="22"/>
          <w:szCs w:val="22"/>
        </w:rPr>
        <w:t>Food handling</w:t>
      </w:r>
    </w:p>
    <w:p w14:paraId="539BA6D9" w14:textId="77777777" w:rsidR="008D0E79" w:rsidRPr="00AD5D2A" w:rsidRDefault="008D0E79" w:rsidP="00AD5D2A">
      <w:pPr>
        <w:pStyle w:val="ListParagraph"/>
        <w:numPr>
          <w:ilvl w:val="0"/>
          <w:numId w:val="13"/>
        </w:numPr>
        <w:spacing w:line="276" w:lineRule="auto"/>
        <w:jc w:val="both"/>
        <w:rPr>
          <w:i/>
          <w:iCs/>
          <w:sz w:val="22"/>
          <w:szCs w:val="22"/>
        </w:rPr>
      </w:pPr>
      <w:r w:rsidRPr="00AD5D2A">
        <w:rPr>
          <w:sz w:val="22"/>
          <w:szCs w:val="22"/>
        </w:rPr>
        <w:t>Food storage</w:t>
      </w:r>
    </w:p>
    <w:p w14:paraId="0935FDD9" w14:textId="77777777" w:rsidR="008D0E79" w:rsidRPr="00AD5D2A" w:rsidRDefault="008D0E79" w:rsidP="00AD5D2A">
      <w:pPr>
        <w:pStyle w:val="ListParagraph"/>
        <w:numPr>
          <w:ilvl w:val="0"/>
          <w:numId w:val="13"/>
        </w:numPr>
        <w:spacing w:line="276" w:lineRule="auto"/>
        <w:jc w:val="both"/>
        <w:rPr>
          <w:i/>
          <w:iCs/>
          <w:sz w:val="22"/>
          <w:szCs w:val="22"/>
        </w:rPr>
      </w:pPr>
      <w:r w:rsidRPr="00AD5D2A">
        <w:rPr>
          <w:sz w:val="22"/>
          <w:szCs w:val="22"/>
        </w:rPr>
        <w:t>Waste management</w:t>
      </w:r>
    </w:p>
    <w:p w14:paraId="466962BF" w14:textId="77777777" w:rsidR="009E2524" w:rsidRPr="00AD5D2A" w:rsidRDefault="009E2524" w:rsidP="00AD5D2A">
      <w:pPr>
        <w:spacing w:line="276" w:lineRule="auto"/>
        <w:jc w:val="both"/>
        <w:rPr>
          <w:sz w:val="22"/>
          <w:szCs w:val="22"/>
        </w:rPr>
      </w:pPr>
    </w:p>
    <w:p w14:paraId="56B69434" w14:textId="77777777" w:rsidR="007E6BA5" w:rsidRDefault="007E6BA5" w:rsidP="00AD5D2A">
      <w:pPr>
        <w:spacing w:line="276" w:lineRule="auto"/>
        <w:jc w:val="both"/>
        <w:rPr>
          <w:i/>
          <w:iCs/>
          <w:sz w:val="22"/>
          <w:szCs w:val="22"/>
        </w:rPr>
      </w:pPr>
    </w:p>
    <w:p w14:paraId="2B7EC477" w14:textId="77777777" w:rsidR="00D155FA" w:rsidRPr="00AD5D2A" w:rsidRDefault="004031FE" w:rsidP="00AD5D2A">
      <w:pPr>
        <w:spacing w:line="276" w:lineRule="auto"/>
        <w:jc w:val="both"/>
        <w:rPr>
          <w:i/>
          <w:iCs/>
          <w:sz w:val="22"/>
          <w:szCs w:val="22"/>
        </w:rPr>
      </w:pPr>
      <w:r w:rsidRPr="00AD5D2A">
        <w:rPr>
          <w:i/>
          <w:iCs/>
          <w:sz w:val="22"/>
          <w:szCs w:val="22"/>
        </w:rPr>
        <w:t>Guides for Schools</w:t>
      </w:r>
    </w:p>
    <w:p w14:paraId="17A1F36F" w14:textId="4E226C72" w:rsidR="008434C3" w:rsidRPr="00A46C41" w:rsidRDefault="00285CDF" w:rsidP="00A46C41">
      <w:pPr>
        <w:spacing w:line="276" w:lineRule="auto"/>
        <w:jc w:val="both"/>
        <w:rPr>
          <w:i/>
          <w:iCs/>
          <w:sz w:val="24"/>
          <w:szCs w:val="24"/>
        </w:rPr>
      </w:pPr>
      <w:r w:rsidRPr="00AD5D2A">
        <w:rPr>
          <w:sz w:val="22"/>
          <w:szCs w:val="22"/>
        </w:rPr>
        <w:t xml:space="preserve">The DBE has developed </w:t>
      </w:r>
      <w:r w:rsidR="003B5B75" w:rsidRPr="00AD5D2A">
        <w:rPr>
          <w:sz w:val="22"/>
          <w:szCs w:val="22"/>
        </w:rPr>
        <w:t xml:space="preserve">a </w:t>
      </w:r>
      <w:r w:rsidRPr="00AD5D2A">
        <w:rPr>
          <w:sz w:val="22"/>
          <w:szCs w:val="22"/>
        </w:rPr>
        <w:t>guideline for schools that implement the NSNP</w:t>
      </w:r>
      <w:r w:rsidR="003B5B75" w:rsidRPr="00AD5D2A">
        <w:rPr>
          <w:sz w:val="22"/>
          <w:szCs w:val="22"/>
        </w:rPr>
        <w:t>.</w:t>
      </w:r>
      <w:r w:rsidR="005125C8" w:rsidRPr="00AD5D2A">
        <w:rPr>
          <w:rStyle w:val="FootnoteReference"/>
          <w:sz w:val="22"/>
          <w:szCs w:val="22"/>
        </w:rPr>
        <w:footnoteReference w:id="12"/>
      </w:r>
      <w:r w:rsidR="003B5B75" w:rsidRPr="00AD5D2A">
        <w:rPr>
          <w:sz w:val="22"/>
          <w:szCs w:val="22"/>
        </w:rPr>
        <w:t xml:space="preserve"> This guideline </w:t>
      </w:r>
      <w:r w:rsidR="00BD036C" w:rsidRPr="00AD5D2A">
        <w:rPr>
          <w:sz w:val="22"/>
          <w:szCs w:val="22"/>
        </w:rPr>
        <w:t>explains the importance of the programme, which learners get meals, what should be included in the meal, when to feed learners, the management structure of the programme, how the programme should be implemented as well as guidelines on communication and reporting by schools to Provincial Education Departments and the DBE.</w:t>
      </w:r>
      <w:r w:rsidR="00BD036C">
        <w:rPr>
          <w:sz w:val="24"/>
          <w:szCs w:val="24"/>
        </w:rPr>
        <w:t xml:space="preserve"> </w:t>
      </w:r>
    </w:p>
    <w:p w14:paraId="53B19B60" w14:textId="77777777" w:rsidR="008434C3" w:rsidRDefault="008434C3" w:rsidP="008434C3">
      <w:pPr>
        <w:ind w:left="792"/>
        <w:jc w:val="both"/>
        <w:rPr>
          <w:sz w:val="24"/>
          <w:szCs w:val="24"/>
        </w:rPr>
      </w:pPr>
    </w:p>
    <w:p w14:paraId="5FA28BA3" w14:textId="16D81EEE" w:rsidR="00B26428" w:rsidRPr="00AE212F" w:rsidRDefault="008434C3" w:rsidP="008434C3">
      <w:pPr>
        <w:numPr>
          <w:ilvl w:val="1"/>
          <w:numId w:val="2"/>
        </w:numPr>
        <w:jc w:val="both"/>
        <w:rPr>
          <w:rFonts w:ascii="Times" w:hAnsi="Times"/>
          <w:b/>
          <w:bCs/>
          <w:spacing w:val="4"/>
          <w:sz w:val="24"/>
          <w:szCs w:val="24"/>
        </w:rPr>
      </w:pPr>
      <w:r w:rsidRPr="00AE212F">
        <w:rPr>
          <w:rFonts w:ascii="Times" w:hAnsi="Times"/>
          <w:b/>
          <w:bCs/>
          <w:spacing w:val="4"/>
          <w:sz w:val="24"/>
          <w:szCs w:val="24"/>
        </w:rPr>
        <w:t>What proactive steps or good practices can you report on taken by the State to engage in activities to strengthen people's access to and utilization of resources for food security in this regard?</w:t>
      </w:r>
    </w:p>
    <w:p w14:paraId="2A97C600" w14:textId="77777777" w:rsidR="0056102A" w:rsidRDefault="0056102A" w:rsidP="0056102A">
      <w:pPr>
        <w:ind w:left="360"/>
        <w:jc w:val="both"/>
        <w:rPr>
          <w:rFonts w:ascii="Times" w:hAnsi="Times"/>
          <w:spacing w:val="4"/>
          <w:sz w:val="24"/>
          <w:szCs w:val="24"/>
          <w:highlight w:val="green"/>
        </w:rPr>
      </w:pPr>
    </w:p>
    <w:p w14:paraId="0D864A61" w14:textId="1A875F08" w:rsidR="0056102A" w:rsidRPr="00F1267C" w:rsidRDefault="006902BE" w:rsidP="00A46C41">
      <w:pPr>
        <w:spacing w:line="276" w:lineRule="auto"/>
        <w:jc w:val="both"/>
        <w:rPr>
          <w:i/>
          <w:iCs/>
          <w:spacing w:val="4"/>
          <w:sz w:val="22"/>
          <w:szCs w:val="22"/>
        </w:rPr>
      </w:pPr>
      <w:r w:rsidRPr="00F1267C">
        <w:rPr>
          <w:i/>
          <w:iCs/>
          <w:spacing w:val="4"/>
          <w:sz w:val="22"/>
          <w:szCs w:val="22"/>
        </w:rPr>
        <w:t>ECD</w:t>
      </w:r>
      <w:r w:rsidR="00ED7F66" w:rsidRPr="00F1267C">
        <w:rPr>
          <w:i/>
          <w:iCs/>
          <w:spacing w:val="4"/>
          <w:sz w:val="22"/>
          <w:szCs w:val="22"/>
        </w:rPr>
        <w:t xml:space="preserve"> and Nutrition</w:t>
      </w:r>
    </w:p>
    <w:p w14:paraId="5CA7FA83" w14:textId="20EDB4ED" w:rsidR="0056102A" w:rsidRDefault="00F1267C" w:rsidP="00A46C41">
      <w:pPr>
        <w:spacing w:line="276" w:lineRule="auto"/>
        <w:jc w:val="both"/>
        <w:rPr>
          <w:spacing w:val="4"/>
          <w:sz w:val="22"/>
          <w:szCs w:val="22"/>
        </w:rPr>
      </w:pPr>
      <w:r w:rsidRPr="00F1267C">
        <w:rPr>
          <w:spacing w:val="4"/>
          <w:sz w:val="22"/>
          <w:szCs w:val="22"/>
        </w:rPr>
        <w:t>In 2023, the State allocated</w:t>
      </w:r>
      <w:r>
        <w:rPr>
          <w:spacing w:val="4"/>
          <w:sz w:val="22"/>
          <w:szCs w:val="22"/>
        </w:rPr>
        <w:t xml:space="preserve"> more </w:t>
      </w:r>
      <w:r w:rsidR="00F8776F">
        <w:rPr>
          <w:spacing w:val="4"/>
          <w:sz w:val="22"/>
          <w:szCs w:val="22"/>
        </w:rPr>
        <w:t>money</w:t>
      </w:r>
      <w:r>
        <w:rPr>
          <w:spacing w:val="4"/>
          <w:sz w:val="22"/>
          <w:szCs w:val="22"/>
        </w:rPr>
        <w:t xml:space="preserve"> to the ECD</w:t>
      </w:r>
      <w:r w:rsidR="00631633">
        <w:rPr>
          <w:spacing w:val="4"/>
          <w:sz w:val="22"/>
          <w:szCs w:val="22"/>
        </w:rPr>
        <w:t xml:space="preserve"> sector, specifically increasing the ECD </w:t>
      </w:r>
      <w:r w:rsidR="00CE67D3">
        <w:rPr>
          <w:spacing w:val="4"/>
          <w:sz w:val="22"/>
          <w:szCs w:val="22"/>
        </w:rPr>
        <w:t>C</w:t>
      </w:r>
      <w:r w:rsidR="00631633">
        <w:rPr>
          <w:spacing w:val="4"/>
          <w:sz w:val="22"/>
          <w:szCs w:val="22"/>
        </w:rPr>
        <w:t>onditional Grant for 2024/25</w:t>
      </w:r>
      <w:r w:rsidR="00F8776F">
        <w:rPr>
          <w:spacing w:val="4"/>
          <w:sz w:val="22"/>
          <w:szCs w:val="22"/>
        </w:rPr>
        <w:t xml:space="preserve"> by 51% and </w:t>
      </w:r>
      <w:r w:rsidR="00CE67D3">
        <w:rPr>
          <w:spacing w:val="4"/>
          <w:sz w:val="22"/>
          <w:szCs w:val="22"/>
        </w:rPr>
        <w:t>set to increase again by 24% in the 2025/26 financial year.</w:t>
      </w:r>
      <w:r w:rsidR="00C47678">
        <w:rPr>
          <w:rStyle w:val="FootnoteReference"/>
          <w:spacing w:val="4"/>
          <w:sz w:val="22"/>
          <w:szCs w:val="22"/>
        </w:rPr>
        <w:footnoteReference w:id="13"/>
      </w:r>
      <w:r w:rsidR="00CE67D3">
        <w:rPr>
          <w:spacing w:val="4"/>
          <w:sz w:val="22"/>
          <w:szCs w:val="22"/>
        </w:rPr>
        <w:t xml:space="preserve"> </w:t>
      </w:r>
      <w:r w:rsidR="00B90EA0">
        <w:rPr>
          <w:spacing w:val="4"/>
          <w:sz w:val="22"/>
          <w:szCs w:val="22"/>
        </w:rPr>
        <w:t>Part of this conditional grant is used for the per child per day subsidy, and whilst the cost of the subsidy remains concerningly low, the increase allocated funds means that the number of learners in ELPs</w:t>
      </w:r>
      <w:r w:rsidR="00A2701E">
        <w:rPr>
          <w:spacing w:val="4"/>
          <w:sz w:val="22"/>
          <w:szCs w:val="22"/>
        </w:rPr>
        <w:t xml:space="preserve"> that are subsidised by the State could grow by 20%. Whilst this is a step in the right direction</w:t>
      </w:r>
      <w:r w:rsidR="00C222FC">
        <w:rPr>
          <w:spacing w:val="4"/>
          <w:sz w:val="22"/>
          <w:szCs w:val="22"/>
        </w:rPr>
        <w:t>, it is not necessarily a big enough one because</w:t>
      </w:r>
      <w:r w:rsidR="00A2701E">
        <w:rPr>
          <w:spacing w:val="4"/>
          <w:sz w:val="22"/>
          <w:szCs w:val="22"/>
        </w:rPr>
        <w:t xml:space="preserve"> the bar from which </w:t>
      </w:r>
      <w:r w:rsidR="00C222FC">
        <w:rPr>
          <w:spacing w:val="4"/>
          <w:sz w:val="22"/>
          <w:szCs w:val="22"/>
        </w:rPr>
        <w:t>the sector is progressing is extremely low.</w:t>
      </w:r>
      <w:r w:rsidR="00E07269">
        <w:rPr>
          <w:rStyle w:val="FootnoteReference"/>
          <w:spacing w:val="4"/>
          <w:sz w:val="22"/>
          <w:szCs w:val="22"/>
        </w:rPr>
        <w:footnoteReference w:id="14"/>
      </w:r>
    </w:p>
    <w:p w14:paraId="18ECD916" w14:textId="723282A2" w:rsidR="00C222FC" w:rsidRDefault="00C222FC" w:rsidP="00AE212F">
      <w:pPr>
        <w:spacing w:line="276" w:lineRule="auto"/>
        <w:ind w:left="720"/>
        <w:jc w:val="both"/>
        <w:rPr>
          <w:spacing w:val="4"/>
          <w:sz w:val="22"/>
          <w:szCs w:val="22"/>
        </w:rPr>
      </w:pPr>
    </w:p>
    <w:p w14:paraId="71E5667B" w14:textId="4B21CDF6" w:rsidR="00C222FC" w:rsidRDefault="004B1851" w:rsidP="00A46C41">
      <w:pPr>
        <w:spacing w:line="276" w:lineRule="auto"/>
        <w:jc w:val="both"/>
        <w:rPr>
          <w:spacing w:val="4"/>
          <w:sz w:val="22"/>
          <w:szCs w:val="22"/>
        </w:rPr>
      </w:pPr>
      <w:r>
        <w:rPr>
          <w:spacing w:val="4"/>
          <w:sz w:val="22"/>
          <w:szCs w:val="22"/>
        </w:rPr>
        <w:t>Th</w:t>
      </w:r>
      <w:r w:rsidR="00373C98">
        <w:rPr>
          <w:spacing w:val="4"/>
          <w:sz w:val="22"/>
          <w:szCs w:val="22"/>
        </w:rPr>
        <w:t xml:space="preserve">is conditional grant will also fund </w:t>
      </w:r>
      <w:r w:rsidR="00632BCB">
        <w:rPr>
          <w:spacing w:val="4"/>
          <w:sz w:val="22"/>
          <w:szCs w:val="22"/>
        </w:rPr>
        <w:t>the nutrition support pilot for ELPs</w:t>
      </w:r>
      <w:r w:rsidR="0033073C">
        <w:rPr>
          <w:spacing w:val="4"/>
          <w:sz w:val="22"/>
          <w:szCs w:val="22"/>
        </w:rPr>
        <w:t xml:space="preserve">. This pilot </w:t>
      </w:r>
      <w:r w:rsidR="009C491F">
        <w:rPr>
          <w:spacing w:val="4"/>
          <w:sz w:val="22"/>
          <w:szCs w:val="22"/>
        </w:rPr>
        <w:t xml:space="preserve">programme </w:t>
      </w:r>
      <w:r w:rsidR="0033073C">
        <w:rPr>
          <w:spacing w:val="4"/>
          <w:sz w:val="22"/>
          <w:szCs w:val="22"/>
        </w:rPr>
        <w:t xml:space="preserve">has a budget of </w:t>
      </w:r>
      <w:r w:rsidR="00427D50">
        <w:rPr>
          <w:spacing w:val="4"/>
          <w:sz w:val="22"/>
          <w:szCs w:val="22"/>
        </w:rPr>
        <w:t>R</w:t>
      </w:r>
      <w:r w:rsidR="0033073C">
        <w:rPr>
          <w:spacing w:val="4"/>
          <w:sz w:val="22"/>
          <w:szCs w:val="22"/>
        </w:rPr>
        <w:t xml:space="preserve">300 million in the 2024/25 financial year and </w:t>
      </w:r>
      <w:r w:rsidR="009C491F">
        <w:rPr>
          <w:spacing w:val="4"/>
          <w:sz w:val="22"/>
          <w:szCs w:val="22"/>
        </w:rPr>
        <w:t>R400 million in the 2025/26 financial year.</w:t>
      </w:r>
      <w:r w:rsidR="00E07269">
        <w:rPr>
          <w:rStyle w:val="FootnoteReference"/>
          <w:spacing w:val="4"/>
          <w:sz w:val="22"/>
          <w:szCs w:val="22"/>
        </w:rPr>
        <w:footnoteReference w:id="15"/>
      </w:r>
      <w:r w:rsidR="009C491F">
        <w:rPr>
          <w:spacing w:val="4"/>
          <w:sz w:val="22"/>
          <w:szCs w:val="22"/>
        </w:rPr>
        <w:t xml:space="preserve"> </w:t>
      </w:r>
      <w:r w:rsidR="00DF3958">
        <w:rPr>
          <w:spacing w:val="4"/>
          <w:sz w:val="22"/>
          <w:szCs w:val="22"/>
        </w:rPr>
        <w:t>One of the</w:t>
      </w:r>
      <w:r w:rsidR="009575E7">
        <w:rPr>
          <w:spacing w:val="4"/>
          <w:sz w:val="22"/>
          <w:szCs w:val="22"/>
        </w:rPr>
        <w:t xml:space="preserve"> goals of this pilot programme is to test</w:t>
      </w:r>
      <w:r w:rsidR="00297BB7">
        <w:rPr>
          <w:spacing w:val="4"/>
          <w:sz w:val="22"/>
          <w:szCs w:val="22"/>
        </w:rPr>
        <w:t xml:space="preserve"> for a results-based</w:t>
      </w:r>
      <w:r w:rsidR="009575E7">
        <w:rPr>
          <w:spacing w:val="4"/>
          <w:sz w:val="22"/>
          <w:szCs w:val="22"/>
        </w:rPr>
        <w:t xml:space="preserve"> nutrition delivery model. The context in which a nutrition programme would work </w:t>
      </w:r>
      <w:r w:rsidR="00C347DB">
        <w:rPr>
          <w:spacing w:val="4"/>
          <w:sz w:val="22"/>
          <w:szCs w:val="22"/>
        </w:rPr>
        <w:t>within ELPs varies to the context in which the NSNP feeding scheme is delivered because a large majority of ECD/ECCE institutions are privately run</w:t>
      </w:r>
      <w:r w:rsidR="00297BB7">
        <w:rPr>
          <w:spacing w:val="4"/>
          <w:sz w:val="22"/>
          <w:szCs w:val="22"/>
        </w:rPr>
        <w:t xml:space="preserve"> and many</w:t>
      </w:r>
      <w:r w:rsidR="00D71676">
        <w:rPr>
          <w:spacing w:val="4"/>
          <w:sz w:val="22"/>
          <w:szCs w:val="22"/>
        </w:rPr>
        <w:t>, serving the poorest communities,</w:t>
      </w:r>
      <w:r w:rsidR="00297BB7">
        <w:rPr>
          <w:spacing w:val="4"/>
          <w:sz w:val="22"/>
          <w:szCs w:val="22"/>
        </w:rPr>
        <w:t xml:space="preserve"> are unregistered.</w:t>
      </w:r>
    </w:p>
    <w:p w14:paraId="728619B6" w14:textId="77777777" w:rsidR="00297BB7" w:rsidRDefault="00297BB7" w:rsidP="00AE212F">
      <w:pPr>
        <w:spacing w:line="276" w:lineRule="auto"/>
        <w:ind w:left="720"/>
        <w:jc w:val="both"/>
        <w:rPr>
          <w:spacing w:val="4"/>
          <w:sz w:val="22"/>
          <w:szCs w:val="22"/>
        </w:rPr>
      </w:pPr>
    </w:p>
    <w:p w14:paraId="01B2BA72" w14:textId="52CA1D8A" w:rsidR="00297BB7" w:rsidRPr="00297BB7" w:rsidRDefault="00297BB7" w:rsidP="00A46C41">
      <w:pPr>
        <w:spacing w:line="276" w:lineRule="auto"/>
        <w:jc w:val="both"/>
        <w:rPr>
          <w:i/>
          <w:iCs/>
          <w:spacing w:val="4"/>
          <w:sz w:val="22"/>
          <w:szCs w:val="22"/>
        </w:rPr>
      </w:pPr>
      <w:r w:rsidRPr="00297BB7">
        <w:rPr>
          <w:i/>
          <w:iCs/>
          <w:spacing w:val="4"/>
          <w:sz w:val="22"/>
          <w:szCs w:val="22"/>
        </w:rPr>
        <w:t>Provision of School Meals During the COVID-19 Pandemic</w:t>
      </w:r>
    </w:p>
    <w:p w14:paraId="431CCFC3" w14:textId="71EFEE20" w:rsidR="00BF1A50" w:rsidRDefault="00866DA6" w:rsidP="00A46C41">
      <w:pPr>
        <w:spacing w:line="276" w:lineRule="auto"/>
        <w:jc w:val="both"/>
        <w:rPr>
          <w:spacing w:val="4"/>
          <w:sz w:val="22"/>
          <w:szCs w:val="22"/>
        </w:rPr>
      </w:pPr>
      <w:r>
        <w:rPr>
          <w:spacing w:val="4"/>
          <w:sz w:val="22"/>
          <w:szCs w:val="22"/>
        </w:rPr>
        <w:t xml:space="preserve">The NSNP is a feeding that was introduced in 1994 as a means to improve the ability of learners to learn effectively by reducing malnutrition, stunting, hunger and improving school attendance. Today, it </w:t>
      </w:r>
      <w:r w:rsidR="00F11BA7">
        <w:rPr>
          <w:spacing w:val="4"/>
          <w:sz w:val="22"/>
          <w:szCs w:val="22"/>
        </w:rPr>
        <w:t xml:space="preserve">provides school meals to over 9 million </w:t>
      </w:r>
      <w:r w:rsidR="00582318">
        <w:rPr>
          <w:spacing w:val="4"/>
          <w:sz w:val="22"/>
          <w:szCs w:val="22"/>
        </w:rPr>
        <w:t xml:space="preserve">vulnerable </w:t>
      </w:r>
      <w:r w:rsidR="00F11BA7">
        <w:rPr>
          <w:spacing w:val="4"/>
          <w:sz w:val="22"/>
          <w:szCs w:val="22"/>
        </w:rPr>
        <w:t xml:space="preserve">learners. The programme provides meals to learners </w:t>
      </w:r>
      <w:r w:rsidR="00D43254">
        <w:rPr>
          <w:spacing w:val="4"/>
          <w:sz w:val="22"/>
          <w:szCs w:val="22"/>
        </w:rPr>
        <w:t>in under-resourced no-fee paying schools and i</w:t>
      </w:r>
      <w:r w:rsidR="00BF1A50">
        <w:rPr>
          <w:spacing w:val="4"/>
          <w:sz w:val="22"/>
          <w:szCs w:val="22"/>
        </w:rPr>
        <w:t>s thus an example of effective ‘pro-poor’ spending</w:t>
      </w:r>
      <w:r w:rsidR="00C85F8C">
        <w:rPr>
          <w:spacing w:val="4"/>
          <w:sz w:val="22"/>
          <w:szCs w:val="22"/>
        </w:rPr>
        <w:t>.</w:t>
      </w:r>
    </w:p>
    <w:p w14:paraId="20700BAB" w14:textId="77777777" w:rsidR="00BF1A50" w:rsidRDefault="00BF1A50" w:rsidP="00AE212F">
      <w:pPr>
        <w:spacing w:line="276" w:lineRule="auto"/>
        <w:ind w:left="720"/>
        <w:jc w:val="both"/>
        <w:rPr>
          <w:spacing w:val="4"/>
          <w:sz w:val="22"/>
          <w:szCs w:val="22"/>
        </w:rPr>
      </w:pPr>
    </w:p>
    <w:p w14:paraId="587351A4" w14:textId="1D516263" w:rsidR="0056102A" w:rsidRDefault="00622594" w:rsidP="00A46C41">
      <w:pPr>
        <w:spacing w:line="276" w:lineRule="auto"/>
        <w:jc w:val="both"/>
        <w:rPr>
          <w:spacing w:val="4"/>
          <w:sz w:val="22"/>
          <w:szCs w:val="22"/>
        </w:rPr>
      </w:pPr>
      <w:r>
        <w:rPr>
          <w:spacing w:val="4"/>
          <w:sz w:val="22"/>
          <w:szCs w:val="22"/>
        </w:rPr>
        <w:t>When the COVID-19 pandemic</w:t>
      </w:r>
      <w:r w:rsidR="0054245B">
        <w:rPr>
          <w:spacing w:val="4"/>
          <w:sz w:val="22"/>
          <w:szCs w:val="22"/>
        </w:rPr>
        <w:t xml:space="preserve"> hit South Africa,</w:t>
      </w:r>
      <w:r w:rsidR="008D4BAA">
        <w:rPr>
          <w:spacing w:val="4"/>
          <w:sz w:val="22"/>
          <w:szCs w:val="22"/>
        </w:rPr>
        <w:t xml:space="preserve"> schools </w:t>
      </w:r>
      <w:r w:rsidR="008A196D">
        <w:rPr>
          <w:spacing w:val="4"/>
          <w:sz w:val="22"/>
          <w:szCs w:val="22"/>
        </w:rPr>
        <w:t xml:space="preserve">were shut down and the </w:t>
      </w:r>
      <w:r w:rsidR="00B707A0">
        <w:rPr>
          <w:spacing w:val="4"/>
          <w:sz w:val="22"/>
          <w:szCs w:val="22"/>
        </w:rPr>
        <w:t>State</w:t>
      </w:r>
      <w:r w:rsidR="008A196D">
        <w:rPr>
          <w:spacing w:val="4"/>
          <w:sz w:val="22"/>
          <w:szCs w:val="22"/>
        </w:rPr>
        <w:t xml:space="preserve"> decided to halt the NSNP </w:t>
      </w:r>
      <w:r w:rsidR="00D43563">
        <w:rPr>
          <w:spacing w:val="4"/>
          <w:sz w:val="22"/>
          <w:szCs w:val="22"/>
        </w:rPr>
        <w:t xml:space="preserve">school </w:t>
      </w:r>
      <w:r w:rsidR="008A196D">
        <w:rPr>
          <w:spacing w:val="4"/>
          <w:sz w:val="22"/>
          <w:szCs w:val="22"/>
        </w:rPr>
        <w:t>feeding sc</w:t>
      </w:r>
      <w:r w:rsidR="00D43563">
        <w:rPr>
          <w:spacing w:val="4"/>
          <w:sz w:val="22"/>
          <w:szCs w:val="22"/>
        </w:rPr>
        <w:t xml:space="preserve">heme. Upon learners returning to school, </w:t>
      </w:r>
      <w:r w:rsidR="00BB7BAF">
        <w:rPr>
          <w:spacing w:val="4"/>
          <w:sz w:val="22"/>
          <w:szCs w:val="22"/>
        </w:rPr>
        <w:t xml:space="preserve">some learners were learning entirely remotely and others were learning on a rotating/platooning schedule – in other words, they attended school either every other week or every other day. </w:t>
      </w:r>
      <w:r w:rsidR="00882D4A">
        <w:rPr>
          <w:spacing w:val="4"/>
          <w:sz w:val="22"/>
          <w:szCs w:val="22"/>
        </w:rPr>
        <w:t>Learners who were learning from home were not receiving their meals through the NSNP</w:t>
      </w:r>
      <w:r w:rsidR="007A3B4F">
        <w:rPr>
          <w:spacing w:val="4"/>
          <w:sz w:val="22"/>
          <w:szCs w:val="22"/>
        </w:rPr>
        <w:t xml:space="preserve">. </w:t>
      </w:r>
      <w:r w:rsidR="00B822EB">
        <w:rPr>
          <w:spacing w:val="4"/>
          <w:sz w:val="22"/>
          <w:szCs w:val="22"/>
        </w:rPr>
        <w:t xml:space="preserve">In response, </w:t>
      </w:r>
      <w:r w:rsidR="007A3B4F">
        <w:rPr>
          <w:spacing w:val="4"/>
          <w:sz w:val="22"/>
          <w:szCs w:val="22"/>
        </w:rPr>
        <w:t>Equal Education (EE)</w:t>
      </w:r>
      <w:r w:rsidR="00A01B12">
        <w:rPr>
          <w:spacing w:val="4"/>
          <w:sz w:val="22"/>
          <w:szCs w:val="22"/>
        </w:rPr>
        <w:t>, a movement of parents, learners, and post school youth,</w:t>
      </w:r>
      <w:r w:rsidR="002C0CBF">
        <w:rPr>
          <w:spacing w:val="4"/>
          <w:sz w:val="22"/>
          <w:szCs w:val="22"/>
        </w:rPr>
        <w:t xml:space="preserve"> represented by the EELC, </w:t>
      </w:r>
      <w:r w:rsidR="004854A3">
        <w:rPr>
          <w:spacing w:val="4"/>
          <w:sz w:val="22"/>
          <w:szCs w:val="22"/>
        </w:rPr>
        <w:t>took the DBE to court where it</w:t>
      </w:r>
      <w:r w:rsidR="00666740">
        <w:rPr>
          <w:spacing w:val="4"/>
          <w:sz w:val="22"/>
          <w:szCs w:val="22"/>
        </w:rPr>
        <w:t xml:space="preserve"> was </w:t>
      </w:r>
      <w:r w:rsidR="00A9032C">
        <w:rPr>
          <w:spacing w:val="4"/>
          <w:sz w:val="22"/>
          <w:szCs w:val="22"/>
        </w:rPr>
        <w:t>held that the DBE had a constitutional obligation to continue to fully implement the NSNP</w:t>
      </w:r>
      <w:r w:rsidR="00C14187">
        <w:rPr>
          <w:spacing w:val="4"/>
          <w:sz w:val="22"/>
          <w:szCs w:val="22"/>
        </w:rPr>
        <w:t>, regardless of where learners were learning from.</w:t>
      </w:r>
      <w:r w:rsidR="009C0357">
        <w:rPr>
          <w:rStyle w:val="FootnoteReference"/>
          <w:spacing w:val="4"/>
          <w:sz w:val="22"/>
          <w:szCs w:val="22"/>
        </w:rPr>
        <w:footnoteReference w:id="16"/>
      </w:r>
      <w:r w:rsidR="00C14187">
        <w:rPr>
          <w:spacing w:val="4"/>
          <w:sz w:val="22"/>
          <w:szCs w:val="22"/>
        </w:rPr>
        <w:t xml:space="preserve"> </w:t>
      </w:r>
      <w:r w:rsidR="52A2B1E6">
        <w:rPr>
          <w:spacing w:val="4"/>
          <w:sz w:val="22"/>
          <w:szCs w:val="22"/>
        </w:rPr>
        <w:t xml:space="preserve">The judgment confirmed that the right to basic education was inclusive of the right to basic nutrition: </w:t>
      </w:r>
    </w:p>
    <w:p w14:paraId="582FED1F" w14:textId="22C38983" w:rsidR="6B7C3E21" w:rsidRDefault="6B7C3E21" w:rsidP="6B7C3E21">
      <w:pPr>
        <w:spacing w:line="276" w:lineRule="auto"/>
        <w:ind w:left="720"/>
        <w:jc w:val="both"/>
        <w:rPr>
          <w:sz w:val="22"/>
          <w:szCs w:val="22"/>
        </w:rPr>
      </w:pPr>
    </w:p>
    <w:p w14:paraId="4F35BF6A" w14:textId="2E693B8A" w:rsidR="4EA42462" w:rsidRDefault="4EA42462" w:rsidP="6B7C3E21">
      <w:pPr>
        <w:spacing w:line="276" w:lineRule="auto"/>
        <w:ind w:left="720" w:firstLine="720"/>
        <w:jc w:val="both"/>
        <w:rPr>
          <w:i/>
          <w:iCs/>
          <w:sz w:val="22"/>
          <w:szCs w:val="22"/>
        </w:rPr>
      </w:pPr>
      <w:r w:rsidRPr="6B7C3E21">
        <w:rPr>
          <w:i/>
          <w:iCs/>
          <w:sz w:val="22"/>
          <w:szCs w:val="22"/>
        </w:rPr>
        <w:t>“</w:t>
      </w:r>
      <w:r w:rsidR="52A2B1E6" w:rsidRPr="6B7C3E21">
        <w:rPr>
          <w:i/>
          <w:iCs/>
          <w:sz w:val="22"/>
          <w:szCs w:val="22"/>
        </w:rPr>
        <w:t xml:space="preserve">It is . . . literally a lifesaving programme for the poorest of the poor child by </w:t>
      </w:r>
      <w:r>
        <w:tab/>
      </w:r>
      <w:r w:rsidR="52A2B1E6" w:rsidRPr="6B7C3E21">
        <w:rPr>
          <w:i/>
          <w:iCs/>
          <w:sz w:val="22"/>
          <w:szCs w:val="22"/>
        </w:rPr>
        <w:t xml:space="preserve">providing them with at least one nutritious meal a day while being educated. A </w:t>
      </w:r>
      <w:r>
        <w:tab/>
      </w:r>
      <w:r w:rsidR="52A2B1E6" w:rsidRPr="6B7C3E21">
        <w:rPr>
          <w:i/>
          <w:iCs/>
          <w:sz w:val="22"/>
          <w:szCs w:val="22"/>
        </w:rPr>
        <w:t>programme that must be saluted</w:t>
      </w:r>
      <w:r w:rsidR="174FEECC" w:rsidRPr="6B7C3E21">
        <w:rPr>
          <w:i/>
          <w:iCs/>
          <w:sz w:val="22"/>
          <w:szCs w:val="22"/>
        </w:rPr>
        <w:t xml:space="preserve">. . . On the Departments own documents the </w:t>
      </w:r>
      <w:r>
        <w:tab/>
      </w:r>
      <w:r w:rsidR="174FEECC" w:rsidRPr="6B7C3E21">
        <w:rPr>
          <w:i/>
          <w:iCs/>
          <w:sz w:val="22"/>
          <w:szCs w:val="22"/>
        </w:rPr>
        <w:t xml:space="preserve">stance that the nutritional aspects of the NSNP is just a by-product of their duty </w:t>
      </w:r>
      <w:r>
        <w:tab/>
      </w:r>
      <w:r w:rsidR="174FEECC" w:rsidRPr="6B7C3E21">
        <w:rPr>
          <w:i/>
          <w:iCs/>
          <w:sz w:val="22"/>
          <w:szCs w:val="22"/>
        </w:rPr>
        <w:t xml:space="preserve">to educate is simply wrong. The Department’s own policy statements reflect </w:t>
      </w:r>
      <w:r>
        <w:tab/>
      </w:r>
      <w:r w:rsidR="174FEECC" w:rsidRPr="6B7C3E21">
        <w:rPr>
          <w:i/>
          <w:iCs/>
          <w:sz w:val="22"/>
          <w:szCs w:val="22"/>
        </w:rPr>
        <w:t xml:space="preserve">basic nutrition as component to basic education. State policy is instructive on </w:t>
      </w:r>
      <w:r>
        <w:tab/>
      </w:r>
      <w:r w:rsidR="174FEECC" w:rsidRPr="6B7C3E21">
        <w:rPr>
          <w:i/>
          <w:iCs/>
          <w:sz w:val="22"/>
          <w:szCs w:val="22"/>
        </w:rPr>
        <w:t xml:space="preserve">the content of the right to education and in the policies the provision of basic </w:t>
      </w:r>
      <w:r>
        <w:tab/>
      </w:r>
      <w:r w:rsidR="174FEECC" w:rsidRPr="6B7C3E21">
        <w:rPr>
          <w:i/>
          <w:iCs/>
          <w:sz w:val="22"/>
          <w:szCs w:val="22"/>
        </w:rPr>
        <w:t>nutrition is inextricably linked to the fulfilment of basic education.</w:t>
      </w:r>
      <w:r w:rsidR="419C58D2" w:rsidRPr="6B7C3E21">
        <w:rPr>
          <w:i/>
          <w:iCs/>
          <w:sz w:val="22"/>
          <w:szCs w:val="22"/>
        </w:rPr>
        <w:t>”</w:t>
      </w:r>
      <w:r w:rsidR="00A46C41">
        <w:rPr>
          <w:rStyle w:val="FootnoteReference"/>
          <w:i/>
          <w:iCs/>
          <w:sz w:val="22"/>
          <w:szCs w:val="22"/>
        </w:rPr>
        <w:footnoteReference w:id="17"/>
      </w:r>
    </w:p>
    <w:p w14:paraId="60B220EA" w14:textId="77777777" w:rsidR="00985B35" w:rsidRDefault="00985B35" w:rsidP="00AE212F">
      <w:pPr>
        <w:spacing w:line="276" w:lineRule="auto"/>
        <w:ind w:left="720"/>
        <w:jc w:val="both"/>
        <w:rPr>
          <w:spacing w:val="4"/>
          <w:sz w:val="22"/>
          <w:szCs w:val="22"/>
        </w:rPr>
      </w:pPr>
    </w:p>
    <w:p w14:paraId="68F1544A" w14:textId="3A4E8DD2" w:rsidR="00985B35" w:rsidRDefault="00C76C77" w:rsidP="00A46C41">
      <w:pPr>
        <w:spacing w:line="276" w:lineRule="auto"/>
        <w:jc w:val="both"/>
        <w:rPr>
          <w:spacing w:val="4"/>
          <w:sz w:val="22"/>
          <w:szCs w:val="22"/>
        </w:rPr>
      </w:pPr>
      <w:r>
        <w:rPr>
          <w:spacing w:val="4"/>
          <w:sz w:val="22"/>
          <w:szCs w:val="22"/>
        </w:rPr>
        <w:t xml:space="preserve">Even though </w:t>
      </w:r>
      <w:r w:rsidR="00F10834">
        <w:rPr>
          <w:spacing w:val="4"/>
          <w:sz w:val="22"/>
          <w:szCs w:val="22"/>
        </w:rPr>
        <w:t xml:space="preserve">the continuation of the NSNP feeding scheme throughout the COVID-19 lockdown in South Africa was court mandated, it is an example </w:t>
      </w:r>
      <w:r w:rsidR="00370F95">
        <w:rPr>
          <w:spacing w:val="4"/>
          <w:sz w:val="22"/>
          <w:szCs w:val="22"/>
        </w:rPr>
        <w:t xml:space="preserve">of good practice by the State </w:t>
      </w:r>
      <w:r w:rsidR="007202BF">
        <w:rPr>
          <w:spacing w:val="4"/>
          <w:sz w:val="22"/>
          <w:szCs w:val="22"/>
        </w:rPr>
        <w:t>of ensuring</w:t>
      </w:r>
      <w:r w:rsidR="00476D01">
        <w:rPr>
          <w:spacing w:val="4"/>
          <w:sz w:val="22"/>
          <w:szCs w:val="22"/>
        </w:rPr>
        <w:t xml:space="preserve"> access to basic </w:t>
      </w:r>
      <w:r w:rsidR="007202BF">
        <w:rPr>
          <w:spacing w:val="4"/>
          <w:sz w:val="22"/>
          <w:szCs w:val="22"/>
        </w:rPr>
        <w:t xml:space="preserve">nutrition for </w:t>
      </w:r>
      <w:r w:rsidR="00566BF4">
        <w:rPr>
          <w:spacing w:val="4"/>
          <w:sz w:val="22"/>
          <w:szCs w:val="22"/>
        </w:rPr>
        <w:t xml:space="preserve">under-resourced learners. </w:t>
      </w:r>
    </w:p>
    <w:bookmarkEnd w:id="2"/>
    <w:p w14:paraId="0830DB06" w14:textId="5B6147BE" w:rsidR="000D71C2" w:rsidRPr="00A46C41" w:rsidRDefault="000D71C2" w:rsidP="00A46C41">
      <w:pPr>
        <w:spacing w:after="160" w:line="259" w:lineRule="auto"/>
        <w:rPr>
          <w:sz w:val="24"/>
          <w:szCs w:val="24"/>
          <w:highlight w:val="red"/>
        </w:rPr>
      </w:pPr>
    </w:p>
    <w:sectPr w:rsidR="000D71C2" w:rsidRPr="00A46C41">
      <w:headerReference w:type="default" r:id="rId13"/>
      <w:footerReference w:type="default" r:id="rId14"/>
      <w:headerReference w:type="first" r:id="rId15"/>
      <w:footerReference w:type="first" r:id="rId1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B779" w14:textId="77777777" w:rsidR="00273D8C" w:rsidRDefault="00273D8C" w:rsidP="008434C3">
      <w:r>
        <w:separator/>
      </w:r>
    </w:p>
  </w:endnote>
  <w:endnote w:type="continuationSeparator" w:id="0">
    <w:p w14:paraId="0188C883" w14:textId="77777777" w:rsidR="00273D8C" w:rsidRDefault="00273D8C" w:rsidP="008434C3">
      <w:r>
        <w:continuationSeparator/>
      </w:r>
    </w:p>
  </w:endnote>
  <w:endnote w:type="continuationNotice" w:id="1">
    <w:p w14:paraId="2806A30B" w14:textId="77777777" w:rsidR="00273D8C" w:rsidRDefault="00273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68898"/>
      <w:docPartObj>
        <w:docPartGallery w:val="Page Numbers (Bottom of Page)"/>
        <w:docPartUnique/>
      </w:docPartObj>
    </w:sdtPr>
    <w:sdtEndPr>
      <w:rPr>
        <w:noProof/>
      </w:rPr>
    </w:sdtEndPr>
    <w:sdtContent>
      <w:p w14:paraId="3DC93F0A" w14:textId="77777777" w:rsidR="00D06AF8" w:rsidRDefault="008434C3">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C8427B7" w14:textId="77777777" w:rsidR="00D06AF8" w:rsidRDefault="00D06AF8">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2CA5" w14:textId="77777777" w:rsidR="00D06AF8" w:rsidRPr="003F10CA" w:rsidRDefault="008434C3">
    <w:pPr>
      <w:pStyle w:val="Footer"/>
      <w:tabs>
        <w:tab w:val="left" w:pos="567"/>
      </w:tabs>
    </w:pPr>
    <w:r w:rsidRPr="00904039">
      <w:rPr>
        <w:sz w:val="24"/>
      </w:rPr>
      <w:t>A</w:t>
    </w:r>
    <w:r>
      <w:rPr>
        <w:sz w:val="24"/>
      </w:rPr>
      <w:t>ll Permanent Missions</w:t>
    </w:r>
    <w:r w:rsidRPr="00904039">
      <w:rPr>
        <w:sz w:val="24"/>
      </w:rPr>
      <w:t xml:space="preserve"> </w:t>
    </w:r>
    <w:r>
      <w:rPr>
        <w:sz w:val="24"/>
      </w:rPr>
      <w:t>to the United Nations Office and Observers Missions at</w:t>
    </w:r>
    <w:r w:rsidRPr="00904039">
      <w:rPr>
        <w:sz w:val="24"/>
      </w:rPr>
      <w:t xml:space="preserve"> Geneva </w:t>
    </w:r>
  </w:p>
  <w:p w14:paraId="3D62A19D" w14:textId="77777777" w:rsidR="00D06AF8" w:rsidRPr="00282983" w:rsidRDefault="008434C3">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E7D0" w14:textId="77777777" w:rsidR="00273D8C" w:rsidRDefault="00273D8C" w:rsidP="008434C3">
      <w:r>
        <w:separator/>
      </w:r>
    </w:p>
  </w:footnote>
  <w:footnote w:type="continuationSeparator" w:id="0">
    <w:p w14:paraId="7EE3BF1D" w14:textId="77777777" w:rsidR="00273D8C" w:rsidRDefault="00273D8C" w:rsidP="008434C3">
      <w:r>
        <w:continuationSeparator/>
      </w:r>
    </w:p>
  </w:footnote>
  <w:footnote w:type="continuationNotice" w:id="1">
    <w:p w14:paraId="4A262A4D" w14:textId="77777777" w:rsidR="00273D8C" w:rsidRDefault="00273D8C"/>
  </w:footnote>
  <w:footnote w:id="2">
    <w:p w14:paraId="30404CD7" w14:textId="13E46956" w:rsidR="0F50C4BB" w:rsidRPr="00A46C41" w:rsidRDefault="0F50C4BB" w:rsidP="0F50C4BB">
      <w:pPr>
        <w:pStyle w:val="FootnoteText"/>
        <w:ind w:left="0" w:right="0" w:firstLine="0"/>
        <w:jc w:val="both"/>
        <w:rPr>
          <w:szCs w:val="18"/>
          <w:lang w:val="en-US"/>
        </w:rPr>
      </w:pPr>
      <w:r w:rsidRPr="00A46C41">
        <w:rPr>
          <w:rStyle w:val="FootnoteReference"/>
          <w:szCs w:val="18"/>
        </w:rPr>
        <w:footnoteRef/>
      </w:r>
      <w:r w:rsidRPr="00A46C41">
        <w:rPr>
          <w:szCs w:val="18"/>
        </w:rPr>
        <w:t xml:space="preserve"> </w:t>
      </w:r>
      <w:r w:rsidRPr="00A46C41">
        <w:rPr>
          <w:szCs w:val="18"/>
          <w:lang w:val="en-US"/>
        </w:rPr>
        <w:t>World Bank (2020) ‘Poverty &amp; Equity Brief: Sub-Saharan Africa – South Africa’. Found at https://databankfiles.worldbank.org/public/ddpext_download/poverty/33EF03BB-9722-4AE2-ABC7-AA2972D68AFE/Global_POVEQ_ZAF.pdf</w:t>
      </w:r>
    </w:p>
  </w:footnote>
  <w:footnote w:id="3">
    <w:p w14:paraId="1D03521D" w14:textId="2640463A" w:rsidR="0F50C4BB" w:rsidRPr="00A46C41" w:rsidRDefault="0F50C4BB" w:rsidP="0F50C4BB">
      <w:pPr>
        <w:jc w:val="both"/>
        <w:rPr>
          <w:sz w:val="18"/>
          <w:szCs w:val="18"/>
        </w:rPr>
      </w:pPr>
      <w:r w:rsidRPr="00A46C41">
        <w:rPr>
          <w:rStyle w:val="FootnoteReference"/>
          <w:sz w:val="18"/>
          <w:szCs w:val="18"/>
        </w:rPr>
        <w:footnoteRef/>
      </w:r>
      <w:r w:rsidRPr="00A46C41">
        <w:rPr>
          <w:sz w:val="18"/>
          <w:szCs w:val="18"/>
        </w:rPr>
        <w:t xml:space="preserve"> </w:t>
      </w:r>
      <w:r w:rsidRPr="00A46C41">
        <w:rPr>
          <w:sz w:val="18"/>
          <w:szCs w:val="18"/>
          <w:lang w:val="en-US"/>
        </w:rPr>
        <w:t xml:space="preserve">Scholtz, K. &amp; Selebalo, H. (2023) ‘Limited State Subsidisation Remains a Key Challenge to Delivering Quality Learning Programmes’. Daily Maverick. Found at </w:t>
      </w:r>
      <w:r w:rsidRPr="00A46C41">
        <w:rPr>
          <w:sz w:val="18"/>
          <w:szCs w:val="18"/>
        </w:rPr>
        <w:t>https://www.dailymaverick.co.za/article/2023-03-20-limited-state-subsidisation-remains-a-key-challenge-to-delivering-quality-learning-programmes/</w:t>
      </w:r>
    </w:p>
  </w:footnote>
  <w:footnote w:id="4">
    <w:p w14:paraId="6A8711F8" w14:textId="01B18B07" w:rsidR="00463E86" w:rsidRPr="00A46C41" w:rsidRDefault="00463E86" w:rsidP="00D91B63">
      <w:pPr>
        <w:pStyle w:val="FootnoteText"/>
        <w:ind w:left="0" w:right="0" w:firstLine="0"/>
        <w:jc w:val="both"/>
        <w:rPr>
          <w:szCs w:val="18"/>
          <w:lang w:val="en-US"/>
        </w:rPr>
      </w:pPr>
      <w:r w:rsidRPr="00A46C41">
        <w:rPr>
          <w:rStyle w:val="FootnoteReference"/>
          <w:szCs w:val="18"/>
        </w:rPr>
        <w:footnoteRef/>
      </w:r>
      <w:r w:rsidRPr="00A46C41">
        <w:rPr>
          <w:szCs w:val="18"/>
        </w:rPr>
        <w:t xml:space="preserve"> Wills, G., Kotze, J., &amp; Kika-Mistry, J. (</w:t>
      </w:r>
      <w:r w:rsidR="003F252F" w:rsidRPr="00A46C41">
        <w:rPr>
          <w:szCs w:val="18"/>
        </w:rPr>
        <w:t>2021) ‘A Sector Hanging in the Balance: Early Childhood Development and  Lockdown in South Africa’</w:t>
      </w:r>
      <w:r w:rsidR="00617912" w:rsidRPr="00A46C41">
        <w:rPr>
          <w:szCs w:val="18"/>
        </w:rPr>
        <w:t>. RISE Working Paper 20/05</w:t>
      </w:r>
      <w:r w:rsidR="00531B25" w:rsidRPr="00A46C41">
        <w:rPr>
          <w:szCs w:val="18"/>
        </w:rPr>
        <w:t xml:space="preserve">5. Found at </w:t>
      </w:r>
      <w:r w:rsidR="00531B25" w:rsidRPr="00A46C41">
        <w:rPr>
          <w:szCs w:val="18"/>
          <w:lang w:val="en-US"/>
        </w:rPr>
        <w:t>https://riseprogramme.org/sites/default/files/2020-11/RISE_WP-055_Wills_Kotze_Kika-Mistry.pdf</w:t>
      </w:r>
    </w:p>
  </w:footnote>
  <w:footnote w:id="5">
    <w:p w14:paraId="3798A32A" w14:textId="58B63A74" w:rsidR="005E46B7" w:rsidRPr="00A46C41" w:rsidRDefault="005E46B7" w:rsidP="00D91B63">
      <w:pPr>
        <w:pStyle w:val="FootnoteText"/>
        <w:ind w:left="0" w:right="0" w:firstLine="0"/>
        <w:jc w:val="both"/>
        <w:rPr>
          <w:szCs w:val="18"/>
          <w:lang w:val="en-US"/>
        </w:rPr>
      </w:pPr>
      <w:r w:rsidRPr="00A46C41">
        <w:rPr>
          <w:rStyle w:val="FootnoteReference"/>
          <w:szCs w:val="18"/>
        </w:rPr>
        <w:footnoteRef/>
      </w:r>
      <w:r w:rsidRPr="00A46C41">
        <w:rPr>
          <w:szCs w:val="18"/>
        </w:rPr>
        <w:t xml:space="preserve"> For comparison, the average spending per primary school learner per day is R96.</w:t>
      </w:r>
    </w:p>
  </w:footnote>
  <w:footnote w:id="6">
    <w:p w14:paraId="76AF947C" w14:textId="12309980" w:rsidR="002C140A" w:rsidRPr="00A46C41" w:rsidRDefault="002C140A" w:rsidP="00D91B63">
      <w:pPr>
        <w:pStyle w:val="FootnoteText"/>
        <w:ind w:left="0" w:right="0" w:firstLine="0"/>
        <w:jc w:val="both"/>
        <w:rPr>
          <w:szCs w:val="18"/>
          <w:lang w:val="en-US"/>
        </w:rPr>
      </w:pPr>
      <w:r w:rsidRPr="00A46C41">
        <w:rPr>
          <w:rStyle w:val="FootnoteReference"/>
          <w:szCs w:val="18"/>
        </w:rPr>
        <w:footnoteRef/>
      </w:r>
      <w:r w:rsidRPr="00A46C41">
        <w:rPr>
          <w:szCs w:val="18"/>
        </w:rPr>
        <w:t xml:space="preserve"> </w:t>
      </w:r>
      <w:r w:rsidRPr="00A46C41">
        <w:rPr>
          <w:szCs w:val="18"/>
          <w:lang w:val="en-US"/>
        </w:rPr>
        <w:t xml:space="preserve">Budget Justice Coalition, ‘FOA Submission on the 2023 MTEF’. </w:t>
      </w:r>
      <w:r w:rsidR="00D33DFF" w:rsidRPr="00A46C41">
        <w:rPr>
          <w:szCs w:val="18"/>
          <w:lang w:val="en-US"/>
        </w:rPr>
        <w:t>Found at https://budgetjusticesa.org/media/bjc-foa-submission-on-the-2023-mtef/</w:t>
      </w:r>
    </w:p>
  </w:footnote>
  <w:footnote w:id="7">
    <w:p w14:paraId="640EACD9" w14:textId="2A297651" w:rsidR="00FE777A" w:rsidRPr="00FE777A" w:rsidRDefault="00FE777A" w:rsidP="00D91B63">
      <w:pPr>
        <w:pStyle w:val="FootnoteText"/>
        <w:jc w:val="both"/>
        <w:rPr>
          <w:lang w:val="en-US"/>
        </w:rPr>
      </w:pPr>
      <w:r w:rsidRPr="00A46C41">
        <w:rPr>
          <w:rStyle w:val="FootnoteReference"/>
          <w:szCs w:val="18"/>
        </w:rPr>
        <w:footnoteRef/>
      </w:r>
      <w:r w:rsidRPr="00A46C41">
        <w:rPr>
          <w:szCs w:val="18"/>
        </w:rPr>
        <w:t xml:space="preserve"> </w:t>
      </w:r>
      <w:r w:rsidRPr="00A46C41">
        <w:rPr>
          <w:szCs w:val="18"/>
          <w:lang w:val="en-US"/>
        </w:rPr>
        <w:t>StatsSA Consumer Price Index Tables, April 2022 &amp; January 2023</w:t>
      </w:r>
    </w:p>
  </w:footnote>
  <w:footnote w:id="8">
    <w:p w14:paraId="6396AAFD" w14:textId="49868D12" w:rsidR="00A46C41" w:rsidRPr="00A46C41" w:rsidRDefault="00A46C41" w:rsidP="00A46C41">
      <w:pPr>
        <w:pStyle w:val="FootnoteText"/>
        <w:ind w:left="0" w:right="0" w:firstLine="0"/>
        <w:rPr>
          <w:szCs w:val="18"/>
          <w:lang w:val="en-US"/>
        </w:rPr>
      </w:pPr>
      <w:r w:rsidRPr="00A46C41">
        <w:rPr>
          <w:rStyle w:val="FootnoteReference"/>
          <w:szCs w:val="18"/>
        </w:rPr>
        <w:footnoteRef/>
      </w:r>
      <w:r w:rsidRPr="00A46C41">
        <w:rPr>
          <w:szCs w:val="18"/>
        </w:rPr>
        <w:t xml:space="preserve"> Mukherjee, P. (2022) ‘South Africa’s unemployment drops again after years of job gains’. Reuters. Found at https://www.reuters.com/world/africa/south-africas-official-unemployment-rate-dips-327-fourth-qtr-2023-02-28/#:~:text=Unemployment%20fell%20to%2032.7%25%20in,Risenga%20Maluleke%2C%20Statistician%2DGeneral.</w:t>
      </w:r>
    </w:p>
  </w:footnote>
  <w:footnote w:id="9">
    <w:p w14:paraId="58A19390" w14:textId="02871234" w:rsidR="00FA041B" w:rsidRPr="00A46C41" w:rsidRDefault="0099542B" w:rsidP="009F374A">
      <w:pPr>
        <w:spacing w:line="276" w:lineRule="auto"/>
        <w:jc w:val="both"/>
        <w:rPr>
          <w:i/>
          <w:iCs/>
          <w:sz w:val="18"/>
          <w:szCs w:val="18"/>
        </w:rPr>
      </w:pPr>
      <w:r w:rsidRPr="00A46C41">
        <w:rPr>
          <w:rStyle w:val="FootnoteReference"/>
          <w:sz w:val="18"/>
          <w:szCs w:val="18"/>
        </w:rPr>
        <w:footnoteRef/>
      </w:r>
      <w:r w:rsidRPr="00A46C41">
        <w:rPr>
          <w:sz w:val="18"/>
          <w:szCs w:val="18"/>
        </w:rPr>
        <w:t xml:space="preserve"> </w:t>
      </w:r>
      <w:r w:rsidR="00F46D85" w:rsidRPr="00A46C41">
        <w:rPr>
          <w:sz w:val="18"/>
          <w:szCs w:val="18"/>
          <w:lang w:val="en-US"/>
        </w:rPr>
        <w:t>StatsSA Consumer Price Index Tables, April 2022 &amp; January 2023 (Calculations by Katherine Hall, Children’s Institution, University of Cape Town)</w:t>
      </w:r>
      <w:r w:rsidR="00FE777A" w:rsidRPr="00A46C41">
        <w:rPr>
          <w:sz w:val="18"/>
          <w:szCs w:val="18"/>
          <w:lang w:val="en-US"/>
        </w:rPr>
        <w:t xml:space="preserve">, as referenced by Budget Justice Coalition, ‘FOA Submission on the 2023 MTEF’. Found at </w:t>
      </w:r>
      <w:hyperlink r:id="rId1" w:history="1">
        <w:r w:rsidR="00FA041B" w:rsidRPr="00A46C41">
          <w:rPr>
            <w:rStyle w:val="Hyperlink"/>
            <w:sz w:val="18"/>
            <w:szCs w:val="18"/>
            <w:lang w:val="en-US"/>
          </w:rPr>
          <w:t>https://budgetjusticesa.org/media/bjc-foa-submission-on-the-2023-mtef/</w:t>
        </w:r>
      </w:hyperlink>
      <w:r w:rsidR="00FA041B" w:rsidRPr="00A46C41">
        <w:rPr>
          <w:sz w:val="18"/>
          <w:szCs w:val="18"/>
          <w:lang w:val="en-US"/>
        </w:rPr>
        <w:t xml:space="preserve">. </w:t>
      </w:r>
    </w:p>
    <w:p w14:paraId="54955EE7" w14:textId="49A6DDFE" w:rsidR="0099542B" w:rsidRPr="0099542B" w:rsidRDefault="0099542B">
      <w:pPr>
        <w:pStyle w:val="FootnoteText"/>
        <w:rPr>
          <w:lang w:val="en-US"/>
        </w:rPr>
      </w:pPr>
    </w:p>
  </w:footnote>
  <w:footnote w:id="10">
    <w:p w14:paraId="2A906ABF" w14:textId="69FF5DD0" w:rsidR="009D7548" w:rsidRPr="009D7548" w:rsidRDefault="009D7548" w:rsidP="009F374A">
      <w:pPr>
        <w:pStyle w:val="FootnoteText"/>
        <w:ind w:left="0" w:right="0" w:firstLine="0"/>
        <w:rPr>
          <w:lang w:val="en-US"/>
        </w:rPr>
      </w:pPr>
      <w:r>
        <w:rPr>
          <w:rStyle w:val="FootnoteReference"/>
        </w:rPr>
        <w:footnoteRef/>
      </w:r>
      <w:r>
        <w:t xml:space="preserve"> </w:t>
      </w:r>
      <w:r w:rsidR="000D76D8">
        <w:rPr>
          <w:lang w:val="en-US"/>
        </w:rPr>
        <w:t>Department of Basic Education (2015) ‘Food Specifications – for the products marketed to the National School Nutrition Programme’</w:t>
      </w:r>
      <w:r w:rsidR="00665055">
        <w:rPr>
          <w:lang w:val="en-US"/>
        </w:rPr>
        <w:t xml:space="preserve">. Found at </w:t>
      </w:r>
      <w:r w:rsidR="00665055" w:rsidRPr="00665055">
        <w:rPr>
          <w:lang w:val="en-US"/>
        </w:rPr>
        <w:t>https://www.education.gov.za/Portals/0/Documents/Publications/NSNP%20Food%20Specification%20Guidelines.pdf?ver=2015-04-07-161503-357</w:t>
      </w:r>
    </w:p>
  </w:footnote>
  <w:footnote w:id="11">
    <w:p w14:paraId="742E152D" w14:textId="060ABCB5" w:rsidR="00665055" w:rsidRPr="00665055" w:rsidRDefault="00665055" w:rsidP="009F374A">
      <w:pPr>
        <w:pStyle w:val="FootnoteText"/>
        <w:ind w:left="0" w:right="0" w:firstLine="0"/>
        <w:jc w:val="both"/>
        <w:rPr>
          <w:lang w:val="en-US"/>
        </w:rPr>
      </w:pPr>
      <w:r>
        <w:rPr>
          <w:rStyle w:val="FootnoteReference"/>
        </w:rPr>
        <w:footnoteRef/>
      </w:r>
      <w:r>
        <w:t xml:space="preserve"> </w:t>
      </w:r>
      <w:r>
        <w:rPr>
          <w:lang w:val="en-US"/>
        </w:rPr>
        <w:t>The Department of Basic Education</w:t>
      </w:r>
      <w:r w:rsidR="00997F26">
        <w:rPr>
          <w:lang w:val="en-US"/>
        </w:rPr>
        <w:t xml:space="preserve"> (2014) ‘The NSNP Safety Directory’</w:t>
      </w:r>
      <w:r w:rsidR="005125C8">
        <w:rPr>
          <w:lang w:val="en-US"/>
        </w:rPr>
        <w:t xml:space="preserve">. Found at </w:t>
      </w:r>
      <w:r w:rsidR="005125C8" w:rsidRPr="005125C8">
        <w:rPr>
          <w:lang w:val="en-US"/>
        </w:rPr>
        <w:t>https://www.education.gov.za/Portals/0/Documents/Publications/NSNP%20Safety%20Directory%202012.pdf?ver=2014-03-04-151020-380</w:t>
      </w:r>
    </w:p>
  </w:footnote>
  <w:footnote w:id="12">
    <w:p w14:paraId="7D8371AB" w14:textId="45F90B2A" w:rsidR="005125C8" w:rsidRPr="005125C8" w:rsidRDefault="005125C8" w:rsidP="009F374A">
      <w:pPr>
        <w:pStyle w:val="FootnoteText"/>
        <w:ind w:left="0" w:right="0" w:firstLine="0"/>
        <w:rPr>
          <w:lang w:val="en-US"/>
        </w:rPr>
      </w:pPr>
      <w:r>
        <w:rPr>
          <w:rStyle w:val="FootnoteReference"/>
        </w:rPr>
        <w:footnoteRef/>
      </w:r>
      <w:r>
        <w:t xml:space="preserve"> </w:t>
      </w:r>
      <w:r w:rsidR="00340ADD">
        <w:rPr>
          <w:lang w:val="en-US"/>
        </w:rPr>
        <w:t xml:space="preserve">The Department of Basic Education (2009) ‘National School Nutrition Programme: A Guide for Secondary Schools’. Found at </w:t>
      </w:r>
      <w:r w:rsidR="00AE212F" w:rsidRPr="00AE212F">
        <w:rPr>
          <w:lang w:val="en-US"/>
        </w:rPr>
        <w:t>https://www.education.gov.za/Portals/0/Documents/Publications/NSNP%20Guide%20to%20Secondary%20Schools.pdf?ver=2014-03-12-164514-790</w:t>
      </w:r>
    </w:p>
  </w:footnote>
  <w:footnote w:id="13">
    <w:p w14:paraId="1A501036" w14:textId="33CBBB14" w:rsidR="00C47678" w:rsidRPr="00C47678" w:rsidRDefault="00C47678" w:rsidP="00E07269">
      <w:pPr>
        <w:pStyle w:val="FootnoteText"/>
        <w:ind w:left="0" w:right="0" w:firstLine="0"/>
        <w:rPr>
          <w:lang w:val="en-US"/>
        </w:rPr>
      </w:pPr>
      <w:r>
        <w:rPr>
          <w:rStyle w:val="FootnoteReference"/>
        </w:rPr>
        <w:footnoteRef/>
      </w:r>
      <w:r>
        <w:t xml:space="preserve"> </w:t>
      </w:r>
      <w:r>
        <w:rPr>
          <w:lang w:val="en-US"/>
        </w:rPr>
        <w:t>Division of Revenue Bill, GG No. 48017 of 10 Febr</w:t>
      </w:r>
      <w:r w:rsidR="006D4430">
        <w:rPr>
          <w:lang w:val="en-US"/>
        </w:rPr>
        <w:t>u</w:t>
      </w:r>
      <w:r>
        <w:rPr>
          <w:lang w:val="en-US"/>
        </w:rPr>
        <w:t>ary 2023</w:t>
      </w:r>
    </w:p>
  </w:footnote>
  <w:footnote w:id="14">
    <w:p w14:paraId="5A42A4F0" w14:textId="5D7146D1" w:rsidR="00E07269" w:rsidRPr="00E07269" w:rsidRDefault="00E07269" w:rsidP="00E07269">
      <w:pPr>
        <w:pStyle w:val="FootnoteText"/>
        <w:ind w:left="0" w:right="0" w:firstLine="0"/>
        <w:rPr>
          <w:lang w:val="en-US"/>
        </w:rPr>
      </w:pPr>
      <w:r>
        <w:rPr>
          <w:rStyle w:val="FootnoteReference"/>
        </w:rPr>
        <w:footnoteRef/>
      </w:r>
      <w:r>
        <w:t xml:space="preserve"> </w:t>
      </w:r>
      <w:r w:rsidRPr="00FE777A">
        <w:rPr>
          <w:szCs w:val="18"/>
          <w:lang w:val="en-US"/>
        </w:rPr>
        <w:t xml:space="preserve">Budget Justice Coalition, ‘FOA Submission on the 2023 MTEF’. Found at </w:t>
      </w:r>
      <w:hyperlink r:id="rId2" w:history="1">
        <w:r w:rsidRPr="008973B7">
          <w:rPr>
            <w:rStyle w:val="Hyperlink"/>
            <w:szCs w:val="18"/>
            <w:lang w:val="en-US"/>
          </w:rPr>
          <w:t>https://budgetjusticesa.org/media/bjc-foa-submission-on-the-2023-mtef/</w:t>
        </w:r>
      </w:hyperlink>
      <w:r>
        <w:rPr>
          <w:szCs w:val="18"/>
          <w:lang w:val="en-US"/>
        </w:rPr>
        <w:t>.</w:t>
      </w:r>
    </w:p>
  </w:footnote>
  <w:footnote w:id="15">
    <w:p w14:paraId="33A830D0" w14:textId="4CAED9EC" w:rsidR="00E07269" w:rsidRPr="00E07269" w:rsidRDefault="00E07269">
      <w:pPr>
        <w:pStyle w:val="FootnoteText"/>
        <w:rPr>
          <w:lang w:val="en-US"/>
        </w:rPr>
      </w:pPr>
      <w:r>
        <w:rPr>
          <w:rStyle w:val="FootnoteReference"/>
        </w:rPr>
        <w:footnoteRef/>
      </w:r>
      <w:r>
        <w:t xml:space="preserve"> </w:t>
      </w:r>
      <w:r>
        <w:rPr>
          <w:lang w:val="en-US"/>
        </w:rPr>
        <w:t>Division of Revenue Bill, GG No. 48017 of 10 February 2023</w:t>
      </w:r>
    </w:p>
  </w:footnote>
  <w:footnote w:id="16">
    <w:p w14:paraId="25861769" w14:textId="38E51BBB" w:rsidR="009C0357" w:rsidRPr="009C0357" w:rsidRDefault="009C0357" w:rsidP="00985B35">
      <w:pPr>
        <w:pStyle w:val="FootnoteText"/>
        <w:ind w:left="0" w:right="0" w:firstLine="0"/>
        <w:rPr>
          <w:lang w:val="en-US"/>
        </w:rPr>
      </w:pPr>
      <w:r>
        <w:rPr>
          <w:rStyle w:val="FootnoteReference"/>
        </w:rPr>
        <w:footnoteRef/>
      </w:r>
      <w:r>
        <w:t xml:space="preserve"> </w:t>
      </w:r>
      <w:r>
        <w:rPr>
          <w:lang w:val="en-US"/>
        </w:rPr>
        <w:t xml:space="preserve">Equal Education (2020) “Timeline for the National School Nutrition Programme Court Case”. Found at </w:t>
      </w:r>
      <w:r w:rsidR="00985B35" w:rsidRPr="00985B35">
        <w:rPr>
          <w:lang w:val="en-US"/>
        </w:rPr>
        <w:t>https://equaleducation.org.za/2020/08/03/timeline-for-the-national-school-nutrition-programme-court-case/</w:t>
      </w:r>
    </w:p>
  </w:footnote>
  <w:footnote w:id="17">
    <w:p w14:paraId="161DEFA2" w14:textId="25B9E298" w:rsidR="00A46C41" w:rsidRPr="00A46C41" w:rsidRDefault="00A46C41" w:rsidP="00A46C41">
      <w:pPr>
        <w:pStyle w:val="FootnoteText"/>
        <w:ind w:left="0" w:right="0" w:firstLine="0"/>
        <w:rPr>
          <w:lang w:val="en-US"/>
        </w:rPr>
      </w:pPr>
      <w:r>
        <w:rPr>
          <w:rStyle w:val="FootnoteReference"/>
        </w:rPr>
        <w:footnoteRef/>
      </w:r>
      <w:r>
        <w:t xml:space="preserve"> Equal Education &amp; Others v Minister of Basic Education 2020, Gauteng High Court. Found at https://eelawcentre.org.za/wp-content/uploads/judgment-equal-education-and-others-v-minister-of-basic-education-and-others-22588-2020.pdf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94EB" w14:textId="77777777" w:rsidR="00D06AF8" w:rsidRPr="00EA5AD0" w:rsidRDefault="00D06AF8">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C93D" w14:textId="77777777" w:rsidR="00D06AF8" w:rsidRPr="00925A9D" w:rsidRDefault="008434C3">
    <w:pPr>
      <w:pStyle w:val="Header"/>
      <w:tabs>
        <w:tab w:val="clear" w:pos="4153"/>
        <w:tab w:val="clear" w:pos="8306"/>
      </w:tabs>
      <w:jc w:val="center"/>
      <w:rPr>
        <w:sz w:val="14"/>
        <w:szCs w:val="14"/>
        <w:lang w:val="en-GB"/>
      </w:rPr>
    </w:pPr>
    <w:r w:rsidRPr="003F7C17">
      <w:rPr>
        <w:noProof/>
        <w:snapToGrid/>
        <w:sz w:val="14"/>
        <w:szCs w:val="14"/>
        <w:lang w:val="en-GB" w:eastAsia="en-GB"/>
      </w:rPr>
      <w:drawing>
        <wp:inline distT="0" distB="0" distL="0" distR="0" wp14:anchorId="000C8AE3" wp14:editId="7C38DAC3">
          <wp:extent cx="283845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362C09AB" w14:textId="77777777" w:rsidR="00D06AF8" w:rsidRPr="002745FF" w:rsidRDefault="008434C3">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527BBD29" w14:textId="77777777" w:rsidR="00D06AF8" w:rsidRDefault="008434C3">
    <w:pPr>
      <w:pStyle w:val="Header"/>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hyperlink r:id="rId2" w:history="1">
      <w:r w:rsidRPr="00563C2A">
        <w:rPr>
          <w:rStyle w:val="Hyperlink"/>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2C9A"/>
    <w:multiLevelType w:val="hybridMultilevel"/>
    <w:tmpl w:val="8E5242F6"/>
    <w:lvl w:ilvl="0" w:tplc="377C0B3E">
      <w:start w:val="1"/>
      <w:numFmt w:val="bullet"/>
      <w:lvlText w:val="•"/>
      <w:lvlJc w:val="left"/>
      <w:pPr>
        <w:tabs>
          <w:tab w:val="num" w:pos="720"/>
        </w:tabs>
        <w:ind w:left="720" w:hanging="360"/>
      </w:pPr>
      <w:rPr>
        <w:rFonts w:ascii="Arial" w:hAnsi="Arial" w:hint="default"/>
      </w:rPr>
    </w:lvl>
    <w:lvl w:ilvl="1" w:tplc="BB842B6C" w:tentative="1">
      <w:start w:val="1"/>
      <w:numFmt w:val="bullet"/>
      <w:lvlText w:val="•"/>
      <w:lvlJc w:val="left"/>
      <w:pPr>
        <w:tabs>
          <w:tab w:val="num" w:pos="1440"/>
        </w:tabs>
        <w:ind w:left="1440" w:hanging="360"/>
      </w:pPr>
      <w:rPr>
        <w:rFonts w:ascii="Arial" w:hAnsi="Arial" w:hint="default"/>
      </w:rPr>
    </w:lvl>
    <w:lvl w:ilvl="2" w:tplc="32BA8872" w:tentative="1">
      <w:start w:val="1"/>
      <w:numFmt w:val="bullet"/>
      <w:lvlText w:val="•"/>
      <w:lvlJc w:val="left"/>
      <w:pPr>
        <w:tabs>
          <w:tab w:val="num" w:pos="2160"/>
        </w:tabs>
        <w:ind w:left="2160" w:hanging="360"/>
      </w:pPr>
      <w:rPr>
        <w:rFonts w:ascii="Arial" w:hAnsi="Arial" w:hint="default"/>
      </w:rPr>
    </w:lvl>
    <w:lvl w:ilvl="3" w:tplc="E4A66602" w:tentative="1">
      <w:start w:val="1"/>
      <w:numFmt w:val="bullet"/>
      <w:lvlText w:val="•"/>
      <w:lvlJc w:val="left"/>
      <w:pPr>
        <w:tabs>
          <w:tab w:val="num" w:pos="2880"/>
        </w:tabs>
        <w:ind w:left="2880" w:hanging="360"/>
      </w:pPr>
      <w:rPr>
        <w:rFonts w:ascii="Arial" w:hAnsi="Arial" w:hint="default"/>
      </w:rPr>
    </w:lvl>
    <w:lvl w:ilvl="4" w:tplc="B142D35E" w:tentative="1">
      <w:start w:val="1"/>
      <w:numFmt w:val="bullet"/>
      <w:lvlText w:val="•"/>
      <w:lvlJc w:val="left"/>
      <w:pPr>
        <w:tabs>
          <w:tab w:val="num" w:pos="3600"/>
        </w:tabs>
        <w:ind w:left="3600" w:hanging="360"/>
      </w:pPr>
      <w:rPr>
        <w:rFonts w:ascii="Arial" w:hAnsi="Arial" w:hint="default"/>
      </w:rPr>
    </w:lvl>
    <w:lvl w:ilvl="5" w:tplc="6BB6821A" w:tentative="1">
      <w:start w:val="1"/>
      <w:numFmt w:val="bullet"/>
      <w:lvlText w:val="•"/>
      <w:lvlJc w:val="left"/>
      <w:pPr>
        <w:tabs>
          <w:tab w:val="num" w:pos="4320"/>
        </w:tabs>
        <w:ind w:left="4320" w:hanging="360"/>
      </w:pPr>
      <w:rPr>
        <w:rFonts w:ascii="Arial" w:hAnsi="Arial" w:hint="default"/>
      </w:rPr>
    </w:lvl>
    <w:lvl w:ilvl="6" w:tplc="BE5C6D30" w:tentative="1">
      <w:start w:val="1"/>
      <w:numFmt w:val="bullet"/>
      <w:lvlText w:val="•"/>
      <w:lvlJc w:val="left"/>
      <w:pPr>
        <w:tabs>
          <w:tab w:val="num" w:pos="5040"/>
        </w:tabs>
        <w:ind w:left="5040" w:hanging="360"/>
      </w:pPr>
      <w:rPr>
        <w:rFonts w:ascii="Arial" w:hAnsi="Arial" w:hint="default"/>
      </w:rPr>
    </w:lvl>
    <w:lvl w:ilvl="7" w:tplc="4008FBAC" w:tentative="1">
      <w:start w:val="1"/>
      <w:numFmt w:val="bullet"/>
      <w:lvlText w:val="•"/>
      <w:lvlJc w:val="left"/>
      <w:pPr>
        <w:tabs>
          <w:tab w:val="num" w:pos="5760"/>
        </w:tabs>
        <w:ind w:left="5760" w:hanging="360"/>
      </w:pPr>
      <w:rPr>
        <w:rFonts w:ascii="Arial" w:hAnsi="Arial" w:hint="default"/>
      </w:rPr>
    </w:lvl>
    <w:lvl w:ilvl="8" w:tplc="B8AE98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0E357B"/>
    <w:multiLevelType w:val="hybridMultilevel"/>
    <w:tmpl w:val="9E2A2AC4"/>
    <w:lvl w:ilvl="0" w:tplc="47223EF4">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6284A31"/>
    <w:multiLevelType w:val="hybridMultilevel"/>
    <w:tmpl w:val="E1087CDC"/>
    <w:lvl w:ilvl="0" w:tplc="4180529E">
      <w:start w:val="750"/>
      <w:numFmt w:val="bullet"/>
      <w:lvlText w:val="-"/>
      <w:lvlJc w:val="left"/>
      <w:pPr>
        <w:ind w:left="720" w:hanging="360"/>
      </w:pPr>
      <w:rPr>
        <w:rFonts w:ascii="Times New Roman" w:eastAsia="Times New Roman" w:hAnsi="Times New Roman" w:cs="Times New Roman" w:hint="default"/>
        <w:i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82A5055"/>
    <w:multiLevelType w:val="hybridMultilevel"/>
    <w:tmpl w:val="1640F48A"/>
    <w:lvl w:ilvl="0" w:tplc="EF4AADB0">
      <w:start w:val="1"/>
      <w:numFmt w:val="bullet"/>
      <w:lvlText w:val="•"/>
      <w:lvlJc w:val="left"/>
      <w:pPr>
        <w:tabs>
          <w:tab w:val="num" w:pos="720"/>
        </w:tabs>
        <w:ind w:left="720" w:hanging="360"/>
      </w:pPr>
      <w:rPr>
        <w:rFonts w:ascii="Arial" w:hAnsi="Arial" w:hint="default"/>
      </w:rPr>
    </w:lvl>
    <w:lvl w:ilvl="1" w:tplc="DE00503E">
      <w:start w:val="1"/>
      <w:numFmt w:val="bullet"/>
      <w:lvlText w:val="•"/>
      <w:lvlJc w:val="left"/>
      <w:pPr>
        <w:tabs>
          <w:tab w:val="num" w:pos="1440"/>
        </w:tabs>
        <w:ind w:left="1440" w:hanging="360"/>
      </w:pPr>
      <w:rPr>
        <w:rFonts w:ascii="Arial" w:hAnsi="Arial" w:hint="default"/>
      </w:rPr>
    </w:lvl>
    <w:lvl w:ilvl="2" w:tplc="C57494EA" w:tentative="1">
      <w:start w:val="1"/>
      <w:numFmt w:val="bullet"/>
      <w:lvlText w:val="•"/>
      <w:lvlJc w:val="left"/>
      <w:pPr>
        <w:tabs>
          <w:tab w:val="num" w:pos="2160"/>
        </w:tabs>
        <w:ind w:left="2160" w:hanging="360"/>
      </w:pPr>
      <w:rPr>
        <w:rFonts w:ascii="Arial" w:hAnsi="Arial" w:hint="default"/>
      </w:rPr>
    </w:lvl>
    <w:lvl w:ilvl="3" w:tplc="7EF89682" w:tentative="1">
      <w:start w:val="1"/>
      <w:numFmt w:val="bullet"/>
      <w:lvlText w:val="•"/>
      <w:lvlJc w:val="left"/>
      <w:pPr>
        <w:tabs>
          <w:tab w:val="num" w:pos="2880"/>
        </w:tabs>
        <w:ind w:left="2880" w:hanging="360"/>
      </w:pPr>
      <w:rPr>
        <w:rFonts w:ascii="Arial" w:hAnsi="Arial" w:hint="default"/>
      </w:rPr>
    </w:lvl>
    <w:lvl w:ilvl="4" w:tplc="6EAC4B20" w:tentative="1">
      <w:start w:val="1"/>
      <w:numFmt w:val="bullet"/>
      <w:lvlText w:val="•"/>
      <w:lvlJc w:val="left"/>
      <w:pPr>
        <w:tabs>
          <w:tab w:val="num" w:pos="3600"/>
        </w:tabs>
        <w:ind w:left="3600" w:hanging="360"/>
      </w:pPr>
      <w:rPr>
        <w:rFonts w:ascii="Arial" w:hAnsi="Arial" w:hint="default"/>
      </w:rPr>
    </w:lvl>
    <w:lvl w:ilvl="5" w:tplc="A0B26C2C" w:tentative="1">
      <w:start w:val="1"/>
      <w:numFmt w:val="bullet"/>
      <w:lvlText w:val="•"/>
      <w:lvlJc w:val="left"/>
      <w:pPr>
        <w:tabs>
          <w:tab w:val="num" w:pos="4320"/>
        </w:tabs>
        <w:ind w:left="4320" w:hanging="360"/>
      </w:pPr>
      <w:rPr>
        <w:rFonts w:ascii="Arial" w:hAnsi="Arial" w:hint="default"/>
      </w:rPr>
    </w:lvl>
    <w:lvl w:ilvl="6" w:tplc="4C769D08" w:tentative="1">
      <w:start w:val="1"/>
      <w:numFmt w:val="bullet"/>
      <w:lvlText w:val="•"/>
      <w:lvlJc w:val="left"/>
      <w:pPr>
        <w:tabs>
          <w:tab w:val="num" w:pos="5040"/>
        </w:tabs>
        <w:ind w:left="5040" w:hanging="360"/>
      </w:pPr>
      <w:rPr>
        <w:rFonts w:ascii="Arial" w:hAnsi="Arial" w:hint="default"/>
      </w:rPr>
    </w:lvl>
    <w:lvl w:ilvl="7" w:tplc="DF58DC60" w:tentative="1">
      <w:start w:val="1"/>
      <w:numFmt w:val="bullet"/>
      <w:lvlText w:val="•"/>
      <w:lvlJc w:val="left"/>
      <w:pPr>
        <w:tabs>
          <w:tab w:val="num" w:pos="5760"/>
        </w:tabs>
        <w:ind w:left="5760" w:hanging="360"/>
      </w:pPr>
      <w:rPr>
        <w:rFonts w:ascii="Arial" w:hAnsi="Arial" w:hint="default"/>
      </w:rPr>
    </w:lvl>
    <w:lvl w:ilvl="8" w:tplc="CEF878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BA6177"/>
    <w:multiLevelType w:val="hybridMultilevel"/>
    <w:tmpl w:val="7032AD28"/>
    <w:lvl w:ilvl="0" w:tplc="1C090001">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840E9F"/>
    <w:multiLevelType w:val="multilevel"/>
    <w:tmpl w:val="0809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6" w15:restartNumberingAfterBreak="0">
    <w:nsid w:val="45342804"/>
    <w:multiLevelType w:val="hybridMultilevel"/>
    <w:tmpl w:val="650284DE"/>
    <w:lvl w:ilvl="0" w:tplc="2BC6B3EE">
      <w:start w:val="750"/>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3A06DB6"/>
    <w:multiLevelType w:val="hybridMultilevel"/>
    <w:tmpl w:val="A1FA5BA0"/>
    <w:lvl w:ilvl="0" w:tplc="C66CC756">
      <w:start w:val="750"/>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61943A0"/>
    <w:multiLevelType w:val="hybridMultilevel"/>
    <w:tmpl w:val="3D741624"/>
    <w:lvl w:ilvl="0" w:tplc="AA400926">
      <w:start w:val="1"/>
      <w:numFmt w:val="bullet"/>
      <w:lvlText w:val="•"/>
      <w:lvlJc w:val="left"/>
      <w:pPr>
        <w:tabs>
          <w:tab w:val="num" w:pos="720"/>
        </w:tabs>
        <w:ind w:left="720" w:hanging="360"/>
      </w:pPr>
      <w:rPr>
        <w:rFonts w:ascii="Arial" w:hAnsi="Arial" w:hint="default"/>
      </w:rPr>
    </w:lvl>
    <w:lvl w:ilvl="1" w:tplc="75A4A778" w:tentative="1">
      <w:start w:val="1"/>
      <w:numFmt w:val="bullet"/>
      <w:lvlText w:val="•"/>
      <w:lvlJc w:val="left"/>
      <w:pPr>
        <w:tabs>
          <w:tab w:val="num" w:pos="1440"/>
        </w:tabs>
        <w:ind w:left="1440" w:hanging="360"/>
      </w:pPr>
      <w:rPr>
        <w:rFonts w:ascii="Arial" w:hAnsi="Arial" w:hint="default"/>
      </w:rPr>
    </w:lvl>
    <w:lvl w:ilvl="2" w:tplc="5A0E1F9A" w:tentative="1">
      <w:start w:val="1"/>
      <w:numFmt w:val="bullet"/>
      <w:lvlText w:val="•"/>
      <w:lvlJc w:val="left"/>
      <w:pPr>
        <w:tabs>
          <w:tab w:val="num" w:pos="2160"/>
        </w:tabs>
        <w:ind w:left="2160" w:hanging="360"/>
      </w:pPr>
      <w:rPr>
        <w:rFonts w:ascii="Arial" w:hAnsi="Arial" w:hint="default"/>
      </w:rPr>
    </w:lvl>
    <w:lvl w:ilvl="3" w:tplc="B21450E8" w:tentative="1">
      <w:start w:val="1"/>
      <w:numFmt w:val="bullet"/>
      <w:lvlText w:val="•"/>
      <w:lvlJc w:val="left"/>
      <w:pPr>
        <w:tabs>
          <w:tab w:val="num" w:pos="2880"/>
        </w:tabs>
        <w:ind w:left="2880" w:hanging="360"/>
      </w:pPr>
      <w:rPr>
        <w:rFonts w:ascii="Arial" w:hAnsi="Arial" w:hint="default"/>
      </w:rPr>
    </w:lvl>
    <w:lvl w:ilvl="4" w:tplc="2E20EB08" w:tentative="1">
      <w:start w:val="1"/>
      <w:numFmt w:val="bullet"/>
      <w:lvlText w:val="•"/>
      <w:lvlJc w:val="left"/>
      <w:pPr>
        <w:tabs>
          <w:tab w:val="num" w:pos="3600"/>
        </w:tabs>
        <w:ind w:left="3600" w:hanging="360"/>
      </w:pPr>
      <w:rPr>
        <w:rFonts w:ascii="Arial" w:hAnsi="Arial" w:hint="default"/>
      </w:rPr>
    </w:lvl>
    <w:lvl w:ilvl="5" w:tplc="33CCA1D0" w:tentative="1">
      <w:start w:val="1"/>
      <w:numFmt w:val="bullet"/>
      <w:lvlText w:val="•"/>
      <w:lvlJc w:val="left"/>
      <w:pPr>
        <w:tabs>
          <w:tab w:val="num" w:pos="4320"/>
        </w:tabs>
        <w:ind w:left="4320" w:hanging="360"/>
      </w:pPr>
      <w:rPr>
        <w:rFonts w:ascii="Arial" w:hAnsi="Arial" w:hint="default"/>
      </w:rPr>
    </w:lvl>
    <w:lvl w:ilvl="6" w:tplc="4426B92A" w:tentative="1">
      <w:start w:val="1"/>
      <w:numFmt w:val="bullet"/>
      <w:lvlText w:val="•"/>
      <w:lvlJc w:val="left"/>
      <w:pPr>
        <w:tabs>
          <w:tab w:val="num" w:pos="5040"/>
        </w:tabs>
        <w:ind w:left="5040" w:hanging="360"/>
      </w:pPr>
      <w:rPr>
        <w:rFonts w:ascii="Arial" w:hAnsi="Arial" w:hint="default"/>
      </w:rPr>
    </w:lvl>
    <w:lvl w:ilvl="7" w:tplc="FB6E7728" w:tentative="1">
      <w:start w:val="1"/>
      <w:numFmt w:val="bullet"/>
      <w:lvlText w:val="•"/>
      <w:lvlJc w:val="left"/>
      <w:pPr>
        <w:tabs>
          <w:tab w:val="num" w:pos="5760"/>
        </w:tabs>
        <w:ind w:left="5760" w:hanging="360"/>
      </w:pPr>
      <w:rPr>
        <w:rFonts w:ascii="Arial" w:hAnsi="Arial" w:hint="default"/>
      </w:rPr>
    </w:lvl>
    <w:lvl w:ilvl="8" w:tplc="C30079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3D3357"/>
    <w:multiLevelType w:val="hybridMultilevel"/>
    <w:tmpl w:val="B59E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84972"/>
    <w:multiLevelType w:val="hybridMultilevel"/>
    <w:tmpl w:val="D0C0E4F6"/>
    <w:lvl w:ilvl="0" w:tplc="31367120">
      <w:start w:val="1"/>
      <w:numFmt w:val="bullet"/>
      <w:lvlText w:val="•"/>
      <w:lvlJc w:val="left"/>
      <w:pPr>
        <w:tabs>
          <w:tab w:val="num" w:pos="720"/>
        </w:tabs>
        <w:ind w:left="720" w:hanging="360"/>
      </w:pPr>
      <w:rPr>
        <w:rFonts w:ascii="Arial" w:hAnsi="Arial" w:hint="default"/>
      </w:rPr>
    </w:lvl>
    <w:lvl w:ilvl="1" w:tplc="5B681E5E" w:tentative="1">
      <w:start w:val="1"/>
      <w:numFmt w:val="bullet"/>
      <w:lvlText w:val="•"/>
      <w:lvlJc w:val="left"/>
      <w:pPr>
        <w:tabs>
          <w:tab w:val="num" w:pos="1440"/>
        </w:tabs>
        <w:ind w:left="1440" w:hanging="360"/>
      </w:pPr>
      <w:rPr>
        <w:rFonts w:ascii="Arial" w:hAnsi="Arial" w:hint="default"/>
      </w:rPr>
    </w:lvl>
    <w:lvl w:ilvl="2" w:tplc="5E6A75FA" w:tentative="1">
      <w:start w:val="1"/>
      <w:numFmt w:val="bullet"/>
      <w:lvlText w:val="•"/>
      <w:lvlJc w:val="left"/>
      <w:pPr>
        <w:tabs>
          <w:tab w:val="num" w:pos="2160"/>
        </w:tabs>
        <w:ind w:left="2160" w:hanging="360"/>
      </w:pPr>
      <w:rPr>
        <w:rFonts w:ascii="Arial" w:hAnsi="Arial" w:hint="default"/>
      </w:rPr>
    </w:lvl>
    <w:lvl w:ilvl="3" w:tplc="89449970" w:tentative="1">
      <w:start w:val="1"/>
      <w:numFmt w:val="bullet"/>
      <w:lvlText w:val="•"/>
      <w:lvlJc w:val="left"/>
      <w:pPr>
        <w:tabs>
          <w:tab w:val="num" w:pos="2880"/>
        </w:tabs>
        <w:ind w:left="2880" w:hanging="360"/>
      </w:pPr>
      <w:rPr>
        <w:rFonts w:ascii="Arial" w:hAnsi="Arial" w:hint="default"/>
      </w:rPr>
    </w:lvl>
    <w:lvl w:ilvl="4" w:tplc="01D257C0" w:tentative="1">
      <w:start w:val="1"/>
      <w:numFmt w:val="bullet"/>
      <w:lvlText w:val="•"/>
      <w:lvlJc w:val="left"/>
      <w:pPr>
        <w:tabs>
          <w:tab w:val="num" w:pos="3600"/>
        </w:tabs>
        <w:ind w:left="3600" w:hanging="360"/>
      </w:pPr>
      <w:rPr>
        <w:rFonts w:ascii="Arial" w:hAnsi="Arial" w:hint="default"/>
      </w:rPr>
    </w:lvl>
    <w:lvl w:ilvl="5" w:tplc="B1DAAB20" w:tentative="1">
      <w:start w:val="1"/>
      <w:numFmt w:val="bullet"/>
      <w:lvlText w:val="•"/>
      <w:lvlJc w:val="left"/>
      <w:pPr>
        <w:tabs>
          <w:tab w:val="num" w:pos="4320"/>
        </w:tabs>
        <w:ind w:left="4320" w:hanging="360"/>
      </w:pPr>
      <w:rPr>
        <w:rFonts w:ascii="Arial" w:hAnsi="Arial" w:hint="default"/>
      </w:rPr>
    </w:lvl>
    <w:lvl w:ilvl="6" w:tplc="6872423C" w:tentative="1">
      <w:start w:val="1"/>
      <w:numFmt w:val="bullet"/>
      <w:lvlText w:val="•"/>
      <w:lvlJc w:val="left"/>
      <w:pPr>
        <w:tabs>
          <w:tab w:val="num" w:pos="5040"/>
        </w:tabs>
        <w:ind w:left="5040" w:hanging="360"/>
      </w:pPr>
      <w:rPr>
        <w:rFonts w:ascii="Arial" w:hAnsi="Arial" w:hint="default"/>
      </w:rPr>
    </w:lvl>
    <w:lvl w:ilvl="7" w:tplc="44E6B95E" w:tentative="1">
      <w:start w:val="1"/>
      <w:numFmt w:val="bullet"/>
      <w:lvlText w:val="•"/>
      <w:lvlJc w:val="left"/>
      <w:pPr>
        <w:tabs>
          <w:tab w:val="num" w:pos="5760"/>
        </w:tabs>
        <w:ind w:left="5760" w:hanging="360"/>
      </w:pPr>
      <w:rPr>
        <w:rFonts w:ascii="Arial" w:hAnsi="Arial" w:hint="default"/>
      </w:rPr>
    </w:lvl>
    <w:lvl w:ilvl="8" w:tplc="EF4A9D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B30CC1"/>
    <w:multiLevelType w:val="hybridMultilevel"/>
    <w:tmpl w:val="14707524"/>
    <w:lvl w:ilvl="0" w:tplc="541AD47A">
      <w:start w:val="1"/>
      <w:numFmt w:val="bullet"/>
      <w:lvlText w:val="•"/>
      <w:lvlJc w:val="left"/>
      <w:pPr>
        <w:tabs>
          <w:tab w:val="num" w:pos="720"/>
        </w:tabs>
        <w:ind w:left="720" w:hanging="360"/>
      </w:pPr>
      <w:rPr>
        <w:rFonts w:ascii="Arial" w:hAnsi="Arial" w:hint="default"/>
      </w:rPr>
    </w:lvl>
    <w:lvl w:ilvl="1" w:tplc="E222B298" w:tentative="1">
      <w:start w:val="1"/>
      <w:numFmt w:val="bullet"/>
      <w:lvlText w:val="•"/>
      <w:lvlJc w:val="left"/>
      <w:pPr>
        <w:tabs>
          <w:tab w:val="num" w:pos="1440"/>
        </w:tabs>
        <w:ind w:left="1440" w:hanging="360"/>
      </w:pPr>
      <w:rPr>
        <w:rFonts w:ascii="Arial" w:hAnsi="Arial" w:hint="default"/>
      </w:rPr>
    </w:lvl>
    <w:lvl w:ilvl="2" w:tplc="F60EFB84" w:tentative="1">
      <w:start w:val="1"/>
      <w:numFmt w:val="bullet"/>
      <w:lvlText w:val="•"/>
      <w:lvlJc w:val="left"/>
      <w:pPr>
        <w:tabs>
          <w:tab w:val="num" w:pos="2160"/>
        </w:tabs>
        <w:ind w:left="2160" w:hanging="360"/>
      </w:pPr>
      <w:rPr>
        <w:rFonts w:ascii="Arial" w:hAnsi="Arial" w:hint="default"/>
      </w:rPr>
    </w:lvl>
    <w:lvl w:ilvl="3" w:tplc="8E7A71D8" w:tentative="1">
      <w:start w:val="1"/>
      <w:numFmt w:val="bullet"/>
      <w:lvlText w:val="•"/>
      <w:lvlJc w:val="left"/>
      <w:pPr>
        <w:tabs>
          <w:tab w:val="num" w:pos="2880"/>
        </w:tabs>
        <w:ind w:left="2880" w:hanging="360"/>
      </w:pPr>
      <w:rPr>
        <w:rFonts w:ascii="Arial" w:hAnsi="Arial" w:hint="default"/>
      </w:rPr>
    </w:lvl>
    <w:lvl w:ilvl="4" w:tplc="E2C43146" w:tentative="1">
      <w:start w:val="1"/>
      <w:numFmt w:val="bullet"/>
      <w:lvlText w:val="•"/>
      <w:lvlJc w:val="left"/>
      <w:pPr>
        <w:tabs>
          <w:tab w:val="num" w:pos="3600"/>
        </w:tabs>
        <w:ind w:left="3600" w:hanging="360"/>
      </w:pPr>
      <w:rPr>
        <w:rFonts w:ascii="Arial" w:hAnsi="Arial" w:hint="default"/>
      </w:rPr>
    </w:lvl>
    <w:lvl w:ilvl="5" w:tplc="C4488EDA" w:tentative="1">
      <w:start w:val="1"/>
      <w:numFmt w:val="bullet"/>
      <w:lvlText w:val="•"/>
      <w:lvlJc w:val="left"/>
      <w:pPr>
        <w:tabs>
          <w:tab w:val="num" w:pos="4320"/>
        </w:tabs>
        <w:ind w:left="4320" w:hanging="360"/>
      </w:pPr>
      <w:rPr>
        <w:rFonts w:ascii="Arial" w:hAnsi="Arial" w:hint="default"/>
      </w:rPr>
    </w:lvl>
    <w:lvl w:ilvl="6" w:tplc="C382DF24" w:tentative="1">
      <w:start w:val="1"/>
      <w:numFmt w:val="bullet"/>
      <w:lvlText w:val="•"/>
      <w:lvlJc w:val="left"/>
      <w:pPr>
        <w:tabs>
          <w:tab w:val="num" w:pos="5040"/>
        </w:tabs>
        <w:ind w:left="5040" w:hanging="360"/>
      </w:pPr>
      <w:rPr>
        <w:rFonts w:ascii="Arial" w:hAnsi="Arial" w:hint="default"/>
      </w:rPr>
    </w:lvl>
    <w:lvl w:ilvl="7" w:tplc="170EBE08" w:tentative="1">
      <w:start w:val="1"/>
      <w:numFmt w:val="bullet"/>
      <w:lvlText w:val="•"/>
      <w:lvlJc w:val="left"/>
      <w:pPr>
        <w:tabs>
          <w:tab w:val="num" w:pos="5760"/>
        </w:tabs>
        <w:ind w:left="5760" w:hanging="360"/>
      </w:pPr>
      <w:rPr>
        <w:rFonts w:ascii="Arial" w:hAnsi="Arial" w:hint="default"/>
      </w:rPr>
    </w:lvl>
    <w:lvl w:ilvl="8" w:tplc="D40C7E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A457E1"/>
    <w:multiLevelType w:val="multilevel"/>
    <w:tmpl w:val="18668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9864314">
    <w:abstractNumId w:val="9"/>
  </w:num>
  <w:num w:numId="2" w16cid:durableId="1605382170">
    <w:abstractNumId w:val="5"/>
  </w:num>
  <w:num w:numId="3" w16cid:durableId="1976133910">
    <w:abstractNumId w:val="12"/>
  </w:num>
  <w:num w:numId="4" w16cid:durableId="1704090714">
    <w:abstractNumId w:val="1"/>
  </w:num>
  <w:num w:numId="5" w16cid:durableId="470484540">
    <w:abstractNumId w:val="3"/>
  </w:num>
  <w:num w:numId="6" w16cid:durableId="14692475">
    <w:abstractNumId w:val="10"/>
  </w:num>
  <w:num w:numId="7" w16cid:durableId="1439645346">
    <w:abstractNumId w:val="11"/>
  </w:num>
  <w:num w:numId="8" w16cid:durableId="1590197256">
    <w:abstractNumId w:val="8"/>
  </w:num>
  <w:num w:numId="9" w16cid:durableId="1014499599">
    <w:abstractNumId w:val="0"/>
  </w:num>
  <w:num w:numId="10" w16cid:durableId="892737589">
    <w:abstractNumId w:val="7"/>
  </w:num>
  <w:num w:numId="11" w16cid:durableId="1733498411">
    <w:abstractNumId w:val="6"/>
  </w:num>
  <w:num w:numId="12" w16cid:durableId="1516575932">
    <w:abstractNumId w:val="2"/>
  </w:num>
  <w:num w:numId="13" w16cid:durableId="1858880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C3"/>
    <w:rsid w:val="0000726F"/>
    <w:rsid w:val="00010CB5"/>
    <w:rsid w:val="00015279"/>
    <w:rsid w:val="00034524"/>
    <w:rsid w:val="0008007F"/>
    <w:rsid w:val="00082CD7"/>
    <w:rsid w:val="000844C7"/>
    <w:rsid w:val="00085FFF"/>
    <w:rsid w:val="000A6877"/>
    <w:rsid w:val="000B0789"/>
    <w:rsid w:val="000D2DDA"/>
    <w:rsid w:val="000D5170"/>
    <w:rsid w:val="000D71C2"/>
    <w:rsid w:val="000D76D8"/>
    <w:rsid w:val="000E1CFB"/>
    <w:rsid w:val="000F0ABF"/>
    <w:rsid w:val="000F7770"/>
    <w:rsid w:val="001061DC"/>
    <w:rsid w:val="001149AF"/>
    <w:rsid w:val="001214F5"/>
    <w:rsid w:val="0014379B"/>
    <w:rsid w:val="0014616F"/>
    <w:rsid w:val="00147409"/>
    <w:rsid w:val="00153D33"/>
    <w:rsid w:val="00161DFA"/>
    <w:rsid w:val="00164B2D"/>
    <w:rsid w:val="0017122A"/>
    <w:rsid w:val="00173D78"/>
    <w:rsid w:val="00181208"/>
    <w:rsid w:val="00182BC9"/>
    <w:rsid w:val="00186537"/>
    <w:rsid w:val="001901A1"/>
    <w:rsid w:val="001907AF"/>
    <w:rsid w:val="00191C49"/>
    <w:rsid w:val="00196CAE"/>
    <w:rsid w:val="001A42C1"/>
    <w:rsid w:val="001B1B92"/>
    <w:rsid w:val="001B3848"/>
    <w:rsid w:val="001C7400"/>
    <w:rsid w:val="001E0BB9"/>
    <w:rsid w:val="001F30AE"/>
    <w:rsid w:val="001F3DF2"/>
    <w:rsid w:val="001F726D"/>
    <w:rsid w:val="00201AC0"/>
    <w:rsid w:val="00204CB4"/>
    <w:rsid w:val="002217D1"/>
    <w:rsid w:val="00230672"/>
    <w:rsid w:val="002355A2"/>
    <w:rsid w:val="002359C9"/>
    <w:rsid w:val="00237B0E"/>
    <w:rsid w:val="00242479"/>
    <w:rsid w:val="002452F9"/>
    <w:rsid w:val="00260F83"/>
    <w:rsid w:val="00263402"/>
    <w:rsid w:val="00273D8C"/>
    <w:rsid w:val="00281D65"/>
    <w:rsid w:val="00285CDF"/>
    <w:rsid w:val="00287EB9"/>
    <w:rsid w:val="002948CB"/>
    <w:rsid w:val="00297BB7"/>
    <w:rsid w:val="002B0DF2"/>
    <w:rsid w:val="002B3271"/>
    <w:rsid w:val="002B6EB4"/>
    <w:rsid w:val="002C0CBF"/>
    <w:rsid w:val="002C140A"/>
    <w:rsid w:val="002C1C15"/>
    <w:rsid w:val="002C4B66"/>
    <w:rsid w:val="002D1085"/>
    <w:rsid w:val="002F6DC1"/>
    <w:rsid w:val="0031C780"/>
    <w:rsid w:val="0032376E"/>
    <w:rsid w:val="00325103"/>
    <w:rsid w:val="0033073C"/>
    <w:rsid w:val="0033797E"/>
    <w:rsid w:val="00340ADD"/>
    <w:rsid w:val="00342B49"/>
    <w:rsid w:val="0034317D"/>
    <w:rsid w:val="003510D5"/>
    <w:rsid w:val="00352856"/>
    <w:rsid w:val="0036108D"/>
    <w:rsid w:val="00370F95"/>
    <w:rsid w:val="00372B7A"/>
    <w:rsid w:val="00373C98"/>
    <w:rsid w:val="00393E2A"/>
    <w:rsid w:val="003A0BC1"/>
    <w:rsid w:val="003B187D"/>
    <w:rsid w:val="003B5B75"/>
    <w:rsid w:val="003C2746"/>
    <w:rsid w:val="003C4C97"/>
    <w:rsid w:val="003C5974"/>
    <w:rsid w:val="003D0B18"/>
    <w:rsid w:val="003D2B58"/>
    <w:rsid w:val="003D7572"/>
    <w:rsid w:val="003F252F"/>
    <w:rsid w:val="004031FE"/>
    <w:rsid w:val="00417C32"/>
    <w:rsid w:val="00420FC6"/>
    <w:rsid w:val="00421D3D"/>
    <w:rsid w:val="00421D82"/>
    <w:rsid w:val="00427D50"/>
    <w:rsid w:val="00431A2E"/>
    <w:rsid w:val="004404FF"/>
    <w:rsid w:val="004476D7"/>
    <w:rsid w:val="00453AFE"/>
    <w:rsid w:val="00460B22"/>
    <w:rsid w:val="004612D2"/>
    <w:rsid w:val="00463160"/>
    <w:rsid w:val="00463E86"/>
    <w:rsid w:val="00476D01"/>
    <w:rsid w:val="004807E6"/>
    <w:rsid w:val="00482484"/>
    <w:rsid w:val="004854A3"/>
    <w:rsid w:val="00490DAB"/>
    <w:rsid w:val="004A7DD2"/>
    <w:rsid w:val="004B1851"/>
    <w:rsid w:val="004C6A49"/>
    <w:rsid w:val="004C6C57"/>
    <w:rsid w:val="004D0C42"/>
    <w:rsid w:val="004D234B"/>
    <w:rsid w:val="005031B8"/>
    <w:rsid w:val="00507477"/>
    <w:rsid w:val="005125C8"/>
    <w:rsid w:val="005158BD"/>
    <w:rsid w:val="0052327C"/>
    <w:rsid w:val="00531B25"/>
    <w:rsid w:val="00531B3B"/>
    <w:rsid w:val="005421D9"/>
    <w:rsid w:val="0054245B"/>
    <w:rsid w:val="005446EE"/>
    <w:rsid w:val="00556525"/>
    <w:rsid w:val="0056102A"/>
    <w:rsid w:val="00566BF4"/>
    <w:rsid w:val="005674E0"/>
    <w:rsid w:val="005724C1"/>
    <w:rsid w:val="00582318"/>
    <w:rsid w:val="005A254D"/>
    <w:rsid w:val="005B7706"/>
    <w:rsid w:val="005C2AB4"/>
    <w:rsid w:val="005C788E"/>
    <w:rsid w:val="005D4B6E"/>
    <w:rsid w:val="005D5D03"/>
    <w:rsid w:val="005E09D4"/>
    <w:rsid w:val="005E3184"/>
    <w:rsid w:val="005E46B7"/>
    <w:rsid w:val="005E5DE2"/>
    <w:rsid w:val="00604B1E"/>
    <w:rsid w:val="00617912"/>
    <w:rsid w:val="00622594"/>
    <w:rsid w:val="00630636"/>
    <w:rsid w:val="00630BB8"/>
    <w:rsid w:val="00630F67"/>
    <w:rsid w:val="00631633"/>
    <w:rsid w:val="00632BCB"/>
    <w:rsid w:val="00633B80"/>
    <w:rsid w:val="006342C9"/>
    <w:rsid w:val="0063665E"/>
    <w:rsid w:val="00641051"/>
    <w:rsid w:val="006439D8"/>
    <w:rsid w:val="00645F31"/>
    <w:rsid w:val="0065105E"/>
    <w:rsid w:val="00651D81"/>
    <w:rsid w:val="00657C8E"/>
    <w:rsid w:val="00665055"/>
    <w:rsid w:val="00666740"/>
    <w:rsid w:val="006733DF"/>
    <w:rsid w:val="006902BE"/>
    <w:rsid w:val="00690F57"/>
    <w:rsid w:val="006A646C"/>
    <w:rsid w:val="006A7715"/>
    <w:rsid w:val="006A7A1A"/>
    <w:rsid w:val="006B2D22"/>
    <w:rsid w:val="006D4430"/>
    <w:rsid w:val="006E23FC"/>
    <w:rsid w:val="0070104D"/>
    <w:rsid w:val="00705DFE"/>
    <w:rsid w:val="00707808"/>
    <w:rsid w:val="007202BF"/>
    <w:rsid w:val="00730AAF"/>
    <w:rsid w:val="00735086"/>
    <w:rsid w:val="00737CED"/>
    <w:rsid w:val="00746F8F"/>
    <w:rsid w:val="0075738A"/>
    <w:rsid w:val="007630A5"/>
    <w:rsid w:val="00767DEC"/>
    <w:rsid w:val="00772260"/>
    <w:rsid w:val="00775D90"/>
    <w:rsid w:val="0078B6AD"/>
    <w:rsid w:val="00790F87"/>
    <w:rsid w:val="00797435"/>
    <w:rsid w:val="007A3B4F"/>
    <w:rsid w:val="007A5093"/>
    <w:rsid w:val="007B3506"/>
    <w:rsid w:val="007B66BD"/>
    <w:rsid w:val="007D175C"/>
    <w:rsid w:val="007DD714"/>
    <w:rsid w:val="007E6BA5"/>
    <w:rsid w:val="007F16D9"/>
    <w:rsid w:val="007F3651"/>
    <w:rsid w:val="00802DEB"/>
    <w:rsid w:val="00805B62"/>
    <w:rsid w:val="00813163"/>
    <w:rsid w:val="008229D2"/>
    <w:rsid w:val="00823124"/>
    <w:rsid w:val="008434C3"/>
    <w:rsid w:val="00844196"/>
    <w:rsid w:val="008462B9"/>
    <w:rsid w:val="00866DA6"/>
    <w:rsid w:val="0087099F"/>
    <w:rsid w:val="00881D08"/>
    <w:rsid w:val="00882D4A"/>
    <w:rsid w:val="008A196D"/>
    <w:rsid w:val="008A3473"/>
    <w:rsid w:val="008A69E8"/>
    <w:rsid w:val="008B5127"/>
    <w:rsid w:val="008C3CE1"/>
    <w:rsid w:val="008D0E79"/>
    <w:rsid w:val="008D2737"/>
    <w:rsid w:val="008D4BAA"/>
    <w:rsid w:val="008E1F22"/>
    <w:rsid w:val="009311DD"/>
    <w:rsid w:val="00943EA5"/>
    <w:rsid w:val="00946CB6"/>
    <w:rsid w:val="009575E7"/>
    <w:rsid w:val="00963E27"/>
    <w:rsid w:val="00976BFE"/>
    <w:rsid w:val="00984773"/>
    <w:rsid w:val="009849E2"/>
    <w:rsid w:val="00985B35"/>
    <w:rsid w:val="0099542B"/>
    <w:rsid w:val="00997F26"/>
    <w:rsid w:val="009A19F0"/>
    <w:rsid w:val="009B4A90"/>
    <w:rsid w:val="009B7A0A"/>
    <w:rsid w:val="009C0357"/>
    <w:rsid w:val="009C491F"/>
    <w:rsid w:val="009C76EF"/>
    <w:rsid w:val="009D7548"/>
    <w:rsid w:val="009D7859"/>
    <w:rsid w:val="009E2524"/>
    <w:rsid w:val="009F1DD2"/>
    <w:rsid w:val="009F374A"/>
    <w:rsid w:val="009F6814"/>
    <w:rsid w:val="00A01B12"/>
    <w:rsid w:val="00A02276"/>
    <w:rsid w:val="00A065CA"/>
    <w:rsid w:val="00A25429"/>
    <w:rsid w:val="00A26396"/>
    <w:rsid w:val="00A2701E"/>
    <w:rsid w:val="00A366C8"/>
    <w:rsid w:val="00A40F3F"/>
    <w:rsid w:val="00A41CFA"/>
    <w:rsid w:val="00A46C41"/>
    <w:rsid w:val="00A55B2F"/>
    <w:rsid w:val="00A66DCD"/>
    <w:rsid w:val="00A67A14"/>
    <w:rsid w:val="00A77AA6"/>
    <w:rsid w:val="00A83DB6"/>
    <w:rsid w:val="00A84B78"/>
    <w:rsid w:val="00A9032C"/>
    <w:rsid w:val="00A96644"/>
    <w:rsid w:val="00AA7377"/>
    <w:rsid w:val="00AB6950"/>
    <w:rsid w:val="00AD5D2A"/>
    <w:rsid w:val="00AE1975"/>
    <w:rsid w:val="00AE212F"/>
    <w:rsid w:val="00AE2D59"/>
    <w:rsid w:val="00AF025D"/>
    <w:rsid w:val="00B15E41"/>
    <w:rsid w:val="00B16B8C"/>
    <w:rsid w:val="00B26428"/>
    <w:rsid w:val="00B304FD"/>
    <w:rsid w:val="00B30E77"/>
    <w:rsid w:val="00B40F39"/>
    <w:rsid w:val="00B45EF7"/>
    <w:rsid w:val="00B55269"/>
    <w:rsid w:val="00B707A0"/>
    <w:rsid w:val="00B7276C"/>
    <w:rsid w:val="00B7318F"/>
    <w:rsid w:val="00B742B1"/>
    <w:rsid w:val="00B822EB"/>
    <w:rsid w:val="00B842EA"/>
    <w:rsid w:val="00B852CA"/>
    <w:rsid w:val="00B87CD8"/>
    <w:rsid w:val="00B90EA0"/>
    <w:rsid w:val="00BA2740"/>
    <w:rsid w:val="00BA43EB"/>
    <w:rsid w:val="00BA5D9C"/>
    <w:rsid w:val="00BB0BC2"/>
    <w:rsid w:val="00BB7BAF"/>
    <w:rsid w:val="00BC59B8"/>
    <w:rsid w:val="00BC5E30"/>
    <w:rsid w:val="00BD036C"/>
    <w:rsid w:val="00BF1A50"/>
    <w:rsid w:val="00C14187"/>
    <w:rsid w:val="00C174BE"/>
    <w:rsid w:val="00C222FC"/>
    <w:rsid w:val="00C347DB"/>
    <w:rsid w:val="00C41A3C"/>
    <w:rsid w:val="00C47678"/>
    <w:rsid w:val="00C53387"/>
    <w:rsid w:val="00C53F4B"/>
    <w:rsid w:val="00C552B6"/>
    <w:rsid w:val="00C6195C"/>
    <w:rsid w:val="00C6537E"/>
    <w:rsid w:val="00C72610"/>
    <w:rsid w:val="00C76C77"/>
    <w:rsid w:val="00C8541A"/>
    <w:rsid w:val="00C85F8C"/>
    <w:rsid w:val="00C86242"/>
    <w:rsid w:val="00CA0BD6"/>
    <w:rsid w:val="00CA393B"/>
    <w:rsid w:val="00CA6A57"/>
    <w:rsid w:val="00CB1E7D"/>
    <w:rsid w:val="00CE67D3"/>
    <w:rsid w:val="00D05589"/>
    <w:rsid w:val="00D06AF8"/>
    <w:rsid w:val="00D155FA"/>
    <w:rsid w:val="00D33DFF"/>
    <w:rsid w:val="00D36C61"/>
    <w:rsid w:val="00D37E55"/>
    <w:rsid w:val="00D41BE6"/>
    <w:rsid w:val="00D43254"/>
    <w:rsid w:val="00D43563"/>
    <w:rsid w:val="00D562D2"/>
    <w:rsid w:val="00D71676"/>
    <w:rsid w:val="00D79F47"/>
    <w:rsid w:val="00D83514"/>
    <w:rsid w:val="00D9077D"/>
    <w:rsid w:val="00D91B63"/>
    <w:rsid w:val="00DA20AF"/>
    <w:rsid w:val="00DE38B1"/>
    <w:rsid w:val="00DF3958"/>
    <w:rsid w:val="00E0671B"/>
    <w:rsid w:val="00E07269"/>
    <w:rsid w:val="00E16896"/>
    <w:rsid w:val="00E20A8F"/>
    <w:rsid w:val="00E211E0"/>
    <w:rsid w:val="00E22A7C"/>
    <w:rsid w:val="00E36BFC"/>
    <w:rsid w:val="00E44273"/>
    <w:rsid w:val="00E74EC0"/>
    <w:rsid w:val="00E8149A"/>
    <w:rsid w:val="00EA0703"/>
    <w:rsid w:val="00EA390E"/>
    <w:rsid w:val="00EB276D"/>
    <w:rsid w:val="00EB374D"/>
    <w:rsid w:val="00EB3D11"/>
    <w:rsid w:val="00EB7442"/>
    <w:rsid w:val="00EC31B4"/>
    <w:rsid w:val="00EC627F"/>
    <w:rsid w:val="00ED130D"/>
    <w:rsid w:val="00ED2E5D"/>
    <w:rsid w:val="00ED6185"/>
    <w:rsid w:val="00ED7F66"/>
    <w:rsid w:val="00EF98B4"/>
    <w:rsid w:val="00F04B70"/>
    <w:rsid w:val="00F10834"/>
    <w:rsid w:val="00F11BA7"/>
    <w:rsid w:val="00F1267C"/>
    <w:rsid w:val="00F14D28"/>
    <w:rsid w:val="00F2723B"/>
    <w:rsid w:val="00F35FDA"/>
    <w:rsid w:val="00F424D6"/>
    <w:rsid w:val="00F46D85"/>
    <w:rsid w:val="00F67122"/>
    <w:rsid w:val="00F76FDE"/>
    <w:rsid w:val="00F8776F"/>
    <w:rsid w:val="00F91F1E"/>
    <w:rsid w:val="00F95EFB"/>
    <w:rsid w:val="00FA041B"/>
    <w:rsid w:val="00FA3257"/>
    <w:rsid w:val="00FA5F66"/>
    <w:rsid w:val="00FB3BE5"/>
    <w:rsid w:val="00FB45E6"/>
    <w:rsid w:val="00FB492F"/>
    <w:rsid w:val="00FC520F"/>
    <w:rsid w:val="00FE777A"/>
    <w:rsid w:val="013D4677"/>
    <w:rsid w:val="0156F615"/>
    <w:rsid w:val="0169B719"/>
    <w:rsid w:val="01970EAA"/>
    <w:rsid w:val="01CF5E49"/>
    <w:rsid w:val="01FF7861"/>
    <w:rsid w:val="020E0942"/>
    <w:rsid w:val="024FF343"/>
    <w:rsid w:val="02753610"/>
    <w:rsid w:val="02D1A39F"/>
    <w:rsid w:val="02D5BCD9"/>
    <w:rsid w:val="02F76939"/>
    <w:rsid w:val="03612F62"/>
    <w:rsid w:val="038884EC"/>
    <w:rsid w:val="03B5DC7D"/>
    <w:rsid w:val="03CDBFB5"/>
    <w:rsid w:val="03F318B7"/>
    <w:rsid w:val="040E4BDF"/>
    <w:rsid w:val="045EFE9C"/>
    <w:rsid w:val="04725783"/>
    <w:rsid w:val="04B43C05"/>
    <w:rsid w:val="04EE370E"/>
    <w:rsid w:val="050E7C57"/>
    <w:rsid w:val="05800B26"/>
    <w:rsid w:val="05DCD444"/>
    <w:rsid w:val="05E68737"/>
    <w:rsid w:val="062C7A45"/>
    <w:rsid w:val="06369C77"/>
    <w:rsid w:val="065E0B4E"/>
    <w:rsid w:val="067A9747"/>
    <w:rsid w:val="06C7A2FA"/>
    <w:rsid w:val="06E09886"/>
    <w:rsid w:val="0722F887"/>
    <w:rsid w:val="0749D623"/>
    <w:rsid w:val="07A39E56"/>
    <w:rsid w:val="07A864AE"/>
    <w:rsid w:val="07EFC31A"/>
    <w:rsid w:val="083417F9"/>
    <w:rsid w:val="08556A4A"/>
    <w:rsid w:val="08959AE1"/>
    <w:rsid w:val="089D5596"/>
    <w:rsid w:val="08AE365E"/>
    <w:rsid w:val="08DF55E2"/>
    <w:rsid w:val="096C0792"/>
    <w:rsid w:val="099A0133"/>
    <w:rsid w:val="09EF43CA"/>
    <w:rsid w:val="0A221AE8"/>
    <w:rsid w:val="0A3331AA"/>
    <w:rsid w:val="0A52E5CC"/>
    <w:rsid w:val="0A772C7A"/>
    <w:rsid w:val="0AF2A10D"/>
    <w:rsid w:val="0B468086"/>
    <w:rsid w:val="0B522BB7"/>
    <w:rsid w:val="0B8F67F1"/>
    <w:rsid w:val="0BB6D6C8"/>
    <w:rsid w:val="0BCAABED"/>
    <w:rsid w:val="0BD88511"/>
    <w:rsid w:val="0BF41302"/>
    <w:rsid w:val="0C9D061F"/>
    <w:rsid w:val="0CEEC661"/>
    <w:rsid w:val="0D290E3E"/>
    <w:rsid w:val="0D4CB2DC"/>
    <w:rsid w:val="0D7753BA"/>
    <w:rsid w:val="0D833080"/>
    <w:rsid w:val="0DA28A93"/>
    <w:rsid w:val="0DD76591"/>
    <w:rsid w:val="0E3892E1"/>
    <w:rsid w:val="0E495E79"/>
    <w:rsid w:val="0E65EA72"/>
    <w:rsid w:val="0E7CE7C0"/>
    <w:rsid w:val="0E859E94"/>
    <w:rsid w:val="0EC73216"/>
    <w:rsid w:val="0F50C4BB"/>
    <w:rsid w:val="0FA5D33C"/>
    <w:rsid w:val="0FC64501"/>
    <w:rsid w:val="10B086D7"/>
    <w:rsid w:val="10B8F7D2"/>
    <w:rsid w:val="10D0E61C"/>
    <w:rsid w:val="113B70D4"/>
    <w:rsid w:val="114B557D"/>
    <w:rsid w:val="11550870"/>
    <w:rsid w:val="11F142D4"/>
    <w:rsid w:val="122D6D5F"/>
    <w:rsid w:val="128AFFCB"/>
    <w:rsid w:val="12B8575C"/>
    <w:rsid w:val="12D2EB17"/>
    <w:rsid w:val="13291CDD"/>
    <w:rsid w:val="13967EC2"/>
    <w:rsid w:val="13A29932"/>
    <w:rsid w:val="13EB5A5A"/>
    <w:rsid w:val="13F571F4"/>
    <w:rsid w:val="14353DE4"/>
    <w:rsid w:val="146F38C5"/>
    <w:rsid w:val="147081E0"/>
    <w:rsid w:val="148D0DD9"/>
    <w:rsid w:val="14BE9EE2"/>
    <w:rsid w:val="14EBF673"/>
    <w:rsid w:val="15273A6F"/>
    <w:rsid w:val="1528368E"/>
    <w:rsid w:val="1550A184"/>
    <w:rsid w:val="159DC267"/>
    <w:rsid w:val="15AA69B7"/>
    <w:rsid w:val="15B90B51"/>
    <w:rsid w:val="15FF9F5E"/>
    <w:rsid w:val="160F14C8"/>
    <w:rsid w:val="16A8DBBC"/>
    <w:rsid w:val="16C1D82D"/>
    <w:rsid w:val="174FEECC"/>
    <w:rsid w:val="17C080B6"/>
    <w:rsid w:val="18360C8F"/>
    <w:rsid w:val="1859B12D"/>
    <w:rsid w:val="185D479A"/>
    <w:rsid w:val="18BB3415"/>
    <w:rsid w:val="18D3CF92"/>
    <w:rsid w:val="19012723"/>
    <w:rsid w:val="190B61F7"/>
    <w:rsid w:val="194125E4"/>
    <w:rsid w:val="1A13D3EF"/>
    <w:rsid w:val="1A54A696"/>
    <w:rsid w:val="1AB951A7"/>
    <w:rsid w:val="1ADAFE07"/>
    <w:rsid w:val="1AE6A4D6"/>
    <w:rsid w:val="1B183A41"/>
    <w:rsid w:val="1B333D9A"/>
    <w:rsid w:val="1B34C63A"/>
    <w:rsid w:val="1BB50125"/>
    <w:rsid w:val="1BCE98C1"/>
    <w:rsid w:val="1CD064C5"/>
    <w:rsid w:val="1CD160E4"/>
    <w:rsid w:val="1CE63228"/>
    <w:rsid w:val="1CEA5670"/>
    <w:rsid w:val="1DCD1062"/>
    <w:rsid w:val="1DE7A41D"/>
    <w:rsid w:val="1E21EBFA"/>
    <w:rsid w:val="1E23E438"/>
    <w:rsid w:val="1E26D895"/>
    <w:rsid w:val="1EA26687"/>
    <w:rsid w:val="1EB7F448"/>
    <w:rsid w:val="1F49F6EA"/>
    <w:rsid w:val="1F75C57C"/>
    <w:rsid w:val="2017ACC7"/>
    <w:rsid w:val="20E1712D"/>
    <w:rsid w:val="20FA280C"/>
    <w:rsid w:val="2113FE55"/>
    <w:rsid w:val="2133B277"/>
    <w:rsid w:val="2144186D"/>
    <w:rsid w:val="217D9601"/>
    <w:rsid w:val="2185BFF5"/>
    <w:rsid w:val="21D469D7"/>
    <w:rsid w:val="2291DE64"/>
    <w:rsid w:val="22B4897B"/>
    <w:rsid w:val="22F4F275"/>
    <w:rsid w:val="23479D6C"/>
    <w:rsid w:val="237200A0"/>
    <w:rsid w:val="23AE40BB"/>
    <w:rsid w:val="23B13518"/>
    <w:rsid w:val="2415E029"/>
    <w:rsid w:val="24531C63"/>
    <w:rsid w:val="248E605F"/>
    <w:rsid w:val="248F5C7E"/>
    <w:rsid w:val="24BBCD20"/>
    <w:rsid w:val="24DD0A41"/>
    <w:rsid w:val="24E924B1"/>
    <w:rsid w:val="254DCFC2"/>
    <w:rsid w:val="2561A4E7"/>
    <w:rsid w:val="2566C54E"/>
    <w:rsid w:val="25D002EB"/>
    <w:rsid w:val="25E9468C"/>
    <w:rsid w:val="25ED8385"/>
    <w:rsid w:val="26497F40"/>
    <w:rsid w:val="268C7DF1"/>
    <w:rsid w:val="27A1B978"/>
    <w:rsid w:val="27E1F5A2"/>
    <w:rsid w:val="27FEDCA5"/>
    <w:rsid w:val="283FE21D"/>
    <w:rsid w:val="2858D7A9"/>
    <w:rsid w:val="2881E4AF"/>
    <w:rsid w:val="28D2212D"/>
    <w:rsid w:val="2917181C"/>
    <w:rsid w:val="2919E53B"/>
    <w:rsid w:val="292EEA4B"/>
    <w:rsid w:val="2932DAC7"/>
    <w:rsid w:val="29528EE9"/>
    <w:rsid w:val="2988B27E"/>
    <w:rsid w:val="29906D33"/>
    <w:rsid w:val="2A760153"/>
    <w:rsid w:val="2AEEDEB8"/>
    <w:rsid w:val="2B0CB1AB"/>
    <w:rsid w:val="2B2D07DD"/>
    <w:rsid w:val="2BB22F63"/>
    <w:rsid w:val="2BE7B0E8"/>
    <w:rsid w:val="2BEF6B9D"/>
    <w:rsid w:val="2C2DA3F6"/>
    <w:rsid w:val="2C44A144"/>
    <w:rsid w:val="2C70A2A7"/>
    <w:rsid w:val="2C827F8E"/>
    <w:rsid w:val="2CCF8B41"/>
    <w:rsid w:val="2CEC173A"/>
    <w:rsid w:val="2D0ACF3D"/>
    <w:rsid w:val="2D1AC142"/>
    <w:rsid w:val="2D8547B1"/>
    <w:rsid w:val="2D8DFE85"/>
    <w:rsid w:val="2DA89240"/>
    <w:rsid w:val="2DC94281"/>
    <w:rsid w:val="2DE3342C"/>
    <w:rsid w:val="2DFEC406"/>
    <w:rsid w:val="2E067EBB"/>
    <w:rsid w:val="2E98968D"/>
    <w:rsid w:val="2EA441BE"/>
    <w:rsid w:val="2F31ABDA"/>
    <w:rsid w:val="2F3E6E54"/>
    <w:rsid w:val="2FB02FF4"/>
    <w:rsid w:val="3040DC68"/>
    <w:rsid w:val="307B2445"/>
    <w:rsid w:val="308010E0"/>
    <w:rsid w:val="308B8A3B"/>
    <w:rsid w:val="308FF589"/>
    <w:rsid w:val="309EC8E3"/>
    <w:rsid w:val="30B76460"/>
    <w:rsid w:val="30BB54DC"/>
    <w:rsid w:val="30D54687"/>
    <w:rsid w:val="310DB475"/>
    <w:rsid w:val="318AA8E8"/>
    <w:rsid w:val="31967EFF"/>
    <w:rsid w:val="319B7480"/>
    <w:rsid w:val="31AF49A5"/>
    <w:rsid w:val="31B80079"/>
    <w:rsid w:val="31CEFDC7"/>
    <w:rsid w:val="32178B23"/>
    <w:rsid w:val="322C9033"/>
    <w:rsid w:val="327673BD"/>
    <w:rsid w:val="32EFF012"/>
    <w:rsid w:val="32F4145A"/>
    <w:rsid w:val="3332EEC3"/>
    <w:rsid w:val="334F261D"/>
    <w:rsid w:val="33892089"/>
    <w:rsid w:val="33AD6737"/>
    <w:rsid w:val="33C758E2"/>
    <w:rsid w:val="33CF1397"/>
    <w:rsid w:val="34029CDE"/>
    <w:rsid w:val="348D86DB"/>
    <w:rsid w:val="34ED1185"/>
    <w:rsid w:val="351EA28E"/>
    <w:rsid w:val="357F8366"/>
    <w:rsid w:val="35883A3A"/>
    <w:rsid w:val="35A12FC6"/>
    <w:rsid w:val="35CA3CCC"/>
    <w:rsid w:val="360A6D63"/>
    <w:rsid w:val="362404FF"/>
    <w:rsid w:val="367B32E4"/>
    <w:rsid w:val="36AB3FCF"/>
    <w:rsid w:val="36D4F62A"/>
    <w:rsid w:val="36E894C9"/>
    <w:rsid w:val="3715056B"/>
    <w:rsid w:val="3720B09C"/>
    <w:rsid w:val="373D7061"/>
    <w:rsid w:val="37B3227D"/>
    <w:rsid w:val="37DF23E0"/>
    <w:rsid w:val="383E0C7A"/>
    <w:rsid w:val="385CC47D"/>
    <w:rsid w:val="38795076"/>
    <w:rsid w:val="38F3C8EA"/>
    <w:rsid w:val="38F79323"/>
    <w:rsid w:val="38FC7FBE"/>
    <w:rsid w:val="3959701A"/>
    <w:rsid w:val="396954C3"/>
    <w:rsid w:val="398D9B71"/>
    <w:rsid w:val="39B23C2E"/>
    <w:rsid w:val="39CAD7AB"/>
    <w:rsid w:val="3A4B6CA5"/>
    <w:rsid w:val="3A5AE20F"/>
    <w:rsid w:val="3A5CDA4D"/>
    <w:rsid w:val="3A776E08"/>
    <w:rsid w:val="3A991A68"/>
    <w:rsid w:val="3AB4AA42"/>
    <w:rsid w:val="3AC58B0A"/>
    <w:rsid w:val="3B1296BD"/>
    <w:rsid w:val="3B1B4D91"/>
    <w:rsid w:val="3B882296"/>
    <w:rsid w:val="3BABC734"/>
    <w:rsid w:val="3BAF5DA1"/>
    <w:rsid w:val="3C058F67"/>
    <w:rsid w:val="3C29D615"/>
    <w:rsid w:val="3C2E90DA"/>
    <w:rsid w:val="3C3190CA"/>
    <w:rsid w:val="3C49A12F"/>
    <w:rsid w:val="3C6321D3"/>
    <w:rsid w:val="3CB97946"/>
    <w:rsid w:val="3D28ADBC"/>
    <w:rsid w:val="3D698063"/>
    <w:rsid w:val="3D7A24BD"/>
    <w:rsid w:val="3DD037F1"/>
    <w:rsid w:val="3E2D140E"/>
    <w:rsid w:val="3E3426B9"/>
    <w:rsid w:val="3E48A3E8"/>
    <w:rsid w:val="3F5C4CD3"/>
    <w:rsid w:val="3FE736D0"/>
    <w:rsid w:val="40227ACC"/>
    <w:rsid w:val="405FB706"/>
    <w:rsid w:val="414B970B"/>
    <w:rsid w:val="4178EE9C"/>
    <w:rsid w:val="419C58D2"/>
    <w:rsid w:val="41B0421C"/>
    <w:rsid w:val="4217E18A"/>
    <w:rsid w:val="437E02A7"/>
    <w:rsid w:val="4466145C"/>
    <w:rsid w:val="4481FE45"/>
    <w:rsid w:val="44870C46"/>
    <w:rsid w:val="44C7F153"/>
    <w:rsid w:val="44EF602A"/>
    <w:rsid w:val="451E04F8"/>
    <w:rsid w:val="452372E8"/>
    <w:rsid w:val="454FE6F3"/>
    <w:rsid w:val="459E03F5"/>
    <w:rsid w:val="45B9EDDE"/>
    <w:rsid w:val="45C96348"/>
    <w:rsid w:val="45CA5F67"/>
    <w:rsid w:val="45D04BF8"/>
    <w:rsid w:val="4621190E"/>
    <w:rsid w:val="46300697"/>
    <w:rsid w:val="4699B373"/>
    <w:rsid w:val="46A6ACEE"/>
    <w:rsid w:val="473A9E9F"/>
    <w:rsid w:val="4777DAD9"/>
    <w:rsid w:val="47A5326A"/>
    <w:rsid w:val="47C1BE63"/>
    <w:rsid w:val="4804BD14"/>
    <w:rsid w:val="48F8B1DD"/>
    <w:rsid w:val="4966061F"/>
    <w:rsid w:val="4992DE73"/>
    <w:rsid w:val="4998A0EA"/>
    <w:rsid w:val="49DC6458"/>
    <w:rsid w:val="49E8B62A"/>
    <w:rsid w:val="4A48690D"/>
    <w:rsid w:val="4B52C3AC"/>
    <w:rsid w:val="4B55B809"/>
    <w:rsid w:val="4B6B9A7B"/>
    <w:rsid w:val="4BAAEDB0"/>
    <w:rsid w:val="4BD3FAB6"/>
    <w:rsid w:val="4C4E732A"/>
    <w:rsid w:val="4C6BFB42"/>
    <w:rsid w:val="4C810052"/>
    <w:rsid w:val="4C8DA7A2"/>
    <w:rsid w:val="4D6BCF08"/>
    <w:rsid w:val="4DC0AAA0"/>
    <w:rsid w:val="4DC49B1C"/>
    <w:rsid w:val="4DC5973B"/>
    <w:rsid w:val="4DCE4E0F"/>
    <w:rsid w:val="4DDAB84F"/>
    <w:rsid w:val="4E47CA64"/>
    <w:rsid w:val="4E668267"/>
    <w:rsid w:val="4E775E68"/>
    <w:rsid w:val="4E830E60"/>
    <w:rsid w:val="4EA42462"/>
    <w:rsid w:val="4F04456A"/>
    <w:rsid w:val="4F7FB9FD"/>
    <w:rsid w:val="4FA2086D"/>
    <w:rsid w:val="5046C346"/>
    <w:rsid w:val="50B2BCFB"/>
    <w:rsid w:val="51354A33"/>
    <w:rsid w:val="513D04E8"/>
    <w:rsid w:val="5175865D"/>
    <w:rsid w:val="522F0173"/>
    <w:rsid w:val="523393FF"/>
    <w:rsid w:val="525CFB14"/>
    <w:rsid w:val="52A2B1E6"/>
    <w:rsid w:val="52B6A8EB"/>
    <w:rsid w:val="52F62B8B"/>
    <w:rsid w:val="5392F26F"/>
    <w:rsid w:val="53D226E7"/>
    <w:rsid w:val="53E92435"/>
    <w:rsid w:val="54097A67"/>
    <w:rsid w:val="540D6AE3"/>
    <w:rsid w:val="54152598"/>
    <w:rsid w:val="548DA5CE"/>
    <w:rsid w:val="54909A2B"/>
    <w:rsid w:val="54F5453C"/>
    <w:rsid w:val="54FD6F30"/>
    <w:rsid w:val="5510D516"/>
    <w:rsid w:val="55EEC9F5"/>
    <w:rsid w:val="5611DAD3"/>
    <w:rsid w:val="562C38B6"/>
    <w:rsid w:val="562FB4F4"/>
    <w:rsid w:val="56420619"/>
    <w:rsid w:val="56C43942"/>
    <w:rsid w:val="56EAABFA"/>
    <w:rsid w:val="56FF7D3E"/>
    <w:rsid w:val="571B25BA"/>
    <w:rsid w:val="57707590"/>
    <w:rsid w:val="57DF9CE2"/>
    <w:rsid w:val="590651A4"/>
    <w:rsid w:val="591F4730"/>
    <w:rsid w:val="59B35740"/>
    <w:rsid w:val="59EAE95B"/>
    <w:rsid w:val="59ED9F1D"/>
    <w:rsid w:val="5A41BD7B"/>
    <w:rsid w:val="5A444F51"/>
    <w:rsid w:val="5A72C6A3"/>
    <w:rsid w:val="5A9376E4"/>
    <w:rsid w:val="5AAF06BE"/>
    <w:rsid w:val="5AE193E6"/>
    <w:rsid w:val="5B053884"/>
    <w:rsid w:val="5B1CFD27"/>
    <w:rsid w:val="5B258EB6"/>
    <w:rsid w:val="5B902281"/>
    <w:rsid w:val="5BAEDA84"/>
    <w:rsid w:val="5BCC629C"/>
    <w:rsid w:val="5C6D4DC8"/>
    <w:rsid w:val="5CA3CB6C"/>
    <w:rsid w:val="5CAB8621"/>
    <w:rsid w:val="5CCED0B0"/>
    <w:rsid w:val="5CDFB178"/>
    <w:rsid w:val="5D0A14AC"/>
    <w:rsid w:val="5D0D0909"/>
    <w:rsid w:val="5D4D07CA"/>
    <w:rsid w:val="5D58DAE2"/>
    <w:rsid w:val="5D8198C3"/>
    <w:rsid w:val="5DCB7C4D"/>
    <w:rsid w:val="5E17A111"/>
    <w:rsid w:val="5E85970A"/>
    <w:rsid w:val="5EAD6259"/>
    <w:rsid w:val="5EBD78D8"/>
    <w:rsid w:val="5EFDDD3B"/>
    <w:rsid w:val="5F7BEC1C"/>
    <w:rsid w:val="5F80A6E1"/>
    <w:rsid w:val="5F83A6D1"/>
    <w:rsid w:val="5F9D987C"/>
    <w:rsid w:val="5FA8D068"/>
    <w:rsid w:val="5FE499DC"/>
    <w:rsid w:val="601618B2"/>
    <w:rsid w:val="606C87E1"/>
    <w:rsid w:val="615F75F3"/>
    <w:rsid w:val="619BB60E"/>
    <w:rsid w:val="61ACBE5F"/>
    <w:rsid w:val="61D405AD"/>
    <w:rsid w:val="61F38603"/>
    <w:rsid w:val="6215AE32"/>
    <w:rsid w:val="626A0DFB"/>
    <w:rsid w:val="6275B92C"/>
    <w:rsid w:val="628ABE3C"/>
    <w:rsid w:val="62AE62DA"/>
    <w:rsid w:val="62EC4124"/>
    <w:rsid w:val="6331366F"/>
    <w:rsid w:val="63B1CD0D"/>
    <w:rsid w:val="644F9010"/>
    <w:rsid w:val="648CCC4A"/>
    <w:rsid w:val="648DC869"/>
    <w:rsid w:val="64AE78AA"/>
    <w:rsid w:val="65038B52"/>
    <w:rsid w:val="654384D9"/>
    <w:rsid w:val="654B3F8E"/>
    <w:rsid w:val="655C2056"/>
    <w:rsid w:val="65627FD2"/>
    <w:rsid w:val="65AFEA9F"/>
    <w:rsid w:val="65CA1104"/>
    <w:rsid w:val="6619F18A"/>
    <w:rsid w:val="6624996E"/>
    <w:rsid w:val="6645F2ED"/>
    <w:rsid w:val="66AB9A1D"/>
    <w:rsid w:val="66DD2B26"/>
    <w:rsid w:val="66F235DC"/>
    <w:rsid w:val="677DE286"/>
    <w:rsid w:val="67845A3D"/>
    <w:rsid w:val="679B9E6A"/>
    <w:rsid w:val="67A08B05"/>
    <w:rsid w:val="67D4144C"/>
    <w:rsid w:val="67E8447B"/>
    <w:rsid w:val="681A075A"/>
    <w:rsid w:val="6829EC03"/>
    <w:rsid w:val="68928790"/>
    <w:rsid w:val="689651C9"/>
    <w:rsid w:val="68F019FC"/>
    <w:rsid w:val="690C03E5"/>
    <w:rsid w:val="691B794F"/>
    <w:rsid w:val="699BB43A"/>
    <w:rsid w:val="69DBE4D1"/>
    <w:rsid w:val="69FA9CD4"/>
    <w:rsid w:val="6A162CAE"/>
    <w:rsid w:val="6A8852AE"/>
    <w:rsid w:val="6A91A141"/>
    <w:rsid w:val="6B014533"/>
    <w:rsid w:val="6B7C3E21"/>
    <w:rsid w:val="6B940F55"/>
    <w:rsid w:val="6BDAFE82"/>
    <w:rsid w:val="6BE944FC"/>
    <w:rsid w:val="6C742EF9"/>
    <w:rsid w:val="6CC90A91"/>
    <w:rsid w:val="6D232CD3"/>
    <w:rsid w:val="6D4286E6"/>
    <w:rsid w:val="6DC31BE0"/>
    <w:rsid w:val="6DD81D90"/>
    <w:rsid w:val="6E1CE413"/>
    <w:rsid w:val="6E259AE7"/>
    <w:rsid w:val="6E7A767F"/>
    <w:rsid w:val="6EA308B3"/>
    <w:rsid w:val="6F270CDC"/>
    <w:rsid w:val="6FA94005"/>
    <w:rsid w:val="7050832A"/>
    <w:rsid w:val="707D4838"/>
    <w:rsid w:val="70937A27"/>
    <w:rsid w:val="70B52E3B"/>
    <w:rsid w:val="71068BDE"/>
    <w:rsid w:val="7112C0A7"/>
    <w:rsid w:val="711E6BD8"/>
    <w:rsid w:val="7199E06B"/>
    <w:rsid w:val="71B17FC9"/>
    <w:rsid w:val="71B8986E"/>
    <w:rsid w:val="72182318"/>
    <w:rsid w:val="722AFC1E"/>
    <w:rsid w:val="724BAC5F"/>
    <w:rsid w:val="724F9CDB"/>
    <w:rsid w:val="72770BB2"/>
    <w:rsid w:val="72F2D0DC"/>
    <w:rsid w:val="73305E8F"/>
    <w:rsid w:val="73367B15"/>
    <w:rsid w:val="734A503A"/>
    <w:rsid w:val="737EA3CA"/>
    <w:rsid w:val="7404D302"/>
    <w:rsid w:val="74055828"/>
    <w:rsid w:val="74107E33"/>
    <w:rsid w:val="74E3F687"/>
    <w:rsid w:val="74EDA97A"/>
    <w:rsid w:val="74F09DD7"/>
    <w:rsid w:val="753DBEBA"/>
    <w:rsid w:val="756C8C88"/>
    <w:rsid w:val="75B73B0F"/>
    <w:rsid w:val="75BEF5C4"/>
    <w:rsid w:val="75D83197"/>
    <w:rsid w:val="75FB35DF"/>
    <w:rsid w:val="768481AD"/>
    <w:rsid w:val="77243CEE"/>
    <w:rsid w:val="777B10C4"/>
    <w:rsid w:val="7788E7FF"/>
    <w:rsid w:val="781A03B2"/>
    <w:rsid w:val="781EF04D"/>
    <w:rsid w:val="7862EB1D"/>
    <w:rsid w:val="78AA4A84"/>
    <w:rsid w:val="78E12237"/>
    <w:rsid w:val="78ED483A"/>
    <w:rsid w:val="79D09E2A"/>
    <w:rsid w:val="7A164F49"/>
    <w:rsid w:val="7A564E0A"/>
    <w:rsid w:val="7A958E15"/>
    <w:rsid w:val="7AD1CE30"/>
    <w:rsid w:val="7B0F0A6A"/>
    <w:rsid w:val="7B299E25"/>
    <w:rsid w:val="7B3B68C0"/>
    <w:rsid w:val="7C4C1A6A"/>
    <w:rsid w:val="7C702C6D"/>
    <w:rsid w:val="7C8141E0"/>
    <w:rsid w:val="7CA5E29D"/>
    <w:rsid w:val="7D2719A7"/>
    <w:rsid w:val="7D2A1CEC"/>
    <w:rsid w:val="7D2ED45C"/>
    <w:rsid w:val="7D865FB9"/>
    <w:rsid w:val="7D86A451"/>
    <w:rsid w:val="7DB00B66"/>
    <w:rsid w:val="7DBA2D98"/>
    <w:rsid w:val="7DC1E84D"/>
    <w:rsid w:val="7DDDD236"/>
    <w:rsid w:val="7DE58CEB"/>
    <w:rsid w:val="7E2B7FF9"/>
    <w:rsid w:val="7E33A9ED"/>
    <w:rsid w:val="7F1E78A3"/>
    <w:rsid w:val="7F73543B"/>
    <w:rsid w:val="7FE2A559"/>
    <w:rsid w:val="7FE3AA7D"/>
    <w:rsid w:val="7FFD9C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F9C5"/>
  <w15:chartTrackingRefBased/>
  <w15:docId w15:val="{E1A844DC-98C5-4AB5-8A4A-B3A472B2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C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434C3"/>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4C3"/>
    <w:rPr>
      <w:rFonts w:ascii="Times New Roman" w:eastAsia="Times New Roman" w:hAnsi="Times New Roman" w:cs="Times New Roman"/>
      <w:b/>
      <w:sz w:val="18"/>
      <w:szCs w:val="20"/>
    </w:rPr>
  </w:style>
  <w:style w:type="paragraph" w:styleId="Header">
    <w:name w:val="header"/>
    <w:basedOn w:val="Normal"/>
    <w:link w:val="HeaderChar"/>
    <w:uiPriority w:val="99"/>
    <w:rsid w:val="008434C3"/>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8434C3"/>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8434C3"/>
    <w:pPr>
      <w:tabs>
        <w:tab w:val="center" w:pos="4153"/>
        <w:tab w:val="right" w:pos="8306"/>
      </w:tabs>
    </w:pPr>
  </w:style>
  <w:style w:type="character" w:customStyle="1" w:styleId="FooterChar">
    <w:name w:val="Footer Char"/>
    <w:basedOn w:val="DefaultParagraphFont"/>
    <w:link w:val="Footer"/>
    <w:uiPriority w:val="99"/>
    <w:rsid w:val="008434C3"/>
    <w:rPr>
      <w:rFonts w:ascii="Times New Roman" w:eastAsia="Times New Roman" w:hAnsi="Times New Roman" w:cs="Times New Roman"/>
      <w:sz w:val="20"/>
      <w:szCs w:val="20"/>
    </w:rPr>
  </w:style>
  <w:style w:type="table" w:styleId="TableGrid">
    <w:name w:val="Table Grid"/>
    <w:basedOn w:val="TableNormal"/>
    <w:uiPriority w:val="59"/>
    <w:rsid w:val="008434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
    <w:uiPriority w:val="99"/>
    <w:qFormat/>
    <w:rsid w:val="008434C3"/>
    <w:rPr>
      <w:rFonts w:cs="Times New Roman"/>
      <w:vertAlign w:val="superscript"/>
    </w:rPr>
  </w:style>
  <w:style w:type="character" w:styleId="Hyperlink">
    <w:name w:val="Hyperlink"/>
    <w:rsid w:val="008434C3"/>
    <w:rPr>
      <w:color w:val="0000FF"/>
      <w:u w:val="single"/>
    </w:rPr>
  </w:style>
  <w:style w:type="paragraph" w:styleId="ListParagraph">
    <w:name w:val="List Paragraph"/>
    <w:basedOn w:val="Normal"/>
    <w:uiPriority w:val="34"/>
    <w:qFormat/>
    <w:rsid w:val="008434C3"/>
    <w:pPr>
      <w:ind w:left="720"/>
      <w:contextualSpacing/>
    </w:pPr>
  </w:style>
  <w:style w:type="paragraph" w:customStyle="1" w:styleId="BodyA">
    <w:name w:val="Body A"/>
    <w:uiPriority w:val="99"/>
    <w:rsid w:val="008434C3"/>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8434C3"/>
  </w:style>
  <w:style w:type="paragraph" w:styleId="NormalWeb">
    <w:name w:val="Normal (Web)"/>
    <w:basedOn w:val="Normal"/>
    <w:uiPriority w:val="99"/>
    <w:unhideWhenUsed/>
    <w:rsid w:val="008434C3"/>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8434C3"/>
    <w:rPr>
      <w:color w:val="FF0000"/>
    </w:rPr>
  </w:style>
  <w:style w:type="paragraph" w:customStyle="1" w:styleId="Normal1">
    <w:name w:val="Normal1"/>
    <w:rsid w:val="008434C3"/>
    <w:pPr>
      <w:spacing w:after="0" w:line="240" w:lineRule="auto"/>
    </w:pPr>
    <w:rPr>
      <w:rFonts w:ascii="Helvetica Neue" w:eastAsia="Helvetica Neue" w:hAnsi="Helvetica Neue" w:cs="Helvetica Neue"/>
      <w:sz w:val="24"/>
      <w:szCs w:val="24"/>
      <w:lang w:val="en-US"/>
    </w:rPr>
  </w:style>
  <w:style w:type="paragraph" w:styleId="FootnoteText">
    <w:name w:val="footnote text"/>
    <w:aliases w:val="5_G"/>
    <w:basedOn w:val="Normal"/>
    <w:link w:val="FootnoteTextChar"/>
    <w:uiPriority w:val="99"/>
    <w:qFormat/>
    <w:rsid w:val="008434C3"/>
    <w:pPr>
      <w:tabs>
        <w:tab w:val="right" w:pos="1021"/>
      </w:tabs>
      <w:suppressAutoHyphen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8434C3"/>
    <w:rPr>
      <w:rFonts w:ascii="Times New Roman" w:eastAsia="Times New Roman" w:hAnsi="Times New Roman" w:cs="Times New Roman"/>
      <w:sz w:val="18"/>
      <w:szCs w:val="20"/>
    </w:rPr>
  </w:style>
  <w:style w:type="character" w:styleId="CommentReference">
    <w:name w:val="annotation reference"/>
    <w:basedOn w:val="DefaultParagraphFont"/>
    <w:uiPriority w:val="99"/>
    <w:semiHidden/>
    <w:unhideWhenUsed/>
    <w:rsid w:val="003C4C97"/>
    <w:rPr>
      <w:sz w:val="16"/>
      <w:szCs w:val="16"/>
    </w:rPr>
  </w:style>
  <w:style w:type="paragraph" w:styleId="CommentText">
    <w:name w:val="annotation text"/>
    <w:basedOn w:val="Normal"/>
    <w:link w:val="CommentTextChar"/>
    <w:uiPriority w:val="99"/>
    <w:unhideWhenUsed/>
    <w:rsid w:val="003C4C97"/>
  </w:style>
  <w:style w:type="character" w:customStyle="1" w:styleId="CommentTextChar">
    <w:name w:val="Comment Text Char"/>
    <w:basedOn w:val="DefaultParagraphFont"/>
    <w:link w:val="CommentText"/>
    <w:uiPriority w:val="99"/>
    <w:rsid w:val="003C4C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4C97"/>
    <w:rPr>
      <w:b/>
      <w:bCs/>
    </w:rPr>
  </w:style>
  <w:style w:type="character" w:customStyle="1" w:styleId="CommentSubjectChar">
    <w:name w:val="Comment Subject Char"/>
    <w:basedOn w:val="CommentTextChar"/>
    <w:link w:val="CommentSubject"/>
    <w:uiPriority w:val="99"/>
    <w:semiHidden/>
    <w:rsid w:val="003C4C9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26428"/>
    <w:rPr>
      <w:color w:val="605E5C"/>
      <w:shd w:val="clear" w:color="auto" w:fill="E1DFDD"/>
    </w:rPr>
  </w:style>
  <w:style w:type="character" w:styleId="Mention">
    <w:name w:val="Mention"/>
    <w:basedOn w:val="DefaultParagraphFont"/>
    <w:uiPriority w:val="99"/>
    <w:unhideWhenUsed/>
    <w:rsid w:val="009E2524"/>
    <w:rPr>
      <w:color w:val="2B579A"/>
      <w:shd w:val="clear" w:color="auto" w:fill="E1DFDD"/>
    </w:rPr>
  </w:style>
  <w:style w:type="character" w:styleId="FollowedHyperlink">
    <w:name w:val="FollowedHyperlink"/>
    <w:basedOn w:val="DefaultParagraphFont"/>
    <w:uiPriority w:val="99"/>
    <w:semiHidden/>
    <w:unhideWhenUsed/>
    <w:rsid w:val="00463E86"/>
    <w:rPr>
      <w:color w:val="954F72" w:themeColor="followedHyperlink"/>
      <w:u w:val="single"/>
    </w:rPr>
  </w:style>
  <w:style w:type="paragraph" w:styleId="Revision">
    <w:name w:val="Revision"/>
    <w:hidden/>
    <w:uiPriority w:val="99"/>
    <w:semiHidden/>
    <w:rsid w:val="0050747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52342">
      <w:bodyDiv w:val="1"/>
      <w:marLeft w:val="0"/>
      <w:marRight w:val="0"/>
      <w:marTop w:val="0"/>
      <w:marBottom w:val="0"/>
      <w:divBdr>
        <w:top w:val="none" w:sz="0" w:space="0" w:color="auto"/>
        <w:left w:val="none" w:sz="0" w:space="0" w:color="auto"/>
        <w:bottom w:val="none" w:sz="0" w:space="0" w:color="auto"/>
        <w:right w:val="none" w:sz="0" w:space="0" w:color="auto"/>
      </w:divBdr>
      <w:divsChild>
        <w:div w:id="390734023">
          <w:marLeft w:val="360"/>
          <w:marRight w:val="0"/>
          <w:marTop w:val="200"/>
          <w:marBottom w:val="0"/>
          <w:divBdr>
            <w:top w:val="none" w:sz="0" w:space="0" w:color="auto"/>
            <w:left w:val="none" w:sz="0" w:space="0" w:color="auto"/>
            <w:bottom w:val="none" w:sz="0" w:space="0" w:color="auto"/>
            <w:right w:val="none" w:sz="0" w:space="0" w:color="auto"/>
          </w:divBdr>
        </w:div>
      </w:divsChild>
    </w:div>
    <w:div w:id="447286649">
      <w:bodyDiv w:val="1"/>
      <w:marLeft w:val="0"/>
      <w:marRight w:val="0"/>
      <w:marTop w:val="0"/>
      <w:marBottom w:val="0"/>
      <w:divBdr>
        <w:top w:val="none" w:sz="0" w:space="0" w:color="auto"/>
        <w:left w:val="none" w:sz="0" w:space="0" w:color="auto"/>
        <w:bottom w:val="none" w:sz="0" w:space="0" w:color="auto"/>
        <w:right w:val="none" w:sz="0" w:space="0" w:color="auto"/>
      </w:divBdr>
      <w:divsChild>
        <w:div w:id="758991104">
          <w:marLeft w:val="360"/>
          <w:marRight w:val="0"/>
          <w:marTop w:val="200"/>
          <w:marBottom w:val="0"/>
          <w:divBdr>
            <w:top w:val="none" w:sz="0" w:space="0" w:color="auto"/>
            <w:left w:val="none" w:sz="0" w:space="0" w:color="auto"/>
            <w:bottom w:val="none" w:sz="0" w:space="0" w:color="auto"/>
            <w:right w:val="none" w:sz="0" w:space="0" w:color="auto"/>
          </w:divBdr>
        </w:div>
      </w:divsChild>
    </w:div>
    <w:div w:id="491144682">
      <w:bodyDiv w:val="1"/>
      <w:marLeft w:val="0"/>
      <w:marRight w:val="0"/>
      <w:marTop w:val="0"/>
      <w:marBottom w:val="0"/>
      <w:divBdr>
        <w:top w:val="none" w:sz="0" w:space="0" w:color="auto"/>
        <w:left w:val="none" w:sz="0" w:space="0" w:color="auto"/>
        <w:bottom w:val="none" w:sz="0" w:space="0" w:color="auto"/>
        <w:right w:val="none" w:sz="0" w:space="0" w:color="auto"/>
      </w:divBdr>
      <w:divsChild>
        <w:div w:id="1131091220">
          <w:marLeft w:val="1080"/>
          <w:marRight w:val="0"/>
          <w:marTop w:val="0"/>
          <w:marBottom w:val="0"/>
          <w:divBdr>
            <w:top w:val="none" w:sz="0" w:space="0" w:color="auto"/>
            <w:left w:val="none" w:sz="0" w:space="0" w:color="auto"/>
            <w:bottom w:val="none" w:sz="0" w:space="0" w:color="auto"/>
            <w:right w:val="none" w:sz="0" w:space="0" w:color="auto"/>
          </w:divBdr>
        </w:div>
      </w:divsChild>
    </w:div>
    <w:div w:id="1081676587">
      <w:bodyDiv w:val="1"/>
      <w:marLeft w:val="0"/>
      <w:marRight w:val="0"/>
      <w:marTop w:val="0"/>
      <w:marBottom w:val="0"/>
      <w:divBdr>
        <w:top w:val="none" w:sz="0" w:space="0" w:color="auto"/>
        <w:left w:val="none" w:sz="0" w:space="0" w:color="auto"/>
        <w:bottom w:val="none" w:sz="0" w:space="0" w:color="auto"/>
        <w:right w:val="none" w:sz="0" w:space="0" w:color="auto"/>
      </w:divBdr>
      <w:divsChild>
        <w:div w:id="1475874355">
          <w:marLeft w:val="360"/>
          <w:marRight w:val="0"/>
          <w:marTop w:val="200"/>
          <w:marBottom w:val="0"/>
          <w:divBdr>
            <w:top w:val="none" w:sz="0" w:space="0" w:color="auto"/>
            <w:left w:val="none" w:sz="0" w:space="0" w:color="auto"/>
            <w:bottom w:val="none" w:sz="0" w:space="0" w:color="auto"/>
            <w:right w:val="none" w:sz="0" w:space="0" w:color="auto"/>
          </w:divBdr>
        </w:div>
      </w:divsChild>
    </w:div>
    <w:div w:id="1701125296">
      <w:bodyDiv w:val="1"/>
      <w:marLeft w:val="0"/>
      <w:marRight w:val="0"/>
      <w:marTop w:val="0"/>
      <w:marBottom w:val="0"/>
      <w:divBdr>
        <w:top w:val="none" w:sz="0" w:space="0" w:color="auto"/>
        <w:left w:val="none" w:sz="0" w:space="0" w:color="auto"/>
        <w:bottom w:val="none" w:sz="0" w:space="0" w:color="auto"/>
        <w:right w:val="none" w:sz="0" w:space="0" w:color="auto"/>
      </w:divBdr>
    </w:div>
    <w:div w:id="1754160699">
      <w:bodyDiv w:val="1"/>
      <w:marLeft w:val="0"/>
      <w:marRight w:val="0"/>
      <w:marTop w:val="0"/>
      <w:marBottom w:val="0"/>
      <w:divBdr>
        <w:top w:val="none" w:sz="0" w:space="0" w:color="auto"/>
        <w:left w:val="none" w:sz="0" w:space="0" w:color="auto"/>
        <w:bottom w:val="none" w:sz="0" w:space="0" w:color="auto"/>
        <w:right w:val="none" w:sz="0" w:space="0" w:color="auto"/>
      </w:divBdr>
      <w:divsChild>
        <w:div w:id="155504562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budgetjusticesa.org/media/bjc-foa-submission-on-the-2023-mtef/" TargetMode="External"/><Relationship Id="rId1" Type="http://schemas.openxmlformats.org/officeDocument/2006/relationships/hyperlink" Target="https://budgetjusticesa.org/media/bjc-foa-submission-on-the-2023-mte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Doctype xmlns="d42e65b2-cf21-49c1-b27d-d23f90380c0e">input</Doctype>
    <Contributor xmlns="d42e65b2-cf21-49c1-b27d-d23f90380c0e">EELC’s</Contributor>
    <Postingdate xmlns="d42e65b2-cf21-49c1-b27d-d23f90380c0e" xsi:nil="true"/>
    <Postedonline xmlns="d42e65b2-cf21-49c1-b27d-d23f90380c0e">false</Postedonlin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1A00A-5D8A-48E6-BFDA-D0A34C2130CC}">
  <ds:schemaRefs>
    <ds:schemaRef ds:uri="http://schemas.openxmlformats.org/officeDocument/2006/bibliography"/>
  </ds:schemaRefs>
</ds:datastoreItem>
</file>

<file path=customXml/itemProps2.xml><?xml version="1.0" encoding="utf-8"?>
<ds:datastoreItem xmlns:ds="http://schemas.openxmlformats.org/officeDocument/2006/customXml" ds:itemID="{A147BAD9-9F07-4A0F-B229-2C39439593FE}"/>
</file>

<file path=customXml/itemProps3.xml><?xml version="1.0" encoding="utf-8"?>
<ds:datastoreItem xmlns:ds="http://schemas.openxmlformats.org/officeDocument/2006/customXml" ds:itemID="{77EA578A-F55B-4AEE-923C-060B7681AC5C}">
  <ds:schemaRefs>
    <ds:schemaRef ds:uri="http://schemas.microsoft.com/office/2006/metadata/properties"/>
    <ds:schemaRef ds:uri="http://schemas.microsoft.com/office/infopath/2007/PartnerControls"/>
    <ds:schemaRef ds:uri="48b019db-763b-45f6-8cb7-bfcff794e16b"/>
    <ds:schemaRef ds:uri="0f438509-3064-4c48-909c-ab9a5edcc7f1"/>
  </ds:schemaRefs>
</ds:datastoreItem>
</file>

<file path=customXml/itemProps4.xml><?xml version="1.0" encoding="utf-8"?>
<ds:datastoreItem xmlns:ds="http://schemas.openxmlformats.org/officeDocument/2006/customXml" ds:itemID="{576648D5-8D9D-4A71-9C4B-7B3411A37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2153</Words>
  <Characters>12273</Characters>
  <Application>Microsoft Office Word</Application>
  <DocSecurity>4</DocSecurity>
  <Lines>102</Lines>
  <Paragraphs>28</Paragraphs>
  <ScaleCrop>false</ScaleCrop>
  <Company>OHCHR</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HECHENLEITNER SCHACHT Karin</dc:creator>
  <cp:keywords/>
  <dc:description/>
  <cp:lastModifiedBy>Katherine  Sutherland</cp:lastModifiedBy>
  <cp:revision>13</cp:revision>
  <dcterms:created xsi:type="dcterms:W3CDTF">2023-03-24T10:48:00Z</dcterms:created>
  <dcterms:modified xsi:type="dcterms:W3CDTF">2023-03-24T10:57:00Z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