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rPr>
          <w:sz w:val="22"/>
          <w:szCs w:val="22"/>
        </w:rPr>
      </w:pPr>
      <w:r w:rsidDel="00000000" w:rsidR="00000000" w:rsidRPr="00000000">
        <w:rPr>
          <w:rtl w:val="0"/>
        </w:rPr>
      </w:r>
    </w:p>
    <w:p w:rsidR="00000000" w:rsidDel="00000000" w:rsidP="00000000" w:rsidRDefault="00000000" w:rsidRPr="00000000" w14:paraId="00000002">
      <w:pPr>
        <w:widowControl w:val="0"/>
        <w:rPr>
          <w:sz w:val="22"/>
          <w:szCs w:val="22"/>
        </w:rPr>
      </w:pPr>
      <w:r w:rsidDel="00000000" w:rsidR="00000000" w:rsidRPr="00000000">
        <w:rPr>
          <w:rtl w:val="0"/>
        </w:rPr>
      </w:r>
    </w:p>
    <w:p w:rsidR="00000000" w:rsidDel="00000000" w:rsidP="00000000" w:rsidRDefault="00000000" w:rsidRPr="00000000" w14:paraId="00000003">
      <w:pPr>
        <w:widowControl w:val="0"/>
        <w:rPr>
          <w:sz w:val="22"/>
          <w:szCs w:val="22"/>
        </w:rPr>
      </w:pPr>
      <w:r w:rsidDel="00000000" w:rsidR="00000000" w:rsidRPr="00000000">
        <w:rPr>
          <w:rtl w:val="0"/>
        </w:rPr>
      </w:r>
    </w:p>
    <w:p w:rsidR="00000000" w:rsidDel="00000000" w:rsidP="00000000" w:rsidRDefault="00000000" w:rsidRPr="00000000" w14:paraId="00000004">
      <w:pPr>
        <w:widowControl w:val="0"/>
        <w:rPr>
          <w:sz w:val="22"/>
          <w:szCs w:val="22"/>
        </w:rPr>
      </w:pPr>
      <w:r w:rsidDel="00000000" w:rsidR="00000000" w:rsidRPr="00000000">
        <w:rPr>
          <w:rtl w:val="0"/>
        </w:rPr>
      </w:r>
    </w:p>
    <w:p w:rsidR="00000000" w:rsidDel="00000000" w:rsidP="00000000" w:rsidRDefault="00000000" w:rsidRPr="00000000" w14:paraId="00000005">
      <w:pPr>
        <w:widowControl w:val="0"/>
        <w:jc w:val="center"/>
        <w:rPr>
          <w:b w:val="1"/>
          <w:color w:val="1d1c1d"/>
          <w:sz w:val="22"/>
          <w:szCs w:val="22"/>
        </w:rPr>
      </w:pPr>
      <w:r w:rsidDel="00000000" w:rsidR="00000000" w:rsidRPr="00000000">
        <w:rPr>
          <w:b w:val="1"/>
          <w:sz w:val="22"/>
          <w:szCs w:val="22"/>
          <w:rtl w:val="0"/>
        </w:rPr>
        <w:t xml:space="preserve">Submission to the S</w:t>
      </w:r>
      <w:r w:rsidDel="00000000" w:rsidR="00000000" w:rsidRPr="00000000">
        <w:rPr>
          <w:b w:val="1"/>
          <w:color w:val="1d1c1d"/>
          <w:sz w:val="22"/>
          <w:szCs w:val="22"/>
          <w:rtl w:val="0"/>
        </w:rPr>
        <w:t xml:space="preserve">pecial Rapporteur on the right of everyone to the enjoyment of the highest attainable standard of physical and mental health </w:t>
      </w:r>
    </w:p>
    <w:p w:rsidR="00000000" w:rsidDel="00000000" w:rsidP="00000000" w:rsidRDefault="00000000" w:rsidRPr="00000000" w14:paraId="00000006">
      <w:pPr>
        <w:widowControl w:val="0"/>
        <w:jc w:val="center"/>
        <w:rPr>
          <w:b w:val="1"/>
          <w:color w:val="1d1c1d"/>
          <w:sz w:val="22"/>
          <w:szCs w:val="22"/>
        </w:rPr>
      </w:pPr>
      <w:r w:rsidDel="00000000" w:rsidR="00000000" w:rsidRPr="00000000">
        <w:rPr>
          <w:rtl w:val="0"/>
        </w:rPr>
      </w:r>
    </w:p>
    <w:p w:rsidR="00000000" w:rsidDel="00000000" w:rsidP="00000000" w:rsidRDefault="00000000" w:rsidRPr="00000000" w14:paraId="00000007">
      <w:pPr>
        <w:widowControl w:val="0"/>
        <w:jc w:val="center"/>
        <w:rPr>
          <w:b w:val="1"/>
          <w:color w:val="1d1c1d"/>
          <w:sz w:val="22"/>
          <w:szCs w:val="22"/>
        </w:rPr>
      </w:pPr>
      <w:r w:rsidDel="00000000" w:rsidR="00000000" w:rsidRPr="00000000">
        <w:rPr>
          <w:b w:val="1"/>
          <w:color w:val="1d1c1d"/>
          <w:sz w:val="22"/>
          <w:szCs w:val="22"/>
          <w:rtl w:val="0"/>
        </w:rPr>
        <w:t xml:space="preserve">Food, nutrition, and the right to health</w:t>
      </w:r>
    </w:p>
    <w:p w:rsidR="00000000" w:rsidDel="00000000" w:rsidP="00000000" w:rsidRDefault="00000000" w:rsidRPr="00000000" w14:paraId="00000008">
      <w:pPr>
        <w:widowControl w:val="0"/>
        <w:rPr>
          <w:sz w:val="22"/>
          <w:szCs w:val="22"/>
        </w:rPr>
      </w:pPr>
      <w:r w:rsidDel="00000000" w:rsidR="00000000" w:rsidRPr="00000000">
        <w:rPr>
          <w:rtl w:val="0"/>
        </w:rPr>
      </w:r>
    </w:p>
    <w:p w:rsidR="00000000" w:rsidDel="00000000" w:rsidP="00000000" w:rsidRDefault="00000000" w:rsidRPr="00000000" w14:paraId="00000009">
      <w:pPr>
        <w:numPr>
          <w:ilvl w:val="0"/>
          <w:numId w:val="1"/>
        </w:numPr>
        <w:ind w:left="720" w:hanging="360"/>
        <w:rPr>
          <w:color w:val="1d1c1d"/>
          <w:sz w:val="22"/>
          <w:szCs w:val="22"/>
        </w:rPr>
      </w:pPr>
      <w:r w:rsidDel="00000000" w:rsidR="00000000" w:rsidRPr="00000000">
        <w:rPr>
          <w:color w:val="1d1c1d"/>
          <w:sz w:val="22"/>
          <w:szCs w:val="22"/>
          <w:u w:val="single"/>
          <w:rtl w:val="0"/>
        </w:rPr>
        <w:t xml:space="preserve">Introduction </w:t>
      </w:r>
    </w:p>
    <w:p w:rsidR="00000000" w:rsidDel="00000000" w:rsidP="00000000" w:rsidRDefault="00000000" w:rsidRPr="00000000" w14:paraId="0000000A">
      <w:pPr>
        <w:ind w:left="720" w:firstLine="0"/>
        <w:rPr>
          <w:color w:val="1d1c1d"/>
          <w:sz w:val="22"/>
          <w:szCs w:val="22"/>
        </w:rPr>
      </w:pPr>
      <w:r w:rsidDel="00000000" w:rsidR="00000000" w:rsidRPr="00000000">
        <w:rPr>
          <w:rtl w:val="0"/>
        </w:rPr>
      </w:r>
    </w:p>
    <w:p w:rsidR="00000000" w:rsidDel="00000000" w:rsidP="00000000" w:rsidRDefault="00000000" w:rsidRPr="00000000" w14:paraId="0000000B">
      <w:pPr>
        <w:rPr>
          <w:color w:val="1d1c1d"/>
          <w:sz w:val="22"/>
          <w:szCs w:val="22"/>
        </w:rPr>
      </w:pPr>
      <w:r w:rsidDel="00000000" w:rsidR="00000000" w:rsidRPr="00000000">
        <w:rPr>
          <w:color w:val="1d1c1d"/>
          <w:sz w:val="22"/>
          <w:szCs w:val="22"/>
          <w:rtl w:val="0"/>
        </w:rPr>
        <w:t xml:space="preserve">Outright International is dedicated to working with partners around the globe to strengthen the capacity of the LGBTIQ human rights movement, document and amplify human rights violations against LGBTIQ people, and advocate for inclusion and equality. Outright is pleased to deliver this input in response to the call for submissions by the Special Rapporteur on the right of everyone to the enjoyment of the highest attainable standard of physical and mental health on the subject of “food, nutrition, and the right to health.” </w:t>
      </w:r>
    </w:p>
    <w:p w:rsidR="00000000" w:rsidDel="00000000" w:rsidP="00000000" w:rsidRDefault="00000000" w:rsidRPr="00000000" w14:paraId="0000000C">
      <w:pPr>
        <w:rPr>
          <w:color w:val="1d1c1d"/>
          <w:sz w:val="22"/>
          <w:szCs w:val="22"/>
        </w:rPr>
      </w:pPr>
      <w:r w:rsidDel="00000000" w:rsidR="00000000" w:rsidRPr="00000000">
        <w:rPr>
          <w:rtl w:val="0"/>
        </w:rPr>
      </w:r>
    </w:p>
    <w:p w:rsidR="00000000" w:rsidDel="00000000" w:rsidP="00000000" w:rsidRDefault="00000000" w:rsidRPr="00000000" w14:paraId="0000000D">
      <w:pPr>
        <w:numPr>
          <w:ilvl w:val="0"/>
          <w:numId w:val="1"/>
        </w:numPr>
        <w:ind w:left="720" w:hanging="360"/>
        <w:rPr>
          <w:color w:val="1d1c1d"/>
          <w:sz w:val="22"/>
          <w:szCs w:val="22"/>
        </w:rPr>
      </w:pPr>
      <w:r w:rsidDel="00000000" w:rsidR="00000000" w:rsidRPr="00000000">
        <w:rPr>
          <w:color w:val="1d1c1d"/>
          <w:sz w:val="22"/>
          <w:szCs w:val="22"/>
          <w:u w:val="single"/>
          <w:rtl w:val="0"/>
        </w:rPr>
        <w:t xml:space="preserve">International legal standards </w:t>
      </w:r>
    </w:p>
    <w:p w:rsidR="00000000" w:rsidDel="00000000" w:rsidP="00000000" w:rsidRDefault="00000000" w:rsidRPr="00000000" w14:paraId="0000000E">
      <w:pPr>
        <w:rPr>
          <w:color w:val="1d1c1d"/>
          <w:sz w:val="22"/>
          <w:szCs w:val="22"/>
        </w:rPr>
      </w:pPr>
      <w:r w:rsidDel="00000000" w:rsidR="00000000" w:rsidRPr="00000000">
        <w:rPr>
          <w:rtl w:val="0"/>
        </w:rPr>
      </w:r>
    </w:p>
    <w:p w:rsidR="00000000" w:rsidDel="00000000" w:rsidP="00000000" w:rsidRDefault="00000000" w:rsidRPr="00000000" w14:paraId="0000000F">
      <w:pPr>
        <w:rPr>
          <w:color w:val="1d1c1d"/>
          <w:sz w:val="22"/>
          <w:szCs w:val="22"/>
        </w:rPr>
      </w:pPr>
      <w:r w:rsidDel="00000000" w:rsidR="00000000" w:rsidRPr="00000000">
        <w:rPr>
          <w:sz w:val="22"/>
          <w:szCs w:val="22"/>
          <w:rtl w:val="0"/>
        </w:rPr>
        <w:t xml:space="preserve">International human rights law standards are applicable to all without distinction. E</w:t>
      </w:r>
      <w:r w:rsidDel="00000000" w:rsidR="00000000" w:rsidRPr="00000000">
        <w:rPr>
          <w:sz w:val="22"/>
          <w:szCs w:val="22"/>
          <w:rtl w:val="0"/>
        </w:rPr>
        <w:t xml:space="preserve">ach individual is entitled to their human rights without discrimination, including on the basis of sexual orientation, gender identity and expression, or sex characteristics.</w:t>
      </w:r>
      <w:r w:rsidDel="00000000" w:rsidR="00000000" w:rsidRPr="00000000">
        <w:rPr>
          <w:sz w:val="22"/>
          <w:szCs w:val="22"/>
          <w:vertAlign w:val="superscript"/>
        </w:rPr>
        <w:footnoteReference w:customMarkFollows="0" w:id="0"/>
      </w:r>
      <w:r w:rsidDel="00000000" w:rsidR="00000000" w:rsidRPr="00000000">
        <w:rPr>
          <w:sz w:val="22"/>
          <w:szCs w:val="22"/>
          <w:rtl w:val="0"/>
        </w:rPr>
        <w:t xml:space="preserve"> </w:t>
      </w:r>
      <w:r w:rsidDel="00000000" w:rsidR="00000000" w:rsidRPr="00000000">
        <w:rPr>
          <w:color w:val="1d1c1d"/>
          <w:sz w:val="22"/>
          <w:szCs w:val="22"/>
          <w:rtl w:val="0"/>
        </w:rPr>
        <w:t xml:space="preserve">States must respect, protect, and fulfil their human rights obligations.</w:t>
      </w:r>
    </w:p>
    <w:p w:rsidR="00000000" w:rsidDel="00000000" w:rsidP="00000000" w:rsidRDefault="00000000" w:rsidRPr="00000000" w14:paraId="00000010">
      <w:pPr>
        <w:rPr>
          <w:color w:val="1d1c1d"/>
          <w:sz w:val="22"/>
          <w:szCs w:val="22"/>
        </w:rPr>
      </w:pPr>
      <w:r w:rsidDel="00000000" w:rsidR="00000000" w:rsidRPr="00000000">
        <w:rPr>
          <w:rtl w:val="0"/>
        </w:rPr>
      </w:r>
    </w:p>
    <w:p w:rsidR="00000000" w:rsidDel="00000000" w:rsidP="00000000" w:rsidRDefault="00000000" w:rsidRPr="00000000" w14:paraId="00000011">
      <w:pPr>
        <w:rPr>
          <w:color w:val="1d1c1d"/>
          <w:sz w:val="22"/>
          <w:szCs w:val="22"/>
        </w:rPr>
      </w:pPr>
      <w:r w:rsidDel="00000000" w:rsidR="00000000" w:rsidRPr="00000000">
        <w:rPr>
          <w:color w:val="1d1c1d"/>
          <w:sz w:val="22"/>
          <w:szCs w:val="22"/>
          <w:rtl w:val="0"/>
        </w:rPr>
        <w:t xml:space="preserve">All people, including lesbian, gay, bisexual, transgender, intersex, and queer (LGBTIQ) people, have a right to health.</w:t>
      </w:r>
      <w:r w:rsidDel="00000000" w:rsidR="00000000" w:rsidRPr="00000000">
        <w:rPr>
          <w:color w:val="1d1c1d"/>
          <w:sz w:val="22"/>
          <w:szCs w:val="22"/>
          <w:vertAlign w:val="superscript"/>
        </w:rPr>
        <w:footnoteReference w:customMarkFollows="0" w:id="1"/>
      </w:r>
      <w:r w:rsidDel="00000000" w:rsidR="00000000" w:rsidRPr="00000000">
        <w:rPr>
          <w:color w:val="1d1c1d"/>
          <w:sz w:val="22"/>
          <w:szCs w:val="22"/>
          <w:rtl w:val="0"/>
        </w:rPr>
        <w:t xml:space="preserve"> The right to food and nutrition is an underlying condition for the full realisation of the right to health.</w:t>
      </w:r>
      <w:r w:rsidDel="00000000" w:rsidR="00000000" w:rsidRPr="00000000">
        <w:rPr>
          <w:color w:val="1d1c1d"/>
          <w:sz w:val="22"/>
          <w:szCs w:val="22"/>
          <w:vertAlign w:val="superscript"/>
        </w:rPr>
        <w:footnoteReference w:customMarkFollows="0" w:id="2"/>
      </w:r>
      <w:r w:rsidDel="00000000" w:rsidR="00000000" w:rsidRPr="00000000">
        <w:rPr>
          <w:color w:val="1d1c1d"/>
          <w:sz w:val="22"/>
          <w:szCs w:val="22"/>
          <w:rtl w:val="0"/>
        </w:rPr>
        <w:t xml:space="preserve"> The right to food is recognized in the Universal Declaration of Human Rights</w:t>
      </w:r>
      <w:r w:rsidDel="00000000" w:rsidR="00000000" w:rsidRPr="00000000">
        <w:rPr>
          <w:color w:val="1d1c1d"/>
          <w:sz w:val="22"/>
          <w:szCs w:val="22"/>
          <w:vertAlign w:val="superscript"/>
        </w:rPr>
        <w:footnoteReference w:customMarkFollows="0" w:id="3"/>
      </w:r>
      <w:r w:rsidDel="00000000" w:rsidR="00000000" w:rsidRPr="00000000">
        <w:rPr>
          <w:color w:val="1d1c1d"/>
          <w:sz w:val="22"/>
          <w:szCs w:val="22"/>
          <w:rtl w:val="0"/>
        </w:rPr>
        <w:t xml:space="preserve">, the International Covenant on Economic, Social and Cultural Rights</w:t>
      </w:r>
      <w:r w:rsidDel="00000000" w:rsidR="00000000" w:rsidRPr="00000000">
        <w:rPr>
          <w:color w:val="1d1c1d"/>
          <w:sz w:val="22"/>
          <w:szCs w:val="22"/>
          <w:vertAlign w:val="superscript"/>
        </w:rPr>
        <w:footnoteReference w:customMarkFollows="0" w:id="4"/>
      </w:r>
      <w:r w:rsidDel="00000000" w:rsidR="00000000" w:rsidRPr="00000000">
        <w:rPr>
          <w:color w:val="1d1c1d"/>
          <w:sz w:val="22"/>
          <w:szCs w:val="22"/>
          <w:rtl w:val="0"/>
        </w:rPr>
        <w:t xml:space="preserve">, the Convention on the Elimination of All Forms of Discrimination against Women</w:t>
      </w:r>
      <w:r w:rsidDel="00000000" w:rsidR="00000000" w:rsidRPr="00000000">
        <w:rPr>
          <w:color w:val="1d1c1d"/>
          <w:sz w:val="22"/>
          <w:szCs w:val="22"/>
          <w:vertAlign w:val="superscript"/>
        </w:rPr>
        <w:footnoteReference w:customMarkFollows="0" w:id="5"/>
      </w:r>
      <w:r w:rsidDel="00000000" w:rsidR="00000000" w:rsidRPr="00000000">
        <w:rPr>
          <w:color w:val="1d1c1d"/>
          <w:sz w:val="22"/>
          <w:szCs w:val="22"/>
          <w:rtl w:val="0"/>
        </w:rPr>
        <w:t xml:space="preserve">, the Convention on the Rights of the Child</w:t>
      </w:r>
      <w:r w:rsidDel="00000000" w:rsidR="00000000" w:rsidRPr="00000000">
        <w:rPr>
          <w:color w:val="1d1c1d"/>
          <w:sz w:val="22"/>
          <w:szCs w:val="22"/>
          <w:vertAlign w:val="superscript"/>
        </w:rPr>
        <w:footnoteReference w:customMarkFollows="0" w:id="6"/>
      </w:r>
      <w:r w:rsidDel="00000000" w:rsidR="00000000" w:rsidRPr="00000000">
        <w:rPr>
          <w:color w:val="1d1c1d"/>
          <w:sz w:val="22"/>
          <w:szCs w:val="22"/>
          <w:rtl w:val="0"/>
        </w:rPr>
        <w:t xml:space="preserve">, and the Convention on the Rights of Persons with Disabilities.</w:t>
      </w:r>
      <w:r w:rsidDel="00000000" w:rsidR="00000000" w:rsidRPr="00000000">
        <w:rPr>
          <w:color w:val="1d1c1d"/>
          <w:sz w:val="22"/>
          <w:szCs w:val="22"/>
          <w:vertAlign w:val="superscript"/>
        </w:rPr>
        <w:footnoteReference w:customMarkFollows="0" w:id="7"/>
      </w:r>
      <w:r w:rsidDel="00000000" w:rsidR="00000000" w:rsidRPr="00000000">
        <w:rPr>
          <w:color w:val="1d1c1d"/>
          <w:sz w:val="22"/>
          <w:szCs w:val="22"/>
          <w:rtl w:val="0"/>
        </w:rPr>
        <w:t xml:space="preserve"> The right to food is also recognized in regional instruments including the Protocol of San Salvador,</w:t>
      </w:r>
      <w:r w:rsidDel="00000000" w:rsidR="00000000" w:rsidRPr="00000000">
        <w:rPr>
          <w:color w:val="1d1c1d"/>
          <w:sz w:val="22"/>
          <w:szCs w:val="22"/>
          <w:vertAlign w:val="superscript"/>
        </w:rPr>
        <w:footnoteReference w:customMarkFollows="0" w:id="8"/>
      </w:r>
      <w:r w:rsidDel="00000000" w:rsidR="00000000" w:rsidRPr="00000000">
        <w:rPr>
          <w:color w:val="1d1c1d"/>
          <w:sz w:val="22"/>
          <w:szCs w:val="22"/>
          <w:rtl w:val="0"/>
        </w:rPr>
        <w:t xml:space="preserve"> the African Charter on the Rights and Welfare of the Child,</w:t>
      </w:r>
      <w:r w:rsidDel="00000000" w:rsidR="00000000" w:rsidRPr="00000000">
        <w:rPr>
          <w:color w:val="1d1c1d"/>
          <w:sz w:val="22"/>
          <w:szCs w:val="22"/>
          <w:vertAlign w:val="superscript"/>
        </w:rPr>
        <w:footnoteReference w:customMarkFollows="0" w:id="9"/>
      </w:r>
      <w:r w:rsidDel="00000000" w:rsidR="00000000" w:rsidRPr="00000000">
        <w:rPr>
          <w:color w:val="1d1c1d"/>
          <w:sz w:val="22"/>
          <w:szCs w:val="22"/>
          <w:rtl w:val="0"/>
        </w:rPr>
        <w:t xml:space="preserve"> and the Protocol to the African Charter on Human and Peoples’ Rights on the Rights of Women in Africa.</w:t>
      </w:r>
      <w:r w:rsidDel="00000000" w:rsidR="00000000" w:rsidRPr="00000000">
        <w:rPr>
          <w:color w:val="1d1c1d"/>
          <w:sz w:val="22"/>
          <w:szCs w:val="22"/>
          <w:vertAlign w:val="superscript"/>
        </w:rPr>
        <w:footnoteReference w:customMarkFollows="0" w:id="10"/>
      </w:r>
      <w:r w:rsidDel="00000000" w:rsidR="00000000" w:rsidRPr="00000000">
        <w:rPr>
          <w:color w:val="1d1c1d"/>
          <w:sz w:val="22"/>
          <w:szCs w:val="22"/>
          <w:rtl w:val="0"/>
        </w:rPr>
        <w:t xml:space="preserve"> </w:t>
      </w:r>
    </w:p>
    <w:p w:rsidR="00000000" w:rsidDel="00000000" w:rsidP="00000000" w:rsidRDefault="00000000" w:rsidRPr="00000000" w14:paraId="00000012">
      <w:pPr>
        <w:rPr>
          <w:color w:val="1d1c1d"/>
          <w:sz w:val="22"/>
          <w:szCs w:val="22"/>
        </w:rPr>
      </w:pPr>
      <w:r w:rsidDel="00000000" w:rsidR="00000000" w:rsidRPr="00000000">
        <w:rPr>
          <w:rtl w:val="0"/>
        </w:rPr>
      </w:r>
    </w:p>
    <w:p w:rsidR="00000000" w:rsidDel="00000000" w:rsidP="00000000" w:rsidRDefault="00000000" w:rsidRPr="00000000" w14:paraId="00000013">
      <w:pPr>
        <w:rPr>
          <w:color w:val="1d1c1d"/>
          <w:sz w:val="22"/>
          <w:szCs w:val="22"/>
        </w:rPr>
      </w:pPr>
      <w:r w:rsidDel="00000000" w:rsidR="00000000" w:rsidRPr="00000000">
        <w:rPr>
          <w:color w:val="1d1c1d"/>
          <w:sz w:val="22"/>
          <w:szCs w:val="22"/>
          <w:rtl w:val="0"/>
        </w:rPr>
        <w:t xml:space="preserve">The right to food is reflected in SDG 2, on ending hunger and ensuring access by all people to safe, nutritious and sufficient food; SDG 3, on ensuring health; and SDG 5, on achieving gender equality.</w:t>
      </w:r>
      <w:r w:rsidDel="00000000" w:rsidR="00000000" w:rsidRPr="00000000">
        <w:rPr>
          <w:color w:val="1d1c1d"/>
          <w:sz w:val="22"/>
          <w:szCs w:val="22"/>
          <w:vertAlign w:val="superscript"/>
        </w:rPr>
        <w:footnoteReference w:customMarkFollows="0" w:id="11"/>
      </w:r>
      <w:r w:rsidDel="00000000" w:rsidR="00000000" w:rsidRPr="00000000">
        <w:rPr>
          <w:color w:val="1d1c1d"/>
          <w:sz w:val="22"/>
          <w:szCs w:val="22"/>
          <w:rtl w:val="0"/>
        </w:rPr>
        <w:t xml:space="preserve"> All SDGs can only be achieved if no one is left behind, so States must include LGBTIQ people in their implementation.</w:t>
      </w:r>
      <w:r w:rsidDel="00000000" w:rsidR="00000000" w:rsidRPr="00000000">
        <w:rPr>
          <w:color w:val="1d1c1d"/>
          <w:sz w:val="22"/>
          <w:szCs w:val="22"/>
          <w:vertAlign w:val="superscript"/>
        </w:rPr>
        <w:footnoteReference w:customMarkFollows="0" w:id="12"/>
      </w:r>
      <w:r w:rsidDel="00000000" w:rsidR="00000000" w:rsidRPr="00000000">
        <w:rPr>
          <w:rtl w:val="0"/>
        </w:rPr>
      </w:r>
    </w:p>
    <w:p w:rsidR="00000000" w:rsidDel="00000000" w:rsidP="00000000" w:rsidRDefault="00000000" w:rsidRPr="00000000" w14:paraId="00000014">
      <w:pPr>
        <w:rPr>
          <w:color w:val="1d1c1d"/>
          <w:sz w:val="22"/>
          <w:szCs w:val="22"/>
        </w:rPr>
      </w:pPr>
      <w:r w:rsidDel="00000000" w:rsidR="00000000" w:rsidRPr="00000000">
        <w:rPr>
          <w:rtl w:val="0"/>
        </w:rPr>
      </w:r>
    </w:p>
    <w:p w:rsidR="00000000" w:rsidDel="00000000" w:rsidP="00000000" w:rsidRDefault="00000000" w:rsidRPr="00000000" w14:paraId="00000015">
      <w:pPr>
        <w:rPr>
          <w:color w:val="1d1c1d"/>
          <w:sz w:val="22"/>
          <w:szCs w:val="22"/>
        </w:rPr>
      </w:pPr>
      <w:r w:rsidDel="00000000" w:rsidR="00000000" w:rsidRPr="00000000">
        <w:rPr>
          <w:rtl w:val="0"/>
        </w:rPr>
      </w:r>
    </w:p>
    <w:p w:rsidR="00000000" w:rsidDel="00000000" w:rsidP="00000000" w:rsidRDefault="00000000" w:rsidRPr="00000000" w14:paraId="00000016">
      <w:pPr>
        <w:rPr>
          <w:color w:val="1d1c1d"/>
          <w:sz w:val="22"/>
          <w:szCs w:val="22"/>
        </w:rPr>
      </w:pPr>
      <w:r w:rsidDel="00000000" w:rsidR="00000000" w:rsidRPr="00000000">
        <w:rPr>
          <w:rtl w:val="0"/>
        </w:rPr>
      </w:r>
    </w:p>
    <w:p w:rsidR="00000000" w:rsidDel="00000000" w:rsidP="00000000" w:rsidRDefault="00000000" w:rsidRPr="00000000" w14:paraId="00000017">
      <w:pPr>
        <w:rPr>
          <w:color w:val="1d1c1d"/>
          <w:sz w:val="22"/>
          <w:szCs w:val="22"/>
        </w:rPr>
      </w:pPr>
      <w:r w:rsidDel="00000000" w:rsidR="00000000" w:rsidRPr="00000000">
        <w:rPr>
          <w:rtl w:val="0"/>
        </w:rPr>
      </w:r>
    </w:p>
    <w:p w:rsidR="00000000" w:rsidDel="00000000" w:rsidP="00000000" w:rsidRDefault="00000000" w:rsidRPr="00000000" w14:paraId="00000018">
      <w:pPr>
        <w:rPr>
          <w:color w:val="1d1c1d"/>
          <w:sz w:val="22"/>
          <w:szCs w:val="22"/>
          <w:u w:val="single"/>
        </w:rPr>
      </w:pPr>
      <w:r w:rsidDel="00000000" w:rsidR="00000000" w:rsidRPr="00000000">
        <w:rPr>
          <w:color w:val="1d1c1d"/>
          <w:sz w:val="22"/>
          <w:szCs w:val="22"/>
          <w:u w:val="single"/>
          <w:rtl w:val="0"/>
        </w:rPr>
        <w:t xml:space="preserve">III. Structural Barriers to Food for LGBTIQ People During Crisis</w:t>
      </w:r>
    </w:p>
    <w:p w:rsidR="00000000" w:rsidDel="00000000" w:rsidP="00000000" w:rsidRDefault="00000000" w:rsidRPr="00000000" w14:paraId="00000019">
      <w:pPr>
        <w:rPr>
          <w:color w:val="1d1c1d"/>
          <w:sz w:val="22"/>
          <w:szCs w:val="22"/>
        </w:rPr>
      </w:pPr>
      <w:r w:rsidDel="00000000" w:rsidR="00000000" w:rsidRPr="00000000">
        <w:rPr>
          <w:rtl w:val="0"/>
        </w:rPr>
      </w:r>
    </w:p>
    <w:p w:rsidR="00000000" w:rsidDel="00000000" w:rsidP="00000000" w:rsidRDefault="00000000" w:rsidRPr="00000000" w14:paraId="0000001A">
      <w:pPr>
        <w:rPr>
          <w:color w:val="1d1c1d"/>
          <w:sz w:val="22"/>
          <w:szCs w:val="22"/>
        </w:rPr>
      </w:pPr>
      <w:r w:rsidDel="00000000" w:rsidR="00000000" w:rsidRPr="00000000">
        <w:rPr>
          <w:color w:val="1d1c1d"/>
          <w:sz w:val="22"/>
          <w:szCs w:val="22"/>
          <w:rtl w:val="0"/>
        </w:rPr>
        <w:t xml:space="preserve">LGBTIQ people face structural barriers to food access, including discrimination by service providers, lack of family and community support, and stigma and fear.</w:t>
      </w:r>
      <w:r w:rsidDel="00000000" w:rsidR="00000000" w:rsidRPr="00000000">
        <w:rPr>
          <w:color w:val="1d1c1d"/>
          <w:sz w:val="22"/>
          <w:szCs w:val="22"/>
          <w:vertAlign w:val="superscript"/>
        </w:rPr>
        <w:footnoteReference w:customMarkFollows="0" w:id="13"/>
      </w:r>
      <w:r w:rsidDel="00000000" w:rsidR="00000000" w:rsidRPr="00000000">
        <w:rPr>
          <w:color w:val="1d1c1d"/>
          <w:sz w:val="22"/>
          <w:szCs w:val="22"/>
          <w:rtl w:val="0"/>
        </w:rPr>
        <w:t xml:space="preserve"> These pre-existing challenges are exacerbated during crisis, as clearly evidenced during the COVID-19 pandemic. </w:t>
      </w:r>
    </w:p>
    <w:p w:rsidR="00000000" w:rsidDel="00000000" w:rsidP="00000000" w:rsidRDefault="00000000" w:rsidRPr="00000000" w14:paraId="0000001B">
      <w:pPr>
        <w:rPr>
          <w:color w:val="1d1c1d"/>
          <w:sz w:val="22"/>
          <w:szCs w:val="22"/>
        </w:rPr>
      </w:pPr>
      <w:r w:rsidDel="00000000" w:rsidR="00000000" w:rsidRPr="00000000">
        <w:rPr>
          <w:rtl w:val="0"/>
        </w:rPr>
      </w:r>
    </w:p>
    <w:p w:rsidR="00000000" w:rsidDel="00000000" w:rsidP="00000000" w:rsidRDefault="00000000" w:rsidRPr="00000000" w14:paraId="0000001C">
      <w:pPr>
        <w:rPr>
          <w:color w:val="1d1c1d"/>
          <w:sz w:val="22"/>
          <w:szCs w:val="22"/>
          <w:vertAlign w:val="superscript"/>
        </w:rPr>
      </w:pPr>
      <w:r w:rsidDel="00000000" w:rsidR="00000000" w:rsidRPr="00000000">
        <w:rPr>
          <w:color w:val="1d1c1d"/>
          <w:sz w:val="22"/>
          <w:szCs w:val="22"/>
          <w:rtl w:val="0"/>
        </w:rPr>
        <w:t xml:space="preserve">Outright International conducted interviews with LGBTIQ individuals across 5 regions during the first months of the COVID-19 pandemic. These interviews revealed that LGBTIQ people were not receiving adeq</w:t>
      </w:r>
      <w:r w:rsidDel="00000000" w:rsidR="00000000" w:rsidRPr="00000000">
        <w:rPr>
          <w:color w:val="1d1c1d"/>
          <w:sz w:val="22"/>
          <w:szCs w:val="22"/>
          <w:rtl w:val="0"/>
        </w:rPr>
        <w:t xml:space="preserve">uate food assistance.</w:t>
      </w:r>
      <w:r w:rsidDel="00000000" w:rsidR="00000000" w:rsidRPr="00000000">
        <w:rPr>
          <w:color w:val="1d1c1d"/>
          <w:sz w:val="22"/>
          <w:szCs w:val="22"/>
          <w:vertAlign w:val="superscript"/>
        </w:rPr>
        <w:footnoteReference w:customMarkFollows="0" w:id="14"/>
      </w:r>
      <w:r w:rsidDel="00000000" w:rsidR="00000000" w:rsidRPr="00000000">
        <w:rPr>
          <w:color w:val="1d1c1d"/>
          <w:sz w:val="22"/>
          <w:szCs w:val="22"/>
          <w:vertAlign w:val="superscript"/>
          <w:rtl w:val="0"/>
        </w:rPr>
        <w:t xml:space="preserve">  </w:t>
      </w:r>
    </w:p>
    <w:p w:rsidR="00000000" w:rsidDel="00000000" w:rsidP="00000000" w:rsidRDefault="00000000" w:rsidRPr="00000000" w14:paraId="0000001D">
      <w:pPr>
        <w:rPr>
          <w:color w:val="1d1c1d"/>
          <w:sz w:val="22"/>
          <w:szCs w:val="22"/>
        </w:rPr>
      </w:pPr>
      <w:r w:rsidDel="00000000" w:rsidR="00000000" w:rsidRPr="00000000">
        <w:rPr>
          <w:rtl w:val="0"/>
        </w:rPr>
      </w:r>
    </w:p>
    <w:p w:rsidR="00000000" w:rsidDel="00000000" w:rsidP="00000000" w:rsidRDefault="00000000" w:rsidRPr="00000000" w14:paraId="0000001E">
      <w:pPr>
        <w:rPr>
          <w:color w:val="1d1c1d"/>
          <w:sz w:val="22"/>
          <w:szCs w:val="22"/>
        </w:rPr>
      </w:pPr>
      <w:r w:rsidDel="00000000" w:rsidR="00000000" w:rsidRPr="00000000">
        <w:rPr>
          <w:color w:val="1d1c1d"/>
          <w:sz w:val="22"/>
          <w:szCs w:val="22"/>
          <w:rtl w:val="0"/>
        </w:rPr>
        <w:t xml:space="preserve">Examples of the ways in which LGBTIQ people were excluded from food assistance include: </w:t>
      </w:r>
    </w:p>
    <w:p w:rsidR="00000000" w:rsidDel="00000000" w:rsidP="00000000" w:rsidRDefault="00000000" w:rsidRPr="00000000" w14:paraId="0000001F">
      <w:pPr>
        <w:rPr>
          <w:color w:val="1d1c1d"/>
          <w:sz w:val="22"/>
          <w:szCs w:val="22"/>
        </w:rPr>
      </w:pPr>
      <w:r w:rsidDel="00000000" w:rsidR="00000000" w:rsidRPr="00000000">
        <w:rPr>
          <w:rtl w:val="0"/>
        </w:rPr>
      </w:r>
    </w:p>
    <w:p w:rsidR="00000000" w:rsidDel="00000000" w:rsidP="00000000" w:rsidRDefault="00000000" w:rsidRPr="00000000" w14:paraId="00000020">
      <w:pPr>
        <w:numPr>
          <w:ilvl w:val="0"/>
          <w:numId w:val="3"/>
        </w:numPr>
        <w:ind w:left="720" w:hanging="360"/>
        <w:rPr>
          <w:color w:val="1d1c1d"/>
          <w:sz w:val="22"/>
          <w:szCs w:val="22"/>
        </w:rPr>
      </w:pPr>
      <w:r w:rsidDel="00000000" w:rsidR="00000000" w:rsidRPr="00000000">
        <w:rPr>
          <w:color w:val="1d1c1d"/>
          <w:sz w:val="22"/>
          <w:szCs w:val="22"/>
          <w:rtl w:val="0"/>
        </w:rPr>
        <w:t xml:space="preserve">In Panama and parts of Colombia and Peru, officials mandated separate food shopping days for men and women.</w:t>
      </w:r>
      <w:r w:rsidDel="00000000" w:rsidR="00000000" w:rsidRPr="00000000">
        <w:rPr>
          <w:color w:val="1d1c1d"/>
          <w:sz w:val="22"/>
          <w:szCs w:val="22"/>
          <w:vertAlign w:val="superscript"/>
        </w:rPr>
        <w:footnoteReference w:customMarkFollows="0" w:id="15"/>
      </w:r>
      <w:r w:rsidDel="00000000" w:rsidR="00000000" w:rsidRPr="00000000">
        <w:rPr>
          <w:color w:val="1d1c1d"/>
          <w:sz w:val="22"/>
          <w:szCs w:val="22"/>
          <w:vertAlign w:val="superscript"/>
          <w:rtl w:val="0"/>
        </w:rPr>
        <w:t xml:space="preserve">  </w:t>
      </w:r>
      <w:r w:rsidDel="00000000" w:rsidR="00000000" w:rsidRPr="00000000">
        <w:rPr>
          <w:color w:val="1d1c1d"/>
          <w:sz w:val="22"/>
          <w:szCs w:val="22"/>
          <w:rtl w:val="0"/>
        </w:rPr>
        <w:t xml:space="preserve">These policies led to abuse and arrest of transgender and non-binary people perceived to be violating mandates.</w:t>
      </w:r>
      <w:r w:rsidDel="00000000" w:rsidR="00000000" w:rsidRPr="00000000">
        <w:rPr>
          <w:color w:val="1d1c1d"/>
          <w:sz w:val="22"/>
          <w:szCs w:val="22"/>
          <w:vertAlign w:val="superscript"/>
        </w:rPr>
        <w:footnoteReference w:customMarkFollows="0" w:id="16"/>
      </w:r>
      <w:r w:rsidDel="00000000" w:rsidR="00000000" w:rsidRPr="00000000">
        <w:rPr>
          <w:rtl w:val="0"/>
        </w:rPr>
      </w:r>
    </w:p>
    <w:p w:rsidR="00000000" w:rsidDel="00000000" w:rsidP="00000000" w:rsidRDefault="00000000" w:rsidRPr="00000000" w14:paraId="00000021">
      <w:pPr>
        <w:numPr>
          <w:ilvl w:val="0"/>
          <w:numId w:val="3"/>
        </w:numPr>
        <w:ind w:left="720" w:hanging="360"/>
        <w:rPr>
          <w:color w:val="1d1c1d"/>
          <w:sz w:val="22"/>
          <w:szCs w:val="22"/>
        </w:rPr>
      </w:pPr>
      <w:r w:rsidDel="00000000" w:rsidR="00000000" w:rsidRPr="00000000">
        <w:rPr>
          <w:color w:val="1d1c1d"/>
          <w:sz w:val="22"/>
          <w:szCs w:val="22"/>
          <w:rtl w:val="0"/>
        </w:rPr>
        <w:t xml:space="preserve">In the Philippines, two lesbian interviewees said that Barangay (district) officials denied them food assistance because their relationships did not fit a narrow definition of “family.” One was told she and her partner were ineligible to receive food packs unlike similarly situated heterosexual couples.</w:t>
      </w:r>
      <w:r w:rsidDel="00000000" w:rsidR="00000000" w:rsidRPr="00000000">
        <w:rPr>
          <w:color w:val="1d1c1d"/>
          <w:sz w:val="22"/>
          <w:szCs w:val="22"/>
          <w:vertAlign w:val="superscript"/>
        </w:rPr>
        <w:footnoteReference w:customMarkFollows="0" w:id="17"/>
      </w:r>
      <w:r w:rsidDel="00000000" w:rsidR="00000000" w:rsidRPr="00000000">
        <w:rPr>
          <w:color w:val="1d1c1d"/>
          <w:sz w:val="22"/>
          <w:szCs w:val="22"/>
          <w:rtl w:val="0"/>
        </w:rPr>
        <w:t xml:space="preserve"> The other was told she could not have food because she did not have a husband or child.</w:t>
      </w:r>
      <w:r w:rsidDel="00000000" w:rsidR="00000000" w:rsidRPr="00000000">
        <w:rPr>
          <w:color w:val="1d1c1d"/>
          <w:sz w:val="22"/>
          <w:szCs w:val="22"/>
          <w:vertAlign w:val="superscript"/>
        </w:rPr>
        <w:footnoteReference w:customMarkFollows="0" w:id="18"/>
      </w:r>
      <w:r w:rsidDel="00000000" w:rsidR="00000000" w:rsidRPr="00000000">
        <w:rPr>
          <w:rtl w:val="0"/>
        </w:rPr>
      </w:r>
    </w:p>
    <w:p w:rsidR="00000000" w:rsidDel="00000000" w:rsidP="00000000" w:rsidRDefault="00000000" w:rsidRPr="00000000" w14:paraId="00000022">
      <w:pPr>
        <w:numPr>
          <w:ilvl w:val="0"/>
          <w:numId w:val="3"/>
        </w:numPr>
        <w:ind w:left="720" w:hanging="360"/>
        <w:rPr>
          <w:color w:val="1d1c1d"/>
          <w:sz w:val="22"/>
          <w:szCs w:val="22"/>
        </w:rPr>
      </w:pPr>
      <w:r w:rsidDel="00000000" w:rsidR="00000000" w:rsidRPr="00000000">
        <w:rPr>
          <w:color w:val="1d1c1d"/>
          <w:sz w:val="22"/>
          <w:szCs w:val="22"/>
          <w:rtl w:val="0"/>
        </w:rPr>
        <w:t xml:space="preserve">Due to workplace discrimination and social exclusion, LGBTIQ people are disproportionately represented in the informal work sector and experience high rates of poverty.</w:t>
      </w:r>
      <w:r w:rsidDel="00000000" w:rsidR="00000000" w:rsidRPr="00000000">
        <w:rPr>
          <w:color w:val="1d1c1d"/>
          <w:sz w:val="22"/>
          <w:szCs w:val="22"/>
          <w:vertAlign w:val="superscript"/>
        </w:rPr>
        <w:footnoteReference w:customMarkFollows="0" w:id="19"/>
      </w:r>
      <w:r w:rsidDel="00000000" w:rsidR="00000000" w:rsidRPr="00000000">
        <w:rPr>
          <w:color w:val="1d1c1d"/>
          <w:sz w:val="22"/>
          <w:szCs w:val="22"/>
          <w:rtl w:val="0"/>
        </w:rPr>
        <w:t xml:space="preserve"> Therefore, the economic impact of COVID-19 led to food insecurity among many LGBTIQ people. One applicant to Outright’s COVID-19 fund said ongoing hunger experienced by LGBTIQ people was leading to a rise in suicide rates.</w:t>
      </w:r>
      <w:r w:rsidDel="00000000" w:rsidR="00000000" w:rsidRPr="00000000">
        <w:rPr>
          <w:color w:val="1d1c1d"/>
          <w:sz w:val="22"/>
          <w:szCs w:val="22"/>
          <w:vertAlign w:val="superscript"/>
        </w:rPr>
        <w:footnoteReference w:customMarkFollows="0" w:id="20"/>
      </w:r>
      <w:r w:rsidDel="00000000" w:rsidR="00000000" w:rsidRPr="00000000">
        <w:rPr>
          <w:color w:val="1d1c1d"/>
          <w:sz w:val="22"/>
          <w:szCs w:val="22"/>
          <w:rtl w:val="0"/>
        </w:rPr>
        <w:t xml:space="preserve"> A St. Lucia-based grantee told Outright about a beneficiary living with HIV who was unable to afford both food and HIV medicine, and had gone hungry.</w:t>
      </w:r>
      <w:r w:rsidDel="00000000" w:rsidR="00000000" w:rsidRPr="00000000">
        <w:rPr>
          <w:color w:val="1d1c1d"/>
          <w:sz w:val="22"/>
          <w:szCs w:val="22"/>
          <w:vertAlign w:val="superscript"/>
        </w:rPr>
        <w:footnoteReference w:customMarkFollows="0" w:id="21"/>
      </w:r>
      <w:r w:rsidDel="00000000" w:rsidR="00000000" w:rsidRPr="00000000">
        <w:rPr>
          <w:rtl w:val="0"/>
        </w:rPr>
      </w:r>
    </w:p>
    <w:p w:rsidR="00000000" w:rsidDel="00000000" w:rsidP="00000000" w:rsidRDefault="00000000" w:rsidRPr="00000000" w14:paraId="00000023">
      <w:pPr>
        <w:numPr>
          <w:ilvl w:val="0"/>
          <w:numId w:val="3"/>
        </w:numPr>
        <w:ind w:left="720" w:hanging="360"/>
        <w:jc w:val="both"/>
        <w:rPr>
          <w:color w:val="1d1c1d"/>
          <w:sz w:val="22"/>
          <w:szCs w:val="22"/>
        </w:rPr>
      </w:pPr>
      <w:r w:rsidDel="00000000" w:rsidR="00000000" w:rsidRPr="00000000">
        <w:rPr>
          <w:color w:val="1d1c1d"/>
          <w:sz w:val="22"/>
          <w:szCs w:val="22"/>
          <w:rtl w:val="0"/>
        </w:rPr>
        <w:t xml:space="preserve">Discrimination in service delivery contributes to food insecurity. According to UNAIDS, Sanggar Swara, an Indonesian organisation for transgender women, reported that in some cases transgender women were denied food aid due to their gender identity</w:t>
      </w:r>
      <w:r w:rsidDel="00000000" w:rsidR="00000000" w:rsidRPr="00000000">
        <w:rPr>
          <w:color w:val="1d1c1d"/>
          <w:sz w:val="22"/>
          <w:szCs w:val="22"/>
          <w:rtl w:val="0"/>
        </w:rPr>
        <w:t xml:space="preserve">.</w:t>
      </w:r>
      <w:r w:rsidDel="00000000" w:rsidR="00000000" w:rsidRPr="00000000">
        <w:rPr>
          <w:color w:val="1d1c1d"/>
          <w:sz w:val="22"/>
          <w:szCs w:val="22"/>
          <w:vertAlign w:val="superscript"/>
        </w:rPr>
        <w:footnoteReference w:customMarkFollows="0" w:id="22"/>
      </w:r>
      <w:r w:rsidDel="00000000" w:rsidR="00000000" w:rsidRPr="00000000">
        <w:rPr>
          <w:rtl w:val="0"/>
        </w:rPr>
      </w:r>
    </w:p>
    <w:p w:rsidR="00000000" w:rsidDel="00000000" w:rsidP="00000000" w:rsidRDefault="00000000" w:rsidRPr="00000000" w14:paraId="00000024">
      <w:pPr>
        <w:numPr>
          <w:ilvl w:val="0"/>
          <w:numId w:val="3"/>
        </w:numPr>
        <w:ind w:left="720" w:hanging="360"/>
        <w:rPr>
          <w:rFonts w:ascii="Calibri" w:cs="Calibri" w:eastAsia="Calibri" w:hAnsi="Calibri"/>
          <w:color w:val="1d1c1d"/>
          <w:sz w:val="22"/>
          <w:szCs w:val="22"/>
        </w:rPr>
      </w:pPr>
      <w:r w:rsidDel="00000000" w:rsidR="00000000" w:rsidRPr="00000000">
        <w:rPr>
          <w:color w:val="1d1c1d"/>
          <w:sz w:val="22"/>
          <w:szCs w:val="22"/>
          <w:rtl w:val="0"/>
        </w:rPr>
        <w:t xml:space="preserve">Provision of aid from locations that have historically been unsafe for LGBTIQ people further restricts food access. An activist from Sri Lanka described how police stations were giving out food rations. However, some LGBTIQ people did not feel safe going to the police, so could not access food.</w:t>
      </w:r>
      <w:r w:rsidDel="00000000" w:rsidR="00000000" w:rsidRPr="00000000">
        <w:rPr>
          <w:color w:val="1d1c1d"/>
          <w:sz w:val="22"/>
          <w:szCs w:val="22"/>
          <w:vertAlign w:val="superscript"/>
        </w:rPr>
        <w:footnoteReference w:customMarkFollows="0" w:id="23"/>
      </w:r>
      <w:r w:rsidDel="00000000" w:rsidR="00000000" w:rsidRPr="00000000">
        <w:rPr>
          <w:b w:val="1"/>
          <w:color w:val="1d1c1d"/>
          <w:sz w:val="22"/>
          <w:szCs w:val="22"/>
          <w:rtl w:val="0"/>
        </w:rPr>
        <w:t xml:space="preserve"> </w:t>
      </w:r>
    </w:p>
    <w:p w:rsidR="00000000" w:rsidDel="00000000" w:rsidP="00000000" w:rsidRDefault="00000000" w:rsidRPr="00000000" w14:paraId="00000025">
      <w:pPr>
        <w:rPr>
          <w:b w:val="1"/>
          <w:color w:val="1d1c1d"/>
          <w:sz w:val="22"/>
          <w:szCs w:val="22"/>
        </w:rPr>
      </w:pPr>
      <w:r w:rsidDel="00000000" w:rsidR="00000000" w:rsidRPr="00000000">
        <w:rPr>
          <w:rtl w:val="0"/>
        </w:rPr>
      </w:r>
    </w:p>
    <w:p w:rsidR="00000000" w:rsidDel="00000000" w:rsidP="00000000" w:rsidRDefault="00000000" w:rsidRPr="00000000" w14:paraId="00000026">
      <w:pPr>
        <w:rPr>
          <w:b w:val="1"/>
          <w:color w:val="1d1c1d"/>
          <w:sz w:val="22"/>
          <w:szCs w:val="22"/>
        </w:rPr>
      </w:pPr>
      <w:r w:rsidDel="00000000" w:rsidR="00000000" w:rsidRPr="00000000">
        <w:rPr>
          <w:color w:val="1d1c1d"/>
          <w:sz w:val="22"/>
          <w:szCs w:val="22"/>
          <w:rtl w:val="0"/>
        </w:rPr>
        <w:t xml:space="preserve">Outright mobilized to make support available for LGBTIQ people by launching the COVID-19 Global LGBTIQ Emergency Fund, which provided grants for LGBTIQ individuals and organizations. When Outright began receiving applications, 55% of applicants requested food assistance.</w:t>
      </w:r>
      <w:r w:rsidDel="00000000" w:rsidR="00000000" w:rsidRPr="00000000">
        <w:rPr>
          <w:color w:val="1d1c1d"/>
          <w:sz w:val="22"/>
          <w:szCs w:val="22"/>
          <w:vertAlign w:val="superscript"/>
        </w:rPr>
        <w:footnoteReference w:customMarkFollows="0" w:id="24"/>
      </w:r>
      <w:r w:rsidDel="00000000" w:rsidR="00000000" w:rsidRPr="00000000">
        <w:rPr>
          <w:color w:val="1d1c1d"/>
          <w:sz w:val="22"/>
          <w:szCs w:val="22"/>
          <w:rtl w:val="0"/>
        </w:rPr>
        <w:t xml:space="preserve"> A year later, 21% of applicants still requested funds for food.</w:t>
      </w:r>
      <w:r w:rsidDel="00000000" w:rsidR="00000000" w:rsidRPr="00000000">
        <w:rPr>
          <w:color w:val="1d1c1d"/>
          <w:sz w:val="22"/>
          <w:szCs w:val="22"/>
          <w:vertAlign w:val="superscript"/>
        </w:rPr>
        <w:footnoteReference w:customMarkFollows="0" w:id="25"/>
      </w:r>
      <w:r w:rsidDel="00000000" w:rsidR="00000000" w:rsidRPr="00000000">
        <w:rPr>
          <w:color w:val="1d1c1d"/>
          <w:sz w:val="22"/>
          <w:szCs w:val="22"/>
          <w:rtl w:val="0"/>
        </w:rPr>
        <w:t xml:space="preserve">  These high numbers are </w:t>
      </w:r>
      <w:r w:rsidDel="00000000" w:rsidR="00000000" w:rsidRPr="00000000">
        <w:rPr>
          <w:color w:val="1d1c1d"/>
          <w:sz w:val="22"/>
          <w:szCs w:val="22"/>
          <w:rtl w:val="0"/>
        </w:rPr>
        <w:t xml:space="preserve">perhaps</w:t>
      </w:r>
      <w:r w:rsidDel="00000000" w:rsidR="00000000" w:rsidRPr="00000000">
        <w:rPr>
          <w:color w:val="1d1c1d"/>
          <w:sz w:val="22"/>
          <w:szCs w:val="22"/>
          <w:rtl w:val="0"/>
        </w:rPr>
        <w:t xml:space="preserve"> a reflection of discriminatory policies which hamper access to food. Policies related to binary definitions of gender, narrow conceptions of “family,” workplace discrimination and social exclusion, and discriminatory service provision created inequitable access to food for LGBTIQ people. </w:t>
      </w:r>
      <w:r w:rsidDel="00000000" w:rsidR="00000000" w:rsidRPr="00000000">
        <w:rPr>
          <w:rtl w:val="0"/>
        </w:rPr>
      </w:r>
    </w:p>
    <w:p w:rsidR="00000000" w:rsidDel="00000000" w:rsidP="00000000" w:rsidRDefault="00000000" w:rsidRPr="00000000" w14:paraId="00000027">
      <w:pPr>
        <w:ind w:left="0" w:firstLine="0"/>
        <w:rPr>
          <w:b w:val="1"/>
          <w:color w:val="1d1c1d"/>
          <w:sz w:val="22"/>
          <w:szCs w:val="22"/>
        </w:rPr>
      </w:pPr>
      <w:r w:rsidDel="00000000" w:rsidR="00000000" w:rsidRPr="00000000">
        <w:rPr>
          <w:rtl w:val="0"/>
        </w:rPr>
      </w:r>
    </w:p>
    <w:p w:rsidR="00000000" w:rsidDel="00000000" w:rsidP="00000000" w:rsidRDefault="00000000" w:rsidRPr="00000000" w14:paraId="00000028">
      <w:pPr>
        <w:rPr>
          <w:sz w:val="22"/>
          <w:szCs w:val="22"/>
          <w:vertAlign w:val="superscript"/>
        </w:rPr>
      </w:pPr>
      <w:r w:rsidDel="00000000" w:rsidR="00000000" w:rsidRPr="00000000">
        <w:rPr>
          <w:sz w:val="22"/>
          <w:szCs w:val="22"/>
          <w:rtl w:val="0"/>
        </w:rPr>
        <w:t xml:space="preserve">Resourcing LGBTIQ communities in crisis, both with food and direct assistance, can help alleviate violations of the right to food and health. By delivering monetary assistance directly to LGBTIQ people, Outright was able to reduce hunger experienced by this population.</w:t>
      </w:r>
      <w:r w:rsidDel="00000000" w:rsidR="00000000" w:rsidRPr="00000000">
        <w:rPr>
          <w:sz w:val="22"/>
          <w:szCs w:val="22"/>
          <w:vertAlign w:val="superscript"/>
        </w:rPr>
        <w:footnoteReference w:customMarkFollows="0" w:id="26"/>
      </w:r>
      <w:r w:rsidDel="00000000" w:rsidR="00000000" w:rsidRPr="00000000">
        <w:rPr>
          <w:sz w:val="22"/>
          <w:szCs w:val="22"/>
          <w:vertAlign w:val="superscript"/>
          <w:rtl w:val="0"/>
        </w:rPr>
        <w:t xml:space="preserve"> </w:t>
      </w:r>
      <w:r w:rsidDel="00000000" w:rsidR="00000000" w:rsidRPr="00000000">
        <w:rPr>
          <w:sz w:val="22"/>
          <w:szCs w:val="22"/>
          <w:rtl w:val="0"/>
        </w:rPr>
        <w:t xml:space="preserve">Targeted</w:t>
      </w:r>
      <w:r w:rsidDel="00000000" w:rsidR="00000000" w:rsidRPr="00000000">
        <w:rPr>
          <w:sz w:val="22"/>
          <w:szCs w:val="22"/>
          <w:rtl w:val="0"/>
        </w:rPr>
        <w:t xml:space="preserve"> s</w:t>
      </w:r>
      <w:r w:rsidDel="00000000" w:rsidR="00000000" w:rsidRPr="00000000">
        <w:rPr>
          <w:sz w:val="22"/>
          <w:szCs w:val="22"/>
          <w:rtl w:val="0"/>
        </w:rPr>
        <w:t xml:space="preserve">upport for LGBTIQ people from local governments can also reduce violence in food systems, such as when the health minister in Kerala, India, </w:t>
      </w:r>
      <w:r w:rsidDel="00000000" w:rsidR="00000000" w:rsidRPr="00000000">
        <w:rPr>
          <w:sz w:val="22"/>
          <w:szCs w:val="22"/>
          <w:rtl w:val="0"/>
        </w:rPr>
        <w:t xml:space="preserve">specifically</w:t>
      </w:r>
      <w:r w:rsidDel="00000000" w:rsidR="00000000" w:rsidRPr="00000000">
        <w:rPr>
          <w:sz w:val="22"/>
          <w:szCs w:val="22"/>
          <w:rtl w:val="0"/>
        </w:rPr>
        <w:t xml:space="preserve"> sent food kits to 1000 transgender people during COVID-19.</w:t>
      </w:r>
      <w:r w:rsidDel="00000000" w:rsidR="00000000" w:rsidRPr="00000000">
        <w:rPr>
          <w:sz w:val="22"/>
          <w:szCs w:val="22"/>
          <w:vertAlign w:val="superscript"/>
        </w:rPr>
        <w:footnoteReference w:customMarkFollows="0" w:id="27"/>
      </w:r>
      <w:r w:rsidDel="00000000" w:rsidR="00000000" w:rsidRPr="00000000">
        <w:rPr>
          <w:rtl w:val="0"/>
        </w:rPr>
      </w:r>
    </w:p>
    <w:p w:rsidR="00000000" w:rsidDel="00000000" w:rsidP="00000000" w:rsidRDefault="00000000" w:rsidRPr="00000000" w14:paraId="00000029">
      <w:pPr>
        <w:rPr>
          <w:vertAlign w:val="superscript"/>
        </w:rPr>
      </w:pPr>
      <w:r w:rsidDel="00000000" w:rsidR="00000000" w:rsidRPr="00000000">
        <w:rPr>
          <w:rtl w:val="0"/>
        </w:rPr>
      </w:r>
    </w:p>
    <w:p w:rsidR="00000000" w:rsidDel="00000000" w:rsidP="00000000" w:rsidRDefault="00000000" w:rsidRPr="00000000" w14:paraId="0000002A">
      <w:pPr>
        <w:rPr>
          <w:color w:val="1d1c1d"/>
          <w:sz w:val="22"/>
          <w:szCs w:val="22"/>
          <w:u w:val="single"/>
        </w:rPr>
      </w:pPr>
      <w:r w:rsidDel="00000000" w:rsidR="00000000" w:rsidRPr="00000000">
        <w:rPr>
          <w:color w:val="1d1c1d"/>
          <w:sz w:val="22"/>
          <w:szCs w:val="22"/>
          <w:u w:val="single"/>
          <w:rtl w:val="0"/>
        </w:rPr>
        <w:t xml:space="preserve">IV. Recommendations: </w:t>
      </w:r>
    </w:p>
    <w:p w:rsidR="00000000" w:rsidDel="00000000" w:rsidP="00000000" w:rsidRDefault="00000000" w:rsidRPr="00000000" w14:paraId="0000002B">
      <w:pPr>
        <w:rPr>
          <w:color w:val="1d1c1d"/>
          <w:sz w:val="22"/>
          <w:szCs w:val="22"/>
        </w:rPr>
      </w:pPr>
      <w:r w:rsidDel="00000000" w:rsidR="00000000" w:rsidRPr="00000000">
        <w:rPr>
          <w:rtl w:val="0"/>
        </w:rPr>
      </w:r>
    </w:p>
    <w:p w:rsidR="00000000" w:rsidDel="00000000" w:rsidP="00000000" w:rsidRDefault="00000000" w:rsidRPr="00000000" w14:paraId="0000002C">
      <w:pPr>
        <w:rPr>
          <w:color w:val="1d1c1d"/>
          <w:sz w:val="22"/>
          <w:szCs w:val="22"/>
        </w:rPr>
      </w:pPr>
      <w:r w:rsidDel="00000000" w:rsidR="00000000" w:rsidRPr="00000000">
        <w:rPr>
          <w:color w:val="1d1c1d"/>
          <w:sz w:val="22"/>
          <w:szCs w:val="22"/>
          <w:rtl w:val="0"/>
        </w:rPr>
        <w:t xml:space="preserve">As stated above, LGBTIQ people are often excluded from the creation and access to food programs, and States and other stakeholders must take all measures to include all groups that are </w:t>
      </w:r>
      <w:r w:rsidDel="00000000" w:rsidR="00000000" w:rsidRPr="00000000">
        <w:rPr>
          <w:color w:val="1d1c1d"/>
          <w:sz w:val="22"/>
          <w:szCs w:val="22"/>
          <w:rtl w:val="0"/>
        </w:rPr>
        <w:t xml:space="preserve">marginalized</w:t>
      </w:r>
      <w:r w:rsidDel="00000000" w:rsidR="00000000" w:rsidRPr="00000000">
        <w:rPr>
          <w:color w:val="1d1c1d"/>
          <w:sz w:val="22"/>
          <w:szCs w:val="22"/>
          <w:rtl w:val="0"/>
        </w:rPr>
        <w:t xml:space="preserve">, including LGBTIQ people in the development, implementation and monitoring of food inclusion laws, policies and programs. To guarantee the inclusion of LGBTIQ people:</w:t>
      </w:r>
    </w:p>
    <w:p w:rsidR="00000000" w:rsidDel="00000000" w:rsidP="00000000" w:rsidRDefault="00000000" w:rsidRPr="00000000" w14:paraId="0000002D">
      <w:pPr>
        <w:rPr>
          <w:color w:val="1d1c1d"/>
          <w:sz w:val="22"/>
          <w:szCs w:val="22"/>
        </w:rPr>
      </w:pPr>
      <w:r w:rsidDel="00000000" w:rsidR="00000000" w:rsidRPr="00000000">
        <w:rPr>
          <w:rtl w:val="0"/>
        </w:rPr>
      </w:r>
    </w:p>
    <w:p w:rsidR="00000000" w:rsidDel="00000000" w:rsidP="00000000" w:rsidRDefault="00000000" w:rsidRPr="00000000" w14:paraId="0000002E">
      <w:pPr>
        <w:numPr>
          <w:ilvl w:val="0"/>
          <w:numId w:val="2"/>
        </w:numPr>
        <w:ind w:left="720" w:hanging="360"/>
        <w:rPr>
          <w:sz w:val="22"/>
          <w:szCs w:val="22"/>
        </w:rPr>
      </w:pPr>
      <w:r w:rsidDel="00000000" w:rsidR="00000000" w:rsidRPr="00000000">
        <w:rPr>
          <w:color w:val="1d1c1d"/>
          <w:sz w:val="22"/>
          <w:szCs w:val="22"/>
          <w:rtl w:val="0"/>
        </w:rPr>
        <w:t xml:space="preserve">States must ensure that public institutions do not undermine access to food for LGBTIQ people by reviewing national laws, policies and programs that discriminate or </w:t>
      </w:r>
      <w:r w:rsidDel="00000000" w:rsidR="00000000" w:rsidRPr="00000000">
        <w:rPr>
          <w:color w:val="1d1c1d"/>
          <w:sz w:val="22"/>
          <w:szCs w:val="22"/>
          <w:rtl w:val="0"/>
        </w:rPr>
        <w:t xml:space="preserve">criminalize</w:t>
      </w:r>
      <w:r w:rsidDel="00000000" w:rsidR="00000000" w:rsidRPr="00000000">
        <w:rPr>
          <w:color w:val="1d1c1d"/>
          <w:sz w:val="22"/>
          <w:szCs w:val="22"/>
          <w:rtl w:val="0"/>
        </w:rPr>
        <w:t xml:space="preserve"> LGBTIQ people, to ensure universal respect for the rights to food and health. </w:t>
      </w:r>
    </w:p>
    <w:p w:rsidR="00000000" w:rsidDel="00000000" w:rsidP="00000000" w:rsidRDefault="00000000" w:rsidRPr="00000000" w14:paraId="0000002F">
      <w:pPr>
        <w:numPr>
          <w:ilvl w:val="0"/>
          <w:numId w:val="2"/>
        </w:numPr>
        <w:ind w:left="720" w:hanging="360"/>
        <w:rPr>
          <w:sz w:val="22"/>
          <w:szCs w:val="22"/>
        </w:rPr>
      </w:pPr>
      <w:r w:rsidDel="00000000" w:rsidR="00000000" w:rsidRPr="00000000">
        <w:rPr>
          <w:color w:val="1d1c1d"/>
          <w:sz w:val="22"/>
          <w:szCs w:val="22"/>
          <w:rtl w:val="0"/>
        </w:rPr>
        <w:t xml:space="preserve">States must prevent third parties from violating the rights to food and health of LGBTIQ people, including through legislative and regulatory measures. </w:t>
      </w:r>
    </w:p>
    <w:p w:rsidR="00000000" w:rsidDel="00000000" w:rsidP="00000000" w:rsidRDefault="00000000" w:rsidRPr="00000000" w14:paraId="00000030">
      <w:pPr>
        <w:numPr>
          <w:ilvl w:val="0"/>
          <w:numId w:val="2"/>
        </w:numPr>
        <w:ind w:left="720" w:hanging="360"/>
        <w:rPr>
          <w:sz w:val="22"/>
          <w:szCs w:val="22"/>
        </w:rPr>
      </w:pPr>
      <w:r w:rsidDel="00000000" w:rsidR="00000000" w:rsidRPr="00000000">
        <w:rPr>
          <w:color w:val="1d1c1d"/>
          <w:sz w:val="22"/>
          <w:szCs w:val="22"/>
          <w:rtl w:val="0"/>
        </w:rPr>
        <w:t xml:space="preserve">States must provide assistance to those unable to access food in a non-discriminatory manner, ensuring LGBTIQ people are not excluded through binary definitions of gender or narrow conceptions of family in all food assistance related programs.</w:t>
      </w:r>
    </w:p>
    <w:p w:rsidR="00000000" w:rsidDel="00000000" w:rsidP="00000000" w:rsidRDefault="00000000" w:rsidRPr="00000000" w14:paraId="00000031">
      <w:pPr>
        <w:numPr>
          <w:ilvl w:val="0"/>
          <w:numId w:val="2"/>
        </w:numPr>
        <w:ind w:left="720" w:hanging="360"/>
        <w:rPr>
          <w:sz w:val="22"/>
          <w:szCs w:val="22"/>
        </w:rPr>
      </w:pPr>
      <w:r w:rsidDel="00000000" w:rsidR="00000000" w:rsidRPr="00000000">
        <w:rPr>
          <w:color w:val="1d1c1d"/>
          <w:sz w:val="22"/>
          <w:szCs w:val="22"/>
          <w:rtl w:val="0"/>
        </w:rPr>
        <w:t xml:space="preserve">States and other stakeholders must enable LGBTIQ people to participate more fully in the formal work sector by addressing workplace discrimination and social exclusion, including through promoting gender- and LGBTIQ-inclusive awareness and knowledge across society.</w:t>
      </w:r>
    </w:p>
    <w:p w:rsidR="00000000" w:rsidDel="00000000" w:rsidP="00000000" w:rsidRDefault="00000000" w:rsidRPr="00000000" w14:paraId="00000032">
      <w:pPr>
        <w:rPr>
          <w:color w:val="1d1c1d"/>
          <w:sz w:val="22"/>
          <w:szCs w:val="22"/>
        </w:rPr>
      </w:pPr>
      <w:r w:rsidDel="00000000" w:rsidR="00000000" w:rsidRPr="00000000">
        <w:rPr>
          <w:rtl w:val="0"/>
        </w:rPr>
      </w:r>
    </w:p>
    <w:p w:rsidR="00000000" w:rsidDel="00000000" w:rsidP="00000000" w:rsidRDefault="00000000" w:rsidRPr="00000000" w14:paraId="00000033">
      <w:pPr>
        <w:rPr>
          <w:color w:val="1d1c1d"/>
          <w:sz w:val="22"/>
          <w:szCs w:val="22"/>
        </w:rPr>
      </w:pPr>
      <w:r w:rsidDel="00000000" w:rsidR="00000000" w:rsidRPr="00000000">
        <w:rPr>
          <w:rtl w:val="0"/>
        </w:rPr>
      </w:r>
    </w:p>
    <w:p w:rsidR="00000000" w:rsidDel="00000000" w:rsidP="00000000" w:rsidRDefault="00000000" w:rsidRPr="00000000" w14:paraId="00000034">
      <w:pPr>
        <w:rPr>
          <w:color w:val="1d1c1d"/>
          <w:sz w:val="22"/>
          <w:szCs w:val="22"/>
        </w:rPr>
      </w:pPr>
      <w:r w:rsidDel="00000000" w:rsidR="00000000" w:rsidRPr="00000000">
        <w:rPr>
          <w:rtl w:val="0"/>
        </w:rPr>
      </w:r>
    </w:p>
    <w:p w:rsidR="00000000" w:rsidDel="00000000" w:rsidP="00000000" w:rsidRDefault="00000000" w:rsidRPr="00000000" w14:paraId="00000035">
      <w:pPr>
        <w:jc w:val="both"/>
        <w:rPr>
          <w:color w:val="1d1c1d"/>
          <w:sz w:val="22"/>
          <w:szCs w:val="22"/>
        </w:rPr>
      </w:pPr>
      <w:r w:rsidDel="00000000" w:rsidR="00000000" w:rsidRPr="00000000">
        <w:rPr>
          <w:rtl w:val="0"/>
        </w:rPr>
      </w:r>
    </w:p>
    <w:sectPr>
      <w:headerReference r:id="rId8" w:type="default"/>
      <w:headerReference r:id="rId9" w:type="first"/>
      <w:footerReference r:id="rId10" w:type="default"/>
      <w:footerReference r:id="rId11" w:type="first"/>
      <w:pgSz w:h="16838" w:w="11906" w:orient="portrait"/>
      <w:pgMar w:bottom="1134" w:top="1134" w:left="1701" w:right="1701" w:header="284" w:footer="56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567"/>
      </w:tabs>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left" w:leader="none" w:pos="567"/>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5">
    <w:p w:rsidR="00000000" w:rsidDel="00000000" w:rsidP="00000000" w:rsidRDefault="00000000" w:rsidRPr="00000000" w14:paraId="00000036">
      <w:pPr>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i w:val="1"/>
          <w:color w:val="1d1c1d"/>
          <w:sz w:val="18"/>
          <w:szCs w:val="18"/>
          <w:rtl w:val="0"/>
        </w:rPr>
        <w:t xml:space="preserve">Vulnerability Amplified </w:t>
      </w:r>
      <w:r w:rsidDel="00000000" w:rsidR="00000000" w:rsidRPr="00000000">
        <w:rPr>
          <w:color w:val="1d1c1d"/>
          <w:sz w:val="18"/>
          <w:szCs w:val="18"/>
          <w:rtl w:val="0"/>
        </w:rPr>
        <w:t xml:space="preserve">at 23. </w:t>
      </w:r>
      <w:r w:rsidDel="00000000" w:rsidR="00000000" w:rsidRPr="00000000">
        <w:rPr>
          <w:rtl w:val="0"/>
        </w:rPr>
      </w:r>
    </w:p>
  </w:footnote>
  <w:footnote w:id="16">
    <w:p w:rsidR="00000000" w:rsidDel="00000000" w:rsidP="00000000" w:rsidRDefault="00000000" w:rsidRPr="00000000" w14:paraId="00000037">
      <w:pPr>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i w:val="1"/>
          <w:sz w:val="18"/>
          <w:szCs w:val="18"/>
          <w:rtl w:val="0"/>
        </w:rPr>
        <w:t xml:space="preserve">Id.</w:t>
      </w:r>
      <w:r w:rsidDel="00000000" w:rsidR="00000000" w:rsidRPr="00000000">
        <w:rPr>
          <w:sz w:val="18"/>
          <w:szCs w:val="18"/>
          <w:rtl w:val="0"/>
        </w:rPr>
        <w:t xml:space="preserve"> </w:t>
      </w:r>
    </w:p>
  </w:footnote>
  <w:footnote w:id="17">
    <w:p w:rsidR="00000000" w:rsidDel="00000000" w:rsidP="00000000" w:rsidRDefault="00000000" w:rsidRPr="00000000" w14:paraId="00000038">
      <w:pPr>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i w:val="1"/>
          <w:sz w:val="18"/>
          <w:szCs w:val="18"/>
          <w:rtl w:val="0"/>
        </w:rPr>
        <w:t xml:space="preserve">Id.</w:t>
      </w:r>
      <w:r w:rsidDel="00000000" w:rsidR="00000000" w:rsidRPr="00000000">
        <w:rPr>
          <w:sz w:val="18"/>
          <w:szCs w:val="18"/>
          <w:rtl w:val="0"/>
        </w:rPr>
        <w:t xml:space="preserve"> at 24. </w:t>
      </w:r>
    </w:p>
  </w:footnote>
  <w:footnote w:id="18">
    <w:p w:rsidR="00000000" w:rsidDel="00000000" w:rsidP="00000000" w:rsidRDefault="00000000" w:rsidRPr="00000000" w14:paraId="00000039">
      <w:pPr>
        <w:rPr>
          <w:i w:val="1"/>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i w:val="1"/>
          <w:sz w:val="18"/>
          <w:szCs w:val="18"/>
          <w:rtl w:val="0"/>
        </w:rPr>
        <w:t xml:space="preserve">Id. </w:t>
      </w:r>
    </w:p>
  </w:footnote>
  <w:footnote w:id="19">
    <w:p w:rsidR="00000000" w:rsidDel="00000000" w:rsidP="00000000" w:rsidRDefault="00000000" w:rsidRPr="00000000" w14:paraId="0000003A">
      <w:pPr>
        <w:rPr>
          <w:sz w:val="18"/>
          <w:szCs w:val="18"/>
        </w:rPr>
      </w:pPr>
      <w:r w:rsidDel="00000000" w:rsidR="00000000" w:rsidRPr="00000000">
        <w:rPr>
          <w:rStyle w:val="FootnoteReference"/>
          <w:vertAlign w:val="superscript"/>
        </w:rPr>
        <w:footnoteRef/>
      </w:r>
      <w:r w:rsidDel="00000000" w:rsidR="00000000" w:rsidRPr="00000000">
        <w:rPr>
          <w:i w:val="1"/>
          <w:sz w:val="18"/>
          <w:szCs w:val="18"/>
          <w:rtl w:val="0"/>
        </w:rPr>
        <w:t xml:space="preserve"> Id.</w:t>
      </w:r>
      <w:r w:rsidDel="00000000" w:rsidR="00000000" w:rsidRPr="00000000">
        <w:rPr>
          <w:sz w:val="18"/>
          <w:szCs w:val="18"/>
          <w:rtl w:val="0"/>
        </w:rPr>
        <w:t xml:space="preserve"> at 23. </w:t>
      </w:r>
    </w:p>
  </w:footnote>
  <w:footnote w:id="22">
    <w:p w:rsidR="00000000" w:rsidDel="00000000" w:rsidP="00000000" w:rsidRDefault="00000000" w:rsidRPr="00000000" w14:paraId="0000003B">
      <w:pPr>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color w:val="1d1c1d"/>
          <w:sz w:val="18"/>
          <w:szCs w:val="18"/>
          <w:rtl w:val="0"/>
        </w:rPr>
        <w:t xml:space="preserve">UNAIDS,</w:t>
      </w:r>
      <w:r w:rsidDel="00000000" w:rsidR="00000000" w:rsidRPr="00000000">
        <w:rPr>
          <w:i w:val="1"/>
          <w:color w:val="1d1c1d"/>
          <w:sz w:val="18"/>
          <w:szCs w:val="18"/>
          <w:rtl w:val="0"/>
        </w:rPr>
        <w:t xml:space="preserve"> Supporting Transgender People During the COVID-19 Pandemic</w:t>
      </w:r>
      <w:r w:rsidDel="00000000" w:rsidR="00000000" w:rsidRPr="00000000">
        <w:rPr>
          <w:color w:val="1d1c1d"/>
          <w:sz w:val="18"/>
          <w:szCs w:val="18"/>
          <w:rtl w:val="0"/>
        </w:rPr>
        <w:t xml:space="preserve">, </w:t>
      </w:r>
      <w:hyperlink r:id="rId1">
        <w:r w:rsidDel="00000000" w:rsidR="00000000" w:rsidRPr="00000000">
          <w:rPr>
            <w:color w:val="954f72"/>
            <w:sz w:val="18"/>
            <w:szCs w:val="18"/>
            <w:u w:val="single"/>
            <w:rtl w:val="0"/>
          </w:rPr>
          <w:t xml:space="preserve">https://www.unaids.org/en/resources/presscentre/featurestories/2020/april/20200406_transgender_covid19</w:t>
        </w:r>
      </w:hyperlink>
      <w:r w:rsidDel="00000000" w:rsidR="00000000" w:rsidRPr="00000000">
        <w:rPr>
          <w:rtl w:val="0"/>
        </w:rPr>
      </w:r>
    </w:p>
  </w:footnote>
  <w:footnote w:id="23">
    <w:p w:rsidR="00000000" w:rsidDel="00000000" w:rsidP="00000000" w:rsidRDefault="00000000" w:rsidRPr="00000000" w14:paraId="0000003C">
      <w:pPr>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i w:val="1"/>
          <w:color w:val="1d1c1d"/>
          <w:sz w:val="18"/>
          <w:szCs w:val="18"/>
          <w:rtl w:val="0"/>
        </w:rPr>
        <w:t xml:space="preserve">Vulnerability Amplified</w:t>
      </w:r>
      <w:r w:rsidDel="00000000" w:rsidR="00000000" w:rsidRPr="00000000">
        <w:rPr>
          <w:color w:val="1d1c1d"/>
          <w:sz w:val="18"/>
          <w:szCs w:val="18"/>
          <w:rtl w:val="0"/>
        </w:rPr>
        <w:t xml:space="preserve"> at 25. </w:t>
      </w:r>
      <w:r w:rsidDel="00000000" w:rsidR="00000000" w:rsidRPr="00000000">
        <w:rPr>
          <w:rtl w:val="0"/>
        </w:rPr>
      </w:r>
    </w:p>
  </w:footnote>
  <w:footnote w:id="14">
    <w:p w:rsidR="00000000" w:rsidDel="00000000" w:rsidP="00000000" w:rsidRDefault="00000000" w:rsidRPr="00000000" w14:paraId="0000003D">
      <w:pPr>
        <w:rPr>
          <w:sz w:val="18"/>
          <w:szCs w:val="18"/>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color w:val="1d1c1d"/>
          <w:sz w:val="18"/>
          <w:szCs w:val="18"/>
          <w:rtl w:val="0"/>
        </w:rPr>
        <w:t xml:space="preserve">Outright International, </w:t>
      </w:r>
      <w:r w:rsidDel="00000000" w:rsidR="00000000" w:rsidRPr="00000000">
        <w:rPr>
          <w:i w:val="1"/>
          <w:color w:val="1d1c1d"/>
          <w:sz w:val="18"/>
          <w:szCs w:val="18"/>
          <w:rtl w:val="0"/>
        </w:rPr>
        <w:t xml:space="preserve">Vulnerability Amplified: The Impact of the COVID-19 Pandemic on LGBTIQ People </w:t>
      </w:r>
      <w:r w:rsidDel="00000000" w:rsidR="00000000" w:rsidRPr="00000000">
        <w:rPr>
          <w:color w:val="1d1c1d"/>
          <w:sz w:val="18"/>
          <w:szCs w:val="18"/>
          <w:rtl w:val="0"/>
        </w:rPr>
        <w:t xml:space="preserve">(</w:t>
      </w:r>
      <w:r w:rsidDel="00000000" w:rsidR="00000000" w:rsidRPr="00000000">
        <w:rPr>
          <w:i w:val="1"/>
          <w:color w:val="1d1c1d"/>
          <w:sz w:val="18"/>
          <w:szCs w:val="18"/>
          <w:rtl w:val="0"/>
        </w:rPr>
        <w:t xml:space="preserve">Vulnerability Amplified</w:t>
      </w:r>
      <w:r w:rsidDel="00000000" w:rsidR="00000000" w:rsidRPr="00000000">
        <w:rPr>
          <w:color w:val="1d1c1d"/>
          <w:sz w:val="18"/>
          <w:szCs w:val="18"/>
          <w:rtl w:val="0"/>
        </w:rPr>
        <w:t xml:space="preserve">) </w:t>
      </w:r>
      <w:hyperlink r:id="rId2">
        <w:r w:rsidDel="00000000" w:rsidR="00000000" w:rsidRPr="00000000">
          <w:rPr>
            <w:color w:val="0563c1"/>
            <w:sz w:val="18"/>
            <w:szCs w:val="18"/>
            <w:u w:val="single"/>
            <w:rtl w:val="0"/>
          </w:rPr>
          <w:t xml:space="preserve">https://outrightinternational.org/sites/default/files/2022-10/COVIDsReportDesign_FINAL_LR_0.pdf</w:t>
        </w:r>
      </w:hyperlink>
      <w:r w:rsidDel="00000000" w:rsidR="00000000" w:rsidRPr="00000000">
        <w:rPr>
          <w:color w:val="0563c1"/>
          <w:sz w:val="18"/>
          <w:szCs w:val="18"/>
          <w:u w:val="single"/>
          <w:rtl w:val="0"/>
        </w:rPr>
        <w:t xml:space="preserve">.</w:t>
      </w:r>
      <w:r w:rsidDel="00000000" w:rsidR="00000000" w:rsidRPr="00000000">
        <w:rPr>
          <w:rtl w:val="0"/>
        </w:rPr>
      </w:r>
    </w:p>
  </w:footnote>
  <w:footnote w:id="13">
    <w:p w:rsidR="00000000" w:rsidDel="00000000" w:rsidP="00000000" w:rsidRDefault="00000000" w:rsidRPr="00000000" w14:paraId="0000003E">
      <w:pPr>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HRC, </w:t>
      </w:r>
      <w:r w:rsidDel="00000000" w:rsidR="00000000" w:rsidRPr="00000000">
        <w:rPr>
          <w:i w:val="1"/>
          <w:sz w:val="18"/>
          <w:szCs w:val="18"/>
          <w:rtl w:val="0"/>
        </w:rPr>
        <w:t xml:space="preserve">Conflict and the Right to Food: Report of the Special Rapporteur on the Right to Food, Michael Fakhri</w:t>
      </w:r>
      <w:r w:rsidDel="00000000" w:rsidR="00000000" w:rsidRPr="00000000">
        <w:rPr>
          <w:sz w:val="18"/>
          <w:szCs w:val="18"/>
          <w:rtl w:val="0"/>
        </w:rPr>
        <w:t xml:space="preserve">, A/HRC/52/40 (29 Dec. 2022) at ¶38. </w:t>
      </w:r>
    </w:p>
  </w:footnote>
  <w:footnote w:id="2">
    <w:p w:rsidR="00000000" w:rsidDel="00000000" w:rsidP="00000000" w:rsidRDefault="00000000" w:rsidRPr="00000000" w14:paraId="0000003F">
      <w:pPr>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Committee on Economic, Social and Cultural Rights (CESCR)</w:t>
      </w:r>
      <w:r w:rsidDel="00000000" w:rsidR="00000000" w:rsidRPr="00000000">
        <w:rPr>
          <w:i w:val="1"/>
          <w:sz w:val="18"/>
          <w:szCs w:val="18"/>
          <w:rtl w:val="0"/>
        </w:rPr>
        <w:t xml:space="preserve"> General Comment No. 14: The Right to the Highest Attainable Standard of Health</w:t>
      </w:r>
      <w:r w:rsidDel="00000000" w:rsidR="00000000" w:rsidRPr="00000000">
        <w:rPr>
          <w:sz w:val="18"/>
          <w:szCs w:val="18"/>
          <w:rtl w:val="0"/>
        </w:rPr>
        <w:t xml:space="preserve"> </w:t>
      </w:r>
      <w:r w:rsidDel="00000000" w:rsidR="00000000" w:rsidRPr="00000000">
        <w:rPr>
          <w:i w:val="1"/>
          <w:sz w:val="18"/>
          <w:szCs w:val="18"/>
          <w:rtl w:val="0"/>
        </w:rPr>
        <w:t xml:space="preserve">(Art. 12)</w:t>
      </w:r>
      <w:r w:rsidDel="00000000" w:rsidR="00000000" w:rsidRPr="00000000">
        <w:rPr>
          <w:sz w:val="18"/>
          <w:szCs w:val="18"/>
          <w:rtl w:val="0"/>
        </w:rPr>
        <w:t xml:space="preserve">, E/C.12/2000/4 (2000) at  ¶¶4, 11, 12(a). </w:t>
      </w:r>
    </w:p>
  </w:footnote>
  <w:footnote w:id="3">
    <w:p w:rsidR="00000000" w:rsidDel="00000000" w:rsidP="00000000" w:rsidRDefault="00000000" w:rsidRPr="00000000" w14:paraId="00000040">
      <w:pPr>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UDHR at art. 25. </w:t>
      </w:r>
    </w:p>
  </w:footnote>
  <w:footnote w:id="4">
    <w:p w:rsidR="00000000" w:rsidDel="00000000" w:rsidP="00000000" w:rsidRDefault="00000000" w:rsidRPr="00000000" w14:paraId="00000041">
      <w:pPr>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International Covenant on Economic, Social and Cultural Rights (1966) at art. 11. </w:t>
      </w:r>
    </w:p>
  </w:footnote>
  <w:footnote w:id="5">
    <w:p w:rsidR="00000000" w:rsidDel="00000000" w:rsidP="00000000" w:rsidRDefault="00000000" w:rsidRPr="00000000" w14:paraId="00000042">
      <w:pPr>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color w:val="1d1c1d"/>
          <w:sz w:val="18"/>
          <w:szCs w:val="18"/>
          <w:rtl w:val="0"/>
        </w:rPr>
        <w:t xml:space="preserve">Convention on the Elimination of All Forms of Discrimination against Women (1979) at art. 12(2). </w:t>
      </w:r>
      <w:r w:rsidDel="00000000" w:rsidR="00000000" w:rsidRPr="00000000">
        <w:rPr>
          <w:rtl w:val="0"/>
        </w:rPr>
      </w:r>
    </w:p>
  </w:footnote>
  <w:footnote w:id="6">
    <w:p w:rsidR="00000000" w:rsidDel="00000000" w:rsidP="00000000" w:rsidRDefault="00000000" w:rsidRPr="00000000" w14:paraId="00000043">
      <w:pPr>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color w:val="1d1c1d"/>
          <w:sz w:val="18"/>
          <w:szCs w:val="18"/>
          <w:rtl w:val="0"/>
        </w:rPr>
        <w:t xml:space="preserve">Convention on the Rights of the Child (1989) at arts. 24(2)(c) and (e), 27(3). </w:t>
      </w:r>
      <w:r w:rsidDel="00000000" w:rsidR="00000000" w:rsidRPr="00000000">
        <w:rPr>
          <w:rtl w:val="0"/>
        </w:rPr>
      </w:r>
    </w:p>
  </w:footnote>
  <w:footnote w:id="7">
    <w:p w:rsidR="00000000" w:rsidDel="00000000" w:rsidP="00000000" w:rsidRDefault="00000000" w:rsidRPr="00000000" w14:paraId="00000044">
      <w:pPr>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sz w:val="18"/>
          <w:szCs w:val="18"/>
          <w:rtl w:val="0"/>
        </w:rPr>
        <w:t xml:space="preserve">Convention on the Rights of Persons with Disabilities (2006) at arts. 25(f), 28(1). </w:t>
      </w:r>
      <w:r w:rsidDel="00000000" w:rsidR="00000000" w:rsidRPr="00000000">
        <w:rPr>
          <w:rtl w:val="0"/>
        </w:rPr>
      </w:r>
    </w:p>
  </w:footnote>
  <w:footnote w:id="8">
    <w:p w:rsidR="00000000" w:rsidDel="00000000" w:rsidP="00000000" w:rsidRDefault="00000000" w:rsidRPr="00000000" w14:paraId="00000045">
      <w:pPr>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sz w:val="18"/>
          <w:szCs w:val="18"/>
          <w:rtl w:val="0"/>
        </w:rPr>
        <w:t xml:space="preserve">Protocol of San Salvador (1988) at art. 12. </w:t>
      </w:r>
      <w:r w:rsidDel="00000000" w:rsidR="00000000" w:rsidRPr="00000000">
        <w:rPr>
          <w:rtl w:val="0"/>
        </w:rPr>
      </w:r>
    </w:p>
  </w:footnote>
  <w:footnote w:id="9">
    <w:p w:rsidR="00000000" w:rsidDel="00000000" w:rsidP="00000000" w:rsidRDefault="00000000" w:rsidRPr="00000000" w14:paraId="00000046">
      <w:pPr>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sz w:val="18"/>
          <w:szCs w:val="18"/>
          <w:rtl w:val="0"/>
        </w:rPr>
        <w:t xml:space="preserve">African Charter on the Rights and Welfare of the Child (1990) at arts. 14 (2) (c), (d) and (h). </w:t>
      </w:r>
      <w:r w:rsidDel="00000000" w:rsidR="00000000" w:rsidRPr="00000000">
        <w:rPr>
          <w:rtl w:val="0"/>
        </w:rPr>
      </w:r>
    </w:p>
  </w:footnote>
  <w:footnote w:id="10">
    <w:p w:rsidR="00000000" w:rsidDel="00000000" w:rsidP="00000000" w:rsidRDefault="00000000" w:rsidRPr="00000000" w14:paraId="00000047">
      <w:pPr>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color w:val="1d1c1d"/>
          <w:sz w:val="18"/>
          <w:szCs w:val="18"/>
          <w:rtl w:val="0"/>
        </w:rPr>
        <w:t xml:space="preserve">African Charter on Human and Peoples’ Rights on the Rights of Women in Africa (2003) at arts. 14(2)(b), 15. </w:t>
      </w:r>
      <w:r w:rsidDel="00000000" w:rsidR="00000000" w:rsidRPr="00000000">
        <w:rPr>
          <w:rtl w:val="0"/>
        </w:rPr>
      </w:r>
    </w:p>
  </w:footnote>
  <w:footnote w:id="0">
    <w:p w:rsidR="00000000" w:rsidDel="00000000" w:rsidP="00000000" w:rsidRDefault="00000000" w:rsidRPr="00000000" w14:paraId="00000048">
      <w:pPr>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Universal Declaration of Human Rights (1948) at preamble, arts. 1, 7 (hereafter “UDHR”). </w:t>
      </w:r>
    </w:p>
  </w:footnote>
  <w:footnote w:id="12">
    <w:p w:rsidR="00000000" w:rsidDel="00000000" w:rsidP="00000000" w:rsidRDefault="00000000" w:rsidRPr="00000000" w14:paraId="00000049">
      <w:pPr>
        <w:tabs>
          <w:tab w:val="center" w:leader="none" w:pos="4153"/>
          <w:tab w:val="right" w:leader="none" w:pos="8306"/>
          <w:tab w:val="left" w:leader="none" w:pos="567"/>
        </w:tabs>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UN Sustainable Development Group,</w:t>
      </w:r>
      <w:r w:rsidDel="00000000" w:rsidR="00000000" w:rsidRPr="00000000">
        <w:rPr>
          <w:i w:val="1"/>
          <w:sz w:val="18"/>
          <w:szCs w:val="18"/>
          <w:rtl w:val="0"/>
        </w:rPr>
        <w:t xml:space="preserve"> Leave No One Behind</w:t>
      </w:r>
      <w:r w:rsidDel="00000000" w:rsidR="00000000" w:rsidRPr="00000000">
        <w:rPr>
          <w:sz w:val="18"/>
          <w:szCs w:val="18"/>
          <w:rtl w:val="0"/>
        </w:rPr>
        <w:t xml:space="preserve">, available at </w:t>
      </w:r>
      <w:hyperlink r:id="rId3">
        <w:r w:rsidDel="00000000" w:rsidR="00000000" w:rsidRPr="00000000">
          <w:rPr>
            <w:color w:val="1155cc"/>
            <w:sz w:val="18"/>
            <w:szCs w:val="18"/>
            <w:u w:val="single"/>
            <w:rtl w:val="0"/>
          </w:rPr>
          <w:t xml:space="preserve">https://unsdg.un.org/2030-agenda/universal-values/leave-no-one-behind</w:t>
        </w:r>
      </w:hyperlink>
      <w:r w:rsidDel="00000000" w:rsidR="00000000" w:rsidRPr="00000000">
        <w:rPr>
          <w:sz w:val="18"/>
          <w:szCs w:val="18"/>
          <w:rtl w:val="0"/>
        </w:rPr>
        <w:t xml:space="preserve">. </w:t>
      </w:r>
    </w:p>
  </w:footnote>
  <w:footnote w:id="11">
    <w:p w:rsidR="00000000" w:rsidDel="00000000" w:rsidP="00000000" w:rsidRDefault="00000000" w:rsidRPr="00000000" w14:paraId="0000004A">
      <w:pPr>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UN Department of Economic and Social Affairs, </w:t>
      </w:r>
      <w:r w:rsidDel="00000000" w:rsidR="00000000" w:rsidRPr="00000000">
        <w:rPr>
          <w:i w:val="1"/>
          <w:sz w:val="18"/>
          <w:szCs w:val="18"/>
          <w:rtl w:val="0"/>
        </w:rPr>
        <w:t xml:space="preserve">The 17 Goals</w:t>
      </w:r>
      <w:r w:rsidDel="00000000" w:rsidR="00000000" w:rsidRPr="00000000">
        <w:rPr>
          <w:sz w:val="18"/>
          <w:szCs w:val="18"/>
          <w:rtl w:val="0"/>
        </w:rPr>
        <w:t xml:space="preserve">, available at </w:t>
      </w:r>
      <w:hyperlink r:id="rId4">
        <w:r w:rsidDel="00000000" w:rsidR="00000000" w:rsidRPr="00000000">
          <w:rPr>
            <w:color w:val="1155cc"/>
            <w:sz w:val="18"/>
            <w:szCs w:val="18"/>
            <w:u w:val="single"/>
            <w:rtl w:val="0"/>
          </w:rPr>
          <w:t xml:space="preserve">https://sdgs.un.org/#goal_section</w:t>
        </w:r>
      </w:hyperlink>
      <w:r w:rsidDel="00000000" w:rsidR="00000000" w:rsidRPr="00000000">
        <w:rPr>
          <w:sz w:val="18"/>
          <w:szCs w:val="18"/>
          <w:rtl w:val="0"/>
        </w:rPr>
        <w:t xml:space="preserve">. </w:t>
      </w:r>
    </w:p>
  </w:footnote>
  <w:footnote w:id="26">
    <w:p w:rsidR="00000000" w:rsidDel="00000000" w:rsidP="00000000" w:rsidRDefault="00000000" w:rsidRPr="00000000" w14:paraId="00000051">
      <w:pPr>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i w:val="1"/>
          <w:color w:val="1d1c1d"/>
          <w:sz w:val="18"/>
          <w:szCs w:val="18"/>
          <w:rtl w:val="0"/>
        </w:rPr>
        <w:t xml:space="preserve">Meet the Grantees</w:t>
      </w:r>
      <w:r w:rsidDel="00000000" w:rsidR="00000000" w:rsidRPr="00000000">
        <w:rPr>
          <w:color w:val="1d1c1d"/>
          <w:sz w:val="18"/>
          <w:szCs w:val="18"/>
          <w:rtl w:val="0"/>
        </w:rPr>
        <w:t xml:space="preserve"> at 5. </w:t>
      </w:r>
      <w:r w:rsidDel="00000000" w:rsidR="00000000" w:rsidRPr="00000000">
        <w:rPr>
          <w:rtl w:val="0"/>
        </w:rPr>
      </w:r>
    </w:p>
  </w:footnote>
  <w:footnote w:id="27">
    <w:p w:rsidR="00000000" w:rsidDel="00000000" w:rsidP="00000000" w:rsidRDefault="00000000" w:rsidRPr="00000000" w14:paraId="00000052">
      <w:pPr>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i w:val="1"/>
          <w:sz w:val="18"/>
          <w:szCs w:val="18"/>
          <w:rtl w:val="0"/>
        </w:rPr>
        <w:t xml:space="preserve">Vulnerability Amplified</w:t>
      </w:r>
      <w:r w:rsidDel="00000000" w:rsidR="00000000" w:rsidRPr="00000000">
        <w:rPr>
          <w:sz w:val="18"/>
          <w:szCs w:val="18"/>
          <w:rtl w:val="0"/>
        </w:rPr>
        <w:t xml:space="preserve"> at 19. </w:t>
      </w:r>
      <w:r w:rsidDel="00000000" w:rsidR="00000000" w:rsidRPr="00000000">
        <w:rPr>
          <w:rtl w:val="0"/>
        </w:rPr>
      </w:r>
    </w:p>
  </w:footnote>
  <w:footnote w:id="1">
    <w:p w:rsidR="00000000" w:rsidDel="00000000" w:rsidP="00000000" w:rsidRDefault="00000000" w:rsidRPr="00000000" w14:paraId="00000053">
      <w:pPr>
        <w:rPr>
          <w:i w:val="1"/>
          <w:highlight w:val="yellow"/>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sz w:val="18"/>
          <w:szCs w:val="18"/>
          <w:rtl w:val="0"/>
        </w:rPr>
        <w:t xml:space="preserve">International Covenant on Economic, Social and Cultural Rights (1966) at art. 12; International Convention on the Elimination of All Forms of Racial Discrimination (1966) at art. 5(e)(iv); Convention on All Forms of Discrimination Against Women (1979) at arts. 11(1)(f), 12 and 14(2)(b).</w:t>
      </w:r>
      <w:r w:rsidDel="00000000" w:rsidR="00000000" w:rsidRPr="00000000">
        <w:rPr>
          <w:rtl w:val="0"/>
        </w:rPr>
      </w:r>
    </w:p>
  </w:footnote>
  <w:footnote w:id="20">
    <w:p w:rsidR="00000000" w:rsidDel="00000000" w:rsidP="00000000" w:rsidRDefault="00000000" w:rsidRPr="00000000" w14:paraId="00000054">
      <w:pPr>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color w:val="1d1c1d"/>
          <w:sz w:val="18"/>
          <w:szCs w:val="18"/>
          <w:rtl w:val="0"/>
        </w:rPr>
        <w:t xml:space="preserve">OutRight Action International, </w:t>
      </w:r>
      <w:r w:rsidDel="00000000" w:rsidR="00000000" w:rsidRPr="00000000">
        <w:rPr>
          <w:i w:val="1"/>
          <w:color w:val="1d1c1d"/>
          <w:sz w:val="18"/>
          <w:szCs w:val="18"/>
          <w:rtl w:val="0"/>
        </w:rPr>
        <w:t xml:space="preserve">Responding to a Crisis: Insights from OutRight’s COVID-19 Global LGBTIQ Emergency Fund 2021</w:t>
      </w:r>
      <w:r w:rsidDel="00000000" w:rsidR="00000000" w:rsidRPr="00000000">
        <w:rPr>
          <w:color w:val="1d1c1d"/>
          <w:sz w:val="18"/>
          <w:szCs w:val="18"/>
          <w:rtl w:val="0"/>
        </w:rPr>
        <w:t xml:space="preserve">, </w:t>
      </w:r>
      <w:hyperlink r:id="rId5">
        <w:r w:rsidDel="00000000" w:rsidR="00000000" w:rsidRPr="00000000">
          <w:rPr>
            <w:color w:val="0563c1"/>
            <w:sz w:val="18"/>
            <w:szCs w:val="18"/>
            <w:u w:val="single"/>
            <w:rtl w:val="0"/>
          </w:rPr>
          <w:t xml:space="preserve">https://outrightinternational.org/sites/default/files/2022-09/BriefingPaper_0821.pdf</w:t>
        </w:r>
      </w:hyperlink>
      <w:r w:rsidDel="00000000" w:rsidR="00000000" w:rsidRPr="00000000">
        <w:rPr>
          <w:color w:val="1d1c1d"/>
          <w:sz w:val="18"/>
          <w:szCs w:val="18"/>
          <w:rtl w:val="0"/>
        </w:rPr>
        <w:t xml:space="preserve"> at 9.</w:t>
      </w:r>
      <w:r w:rsidDel="00000000" w:rsidR="00000000" w:rsidRPr="00000000">
        <w:rPr>
          <w:rtl w:val="0"/>
        </w:rPr>
      </w:r>
    </w:p>
  </w:footnote>
  <w:footnote w:id="21">
    <w:p w:rsidR="00000000" w:rsidDel="00000000" w:rsidP="00000000" w:rsidRDefault="00000000" w:rsidRPr="00000000" w14:paraId="00000055">
      <w:pPr>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i w:val="1"/>
          <w:color w:val="1d1c1d"/>
          <w:sz w:val="18"/>
          <w:szCs w:val="18"/>
          <w:rtl w:val="0"/>
        </w:rPr>
        <w:t xml:space="preserve">Meet the Grantees</w:t>
      </w:r>
      <w:r w:rsidDel="00000000" w:rsidR="00000000" w:rsidRPr="00000000">
        <w:rPr>
          <w:color w:val="1d1c1d"/>
          <w:sz w:val="18"/>
          <w:szCs w:val="18"/>
          <w:rtl w:val="0"/>
        </w:rPr>
        <w:t xml:space="preserve"> at 7. </w:t>
      </w:r>
      <w:r w:rsidDel="00000000" w:rsidR="00000000" w:rsidRPr="00000000">
        <w:rPr>
          <w:rtl w:val="0"/>
        </w:rPr>
      </w:r>
    </w:p>
  </w:footnote>
  <w:footnote w:id="24">
    <w:p w:rsidR="00000000" w:rsidDel="00000000" w:rsidP="00000000" w:rsidRDefault="00000000" w:rsidRPr="00000000" w14:paraId="00000056">
      <w:pPr>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color w:val="1d1c1d"/>
          <w:sz w:val="18"/>
          <w:szCs w:val="18"/>
          <w:rtl w:val="0"/>
        </w:rPr>
        <w:t xml:space="preserve">OutRight Action International, </w:t>
      </w:r>
      <w:r w:rsidDel="00000000" w:rsidR="00000000" w:rsidRPr="00000000">
        <w:rPr>
          <w:i w:val="1"/>
          <w:color w:val="1d1c1d"/>
          <w:sz w:val="18"/>
          <w:szCs w:val="18"/>
          <w:rtl w:val="0"/>
        </w:rPr>
        <w:t xml:space="preserve">Responding to a Crisis: Meet the Grantees of OutRight’s COVID-19 Global LGBTIQ Emergency Fund </w:t>
      </w:r>
      <w:r w:rsidDel="00000000" w:rsidR="00000000" w:rsidRPr="00000000">
        <w:rPr>
          <w:color w:val="1d1c1d"/>
          <w:sz w:val="18"/>
          <w:szCs w:val="18"/>
          <w:rtl w:val="0"/>
        </w:rPr>
        <w:t xml:space="preserve">(</w:t>
      </w:r>
      <w:r w:rsidDel="00000000" w:rsidR="00000000" w:rsidRPr="00000000">
        <w:rPr>
          <w:i w:val="1"/>
          <w:color w:val="1d1c1d"/>
          <w:sz w:val="18"/>
          <w:szCs w:val="18"/>
          <w:rtl w:val="0"/>
        </w:rPr>
        <w:t xml:space="preserve">Meet the Grantees)</w:t>
      </w:r>
      <w:r w:rsidDel="00000000" w:rsidR="00000000" w:rsidRPr="00000000">
        <w:rPr>
          <w:color w:val="1d1c1d"/>
          <w:sz w:val="18"/>
          <w:szCs w:val="18"/>
          <w:rtl w:val="0"/>
        </w:rPr>
        <w:t xml:space="preserve">, </w:t>
      </w:r>
      <w:hyperlink r:id="rId6">
        <w:r w:rsidDel="00000000" w:rsidR="00000000" w:rsidRPr="00000000">
          <w:rPr>
            <w:color w:val="0563c1"/>
            <w:sz w:val="18"/>
            <w:szCs w:val="18"/>
            <w:u w:val="single"/>
            <w:rtl w:val="0"/>
          </w:rPr>
          <w:t xml:space="preserve">https://outrightinternational.org/sites/default/files/2022-10/BriefingPaperNov2020WDonors.pdf</w:t>
        </w:r>
      </w:hyperlink>
      <w:r w:rsidDel="00000000" w:rsidR="00000000" w:rsidRPr="00000000">
        <w:rPr>
          <w:color w:val="0563c1"/>
          <w:sz w:val="18"/>
          <w:szCs w:val="18"/>
          <w:u w:val="single"/>
          <w:rtl w:val="0"/>
        </w:rPr>
        <w:t xml:space="preserve"> </w:t>
      </w:r>
      <w:r w:rsidDel="00000000" w:rsidR="00000000" w:rsidRPr="00000000">
        <w:rPr>
          <w:color w:val="1d1c1d"/>
          <w:sz w:val="18"/>
          <w:szCs w:val="18"/>
          <w:rtl w:val="0"/>
        </w:rPr>
        <w:t xml:space="preserve">at 5. </w:t>
      </w:r>
      <w:r w:rsidDel="00000000" w:rsidR="00000000" w:rsidRPr="00000000">
        <w:rPr>
          <w:rtl w:val="0"/>
        </w:rPr>
      </w:r>
    </w:p>
  </w:footnote>
  <w:footnote w:id="25">
    <w:p w:rsidR="00000000" w:rsidDel="00000000" w:rsidP="00000000" w:rsidRDefault="00000000" w:rsidRPr="00000000" w14:paraId="00000057">
      <w:pPr>
        <w:rPr>
          <w:i w:val="1"/>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i w:val="1"/>
          <w:sz w:val="18"/>
          <w:szCs w:val="18"/>
          <w:rtl w:val="0"/>
        </w:rPr>
        <w:t xml:space="preserve">Id.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right" w:leader="none" w:pos="3686"/>
        <w:tab w:val="left" w:leader="none" w:pos="5812"/>
      </w:tabs>
      <w:spacing w:after="120" w:before="80" w:line="240" w:lineRule="auto"/>
      <w:ind w:left="0" w:right="0"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-552449</wp:posOffset>
          </wp:positionH>
          <wp:positionV relativeFrom="paragraph">
            <wp:posOffset>47626</wp:posOffset>
          </wp:positionV>
          <wp:extent cx="2513195" cy="1008698"/>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513195" cy="1008698"/>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563"/>
      <w:jc w:val="center"/>
    </w:pPr>
    <w:rPr>
      <w:b w:val="1"/>
      <w:sz w:val="18"/>
      <w:szCs w:val="1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ind w:left="-563"/>
      <w:jc w:val="center"/>
    </w:pPr>
    <w:rPr>
      <w:b w:val="1"/>
      <w:sz w:val="18"/>
      <w:szCs w:val="1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434C3"/>
    <w:pPr>
      <w:spacing w:after="0" w:line="240" w:lineRule="auto"/>
    </w:pPr>
    <w:rPr>
      <w:rFonts w:ascii="Times New Roman" w:cs="Times New Roman" w:eastAsia="Times New Roman" w:hAnsi="Times New Roman"/>
      <w:sz w:val="20"/>
      <w:szCs w:val="20"/>
    </w:rPr>
  </w:style>
  <w:style w:type="paragraph" w:styleId="Heading1">
    <w:name w:val="heading 1"/>
    <w:basedOn w:val="Normal"/>
    <w:next w:val="Normal"/>
    <w:link w:val="Heading1Char"/>
    <w:qFormat w:val="1"/>
    <w:rsid w:val="008434C3"/>
    <w:pPr>
      <w:keepNext w:val="1"/>
      <w:ind w:left="-563"/>
      <w:jc w:val="center"/>
      <w:outlineLvl w:val="0"/>
    </w:pPr>
    <w:rPr>
      <w:b w:val="1"/>
      <w:sz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8434C3"/>
    <w:rPr>
      <w:rFonts w:ascii="Times New Roman" w:cs="Times New Roman" w:eastAsia="Times New Roman" w:hAnsi="Times New Roman"/>
      <w:b w:val="1"/>
      <w:sz w:val="18"/>
      <w:szCs w:val="20"/>
    </w:rPr>
  </w:style>
  <w:style w:type="paragraph" w:styleId="Header">
    <w:name w:val="header"/>
    <w:basedOn w:val="Normal"/>
    <w:link w:val="HeaderChar"/>
    <w:uiPriority w:val="99"/>
    <w:rsid w:val="008434C3"/>
    <w:pPr>
      <w:tabs>
        <w:tab w:val="center" w:pos="4153"/>
        <w:tab w:val="right" w:pos="8306"/>
      </w:tabs>
    </w:pPr>
    <w:rPr>
      <w:snapToGrid w:val="0"/>
      <w:lang w:val="en-AU"/>
    </w:rPr>
  </w:style>
  <w:style w:type="character" w:styleId="HeaderChar" w:customStyle="1">
    <w:name w:val="Header Char"/>
    <w:basedOn w:val="DefaultParagraphFont"/>
    <w:link w:val="Header"/>
    <w:uiPriority w:val="99"/>
    <w:rsid w:val="008434C3"/>
    <w:rPr>
      <w:rFonts w:ascii="Times New Roman" w:cs="Times New Roman" w:eastAsia="Times New Roman" w:hAnsi="Times New Roman"/>
      <w:snapToGrid w:val="0"/>
      <w:sz w:val="20"/>
      <w:szCs w:val="20"/>
      <w:lang w:val="en-AU"/>
    </w:rPr>
  </w:style>
  <w:style w:type="paragraph" w:styleId="Footer">
    <w:name w:val="footer"/>
    <w:basedOn w:val="Normal"/>
    <w:link w:val="FooterChar"/>
    <w:uiPriority w:val="99"/>
    <w:rsid w:val="008434C3"/>
    <w:pPr>
      <w:tabs>
        <w:tab w:val="center" w:pos="4153"/>
        <w:tab w:val="right" w:pos="8306"/>
      </w:tabs>
    </w:pPr>
  </w:style>
  <w:style w:type="character" w:styleId="FooterChar" w:customStyle="1">
    <w:name w:val="Footer Char"/>
    <w:basedOn w:val="DefaultParagraphFont"/>
    <w:link w:val="Footer"/>
    <w:uiPriority w:val="99"/>
    <w:rsid w:val="008434C3"/>
    <w:rPr>
      <w:rFonts w:ascii="Times New Roman" w:cs="Times New Roman" w:eastAsia="Times New Roman" w:hAnsi="Times New Roman"/>
      <w:sz w:val="20"/>
      <w:szCs w:val="20"/>
    </w:rPr>
  </w:style>
  <w:style w:type="table" w:styleId="TableGrid">
    <w:name w:val="Table Grid"/>
    <w:basedOn w:val="TableNormal"/>
    <w:uiPriority w:val="59"/>
    <w:rsid w:val="008434C3"/>
    <w:pPr>
      <w:spacing w:after="0" w:line="240" w:lineRule="auto"/>
    </w:pPr>
    <w:rPr>
      <w:rFonts w:ascii="Times New Roman" w:cs="Times New Roman" w:eastAsia="Times New Roman" w:hAnsi="Times New Roman"/>
      <w:sz w:val="20"/>
      <w:szCs w:val="20"/>
      <w:lang w:eastAsia="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otnoteReference">
    <w:name w:val="footnote reference"/>
    <w:aliases w:val="4_G"/>
    <w:uiPriority w:val="99"/>
    <w:qFormat w:val="1"/>
    <w:rsid w:val="008434C3"/>
    <w:rPr>
      <w:rFonts w:cs="Times New Roman"/>
      <w:vertAlign w:val="superscript"/>
    </w:rPr>
  </w:style>
  <w:style w:type="character" w:styleId="Hyperlink">
    <w:name w:val="Hyperlink"/>
    <w:rsid w:val="008434C3"/>
    <w:rPr>
      <w:color w:val="0000ff"/>
      <w:u w:val="single"/>
    </w:rPr>
  </w:style>
  <w:style w:type="paragraph" w:styleId="ListParagraph">
    <w:name w:val="List Paragraph"/>
    <w:basedOn w:val="Normal"/>
    <w:uiPriority w:val="34"/>
    <w:qFormat w:val="1"/>
    <w:rsid w:val="008434C3"/>
    <w:pPr>
      <w:ind w:left="720"/>
      <w:contextualSpacing w:val="1"/>
    </w:pPr>
  </w:style>
  <w:style w:type="paragraph" w:styleId="BodyA" w:customStyle="1">
    <w:name w:val="Body A"/>
    <w:uiPriority w:val="99"/>
    <w:rsid w:val="008434C3"/>
    <w:pPr>
      <w:pBdr>
        <w:top w:space="0" w:sz="0" w:val="nil"/>
        <w:left w:space="0" w:sz="0" w:val="nil"/>
        <w:bottom w:space="0" w:sz="0" w:val="nil"/>
        <w:right w:space="0" w:sz="0" w:val="nil"/>
        <w:between w:space="0" w:sz="0" w:val="nil"/>
        <w:bar w:space="0" w:sz="0" w:val="nil"/>
      </w:pBdr>
      <w:spacing w:after="0" w:line="240" w:lineRule="auto"/>
    </w:pPr>
    <w:rPr>
      <w:rFonts w:ascii="Cambria" w:cs="Arial Unicode MS" w:eastAsia="Arial Unicode MS" w:hAnsi="Cambria"/>
      <w:color w:val="000000"/>
      <w:sz w:val="24"/>
      <w:szCs w:val="24"/>
      <w:u w:color="000000"/>
      <w:bdr w:space="0" w:sz="0" w:val="nil"/>
      <w:lang w:eastAsia="en-GB" w:val="en-US"/>
      <w14:textOutline w14:cap="flat" w14:cmpd="sng" w14:w="12700" w14:algn="ctr">
        <w14:noFill/>
        <w14:prstDash w14:val="solid"/>
        <w14:miter w14:lim="400000"/>
      </w14:textOutline>
    </w:rPr>
  </w:style>
  <w:style w:type="character" w:styleId="None" w:customStyle="1">
    <w:name w:val="None"/>
    <w:rsid w:val="008434C3"/>
  </w:style>
  <w:style w:type="paragraph" w:styleId="NormalWeb">
    <w:name w:val="Normal (Web)"/>
    <w:basedOn w:val="Normal"/>
    <w:uiPriority w:val="99"/>
    <w:unhideWhenUsed w:val="1"/>
    <w:rsid w:val="008434C3"/>
    <w:pPr>
      <w:spacing w:before="120"/>
    </w:pPr>
    <w:rPr>
      <w:rFonts w:ascii="Verdana" w:eastAsia="Helvetica Neue" w:hAnsi="Verdana"/>
      <w:szCs w:val="24"/>
      <w:lang w:val="en"/>
    </w:rPr>
  </w:style>
  <w:style w:type="character" w:styleId="Instructions" w:customStyle="1">
    <w:name w:val="Instructions"/>
    <w:basedOn w:val="DefaultParagraphFont"/>
    <w:uiPriority w:val="1"/>
    <w:qFormat w:val="1"/>
    <w:rsid w:val="008434C3"/>
    <w:rPr>
      <w:color w:val="ff0000"/>
    </w:rPr>
  </w:style>
  <w:style w:type="paragraph" w:styleId="Normal1" w:customStyle="1">
    <w:name w:val="Normal1"/>
    <w:rsid w:val="008434C3"/>
    <w:pPr>
      <w:spacing w:after="0" w:line="240" w:lineRule="auto"/>
    </w:pPr>
    <w:rPr>
      <w:rFonts w:ascii="Helvetica Neue" w:cs="Helvetica Neue" w:eastAsia="Helvetica Neue" w:hAnsi="Helvetica Neue"/>
      <w:sz w:val="24"/>
      <w:szCs w:val="24"/>
      <w:lang w:val="en-US"/>
    </w:rPr>
  </w:style>
  <w:style w:type="paragraph" w:styleId="FootnoteText">
    <w:name w:val="footnote text"/>
    <w:aliases w:val="5_G"/>
    <w:basedOn w:val="Normal"/>
    <w:link w:val="FootnoteTextChar"/>
    <w:uiPriority w:val="99"/>
    <w:qFormat w:val="1"/>
    <w:rsid w:val="008434C3"/>
    <w:pPr>
      <w:tabs>
        <w:tab w:val="right" w:pos="1021"/>
      </w:tabs>
      <w:suppressAutoHyphens w:val="1"/>
      <w:spacing w:line="220" w:lineRule="exact"/>
      <w:ind w:left="1134" w:right="1134" w:hanging="1134"/>
    </w:pPr>
    <w:rPr>
      <w:sz w:val="18"/>
    </w:rPr>
  </w:style>
  <w:style w:type="character" w:styleId="FootnoteTextChar" w:customStyle="1">
    <w:name w:val="Footnote Text Char"/>
    <w:aliases w:val="5_G Char"/>
    <w:basedOn w:val="DefaultParagraphFont"/>
    <w:link w:val="FootnoteText"/>
    <w:uiPriority w:val="99"/>
    <w:rsid w:val="008434C3"/>
    <w:rPr>
      <w:rFonts w:ascii="Times New Roman" w:cs="Times New Roman" w:eastAsia="Times New Roman" w:hAnsi="Times New Roman"/>
      <w:sz w:val="18"/>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11" Type="http://schemas.openxmlformats.org/officeDocument/2006/relationships/footer" Target="footer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s://www.unaids.org/en/resources/presscentre/featurestories/2020/april/20200406_transgender_covid19" TargetMode="External"/><Relationship Id="rId2" Type="http://schemas.openxmlformats.org/officeDocument/2006/relationships/hyperlink" Target="https://outrightinternational.org/sites/default/files/2022-10/COVIDsReportDesign_FINAL_LR_0.pdf" TargetMode="External"/><Relationship Id="rId3" Type="http://schemas.openxmlformats.org/officeDocument/2006/relationships/hyperlink" Target="https://unsdg.un.org/2030-agenda/universal-values/leave-no-one-behind" TargetMode="External"/><Relationship Id="rId4" Type="http://schemas.openxmlformats.org/officeDocument/2006/relationships/hyperlink" Target="https://sdgs.un.org/#goal_section" TargetMode="External"/><Relationship Id="rId5" Type="http://schemas.openxmlformats.org/officeDocument/2006/relationships/hyperlink" Target="https://outrightinternational.org/sites/default/files/2022-09/BriefingPaper_0821.pdf" TargetMode="External"/><Relationship Id="rId6" Type="http://schemas.openxmlformats.org/officeDocument/2006/relationships/hyperlink" Target="https://outrightinternational.org/sites/default/files/2022-10/BriefingPaperNov2020WDonor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5+GYucbh7r6hmdcOwN4RuBReIJA==">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Outright International</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C1EB5ECE-1EC9-4613-9551-60C1853A6D22}"/>
</file>

<file path=customXML/itemProps3.xml><?xml version="1.0" encoding="utf-8"?>
<ds:datastoreItem xmlns:ds="http://schemas.openxmlformats.org/officeDocument/2006/customXml" ds:itemID="{A8B8FD8F-70F5-45F1-BAE8-B3B83B643061}"/>
</file>

<file path=customXML/itemProps4.xml><?xml version="1.0" encoding="utf-8"?>
<ds:datastoreItem xmlns:ds="http://schemas.openxmlformats.org/officeDocument/2006/customXml" ds:itemID="{DE0F5DC6-65C0-4864-B94B-E58FCDEEDEA2}"/>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HECHENLEITNER SCHACHT Karin</dc:creator>
  <dcterms:created xsi:type="dcterms:W3CDTF">2023-02-16T10:19:00Z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