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86A9" w14:textId="77777777" w:rsidR="0032107E" w:rsidRPr="0032107E" w:rsidRDefault="0032107E" w:rsidP="008501D6">
      <w:pPr>
        <w:spacing w:line="360" w:lineRule="auto"/>
        <w:jc w:val="center"/>
        <w:rPr>
          <w:rFonts w:ascii="Arial" w:hAnsi="Arial" w:cs="Arial"/>
          <w:b/>
          <w:bCs/>
          <w:sz w:val="22"/>
          <w:szCs w:val="22"/>
          <w:lang w:val="en-ZA"/>
        </w:rPr>
      </w:pPr>
      <w:bookmarkStart w:id="0" w:name="_heading=h.gjdgxs" w:colFirst="0" w:colLast="0"/>
      <w:bookmarkEnd w:id="0"/>
      <w:r w:rsidRPr="0032107E">
        <w:rPr>
          <w:rFonts w:ascii="Arial" w:hAnsi="Arial" w:cs="Arial"/>
          <w:b/>
          <w:bCs/>
          <w:sz w:val="22"/>
          <w:szCs w:val="22"/>
          <w:lang w:val="en-ZA"/>
        </w:rPr>
        <w:t>INPUT TO POLICY BRIEF ON UNIVERSAL HEALTH COVERAGE:</w:t>
      </w:r>
    </w:p>
    <w:p w14:paraId="4C39EC2B" w14:textId="77777777" w:rsidR="0032107E" w:rsidRPr="0032107E" w:rsidRDefault="0032107E" w:rsidP="008501D6">
      <w:pPr>
        <w:spacing w:line="360" w:lineRule="auto"/>
        <w:jc w:val="center"/>
        <w:rPr>
          <w:rFonts w:ascii="Arial" w:hAnsi="Arial" w:cs="Arial"/>
          <w:b/>
          <w:bCs/>
          <w:sz w:val="22"/>
          <w:szCs w:val="22"/>
          <w:lang w:val="en-ZA"/>
        </w:rPr>
      </w:pPr>
      <w:r w:rsidRPr="0032107E">
        <w:rPr>
          <w:rFonts w:ascii="Arial" w:hAnsi="Arial" w:cs="Arial"/>
          <w:b/>
          <w:bCs/>
          <w:sz w:val="22"/>
          <w:szCs w:val="22"/>
          <w:lang w:val="en-ZA"/>
        </w:rPr>
        <w:t>SUBMISSION TO THE OFFICE OF THE UNITED NATIONS HIGH COMMISSIONER FOR HUMAN RIGHTS: EXAMPLES OF A HUMAN RIGHTS-BASED APPROACH TO UNIVERSAL HEALTH COVERAGE</w:t>
      </w:r>
    </w:p>
    <w:p w14:paraId="69C06262" w14:textId="77777777" w:rsidR="0032107E" w:rsidRPr="0032107E" w:rsidRDefault="0032107E" w:rsidP="008501D6">
      <w:pPr>
        <w:spacing w:line="360" w:lineRule="auto"/>
        <w:rPr>
          <w:rFonts w:ascii="Arial" w:hAnsi="Arial" w:cs="Arial"/>
          <w:sz w:val="22"/>
          <w:szCs w:val="22"/>
          <w:lang w:val="en-ZA"/>
        </w:rPr>
      </w:pPr>
    </w:p>
    <w:p w14:paraId="7E0A7645" w14:textId="77777777" w:rsidR="0032107E" w:rsidRPr="0032107E" w:rsidRDefault="0032107E" w:rsidP="008501D6">
      <w:pPr>
        <w:spacing w:line="360" w:lineRule="auto"/>
        <w:jc w:val="center"/>
        <w:rPr>
          <w:rFonts w:ascii="Arial" w:hAnsi="Arial" w:cs="Arial"/>
          <w:sz w:val="22"/>
          <w:szCs w:val="22"/>
          <w:lang w:val="en-ZA"/>
        </w:rPr>
      </w:pPr>
      <w:r w:rsidRPr="0032107E">
        <w:rPr>
          <w:rFonts w:ascii="Arial" w:hAnsi="Arial" w:cs="Arial"/>
          <w:sz w:val="22"/>
          <w:szCs w:val="22"/>
          <w:lang w:val="en-ZA"/>
        </w:rPr>
        <w:t>3 April 2023</w:t>
      </w:r>
    </w:p>
    <w:p w14:paraId="72683198" w14:textId="77777777" w:rsidR="0032107E" w:rsidRPr="0032107E" w:rsidRDefault="0032107E" w:rsidP="008501D6">
      <w:pPr>
        <w:spacing w:line="360" w:lineRule="auto"/>
        <w:rPr>
          <w:rFonts w:ascii="Arial" w:hAnsi="Arial" w:cs="Arial"/>
          <w:sz w:val="22"/>
          <w:szCs w:val="22"/>
          <w:lang w:val="en-ZA"/>
        </w:rPr>
      </w:pPr>
    </w:p>
    <w:p w14:paraId="2243903A" w14:textId="75680EA0" w:rsidR="0032107E" w:rsidRPr="0032107E" w:rsidRDefault="00D2003B" w:rsidP="008501D6">
      <w:pPr>
        <w:spacing w:line="360" w:lineRule="auto"/>
        <w:rPr>
          <w:rFonts w:ascii="Arial" w:hAnsi="Arial" w:cs="Arial"/>
          <w:sz w:val="22"/>
          <w:szCs w:val="22"/>
          <w:lang w:val="en-ZA"/>
        </w:rPr>
      </w:pPr>
      <w:r>
        <w:rPr>
          <w:rFonts w:ascii="Arial" w:hAnsi="Arial" w:cs="Arial"/>
          <w:sz w:val="22"/>
          <w:szCs w:val="22"/>
          <w:lang w:val="en-ZA"/>
        </w:rPr>
        <w:t xml:space="preserve">SUBMITTED </w:t>
      </w:r>
      <w:r w:rsidR="0032107E" w:rsidRPr="0032107E">
        <w:rPr>
          <w:rFonts w:ascii="Arial" w:hAnsi="Arial" w:cs="Arial"/>
          <w:sz w:val="22"/>
          <w:szCs w:val="22"/>
          <w:lang w:val="en-ZA"/>
        </w:rPr>
        <w:t>BY GATE (GLOBAL ACTION FOR TRANS EQUALITY)</w:t>
      </w:r>
    </w:p>
    <w:p w14:paraId="1500CC3A" w14:textId="0B05B199" w:rsidR="0032107E" w:rsidRPr="00124E75" w:rsidRDefault="0032107E" w:rsidP="008501D6">
      <w:pPr>
        <w:spacing w:line="360" w:lineRule="auto"/>
        <w:rPr>
          <w:rFonts w:ascii="Arial" w:hAnsi="Arial" w:cs="Arial"/>
          <w:b/>
          <w:bCs/>
          <w:sz w:val="22"/>
          <w:szCs w:val="22"/>
          <w:lang w:val="es-ES"/>
        </w:rPr>
      </w:pPr>
      <w:r w:rsidRPr="00124E75">
        <w:rPr>
          <w:rFonts w:ascii="Arial" w:hAnsi="Arial" w:cs="Arial"/>
          <w:sz w:val="22"/>
          <w:szCs w:val="22"/>
          <w:lang w:val="es-ES"/>
        </w:rPr>
        <w:t xml:space="preserve">Erika Castellanos: </w:t>
      </w:r>
      <w:hyperlink r:id="rId9" w:history="1">
        <w:r w:rsidR="00591DF6" w:rsidRPr="00124E75">
          <w:rPr>
            <w:rStyle w:val="Hyperlink"/>
            <w:rFonts w:ascii="Arial" w:hAnsi="Arial" w:cs="Arial"/>
            <w:sz w:val="22"/>
            <w:szCs w:val="22"/>
            <w:lang w:val="es-ES"/>
          </w:rPr>
          <w:t>ecastellanos@gate.ngo</w:t>
        </w:r>
      </w:hyperlink>
      <w:r w:rsidR="00591DF6" w:rsidRPr="00124E75">
        <w:rPr>
          <w:rFonts w:ascii="Arial" w:hAnsi="Arial" w:cs="Arial"/>
          <w:sz w:val="22"/>
          <w:szCs w:val="22"/>
          <w:lang w:val="es-ES"/>
        </w:rPr>
        <w:t xml:space="preserve"> </w:t>
      </w:r>
    </w:p>
    <w:p w14:paraId="5AA787AA" w14:textId="77777777" w:rsidR="0032107E" w:rsidRPr="00124E75" w:rsidRDefault="0032107E" w:rsidP="008501D6">
      <w:pPr>
        <w:spacing w:line="360" w:lineRule="auto"/>
        <w:rPr>
          <w:rFonts w:ascii="Arial" w:hAnsi="Arial" w:cs="Arial"/>
          <w:sz w:val="22"/>
          <w:szCs w:val="22"/>
          <w:lang w:val="es-ES"/>
        </w:rPr>
      </w:pPr>
      <w:r w:rsidRPr="00124E75">
        <w:rPr>
          <w:rFonts w:ascii="Arial" w:hAnsi="Arial" w:cs="Arial"/>
          <w:sz w:val="22"/>
          <w:szCs w:val="22"/>
          <w:lang w:val="es-ES"/>
        </w:rPr>
        <w:t xml:space="preserve">Anil Padavatan: </w:t>
      </w:r>
      <w:hyperlink r:id="rId10" w:history="1">
        <w:r w:rsidRPr="00124E75">
          <w:rPr>
            <w:rStyle w:val="Hyperlink"/>
            <w:rFonts w:ascii="Arial" w:hAnsi="Arial" w:cs="Arial"/>
            <w:sz w:val="22"/>
            <w:szCs w:val="22"/>
            <w:lang w:val="es-ES"/>
          </w:rPr>
          <w:t>padavatan@gate.ngo</w:t>
        </w:r>
      </w:hyperlink>
      <w:r w:rsidRPr="00124E75">
        <w:rPr>
          <w:rFonts w:ascii="Arial" w:hAnsi="Arial" w:cs="Arial"/>
          <w:sz w:val="22"/>
          <w:szCs w:val="22"/>
          <w:lang w:val="es-ES"/>
        </w:rPr>
        <w:t xml:space="preserve"> </w:t>
      </w:r>
    </w:p>
    <w:p w14:paraId="00000002" w14:textId="77777777" w:rsidR="004718C2" w:rsidRPr="00124E75" w:rsidRDefault="004718C2" w:rsidP="008501D6">
      <w:pPr>
        <w:spacing w:line="360" w:lineRule="auto"/>
        <w:rPr>
          <w:rFonts w:ascii="Arial" w:hAnsi="Arial" w:cs="Arial"/>
          <w:sz w:val="22"/>
          <w:szCs w:val="22"/>
          <w:lang w:val="es-ES"/>
        </w:rPr>
      </w:pPr>
    </w:p>
    <w:p w14:paraId="26303B8D" w14:textId="77777777" w:rsidR="004E6EBE" w:rsidRPr="004E6EBE" w:rsidRDefault="004E6EBE" w:rsidP="008501D6">
      <w:pPr>
        <w:spacing w:line="360" w:lineRule="auto"/>
        <w:rPr>
          <w:rFonts w:ascii="Arial" w:hAnsi="Arial" w:cs="Arial"/>
          <w:b/>
          <w:bCs/>
          <w:sz w:val="22"/>
          <w:szCs w:val="22"/>
          <w:lang w:val="en-ZA"/>
        </w:rPr>
      </w:pPr>
      <w:r w:rsidRPr="004E6EBE">
        <w:rPr>
          <w:rFonts w:ascii="Arial" w:hAnsi="Arial" w:cs="Arial"/>
          <w:b/>
          <w:bCs/>
          <w:sz w:val="22"/>
          <w:szCs w:val="22"/>
          <w:lang w:val="en-ZA"/>
        </w:rPr>
        <w:t>Introduction</w:t>
      </w:r>
    </w:p>
    <w:p w14:paraId="236967BE" w14:textId="78178DEC" w:rsidR="004E6EBE" w:rsidRPr="004E6EBE" w:rsidRDefault="004E6EBE" w:rsidP="008501D6">
      <w:pPr>
        <w:spacing w:line="360" w:lineRule="auto"/>
        <w:rPr>
          <w:rFonts w:ascii="Arial" w:hAnsi="Arial" w:cs="Arial"/>
          <w:sz w:val="22"/>
          <w:szCs w:val="22"/>
          <w:lang w:val="en-ZA"/>
        </w:rPr>
      </w:pPr>
      <w:r w:rsidRPr="004E6EBE">
        <w:rPr>
          <w:rFonts w:ascii="Arial" w:hAnsi="Arial" w:cs="Arial"/>
          <w:sz w:val="22"/>
          <w:szCs w:val="22"/>
          <w:lang w:val="en-ZA"/>
        </w:rPr>
        <w:t xml:space="preserve">GATE </w:t>
      </w:r>
      <w:bookmarkStart w:id="1" w:name="_Hlk131169587"/>
      <w:r w:rsidRPr="004E6EBE">
        <w:rPr>
          <w:rFonts w:ascii="Arial" w:hAnsi="Arial" w:cs="Arial"/>
          <w:sz w:val="22"/>
          <w:szCs w:val="22"/>
          <w:lang w:val="en-ZA"/>
        </w:rPr>
        <w:t>(Global Action for Trans Equality</w:t>
      </w:r>
      <w:bookmarkEnd w:id="1"/>
      <w:r w:rsidRPr="004E6EBE">
        <w:rPr>
          <w:rFonts w:ascii="Arial" w:hAnsi="Arial" w:cs="Arial"/>
          <w:sz w:val="22"/>
          <w:szCs w:val="22"/>
          <w:vertAlign w:val="superscript"/>
          <w:lang w:val="en-ZA"/>
        </w:rPr>
        <w:footnoteReference w:id="1"/>
      </w:r>
      <w:r w:rsidRPr="004E6EBE">
        <w:rPr>
          <w:rFonts w:ascii="Arial" w:hAnsi="Arial" w:cs="Arial"/>
          <w:sz w:val="22"/>
          <w:szCs w:val="22"/>
          <w:lang w:val="en-ZA"/>
        </w:rPr>
        <w:t>) is an international advocacy organization campaigning globally for trans, gender diverse</w:t>
      </w:r>
      <w:r w:rsidR="00124E75">
        <w:rPr>
          <w:rFonts w:ascii="Arial" w:hAnsi="Arial" w:cs="Arial"/>
          <w:sz w:val="22"/>
          <w:szCs w:val="22"/>
          <w:lang w:val="en-ZA"/>
        </w:rPr>
        <w:t>,</w:t>
      </w:r>
      <w:r w:rsidRPr="004E6EBE">
        <w:rPr>
          <w:rFonts w:ascii="Arial" w:hAnsi="Arial" w:cs="Arial"/>
          <w:sz w:val="22"/>
          <w:szCs w:val="22"/>
          <w:lang w:val="en-ZA"/>
        </w:rPr>
        <w:t xml:space="preserve"> and intersex equality.  GATE seeks to ensure that trans, gender diverse, and intersex (TGDI) people can enjoy their human rights and achieve the highest level of health and </w:t>
      </w:r>
      <w:r w:rsidR="00124E75">
        <w:rPr>
          <w:rFonts w:ascii="Arial" w:hAnsi="Arial" w:cs="Arial"/>
          <w:sz w:val="22"/>
          <w:szCs w:val="22"/>
          <w:lang w:val="en-ZA"/>
        </w:rPr>
        <w:t>well-being</w:t>
      </w:r>
      <w:r w:rsidRPr="004E6EBE">
        <w:rPr>
          <w:rFonts w:ascii="Arial" w:hAnsi="Arial" w:cs="Arial"/>
          <w:sz w:val="22"/>
          <w:szCs w:val="22"/>
          <w:lang w:val="en-ZA"/>
        </w:rPr>
        <w:t xml:space="preserve"> possible. We do this through advocacy, knowledge generation, movement building, and capacity building and training.</w:t>
      </w:r>
    </w:p>
    <w:p w14:paraId="1DBD9D7F" w14:textId="09BCEBCC" w:rsidR="004E6EBE" w:rsidRPr="004E6EBE" w:rsidRDefault="004E6EBE" w:rsidP="008501D6">
      <w:pPr>
        <w:spacing w:line="360" w:lineRule="auto"/>
        <w:rPr>
          <w:rFonts w:ascii="Arial" w:hAnsi="Arial" w:cs="Arial"/>
          <w:sz w:val="22"/>
          <w:szCs w:val="22"/>
          <w:lang w:val="en-ZA"/>
        </w:rPr>
      </w:pPr>
      <w:r w:rsidRPr="004E6EBE">
        <w:rPr>
          <w:rFonts w:ascii="Arial" w:hAnsi="Arial" w:cs="Arial"/>
          <w:sz w:val="22"/>
          <w:szCs w:val="22"/>
          <w:lang w:val="en-ZA"/>
        </w:rPr>
        <w:t>GATE focuses on advocating for the human rights of trans, gender diverse, and intersex people while also playing a pivotal role in strengthening the global trans, gender diverse, and intersex (TGDI) movements through training, capacity building, resource mobilization</w:t>
      </w:r>
      <w:r w:rsidR="00124E75">
        <w:rPr>
          <w:rFonts w:ascii="Arial" w:hAnsi="Arial" w:cs="Arial"/>
          <w:sz w:val="22"/>
          <w:szCs w:val="22"/>
          <w:lang w:val="en-ZA"/>
        </w:rPr>
        <w:t>,</w:t>
      </w:r>
      <w:r w:rsidRPr="004E6EBE">
        <w:rPr>
          <w:rFonts w:ascii="Arial" w:hAnsi="Arial" w:cs="Arial"/>
          <w:sz w:val="22"/>
          <w:szCs w:val="22"/>
          <w:lang w:val="en-ZA"/>
        </w:rPr>
        <w:t xml:space="preserve"> and political mobilization. Additionally, GATE prioritizes its institutional strengthening to ensure that we can continue to grow and develop as the leading advocacy and expert organization advancing the rights, health, and well-being of trans, gender diverse, and intersex (TGDI) people in a sustainable way.</w:t>
      </w:r>
    </w:p>
    <w:p w14:paraId="6A0EBB28" w14:textId="77777777" w:rsidR="0032107E" w:rsidRPr="008501D6" w:rsidRDefault="0032107E" w:rsidP="008501D6">
      <w:pPr>
        <w:spacing w:line="360" w:lineRule="auto"/>
        <w:rPr>
          <w:rFonts w:ascii="Arial" w:hAnsi="Arial" w:cs="Arial"/>
          <w:sz w:val="22"/>
          <w:szCs w:val="22"/>
        </w:rPr>
      </w:pPr>
    </w:p>
    <w:p w14:paraId="74D18F7F" w14:textId="5FA06721" w:rsidR="00A73ADD" w:rsidRDefault="00A73ADD" w:rsidP="00A73ADD">
      <w:pPr>
        <w:spacing w:line="360" w:lineRule="auto"/>
        <w:rPr>
          <w:rFonts w:ascii="Arial" w:hAnsi="Arial" w:cs="Arial"/>
          <w:b/>
          <w:bCs/>
          <w:sz w:val="22"/>
          <w:szCs w:val="22"/>
          <w:lang w:val="en-ZA"/>
        </w:rPr>
      </w:pPr>
      <w:r w:rsidRPr="00A73ADD">
        <w:rPr>
          <w:rFonts w:ascii="Arial" w:hAnsi="Arial" w:cs="Arial"/>
          <w:b/>
          <w:bCs/>
          <w:sz w:val="22"/>
          <w:szCs w:val="22"/>
          <w:lang w:val="en-ZA"/>
        </w:rPr>
        <w:t>Transgender</w:t>
      </w:r>
      <w:r w:rsidR="00694F25">
        <w:rPr>
          <w:rFonts w:ascii="Arial" w:hAnsi="Arial" w:cs="Arial"/>
          <w:b/>
          <w:bCs/>
          <w:sz w:val="22"/>
          <w:szCs w:val="22"/>
          <w:lang w:val="en-ZA"/>
        </w:rPr>
        <w:t xml:space="preserve">, </w:t>
      </w:r>
      <w:r w:rsidRPr="00A73ADD">
        <w:rPr>
          <w:rFonts w:ascii="Arial" w:hAnsi="Arial" w:cs="Arial"/>
          <w:b/>
          <w:bCs/>
          <w:sz w:val="22"/>
          <w:szCs w:val="22"/>
          <w:lang w:val="en-ZA"/>
        </w:rPr>
        <w:t>gender diverse</w:t>
      </w:r>
      <w:r w:rsidR="00124E75">
        <w:rPr>
          <w:rFonts w:ascii="Arial" w:hAnsi="Arial" w:cs="Arial"/>
          <w:b/>
          <w:bCs/>
          <w:sz w:val="22"/>
          <w:szCs w:val="22"/>
          <w:lang w:val="en-ZA"/>
        </w:rPr>
        <w:t>,</w:t>
      </w:r>
      <w:r w:rsidR="00694F25">
        <w:rPr>
          <w:rFonts w:ascii="Arial" w:hAnsi="Arial" w:cs="Arial"/>
          <w:b/>
          <w:bCs/>
          <w:sz w:val="22"/>
          <w:szCs w:val="22"/>
          <w:lang w:val="en-ZA"/>
        </w:rPr>
        <w:t xml:space="preserve"> and intersex</w:t>
      </w:r>
      <w:r w:rsidRPr="00A73ADD">
        <w:rPr>
          <w:rFonts w:ascii="Arial" w:hAnsi="Arial" w:cs="Arial"/>
          <w:b/>
          <w:bCs/>
          <w:sz w:val="22"/>
          <w:szCs w:val="22"/>
          <w:lang w:val="en-ZA"/>
        </w:rPr>
        <w:t xml:space="preserve"> persons as a </w:t>
      </w:r>
      <w:r w:rsidR="00124E75">
        <w:rPr>
          <w:rFonts w:ascii="Arial" w:hAnsi="Arial" w:cs="Arial"/>
          <w:b/>
          <w:bCs/>
          <w:sz w:val="22"/>
          <w:szCs w:val="22"/>
          <w:lang w:val="en-ZA"/>
        </w:rPr>
        <w:t>marginalized</w:t>
      </w:r>
      <w:r w:rsidRPr="00A73ADD">
        <w:rPr>
          <w:rFonts w:ascii="Arial" w:hAnsi="Arial" w:cs="Arial"/>
          <w:b/>
          <w:bCs/>
          <w:sz w:val="22"/>
          <w:szCs w:val="22"/>
          <w:lang w:val="en-ZA"/>
        </w:rPr>
        <w:t xml:space="preserve"> population most left behind</w:t>
      </w:r>
      <w:r w:rsidR="007B09B9">
        <w:rPr>
          <w:rFonts w:ascii="Arial" w:hAnsi="Arial" w:cs="Arial"/>
          <w:b/>
          <w:bCs/>
          <w:sz w:val="22"/>
          <w:szCs w:val="22"/>
          <w:lang w:val="en-ZA"/>
        </w:rPr>
        <w:t xml:space="preserve"> in access to </w:t>
      </w:r>
      <w:r w:rsidR="00124E75">
        <w:rPr>
          <w:rFonts w:ascii="Arial" w:hAnsi="Arial" w:cs="Arial"/>
          <w:b/>
          <w:bCs/>
          <w:sz w:val="22"/>
          <w:szCs w:val="22"/>
          <w:lang w:val="en-ZA"/>
        </w:rPr>
        <w:t>healthcare</w:t>
      </w:r>
    </w:p>
    <w:p w14:paraId="1C0A2DAA" w14:textId="77777777" w:rsidR="007B09B9" w:rsidRPr="007B09B9" w:rsidRDefault="007B09B9" w:rsidP="00A73ADD">
      <w:pPr>
        <w:spacing w:line="360" w:lineRule="auto"/>
        <w:rPr>
          <w:rFonts w:ascii="Arial" w:hAnsi="Arial" w:cs="Arial"/>
          <w:sz w:val="22"/>
          <w:szCs w:val="22"/>
          <w:lang w:val="en-ZA"/>
        </w:rPr>
      </w:pPr>
    </w:p>
    <w:p w14:paraId="51E1F12F" w14:textId="0290CC46" w:rsidR="00AF7508" w:rsidRPr="00AF7508" w:rsidRDefault="00AF7508" w:rsidP="00AF7508">
      <w:pPr>
        <w:spacing w:line="360" w:lineRule="auto"/>
        <w:rPr>
          <w:rFonts w:ascii="Arial" w:hAnsi="Arial" w:cs="Arial"/>
          <w:sz w:val="22"/>
          <w:szCs w:val="22"/>
          <w:lang w:val="en-ZA"/>
        </w:rPr>
      </w:pPr>
      <w:r w:rsidRPr="00AF7508">
        <w:rPr>
          <w:rFonts w:ascii="Arial" w:hAnsi="Arial" w:cs="Arial"/>
          <w:sz w:val="22"/>
          <w:szCs w:val="22"/>
          <w:lang w:val="en-ZA"/>
        </w:rPr>
        <w:t>Globally, trans</w:t>
      </w:r>
      <w:r w:rsidR="00F101DA">
        <w:rPr>
          <w:rFonts w:ascii="Arial" w:hAnsi="Arial" w:cs="Arial"/>
          <w:sz w:val="22"/>
          <w:szCs w:val="22"/>
          <w:lang w:val="en-ZA"/>
        </w:rPr>
        <w:t xml:space="preserve">gender, </w:t>
      </w:r>
      <w:r w:rsidRPr="00AF7508">
        <w:rPr>
          <w:rFonts w:ascii="Arial" w:hAnsi="Arial" w:cs="Arial"/>
          <w:sz w:val="22"/>
          <w:szCs w:val="22"/>
          <w:lang w:val="en-ZA"/>
        </w:rPr>
        <w:t>gender diverse</w:t>
      </w:r>
      <w:r w:rsidR="00124E75">
        <w:rPr>
          <w:rFonts w:ascii="Arial" w:hAnsi="Arial" w:cs="Arial"/>
          <w:sz w:val="22"/>
          <w:szCs w:val="22"/>
          <w:lang w:val="en-ZA"/>
        </w:rPr>
        <w:t>,</w:t>
      </w:r>
      <w:r w:rsidRPr="00AF7508">
        <w:rPr>
          <w:rFonts w:ascii="Arial" w:hAnsi="Arial" w:cs="Arial"/>
          <w:sz w:val="22"/>
          <w:szCs w:val="22"/>
          <w:lang w:val="en-ZA"/>
        </w:rPr>
        <w:t xml:space="preserve"> </w:t>
      </w:r>
      <w:r w:rsidR="00F101DA">
        <w:rPr>
          <w:rFonts w:ascii="Arial" w:hAnsi="Arial" w:cs="Arial"/>
          <w:sz w:val="22"/>
          <w:szCs w:val="22"/>
          <w:lang w:val="en-ZA"/>
        </w:rPr>
        <w:t xml:space="preserve">and intersex (TGDI) </w:t>
      </w:r>
      <w:r w:rsidRPr="00AF7508">
        <w:rPr>
          <w:rFonts w:ascii="Arial" w:hAnsi="Arial" w:cs="Arial"/>
          <w:sz w:val="22"/>
          <w:szCs w:val="22"/>
          <w:lang w:val="en-ZA"/>
        </w:rPr>
        <w:t xml:space="preserve">communities are among the most </w:t>
      </w:r>
      <w:r w:rsidR="00124E75">
        <w:rPr>
          <w:rFonts w:ascii="Arial" w:hAnsi="Arial" w:cs="Arial"/>
          <w:sz w:val="22"/>
          <w:szCs w:val="22"/>
          <w:lang w:val="en-ZA"/>
        </w:rPr>
        <w:t>marginalized</w:t>
      </w:r>
      <w:r w:rsidRPr="00AF7508">
        <w:rPr>
          <w:rFonts w:ascii="Arial" w:hAnsi="Arial" w:cs="Arial"/>
          <w:sz w:val="22"/>
          <w:szCs w:val="22"/>
          <w:lang w:val="en-ZA"/>
        </w:rPr>
        <w:t xml:space="preserve"> sectors of society and continue to experience high levels of violence, discrimination</w:t>
      </w:r>
      <w:r w:rsidR="00124E75">
        <w:rPr>
          <w:rFonts w:ascii="Arial" w:hAnsi="Arial" w:cs="Arial"/>
          <w:sz w:val="22"/>
          <w:szCs w:val="22"/>
          <w:lang w:val="en-ZA"/>
        </w:rPr>
        <w:t>,</w:t>
      </w:r>
      <w:r w:rsidRPr="00AF7508">
        <w:rPr>
          <w:rFonts w:ascii="Arial" w:hAnsi="Arial" w:cs="Arial"/>
          <w:sz w:val="22"/>
          <w:szCs w:val="22"/>
          <w:lang w:val="en-ZA"/>
        </w:rPr>
        <w:t xml:space="preserve"> and stigma</w:t>
      </w:r>
      <w:r w:rsidR="00A14A45">
        <w:rPr>
          <w:rStyle w:val="FootnoteReference"/>
          <w:rFonts w:ascii="Arial" w:hAnsi="Arial" w:cs="Arial"/>
          <w:sz w:val="22"/>
          <w:szCs w:val="22"/>
          <w:lang w:val="en-ZA"/>
        </w:rPr>
        <w:footnoteReference w:id="2"/>
      </w:r>
      <w:r w:rsidRPr="00AF7508">
        <w:rPr>
          <w:rFonts w:ascii="Arial" w:hAnsi="Arial" w:cs="Arial"/>
          <w:sz w:val="22"/>
          <w:szCs w:val="22"/>
          <w:lang w:val="en-ZA"/>
        </w:rPr>
        <w:t xml:space="preserve">.  </w:t>
      </w:r>
      <w:r w:rsidR="00315547">
        <w:rPr>
          <w:rFonts w:ascii="Arial" w:hAnsi="Arial" w:cs="Arial"/>
          <w:sz w:val="22"/>
          <w:szCs w:val="22"/>
          <w:lang w:val="en-ZA"/>
        </w:rPr>
        <w:t xml:space="preserve">TGDI persons carry a disproportionate health burden and are at higher risk of </w:t>
      </w:r>
      <w:r w:rsidR="00945812">
        <w:rPr>
          <w:rFonts w:ascii="Arial" w:hAnsi="Arial" w:cs="Arial"/>
          <w:sz w:val="22"/>
          <w:szCs w:val="22"/>
          <w:lang w:val="en-ZA"/>
        </w:rPr>
        <w:t xml:space="preserve">TB, HIV, </w:t>
      </w:r>
      <w:r w:rsidR="00DF6F70">
        <w:rPr>
          <w:rFonts w:ascii="Arial" w:hAnsi="Arial" w:cs="Arial"/>
          <w:sz w:val="22"/>
          <w:szCs w:val="22"/>
          <w:lang w:val="en-ZA"/>
        </w:rPr>
        <w:t xml:space="preserve">mental health issues, </w:t>
      </w:r>
      <w:r w:rsidR="00A12FFE">
        <w:rPr>
          <w:rFonts w:ascii="Arial" w:hAnsi="Arial" w:cs="Arial"/>
          <w:sz w:val="22"/>
          <w:szCs w:val="22"/>
          <w:lang w:val="en-ZA"/>
        </w:rPr>
        <w:t xml:space="preserve">diabetes, </w:t>
      </w:r>
      <w:r w:rsidR="00ED0CD2">
        <w:rPr>
          <w:rFonts w:ascii="Arial" w:hAnsi="Arial" w:cs="Arial"/>
          <w:sz w:val="22"/>
          <w:szCs w:val="22"/>
          <w:lang w:val="en-ZA"/>
        </w:rPr>
        <w:t>hepatitis, and other</w:t>
      </w:r>
      <w:r w:rsidR="00DF6F70">
        <w:rPr>
          <w:rFonts w:ascii="Arial" w:hAnsi="Arial" w:cs="Arial"/>
          <w:sz w:val="22"/>
          <w:szCs w:val="22"/>
          <w:lang w:val="en-ZA"/>
        </w:rPr>
        <w:t xml:space="preserve"> health conditions </w:t>
      </w:r>
      <w:r w:rsidR="00DF6F70">
        <w:rPr>
          <w:rFonts w:ascii="Arial" w:hAnsi="Arial" w:cs="Arial"/>
          <w:sz w:val="22"/>
          <w:szCs w:val="22"/>
          <w:lang w:val="en-ZA"/>
        </w:rPr>
        <w:lastRenderedPageBreak/>
        <w:t>associated with socio-economic disadvantage</w:t>
      </w:r>
      <w:r w:rsidR="00ED0CD2">
        <w:rPr>
          <w:rStyle w:val="FootnoteReference"/>
          <w:rFonts w:ascii="Arial" w:hAnsi="Arial" w:cs="Arial"/>
          <w:sz w:val="22"/>
          <w:szCs w:val="22"/>
          <w:lang w:val="en-ZA"/>
        </w:rPr>
        <w:footnoteReference w:id="3"/>
      </w:r>
      <w:r w:rsidR="00DF6F70">
        <w:rPr>
          <w:rFonts w:ascii="Arial" w:hAnsi="Arial" w:cs="Arial"/>
          <w:sz w:val="22"/>
          <w:szCs w:val="22"/>
          <w:lang w:val="en-ZA"/>
        </w:rPr>
        <w:t xml:space="preserve">.  </w:t>
      </w:r>
      <w:r w:rsidR="00814B7E">
        <w:rPr>
          <w:rFonts w:ascii="Arial" w:hAnsi="Arial" w:cs="Arial"/>
          <w:sz w:val="22"/>
          <w:szCs w:val="22"/>
          <w:lang w:val="en-ZA"/>
        </w:rPr>
        <w:t>In addition</w:t>
      </w:r>
      <w:r w:rsidR="00124E75">
        <w:rPr>
          <w:rFonts w:ascii="Arial" w:hAnsi="Arial" w:cs="Arial"/>
          <w:sz w:val="22"/>
          <w:szCs w:val="22"/>
          <w:lang w:val="en-ZA"/>
        </w:rPr>
        <w:t xml:space="preserve">, TGDI community members </w:t>
      </w:r>
      <w:r w:rsidR="00814B7E">
        <w:rPr>
          <w:rFonts w:ascii="Arial" w:hAnsi="Arial" w:cs="Arial"/>
          <w:sz w:val="22"/>
          <w:szCs w:val="22"/>
          <w:lang w:val="en-ZA"/>
        </w:rPr>
        <w:t xml:space="preserve">face </w:t>
      </w:r>
      <w:r w:rsidR="00091AFD">
        <w:rPr>
          <w:rFonts w:ascii="Arial" w:hAnsi="Arial" w:cs="Arial"/>
          <w:sz w:val="22"/>
          <w:szCs w:val="22"/>
          <w:lang w:val="en-ZA"/>
        </w:rPr>
        <w:t xml:space="preserve">challenges in accessing services related to their specific health needs, including </w:t>
      </w:r>
      <w:r w:rsidR="00124E75">
        <w:rPr>
          <w:rFonts w:ascii="Arial" w:hAnsi="Arial" w:cs="Arial"/>
          <w:sz w:val="22"/>
          <w:szCs w:val="22"/>
          <w:lang w:val="en-ZA"/>
        </w:rPr>
        <w:t>gender-affirming</w:t>
      </w:r>
      <w:r w:rsidR="00091AFD">
        <w:rPr>
          <w:rFonts w:ascii="Arial" w:hAnsi="Arial" w:cs="Arial"/>
          <w:sz w:val="22"/>
          <w:szCs w:val="22"/>
          <w:lang w:val="en-ZA"/>
        </w:rPr>
        <w:t xml:space="preserve"> health care</w:t>
      </w:r>
      <w:r w:rsidR="008F45F3">
        <w:rPr>
          <w:rFonts w:ascii="Arial" w:hAnsi="Arial" w:cs="Arial"/>
          <w:sz w:val="22"/>
          <w:szCs w:val="22"/>
          <w:lang w:val="en-ZA"/>
        </w:rPr>
        <w:t xml:space="preserve">, </w:t>
      </w:r>
      <w:r w:rsidR="00736CEA">
        <w:rPr>
          <w:rFonts w:ascii="Arial" w:hAnsi="Arial" w:cs="Arial"/>
          <w:sz w:val="22"/>
          <w:szCs w:val="22"/>
          <w:lang w:val="en-ZA"/>
        </w:rPr>
        <w:t xml:space="preserve">medical </w:t>
      </w:r>
      <w:r w:rsidR="009E458A">
        <w:rPr>
          <w:rFonts w:ascii="Arial" w:hAnsi="Arial" w:cs="Arial"/>
          <w:sz w:val="22"/>
          <w:szCs w:val="22"/>
          <w:lang w:val="en-ZA"/>
        </w:rPr>
        <w:t>procedures</w:t>
      </w:r>
      <w:r w:rsidR="00124E75">
        <w:rPr>
          <w:rFonts w:ascii="Arial" w:hAnsi="Arial" w:cs="Arial"/>
          <w:sz w:val="22"/>
          <w:szCs w:val="22"/>
          <w:lang w:val="en-ZA"/>
        </w:rPr>
        <w:t>,</w:t>
      </w:r>
      <w:r w:rsidR="00B868FB">
        <w:rPr>
          <w:rFonts w:ascii="Arial" w:hAnsi="Arial" w:cs="Arial"/>
          <w:sz w:val="22"/>
          <w:szCs w:val="22"/>
          <w:lang w:val="en-ZA"/>
        </w:rPr>
        <w:t xml:space="preserve"> and mental health support</w:t>
      </w:r>
      <w:r w:rsidR="008F45F3">
        <w:rPr>
          <w:rFonts w:ascii="Arial" w:hAnsi="Arial" w:cs="Arial"/>
          <w:sz w:val="22"/>
          <w:szCs w:val="22"/>
          <w:lang w:val="en-ZA"/>
        </w:rPr>
        <w:t xml:space="preserve"> to address damage caused by medically unnecessary infant intersex surgeries</w:t>
      </w:r>
      <w:r w:rsidR="008F45F3">
        <w:rPr>
          <w:rStyle w:val="FootnoteReference"/>
          <w:rFonts w:ascii="Arial" w:hAnsi="Arial" w:cs="Arial"/>
          <w:sz w:val="22"/>
          <w:szCs w:val="22"/>
          <w:lang w:val="en-ZA"/>
        </w:rPr>
        <w:footnoteReference w:id="4"/>
      </w:r>
      <w:r w:rsidR="00336372">
        <w:rPr>
          <w:rFonts w:ascii="Arial" w:hAnsi="Arial" w:cs="Arial"/>
          <w:sz w:val="22"/>
          <w:szCs w:val="22"/>
          <w:lang w:val="en-ZA"/>
        </w:rPr>
        <w:t xml:space="preserve"> and appropriate sexual and reproductive health care services.  </w:t>
      </w:r>
    </w:p>
    <w:p w14:paraId="5072376D" w14:textId="5F81DB2B" w:rsidR="00DB38DE" w:rsidRDefault="00DB38DE" w:rsidP="00DB38DE">
      <w:pPr>
        <w:spacing w:line="360" w:lineRule="auto"/>
        <w:rPr>
          <w:rFonts w:ascii="Arial" w:hAnsi="Arial" w:cs="Arial"/>
          <w:sz w:val="22"/>
          <w:szCs w:val="22"/>
          <w:lang w:val="en-ZA"/>
        </w:rPr>
      </w:pPr>
    </w:p>
    <w:p w14:paraId="0CDA3200" w14:textId="1C8203B8" w:rsidR="00D83ECD" w:rsidRDefault="008F409E" w:rsidP="00DB38DE">
      <w:pPr>
        <w:spacing w:line="360" w:lineRule="auto"/>
        <w:rPr>
          <w:rFonts w:ascii="Arial" w:hAnsi="Arial" w:cs="Arial"/>
          <w:sz w:val="22"/>
          <w:szCs w:val="22"/>
          <w:lang w:val="en-ZA"/>
        </w:rPr>
      </w:pPr>
      <w:r>
        <w:rPr>
          <w:rFonts w:ascii="Arial" w:hAnsi="Arial" w:cs="Arial"/>
          <w:sz w:val="22"/>
          <w:szCs w:val="22"/>
          <w:lang w:val="en-ZA"/>
        </w:rPr>
        <w:t xml:space="preserve">Internationally, </w:t>
      </w:r>
      <w:r w:rsidR="004018B2">
        <w:rPr>
          <w:rFonts w:ascii="Arial" w:hAnsi="Arial" w:cs="Arial"/>
          <w:sz w:val="22"/>
          <w:szCs w:val="22"/>
          <w:lang w:val="en-ZA"/>
        </w:rPr>
        <w:t xml:space="preserve">stigma and discrimination </w:t>
      </w:r>
      <w:r w:rsidR="00E74529">
        <w:rPr>
          <w:rFonts w:ascii="Arial" w:hAnsi="Arial" w:cs="Arial"/>
          <w:sz w:val="22"/>
          <w:szCs w:val="22"/>
          <w:lang w:val="en-ZA"/>
        </w:rPr>
        <w:t>remain significant barrier</w:t>
      </w:r>
      <w:r w:rsidR="00124E75">
        <w:rPr>
          <w:rFonts w:ascii="Arial" w:hAnsi="Arial" w:cs="Arial"/>
          <w:sz w:val="22"/>
          <w:szCs w:val="22"/>
          <w:lang w:val="en-ZA"/>
        </w:rPr>
        <w:t>s</w:t>
      </w:r>
      <w:r w:rsidR="00E74529">
        <w:rPr>
          <w:rFonts w:ascii="Arial" w:hAnsi="Arial" w:cs="Arial"/>
          <w:sz w:val="22"/>
          <w:szCs w:val="22"/>
          <w:lang w:val="en-ZA"/>
        </w:rPr>
        <w:t xml:space="preserve"> to </w:t>
      </w:r>
      <w:r w:rsidR="00124E75">
        <w:rPr>
          <w:rFonts w:ascii="Arial" w:hAnsi="Arial" w:cs="Arial"/>
          <w:sz w:val="22"/>
          <w:szCs w:val="22"/>
          <w:lang w:val="en-ZA"/>
        </w:rPr>
        <w:t>healthcare access</w:t>
      </w:r>
      <w:r w:rsidR="00E74529">
        <w:rPr>
          <w:rFonts w:ascii="Arial" w:hAnsi="Arial" w:cs="Arial"/>
          <w:sz w:val="22"/>
          <w:szCs w:val="22"/>
          <w:lang w:val="en-ZA"/>
        </w:rPr>
        <w:t xml:space="preserve"> for TGDI community members.  </w:t>
      </w:r>
      <w:r w:rsidR="00454B3F">
        <w:rPr>
          <w:rFonts w:ascii="Arial" w:hAnsi="Arial" w:cs="Arial"/>
          <w:sz w:val="22"/>
          <w:szCs w:val="22"/>
          <w:lang w:val="en-ZA"/>
        </w:rPr>
        <w:t xml:space="preserve">For example, recent studies from the USA and South Africa </w:t>
      </w:r>
      <w:r w:rsidR="00AC0A39">
        <w:rPr>
          <w:rFonts w:ascii="Arial" w:hAnsi="Arial" w:cs="Arial"/>
          <w:sz w:val="22"/>
          <w:szCs w:val="22"/>
          <w:lang w:val="en-ZA"/>
        </w:rPr>
        <w:t xml:space="preserve">show that </w:t>
      </w:r>
      <w:r w:rsidR="007642F9">
        <w:rPr>
          <w:rFonts w:ascii="Arial" w:hAnsi="Arial" w:cs="Arial"/>
          <w:sz w:val="22"/>
          <w:szCs w:val="22"/>
          <w:lang w:val="en-ZA"/>
        </w:rPr>
        <w:t xml:space="preserve">a high percentage of </w:t>
      </w:r>
      <w:r w:rsidR="00AC0A39">
        <w:rPr>
          <w:rFonts w:ascii="Arial" w:hAnsi="Arial" w:cs="Arial"/>
          <w:sz w:val="22"/>
          <w:szCs w:val="22"/>
          <w:lang w:val="en-ZA"/>
        </w:rPr>
        <w:t xml:space="preserve">trans and </w:t>
      </w:r>
      <w:r w:rsidR="00124E75">
        <w:rPr>
          <w:rFonts w:ascii="Arial" w:hAnsi="Arial" w:cs="Arial"/>
          <w:sz w:val="22"/>
          <w:szCs w:val="22"/>
          <w:lang w:val="en-ZA"/>
        </w:rPr>
        <w:t>gender-diverse</w:t>
      </w:r>
      <w:r w:rsidR="00AC0A39">
        <w:rPr>
          <w:rFonts w:ascii="Arial" w:hAnsi="Arial" w:cs="Arial"/>
          <w:sz w:val="22"/>
          <w:szCs w:val="22"/>
          <w:lang w:val="en-ZA"/>
        </w:rPr>
        <w:t xml:space="preserve"> persons </w:t>
      </w:r>
      <w:r w:rsidR="00945714">
        <w:rPr>
          <w:rFonts w:ascii="Arial" w:hAnsi="Arial" w:cs="Arial"/>
          <w:sz w:val="22"/>
          <w:szCs w:val="22"/>
          <w:lang w:val="en-ZA"/>
        </w:rPr>
        <w:t xml:space="preserve">experience </w:t>
      </w:r>
      <w:r w:rsidR="003B29A1" w:rsidRPr="003B29A1">
        <w:rPr>
          <w:rFonts w:ascii="Arial" w:hAnsi="Arial" w:cs="Arial"/>
          <w:sz w:val="22"/>
          <w:szCs w:val="22"/>
          <w:lang w:val="en-ZA"/>
        </w:rPr>
        <w:t>discrimination, hostility</w:t>
      </w:r>
      <w:r w:rsidR="003B29A1">
        <w:rPr>
          <w:rFonts w:ascii="Arial" w:hAnsi="Arial" w:cs="Arial"/>
          <w:sz w:val="22"/>
          <w:szCs w:val="22"/>
          <w:lang w:val="en-ZA"/>
        </w:rPr>
        <w:t>,</w:t>
      </w:r>
      <w:r w:rsidR="003B29A1" w:rsidRPr="003B29A1">
        <w:rPr>
          <w:rFonts w:ascii="Arial" w:hAnsi="Arial" w:cs="Arial"/>
          <w:sz w:val="22"/>
          <w:szCs w:val="22"/>
          <w:lang w:val="en-ZA"/>
        </w:rPr>
        <w:t xml:space="preserve"> </w:t>
      </w:r>
      <w:r w:rsidR="003B29A1">
        <w:rPr>
          <w:rFonts w:ascii="Arial" w:hAnsi="Arial" w:cs="Arial"/>
          <w:sz w:val="22"/>
          <w:szCs w:val="22"/>
          <w:lang w:val="en-ZA"/>
        </w:rPr>
        <w:t>verbal abuse</w:t>
      </w:r>
      <w:r w:rsidR="00CD314A">
        <w:rPr>
          <w:rFonts w:ascii="Arial" w:hAnsi="Arial" w:cs="Arial"/>
          <w:sz w:val="22"/>
          <w:szCs w:val="22"/>
          <w:lang w:val="en-ZA"/>
        </w:rPr>
        <w:t>, invasive questioning</w:t>
      </w:r>
      <w:r w:rsidR="00124E75">
        <w:rPr>
          <w:rFonts w:ascii="Arial" w:hAnsi="Arial" w:cs="Arial"/>
          <w:sz w:val="22"/>
          <w:szCs w:val="22"/>
          <w:lang w:val="en-ZA"/>
        </w:rPr>
        <w:t>,</w:t>
      </w:r>
      <w:r w:rsidR="003B29A1">
        <w:rPr>
          <w:rFonts w:ascii="Arial" w:hAnsi="Arial" w:cs="Arial"/>
          <w:sz w:val="22"/>
          <w:szCs w:val="22"/>
          <w:lang w:val="en-ZA"/>
        </w:rPr>
        <w:t xml:space="preserve"> and </w:t>
      </w:r>
      <w:r w:rsidR="009553F5">
        <w:rPr>
          <w:rFonts w:ascii="Arial" w:hAnsi="Arial" w:cs="Arial"/>
          <w:sz w:val="22"/>
          <w:szCs w:val="22"/>
          <w:lang w:val="en-ZA"/>
        </w:rPr>
        <w:t>refusal of services from health care providers</w:t>
      </w:r>
      <w:r w:rsidR="009553F5">
        <w:rPr>
          <w:rStyle w:val="FootnoteReference"/>
          <w:rFonts w:ascii="Arial" w:hAnsi="Arial" w:cs="Arial"/>
          <w:sz w:val="22"/>
          <w:szCs w:val="22"/>
          <w:lang w:val="en-ZA"/>
        </w:rPr>
        <w:footnoteReference w:id="5"/>
      </w:r>
      <w:r w:rsidR="00EE3724">
        <w:rPr>
          <w:rFonts w:ascii="Arial" w:hAnsi="Arial" w:cs="Arial"/>
          <w:sz w:val="22"/>
          <w:szCs w:val="22"/>
          <w:lang w:val="en-ZA"/>
        </w:rPr>
        <w:t xml:space="preserve"> </w:t>
      </w:r>
      <w:r w:rsidR="007B3C13">
        <w:rPr>
          <w:rStyle w:val="FootnoteReference"/>
          <w:rFonts w:ascii="Arial" w:hAnsi="Arial" w:cs="Arial"/>
          <w:sz w:val="22"/>
          <w:szCs w:val="22"/>
          <w:lang w:val="en-ZA"/>
        </w:rPr>
        <w:footnoteReference w:id="6"/>
      </w:r>
      <w:r w:rsidR="005132D1">
        <w:rPr>
          <w:rFonts w:ascii="Arial" w:hAnsi="Arial" w:cs="Arial"/>
          <w:sz w:val="22"/>
          <w:szCs w:val="22"/>
          <w:lang w:val="en-ZA"/>
        </w:rPr>
        <w:t>.</w:t>
      </w:r>
    </w:p>
    <w:p w14:paraId="1B043C48" w14:textId="77777777" w:rsidR="00D83ECD" w:rsidRDefault="00D83ECD" w:rsidP="00DB38DE">
      <w:pPr>
        <w:spacing w:line="360" w:lineRule="auto"/>
        <w:rPr>
          <w:rFonts w:ascii="Arial" w:hAnsi="Arial" w:cs="Arial"/>
          <w:sz w:val="22"/>
          <w:szCs w:val="22"/>
          <w:lang w:val="en-ZA"/>
        </w:rPr>
      </w:pPr>
    </w:p>
    <w:p w14:paraId="2C4889DD" w14:textId="50DE2EC1" w:rsidR="00EF3868" w:rsidRDefault="00A704DB" w:rsidP="00DB38DE">
      <w:pPr>
        <w:spacing w:line="360" w:lineRule="auto"/>
        <w:rPr>
          <w:rFonts w:ascii="Arial" w:hAnsi="Arial" w:cs="Arial"/>
          <w:sz w:val="22"/>
          <w:szCs w:val="22"/>
          <w:lang w:val="en-ZA"/>
        </w:rPr>
      </w:pPr>
      <w:r>
        <w:rPr>
          <w:rFonts w:ascii="Arial" w:hAnsi="Arial" w:cs="Arial"/>
          <w:sz w:val="22"/>
          <w:szCs w:val="22"/>
          <w:lang w:val="en-ZA"/>
        </w:rPr>
        <w:t xml:space="preserve">A </w:t>
      </w:r>
      <w:r w:rsidR="00124E75">
        <w:rPr>
          <w:rFonts w:ascii="Arial" w:hAnsi="Arial" w:cs="Arial"/>
          <w:sz w:val="22"/>
          <w:szCs w:val="22"/>
          <w:lang w:val="en-ZA"/>
        </w:rPr>
        <w:t>significant</w:t>
      </w:r>
      <w:r>
        <w:rPr>
          <w:rFonts w:ascii="Arial" w:hAnsi="Arial" w:cs="Arial"/>
          <w:sz w:val="22"/>
          <w:szCs w:val="22"/>
          <w:lang w:val="en-ZA"/>
        </w:rPr>
        <w:t xml:space="preserve"> barrier to access to health </w:t>
      </w:r>
      <w:r w:rsidR="001D7D34">
        <w:rPr>
          <w:rFonts w:ascii="Arial" w:hAnsi="Arial" w:cs="Arial"/>
          <w:sz w:val="22"/>
          <w:szCs w:val="22"/>
          <w:lang w:val="en-ZA"/>
        </w:rPr>
        <w:t>rights</w:t>
      </w:r>
      <w:r>
        <w:rPr>
          <w:rFonts w:ascii="Arial" w:hAnsi="Arial" w:cs="Arial"/>
          <w:sz w:val="22"/>
          <w:szCs w:val="22"/>
          <w:lang w:val="en-ZA"/>
        </w:rPr>
        <w:t xml:space="preserve"> for TGDI communities is the criminalization of </w:t>
      </w:r>
      <w:r w:rsidR="001C31D3">
        <w:rPr>
          <w:rFonts w:ascii="Arial" w:hAnsi="Arial" w:cs="Arial"/>
          <w:sz w:val="22"/>
          <w:szCs w:val="22"/>
          <w:lang w:val="en-ZA"/>
        </w:rPr>
        <w:t xml:space="preserve">transgender and </w:t>
      </w:r>
      <w:r w:rsidR="00124E75">
        <w:rPr>
          <w:rFonts w:ascii="Arial" w:hAnsi="Arial" w:cs="Arial"/>
          <w:sz w:val="22"/>
          <w:szCs w:val="22"/>
          <w:lang w:val="en-ZA"/>
        </w:rPr>
        <w:t>gender-diverse</w:t>
      </w:r>
      <w:r w:rsidR="001C31D3">
        <w:rPr>
          <w:rFonts w:ascii="Arial" w:hAnsi="Arial" w:cs="Arial"/>
          <w:sz w:val="22"/>
          <w:szCs w:val="22"/>
          <w:lang w:val="en-ZA"/>
        </w:rPr>
        <w:t xml:space="preserve"> identities</w:t>
      </w:r>
      <w:r w:rsidR="00F6794D">
        <w:rPr>
          <w:rFonts w:ascii="Arial" w:hAnsi="Arial" w:cs="Arial"/>
          <w:sz w:val="22"/>
          <w:szCs w:val="22"/>
          <w:lang w:val="en-ZA"/>
        </w:rPr>
        <w:t xml:space="preserve">.  </w:t>
      </w:r>
      <w:r w:rsidR="00B22FFD">
        <w:rPr>
          <w:rFonts w:ascii="Arial" w:hAnsi="Arial" w:cs="Arial"/>
          <w:sz w:val="22"/>
          <w:szCs w:val="22"/>
          <w:lang w:val="en-ZA"/>
        </w:rPr>
        <w:t>For example, i</w:t>
      </w:r>
      <w:r w:rsidR="00717E4E">
        <w:rPr>
          <w:rFonts w:ascii="Arial" w:hAnsi="Arial" w:cs="Arial"/>
          <w:sz w:val="22"/>
          <w:szCs w:val="22"/>
          <w:lang w:val="en-ZA"/>
        </w:rPr>
        <w:t xml:space="preserve">n many Southern and East African countries, trans and </w:t>
      </w:r>
      <w:r w:rsidR="00124E75">
        <w:rPr>
          <w:rFonts w:ascii="Arial" w:hAnsi="Arial" w:cs="Arial"/>
          <w:sz w:val="22"/>
          <w:szCs w:val="22"/>
          <w:lang w:val="en-ZA"/>
        </w:rPr>
        <w:t>gender-diverse</w:t>
      </w:r>
      <w:r w:rsidR="00717E4E">
        <w:rPr>
          <w:rFonts w:ascii="Arial" w:hAnsi="Arial" w:cs="Arial"/>
          <w:sz w:val="22"/>
          <w:szCs w:val="22"/>
          <w:lang w:val="en-ZA"/>
        </w:rPr>
        <w:t xml:space="preserve"> persons are </w:t>
      </w:r>
      <w:r w:rsidR="00124E75">
        <w:rPr>
          <w:rFonts w:ascii="Arial" w:hAnsi="Arial" w:cs="Arial"/>
          <w:sz w:val="22"/>
          <w:szCs w:val="22"/>
          <w:lang w:val="en-ZA"/>
        </w:rPr>
        <w:t>criminalized</w:t>
      </w:r>
      <w:r w:rsidR="00717E4E">
        <w:rPr>
          <w:rFonts w:ascii="Arial" w:hAnsi="Arial" w:cs="Arial"/>
          <w:sz w:val="22"/>
          <w:szCs w:val="22"/>
          <w:lang w:val="en-ZA"/>
        </w:rPr>
        <w:t xml:space="preserve"> in terms of </w:t>
      </w:r>
      <w:r w:rsidR="00124E75">
        <w:rPr>
          <w:rFonts w:ascii="Arial" w:hAnsi="Arial" w:cs="Arial"/>
          <w:sz w:val="22"/>
          <w:szCs w:val="22"/>
          <w:lang w:val="en-ZA"/>
        </w:rPr>
        <w:t>colonial-era</w:t>
      </w:r>
      <w:r w:rsidR="00717E4E">
        <w:rPr>
          <w:rFonts w:ascii="Arial" w:hAnsi="Arial" w:cs="Arial"/>
          <w:sz w:val="22"/>
          <w:szCs w:val="22"/>
          <w:lang w:val="en-ZA"/>
        </w:rPr>
        <w:t xml:space="preserve"> </w:t>
      </w:r>
      <w:r w:rsidR="007A0BCB">
        <w:rPr>
          <w:rFonts w:ascii="Arial" w:hAnsi="Arial" w:cs="Arial"/>
          <w:sz w:val="22"/>
          <w:szCs w:val="22"/>
          <w:lang w:val="en-ZA"/>
        </w:rPr>
        <w:t>anti-LGBTIQ+ legislation</w:t>
      </w:r>
      <w:r w:rsidR="00124E75">
        <w:rPr>
          <w:rFonts w:ascii="Arial" w:hAnsi="Arial" w:cs="Arial"/>
          <w:sz w:val="22"/>
          <w:szCs w:val="22"/>
          <w:lang w:val="en-ZA"/>
        </w:rPr>
        <w:t>. In</w:t>
      </w:r>
      <w:r w:rsidR="007A0BCB">
        <w:rPr>
          <w:rFonts w:ascii="Arial" w:hAnsi="Arial" w:cs="Arial"/>
          <w:sz w:val="22"/>
          <w:szCs w:val="22"/>
          <w:lang w:val="en-ZA"/>
        </w:rPr>
        <w:t xml:space="preserve"> a</w:t>
      </w:r>
      <w:r w:rsidR="004F1022">
        <w:rPr>
          <w:rFonts w:ascii="Arial" w:hAnsi="Arial" w:cs="Arial"/>
          <w:sz w:val="22"/>
          <w:szCs w:val="22"/>
          <w:lang w:val="en-ZA"/>
        </w:rPr>
        <w:t>n extremely</w:t>
      </w:r>
      <w:r w:rsidR="007A0BCB">
        <w:rPr>
          <w:rFonts w:ascii="Arial" w:hAnsi="Arial" w:cs="Arial"/>
          <w:sz w:val="22"/>
          <w:szCs w:val="22"/>
          <w:lang w:val="en-ZA"/>
        </w:rPr>
        <w:t xml:space="preserve"> worrying development, </w:t>
      </w:r>
      <w:r w:rsidR="00620104">
        <w:rPr>
          <w:rFonts w:ascii="Arial" w:hAnsi="Arial" w:cs="Arial"/>
          <w:sz w:val="22"/>
          <w:szCs w:val="22"/>
          <w:lang w:val="en-ZA"/>
        </w:rPr>
        <w:t xml:space="preserve">the Ugandan parliament recently approved a Bill </w:t>
      </w:r>
      <w:r w:rsidR="003D1480">
        <w:rPr>
          <w:rFonts w:ascii="Arial" w:hAnsi="Arial" w:cs="Arial"/>
          <w:sz w:val="22"/>
          <w:szCs w:val="22"/>
          <w:lang w:val="en-ZA"/>
        </w:rPr>
        <w:t>which seeks to impose</w:t>
      </w:r>
      <w:r w:rsidR="004F1022">
        <w:rPr>
          <w:rFonts w:ascii="Arial" w:hAnsi="Arial" w:cs="Arial"/>
          <w:sz w:val="22"/>
          <w:szCs w:val="22"/>
          <w:lang w:val="en-ZA"/>
        </w:rPr>
        <w:t xml:space="preserve"> draconian penalties, including the death penalty, on LGBTIQ+ persons</w:t>
      </w:r>
      <w:r w:rsidR="00FA5B4E">
        <w:rPr>
          <w:rFonts w:ascii="Arial" w:hAnsi="Arial" w:cs="Arial"/>
          <w:sz w:val="22"/>
          <w:szCs w:val="22"/>
          <w:lang w:val="en-ZA"/>
        </w:rPr>
        <w:t xml:space="preserve"> and human rights activists</w:t>
      </w:r>
      <w:r w:rsidR="00301453">
        <w:rPr>
          <w:rStyle w:val="FootnoteReference"/>
          <w:rFonts w:ascii="Arial" w:hAnsi="Arial" w:cs="Arial"/>
          <w:sz w:val="22"/>
          <w:szCs w:val="22"/>
          <w:lang w:val="en-ZA"/>
        </w:rPr>
        <w:footnoteReference w:id="7"/>
      </w:r>
      <w:r w:rsidR="004F1022">
        <w:rPr>
          <w:rFonts w:ascii="Arial" w:hAnsi="Arial" w:cs="Arial"/>
          <w:sz w:val="22"/>
          <w:szCs w:val="22"/>
          <w:lang w:val="en-ZA"/>
        </w:rPr>
        <w:t xml:space="preserve">.  </w:t>
      </w:r>
      <w:r w:rsidR="00120BDC">
        <w:rPr>
          <w:rFonts w:ascii="Arial" w:hAnsi="Arial" w:cs="Arial"/>
          <w:sz w:val="22"/>
          <w:szCs w:val="22"/>
          <w:lang w:val="en-ZA"/>
        </w:rPr>
        <w:t xml:space="preserve">Besides violating the </w:t>
      </w:r>
      <w:r w:rsidR="00124E75">
        <w:rPr>
          <w:rFonts w:ascii="Arial" w:hAnsi="Arial" w:cs="Arial"/>
          <w:sz w:val="22"/>
          <w:szCs w:val="22"/>
          <w:lang w:val="en-ZA"/>
        </w:rPr>
        <w:t>fundamental</w:t>
      </w:r>
      <w:r w:rsidR="00120BDC">
        <w:rPr>
          <w:rFonts w:ascii="Arial" w:hAnsi="Arial" w:cs="Arial"/>
          <w:sz w:val="22"/>
          <w:szCs w:val="22"/>
          <w:lang w:val="en-ZA"/>
        </w:rPr>
        <w:t xml:space="preserve"> rights of community members, s</w:t>
      </w:r>
      <w:r w:rsidR="00FA5B4E">
        <w:rPr>
          <w:rFonts w:ascii="Arial" w:hAnsi="Arial" w:cs="Arial"/>
          <w:sz w:val="22"/>
          <w:szCs w:val="22"/>
          <w:lang w:val="en-ZA"/>
        </w:rPr>
        <w:t xml:space="preserve">uch legislation </w:t>
      </w:r>
      <w:r w:rsidR="004A760E">
        <w:rPr>
          <w:rFonts w:ascii="Arial" w:hAnsi="Arial" w:cs="Arial"/>
          <w:sz w:val="22"/>
          <w:szCs w:val="22"/>
          <w:lang w:val="en-ZA"/>
        </w:rPr>
        <w:t xml:space="preserve">also </w:t>
      </w:r>
      <w:r w:rsidR="002E1874">
        <w:rPr>
          <w:rFonts w:ascii="Arial" w:hAnsi="Arial" w:cs="Arial"/>
          <w:sz w:val="22"/>
          <w:szCs w:val="22"/>
          <w:lang w:val="en-ZA"/>
        </w:rPr>
        <w:t xml:space="preserve">seriously undermines </w:t>
      </w:r>
      <w:r w:rsidR="00F11959">
        <w:rPr>
          <w:rFonts w:ascii="Arial" w:hAnsi="Arial" w:cs="Arial"/>
          <w:sz w:val="22"/>
          <w:szCs w:val="22"/>
          <w:lang w:val="en-ZA"/>
        </w:rPr>
        <w:t xml:space="preserve">public health </w:t>
      </w:r>
      <w:r w:rsidR="00124E75">
        <w:rPr>
          <w:rFonts w:ascii="Arial" w:hAnsi="Arial" w:cs="Arial"/>
          <w:sz w:val="22"/>
          <w:szCs w:val="22"/>
          <w:lang w:val="en-ZA"/>
        </w:rPr>
        <w:t>programs</w:t>
      </w:r>
      <w:r w:rsidR="00AD33B3">
        <w:rPr>
          <w:rFonts w:ascii="Arial" w:hAnsi="Arial" w:cs="Arial"/>
          <w:sz w:val="22"/>
          <w:szCs w:val="22"/>
          <w:lang w:val="en-ZA"/>
        </w:rPr>
        <w:t xml:space="preserve"> and </w:t>
      </w:r>
      <w:r w:rsidR="00871585">
        <w:rPr>
          <w:rFonts w:ascii="Arial" w:hAnsi="Arial" w:cs="Arial"/>
          <w:sz w:val="22"/>
          <w:szCs w:val="22"/>
          <w:lang w:val="en-ZA"/>
        </w:rPr>
        <w:t xml:space="preserve">efforts </w:t>
      </w:r>
      <w:r w:rsidR="00124E75">
        <w:rPr>
          <w:rFonts w:ascii="Arial" w:hAnsi="Arial" w:cs="Arial"/>
          <w:sz w:val="22"/>
          <w:szCs w:val="22"/>
          <w:lang w:val="en-ZA"/>
        </w:rPr>
        <w:t>toward</w:t>
      </w:r>
      <w:r w:rsidR="00871585">
        <w:rPr>
          <w:rFonts w:ascii="Arial" w:hAnsi="Arial" w:cs="Arial"/>
          <w:sz w:val="22"/>
          <w:szCs w:val="22"/>
          <w:lang w:val="en-ZA"/>
        </w:rPr>
        <w:t xml:space="preserve"> universal health coverage.  </w:t>
      </w:r>
    </w:p>
    <w:p w14:paraId="06BD6DAD" w14:textId="77777777" w:rsidR="0021712F" w:rsidRDefault="0021712F" w:rsidP="00DB38DE">
      <w:pPr>
        <w:spacing w:line="360" w:lineRule="auto"/>
        <w:rPr>
          <w:rFonts w:ascii="Arial" w:hAnsi="Arial" w:cs="Arial"/>
          <w:sz w:val="22"/>
          <w:szCs w:val="22"/>
          <w:lang w:val="en-ZA"/>
        </w:rPr>
      </w:pPr>
    </w:p>
    <w:p w14:paraId="20A6515D" w14:textId="534DFFD1" w:rsidR="00A319D7" w:rsidRPr="00A319D7" w:rsidRDefault="00E67722" w:rsidP="00A319D7">
      <w:pPr>
        <w:spacing w:line="360" w:lineRule="auto"/>
        <w:rPr>
          <w:rFonts w:ascii="Arial" w:hAnsi="Arial" w:cs="Arial"/>
          <w:b/>
          <w:bCs/>
          <w:sz w:val="22"/>
          <w:szCs w:val="22"/>
          <w:lang w:val="en-ZA"/>
        </w:rPr>
      </w:pPr>
      <w:r w:rsidRPr="0032107E">
        <w:rPr>
          <w:rFonts w:ascii="Arial" w:hAnsi="Arial" w:cs="Arial"/>
          <w:b/>
          <w:bCs/>
          <w:sz w:val="22"/>
          <w:szCs w:val="22"/>
          <w:lang w:val="en-ZA"/>
        </w:rPr>
        <w:t>Examples of a human rights-based approach to universal health coverage</w:t>
      </w:r>
      <w:r w:rsidR="00A319D7" w:rsidRPr="00A319D7">
        <w:rPr>
          <w:rFonts w:ascii="Arial" w:hAnsi="Arial" w:cs="Arial"/>
          <w:b/>
          <w:bCs/>
          <w:sz w:val="22"/>
          <w:szCs w:val="22"/>
          <w:lang w:val="en-ZA"/>
        </w:rPr>
        <w:t>: Malta and Argentina</w:t>
      </w:r>
    </w:p>
    <w:p w14:paraId="536C9B32" w14:textId="77777777" w:rsidR="003A611A" w:rsidRDefault="003A611A" w:rsidP="00A319D7">
      <w:pPr>
        <w:spacing w:line="360" w:lineRule="auto"/>
        <w:rPr>
          <w:rFonts w:ascii="Arial" w:hAnsi="Arial" w:cs="Arial"/>
          <w:sz w:val="22"/>
          <w:szCs w:val="22"/>
          <w:lang w:val="en-ZA"/>
        </w:rPr>
      </w:pPr>
    </w:p>
    <w:p w14:paraId="08344D71" w14:textId="12EFB936" w:rsidR="00194CE5" w:rsidRDefault="003A611A" w:rsidP="003A611A">
      <w:pPr>
        <w:spacing w:line="360" w:lineRule="auto"/>
        <w:rPr>
          <w:rFonts w:ascii="Arial" w:hAnsi="Arial" w:cs="Arial"/>
          <w:sz w:val="22"/>
          <w:szCs w:val="22"/>
          <w:lang w:val="en-ZA"/>
        </w:rPr>
      </w:pPr>
      <w:r w:rsidRPr="003A611A">
        <w:rPr>
          <w:rFonts w:ascii="Arial" w:hAnsi="Arial" w:cs="Arial"/>
          <w:sz w:val="22"/>
          <w:szCs w:val="22"/>
          <w:lang w:val="en-ZA"/>
        </w:rPr>
        <w:t xml:space="preserve">Human rights frameworks that </w:t>
      </w:r>
      <w:r w:rsidR="00124E75">
        <w:rPr>
          <w:rFonts w:ascii="Arial" w:hAnsi="Arial" w:cs="Arial"/>
          <w:sz w:val="22"/>
          <w:szCs w:val="22"/>
          <w:lang w:val="en-ZA"/>
        </w:rPr>
        <w:t>recognize</w:t>
      </w:r>
      <w:r w:rsidRPr="003A611A">
        <w:rPr>
          <w:rFonts w:ascii="Arial" w:hAnsi="Arial" w:cs="Arial"/>
          <w:sz w:val="22"/>
          <w:szCs w:val="22"/>
          <w:lang w:val="en-ZA"/>
        </w:rPr>
        <w:t xml:space="preserve"> and protect the rights to life, human dignity, bodily autonomy</w:t>
      </w:r>
      <w:r w:rsidR="00124E75">
        <w:rPr>
          <w:rFonts w:ascii="Arial" w:hAnsi="Arial" w:cs="Arial"/>
          <w:sz w:val="22"/>
          <w:szCs w:val="22"/>
          <w:lang w:val="en-ZA"/>
        </w:rPr>
        <w:t>,</w:t>
      </w:r>
      <w:r w:rsidRPr="003A611A">
        <w:rPr>
          <w:rFonts w:ascii="Arial" w:hAnsi="Arial" w:cs="Arial"/>
          <w:sz w:val="22"/>
          <w:szCs w:val="22"/>
          <w:lang w:val="en-ZA"/>
        </w:rPr>
        <w:t xml:space="preserve"> and access to health care for TGDI persons and other </w:t>
      </w:r>
      <w:r w:rsidR="00124E75">
        <w:rPr>
          <w:rFonts w:ascii="Arial" w:hAnsi="Arial" w:cs="Arial"/>
          <w:sz w:val="22"/>
          <w:szCs w:val="22"/>
          <w:lang w:val="en-ZA"/>
        </w:rPr>
        <w:t>marginalized</w:t>
      </w:r>
      <w:r w:rsidRPr="003A611A">
        <w:rPr>
          <w:rFonts w:ascii="Arial" w:hAnsi="Arial" w:cs="Arial"/>
          <w:sz w:val="22"/>
          <w:szCs w:val="22"/>
          <w:lang w:val="en-ZA"/>
        </w:rPr>
        <w:t xml:space="preserve"> communities are</w:t>
      </w:r>
      <w:r w:rsidR="00124E75">
        <w:rPr>
          <w:rFonts w:ascii="Arial" w:hAnsi="Arial" w:cs="Arial"/>
          <w:sz w:val="22"/>
          <w:szCs w:val="22"/>
          <w:lang w:val="en-ZA"/>
        </w:rPr>
        <w:t>,</w:t>
      </w:r>
      <w:r w:rsidRPr="003A611A">
        <w:rPr>
          <w:rFonts w:ascii="Arial" w:hAnsi="Arial" w:cs="Arial"/>
          <w:sz w:val="22"/>
          <w:szCs w:val="22"/>
          <w:lang w:val="en-ZA"/>
        </w:rPr>
        <w:t xml:space="preserve"> therefore</w:t>
      </w:r>
      <w:r w:rsidR="00124E75">
        <w:rPr>
          <w:rFonts w:ascii="Arial" w:hAnsi="Arial" w:cs="Arial"/>
          <w:sz w:val="22"/>
          <w:szCs w:val="22"/>
          <w:lang w:val="en-ZA"/>
        </w:rPr>
        <w:t>, essential for realizing</w:t>
      </w:r>
      <w:r w:rsidRPr="003A611A">
        <w:rPr>
          <w:rFonts w:ascii="Arial" w:hAnsi="Arial" w:cs="Arial"/>
          <w:sz w:val="22"/>
          <w:szCs w:val="22"/>
          <w:lang w:val="en-ZA"/>
        </w:rPr>
        <w:t xml:space="preserve"> universal health coverage. </w:t>
      </w:r>
      <w:r w:rsidR="00B91409">
        <w:rPr>
          <w:rFonts w:ascii="Arial" w:hAnsi="Arial" w:cs="Arial"/>
          <w:sz w:val="22"/>
          <w:szCs w:val="22"/>
          <w:lang w:val="en-ZA"/>
        </w:rPr>
        <w:t xml:space="preserve">Such frameworks </w:t>
      </w:r>
      <w:r w:rsidR="006C4AB8">
        <w:rPr>
          <w:rFonts w:ascii="Arial" w:hAnsi="Arial" w:cs="Arial"/>
          <w:sz w:val="22"/>
          <w:szCs w:val="22"/>
          <w:lang w:val="en-ZA"/>
        </w:rPr>
        <w:t xml:space="preserve">should also include </w:t>
      </w:r>
      <w:r w:rsidR="00C81748">
        <w:rPr>
          <w:rFonts w:ascii="Arial" w:hAnsi="Arial" w:cs="Arial"/>
          <w:sz w:val="22"/>
          <w:szCs w:val="22"/>
          <w:lang w:val="en-ZA"/>
        </w:rPr>
        <w:t xml:space="preserve">legal gender recognition and </w:t>
      </w:r>
      <w:r w:rsidR="00AC6A36">
        <w:rPr>
          <w:rFonts w:ascii="Arial" w:hAnsi="Arial" w:cs="Arial"/>
          <w:sz w:val="22"/>
          <w:szCs w:val="22"/>
          <w:lang w:val="en-ZA"/>
        </w:rPr>
        <w:t xml:space="preserve">a depathologized approach to the provision of </w:t>
      </w:r>
      <w:r w:rsidR="00124E75">
        <w:rPr>
          <w:rFonts w:ascii="Arial" w:hAnsi="Arial" w:cs="Arial"/>
          <w:sz w:val="22"/>
          <w:szCs w:val="22"/>
          <w:lang w:val="en-ZA"/>
        </w:rPr>
        <w:t>gender-affirming</w:t>
      </w:r>
      <w:r w:rsidR="00AC6A36">
        <w:rPr>
          <w:rFonts w:ascii="Arial" w:hAnsi="Arial" w:cs="Arial"/>
          <w:sz w:val="22"/>
          <w:szCs w:val="22"/>
          <w:lang w:val="en-ZA"/>
        </w:rPr>
        <w:t xml:space="preserve"> health care</w:t>
      </w:r>
      <w:r w:rsidR="00F018F5">
        <w:rPr>
          <w:rStyle w:val="FootnoteReference"/>
          <w:rFonts w:ascii="Arial" w:hAnsi="Arial" w:cs="Arial"/>
          <w:sz w:val="22"/>
          <w:szCs w:val="22"/>
          <w:lang w:val="en-ZA"/>
        </w:rPr>
        <w:footnoteReference w:id="8"/>
      </w:r>
      <w:r w:rsidR="00AC6A36">
        <w:rPr>
          <w:rFonts w:ascii="Arial" w:hAnsi="Arial" w:cs="Arial"/>
          <w:sz w:val="22"/>
          <w:szCs w:val="22"/>
          <w:lang w:val="en-ZA"/>
        </w:rPr>
        <w:t xml:space="preserve">.  </w:t>
      </w:r>
    </w:p>
    <w:p w14:paraId="01FED574" w14:textId="77777777" w:rsidR="001A040B" w:rsidRDefault="001A040B" w:rsidP="003A611A">
      <w:pPr>
        <w:spacing w:line="360" w:lineRule="auto"/>
        <w:rPr>
          <w:rFonts w:ascii="Arial" w:hAnsi="Arial" w:cs="Arial"/>
          <w:sz w:val="22"/>
          <w:szCs w:val="22"/>
          <w:lang w:val="en-ZA"/>
        </w:rPr>
      </w:pPr>
    </w:p>
    <w:p w14:paraId="088C9F59" w14:textId="021363F8" w:rsidR="001A040B" w:rsidRDefault="001A040B" w:rsidP="003A611A">
      <w:pPr>
        <w:spacing w:line="360" w:lineRule="auto"/>
        <w:rPr>
          <w:rFonts w:ascii="Arial" w:hAnsi="Arial" w:cs="Arial"/>
          <w:sz w:val="22"/>
          <w:szCs w:val="22"/>
          <w:lang w:val="en-ZA"/>
        </w:rPr>
      </w:pPr>
      <w:r>
        <w:rPr>
          <w:rFonts w:ascii="Arial" w:hAnsi="Arial" w:cs="Arial"/>
          <w:sz w:val="22"/>
          <w:szCs w:val="22"/>
          <w:lang w:val="en-ZA"/>
        </w:rPr>
        <w:t xml:space="preserve">Legal gender recognition refers to </w:t>
      </w:r>
      <w:r w:rsidR="00CD409F">
        <w:rPr>
          <w:rFonts w:ascii="Arial" w:hAnsi="Arial" w:cs="Arial"/>
          <w:sz w:val="22"/>
          <w:szCs w:val="22"/>
          <w:lang w:val="en-ZA"/>
        </w:rPr>
        <w:t xml:space="preserve">laws and administrative procedures which allow a person to legally change their </w:t>
      </w:r>
      <w:r w:rsidR="0040257F">
        <w:rPr>
          <w:rFonts w:ascii="Arial" w:hAnsi="Arial" w:cs="Arial"/>
          <w:sz w:val="22"/>
          <w:szCs w:val="22"/>
          <w:lang w:val="en-ZA"/>
        </w:rPr>
        <w:t xml:space="preserve">name and sex/gender assigned at birth to reflect their gender identity.  </w:t>
      </w:r>
      <w:r w:rsidR="00487910">
        <w:rPr>
          <w:rFonts w:ascii="Arial" w:hAnsi="Arial" w:cs="Arial"/>
          <w:sz w:val="22"/>
          <w:szCs w:val="22"/>
          <w:lang w:val="en-ZA"/>
        </w:rPr>
        <w:t xml:space="preserve">Legislative frameworks that provide for legal gender recognition </w:t>
      </w:r>
      <w:r w:rsidR="00124E75">
        <w:rPr>
          <w:rFonts w:ascii="Arial" w:hAnsi="Arial" w:cs="Arial"/>
          <w:sz w:val="22"/>
          <w:szCs w:val="22"/>
          <w:lang w:val="en-ZA"/>
        </w:rPr>
        <w:t>based on</w:t>
      </w:r>
      <w:r w:rsidR="00487910">
        <w:rPr>
          <w:rFonts w:ascii="Arial" w:hAnsi="Arial" w:cs="Arial"/>
          <w:sz w:val="22"/>
          <w:szCs w:val="22"/>
          <w:lang w:val="en-ZA"/>
        </w:rPr>
        <w:t xml:space="preserve"> </w:t>
      </w:r>
      <w:r w:rsidR="003E44F9">
        <w:rPr>
          <w:rFonts w:ascii="Arial" w:hAnsi="Arial" w:cs="Arial"/>
          <w:sz w:val="22"/>
          <w:szCs w:val="22"/>
          <w:lang w:val="en-ZA"/>
        </w:rPr>
        <w:t xml:space="preserve">self-determination </w:t>
      </w:r>
      <w:r w:rsidR="00A25833">
        <w:rPr>
          <w:rFonts w:ascii="Arial" w:hAnsi="Arial" w:cs="Arial"/>
          <w:sz w:val="22"/>
          <w:szCs w:val="22"/>
          <w:lang w:val="en-ZA"/>
        </w:rPr>
        <w:t xml:space="preserve">uphold the rights to autonomy and human dignity and reduce barriers to access to health care.  </w:t>
      </w:r>
      <w:r w:rsidR="0043683D">
        <w:rPr>
          <w:rFonts w:ascii="Arial" w:hAnsi="Arial" w:cs="Arial"/>
          <w:sz w:val="22"/>
          <w:szCs w:val="22"/>
          <w:lang w:val="en-ZA"/>
        </w:rPr>
        <w:t>On 29 March</w:t>
      </w:r>
      <w:r w:rsidR="005053D3">
        <w:rPr>
          <w:rFonts w:ascii="Arial" w:hAnsi="Arial" w:cs="Arial"/>
          <w:sz w:val="22"/>
          <w:szCs w:val="22"/>
          <w:lang w:val="en-ZA"/>
        </w:rPr>
        <w:t xml:space="preserve"> </w:t>
      </w:r>
      <w:r w:rsidR="0043683D">
        <w:rPr>
          <w:rFonts w:ascii="Arial" w:hAnsi="Arial" w:cs="Arial"/>
          <w:sz w:val="22"/>
          <w:szCs w:val="22"/>
          <w:lang w:val="en-ZA"/>
        </w:rPr>
        <w:t xml:space="preserve">2023, a group </w:t>
      </w:r>
      <w:r w:rsidR="00AE6CE3">
        <w:rPr>
          <w:rFonts w:ascii="Arial" w:hAnsi="Arial" w:cs="Arial"/>
          <w:sz w:val="22"/>
          <w:szCs w:val="22"/>
          <w:lang w:val="en-ZA"/>
        </w:rPr>
        <w:t xml:space="preserve">of 28 </w:t>
      </w:r>
      <w:r w:rsidR="0043683D">
        <w:rPr>
          <w:rFonts w:ascii="Arial" w:hAnsi="Arial" w:cs="Arial"/>
          <w:sz w:val="22"/>
          <w:szCs w:val="22"/>
          <w:lang w:val="en-ZA"/>
        </w:rPr>
        <w:t xml:space="preserve">countries from regions across the world made a statement to the UN Human Rights Council, calling for </w:t>
      </w:r>
      <w:r w:rsidR="00AE6CE3">
        <w:rPr>
          <w:rFonts w:ascii="Arial" w:hAnsi="Arial" w:cs="Arial"/>
          <w:sz w:val="22"/>
          <w:szCs w:val="22"/>
          <w:lang w:val="en-ZA"/>
        </w:rPr>
        <w:t xml:space="preserve">legal gender recognition </w:t>
      </w:r>
      <w:r w:rsidR="00124E75">
        <w:rPr>
          <w:rFonts w:ascii="Arial" w:hAnsi="Arial" w:cs="Arial"/>
          <w:sz w:val="22"/>
          <w:szCs w:val="22"/>
          <w:lang w:val="en-ZA"/>
        </w:rPr>
        <w:t>based on</w:t>
      </w:r>
      <w:r w:rsidR="00AE6CE3">
        <w:rPr>
          <w:rFonts w:ascii="Arial" w:hAnsi="Arial" w:cs="Arial"/>
          <w:sz w:val="22"/>
          <w:szCs w:val="22"/>
          <w:lang w:val="en-ZA"/>
        </w:rPr>
        <w:t xml:space="preserve"> self-determination</w:t>
      </w:r>
      <w:r w:rsidR="00AC6978">
        <w:rPr>
          <w:rFonts w:ascii="Arial" w:hAnsi="Arial" w:cs="Arial"/>
          <w:sz w:val="22"/>
          <w:szCs w:val="22"/>
          <w:lang w:val="en-ZA"/>
        </w:rPr>
        <w:t xml:space="preserve"> and highlighting the role of such legislative measures in addressing violence and discrimination and ensuring access to health rights</w:t>
      </w:r>
      <w:r w:rsidR="00AC6978">
        <w:rPr>
          <w:rStyle w:val="FootnoteReference"/>
          <w:rFonts w:ascii="Arial" w:hAnsi="Arial" w:cs="Arial"/>
          <w:sz w:val="22"/>
          <w:szCs w:val="22"/>
          <w:lang w:val="en-ZA"/>
        </w:rPr>
        <w:footnoteReference w:id="9"/>
      </w:r>
      <w:r w:rsidR="00687BE2">
        <w:rPr>
          <w:rFonts w:ascii="Arial" w:hAnsi="Arial" w:cs="Arial"/>
          <w:sz w:val="22"/>
          <w:szCs w:val="22"/>
          <w:lang w:val="en-ZA"/>
        </w:rPr>
        <w:t xml:space="preserve"> </w:t>
      </w:r>
      <w:r w:rsidR="00687BE2">
        <w:rPr>
          <w:rStyle w:val="FootnoteReference"/>
          <w:rFonts w:ascii="Arial" w:hAnsi="Arial" w:cs="Arial"/>
          <w:sz w:val="22"/>
          <w:szCs w:val="22"/>
          <w:lang w:val="en-ZA"/>
        </w:rPr>
        <w:footnoteReference w:id="10"/>
      </w:r>
      <w:r w:rsidR="00AC6978">
        <w:rPr>
          <w:rFonts w:ascii="Arial" w:hAnsi="Arial" w:cs="Arial"/>
          <w:sz w:val="22"/>
          <w:szCs w:val="22"/>
          <w:lang w:val="en-ZA"/>
        </w:rPr>
        <w:t xml:space="preserve">.  </w:t>
      </w:r>
    </w:p>
    <w:p w14:paraId="50ADDF95" w14:textId="77777777" w:rsidR="0040257F" w:rsidRPr="003A611A" w:rsidRDefault="0040257F" w:rsidP="003A611A">
      <w:pPr>
        <w:spacing w:line="360" w:lineRule="auto"/>
        <w:rPr>
          <w:rFonts w:ascii="Arial" w:hAnsi="Arial" w:cs="Arial"/>
          <w:sz w:val="22"/>
          <w:szCs w:val="22"/>
          <w:lang w:val="en-ZA"/>
        </w:rPr>
      </w:pPr>
    </w:p>
    <w:p w14:paraId="644AC0AA" w14:textId="65C81DCB" w:rsidR="00170B63" w:rsidRDefault="00ED676D" w:rsidP="00617C82">
      <w:pPr>
        <w:spacing w:line="360" w:lineRule="auto"/>
        <w:rPr>
          <w:rFonts w:ascii="Arial" w:hAnsi="Arial" w:cs="Arial"/>
          <w:sz w:val="22"/>
          <w:szCs w:val="22"/>
          <w:lang w:val="en-ZA"/>
        </w:rPr>
      </w:pPr>
      <w:r>
        <w:rPr>
          <w:rFonts w:ascii="Arial" w:hAnsi="Arial" w:cs="Arial"/>
          <w:sz w:val="22"/>
          <w:szCs w:val="22"/>
          <w:lang w:val="en-ZA"/>
        </w:rPr>
        <w:t>There has also been growing international awareness of the impo</w:t>
      </w:r>
      <w:r w:rsidR="00BB5E42">
        <w:rPr>
          <w:rFonts w:ascii="Arial" w:hAnsi="Arial" w:cs="Arial"/>
          <w:sz w:val="22"/>
          <w:szCs w:val="22"/>
          <w:lang w:val="en-ZA"/>
        </w:rPr>
        <w:t xml:space="preserve">rtance of depathologizing </w:t>
      </w:r>
      <w:r w:rsidR="000B75FC">
        <w:rPr>
          <w:rFonts w:ascii="Arial" w:hAnsi="Arial" w:cs="Arial"/>
          <w:sz w:val="22"/>
          <w:szCs w:val="22"/>
          <w:lang w:val="en-ZA"/>
        </w:rPr>
        <w:t xml:space="preserve">TGDI identities.  For example, the </w:t>
      </w:r>
      <w:r w:rsidR="003A611A" w:rsidRPr="003A611A">
        <w:rPr>
          <w:rFonts w:ascii="Arial" w:hAnsi="Arial" w:cs="Arial"/>
          <w:sz w:val="22"/>
          <w:szCs w:val="22"/>
          <w:lang w:val="en-ZA"/>
        </w:rPr>
        <w:t xml:space="preserve">International Statistical Classification of Diseases and Related Health Problems </w:t>
      </w:r>
      <w:r w:rsidR="000B75FC">
        <w:rPr>
          <w:rFonts w:ascii="Arial" w:hAnsi="Arial" w:cs="Arial"/>
          <w:sz w:val="22"/>
          <w:szCs w:val="22"/>
          <w:lang w:val="en-ZA"/>
        </w:rPr>
        <w:t xml:space="preserve">11 </w:t>
      </w:r>
      <w:r w:rsidR="003A611A" w:rsidRPr="003A611A">
        <w:rPr>
          <w:rFonts w:ascii="Arial" w:hAnsi="Arial" w:cs="Arial"/>
          <w:sz w:val="22"/>
          <w:szCs w:val="22"/>
          <w:lang w:val="en-ZA"/>
        </w:rPr>
        <w:t>(ICD-11)</w:t>
      </w:r>
      <w:r w:rsidR="000B75FC">
        <w:rPr>
          <w:rFonts w:ascii="Arial" w:hAnsi="Arial" w:cs="Arial"/>
          <w:sz w:val="22"/>
          <w:szCs w:val="22"/>
          <w:lang w:val="en-ZA"/>
        </w:rPr>
        <w:t xml:space="preserve"> </w:t>
      </w:r>
      <w:r w:rsidR="002B4F54">
        <w:rPr>
          <w:rFonts w:ascii="Arial" w:hAnsi="Arial" w:cs="Arial"/>
          <w:sz w:val="22"/>
          <w:szCs w:val="22"/>
          <w:lang w:val="en-ZA"/>
        </w:rPr>
        <w:t>has removed</w:t>
      </w:r>
      <w:r w:rsidR="00170B63">
        <w:rPr>
          <w:rFonts w:ascii="Arial" w:hAnsi="Arial" w:cs="Arial"/>
          <w:sz w:val="22"/>
          <w:szCs w:val="22"/>
          <w:lang w:val="en-ZA"/>
        </w:rPr>
        <w:t xml:space="preserve"> diagnostic categories related to transgender identities from the chapter on </w:t>
      </w:r>
      <w:r w:rsidR="00617C82">
        <w:rPr>
          <w:rFonts w:ascii="Arial" w:hAnsi="Arial" w:cs="Arial"/>
          <w:sz w:val="22"/>
          <w:szCs w:val="22"/>
        </w:rPr>
        <w:t>‘</w:t>
      </w:r>
      <w:r w:rsidR="00170B63" w:rsidRPr="00170B63">
        <w:rPr>
          <w:rFonts w:ascii="Arial" w:hAnsi="Arial" w:cs="Arial"/>
          <w:sz w:val="22"/>
          <w:szCs w:val="22"/>
        </w:rPr>
        <w:t xml:space="preserve">Mental and </w:t>
      </w:r>
      <w:r w:rsidR="00617C82">
        <w:rPr>
          <w:rFonts w:ascii="Arial" w:hAnsi="Arial" w:cs="Arial"/>
          <w:sz w:val="22"/>
          <w:szCs w:val="22"/>
        </w:rPr>
        <w:t>B</w:t>
      </w:r>
      <w:r w:rsidR="00170B63" w:rsidRPr="00170B63">
        <w:rPr>
          <w:rFonts w:ascii="Arial" w:hAnsi="Arial" w:cs="Arial"/>
          <w:sz w:val="22"/>
          <w:szCs w:val="22"/>
        </w:rPr>
        <w:t xml:space="preserve">ehavioural </w:t>
      </w:r>
      <w:r w:rsidR="00617C82">
        <w:rPr>
          <w:rFonts w:ascii="Arial" w:hAnsi="Arial" w:cs="Arial"/>
          <w:sz w:val="22"/>
          <w:szCs w:val="22"/>
        </w:rPr>
        <w:t>D</w:t>
      </w:r>
      <w:r w:rsidR="00170B63" w:rsidRPr="00170B63">
        <w:rPr>
          <w:rFonts w:ascii="Arial" w:hAnsi="Arial" w:cs="Arial"/>
          <w:sz w:val="22"/>
          <w:szCs w:val="22"/>
        </w:rPr>
        <w:t>isorder</w:t>
      </w:r>
      <w:r w:rsidR="00617C82">
        <w:rPr>
          <w:rFonts w:ascii="Arial" w:hAnsi="Arial" w:cs="Arial"/>
          <w:sz w:val="22"/>
          <w:szCs w:val="22"/>
        </w:rPr>
        <w:t>s</w:t>
      </w:r>
      <w:r w:rsidR="00124E75">
        <w:rPr>
          <w:rFonts w:ascii="Arial" w:hAnsi="Arial" w:cs="Arial"/>
          <w:sz w:val="22"/>
          <w:szCs w:val="22"/>
        </w:rPr>
        <w:t>.’ Instead, it</w:t>
      </w:r>
      <w:r w:rsidR="00170B63">
        <w:rPr>
          <w:rFonts w:ascii="Arial" w:hAnsi="Arial" w:cs="Arial"/>
          <w:sz w:val="22"/>
          <w:szCs w:val="22"/>
        </w:rPr>
        <w:t xml:space="preserve"> </w:t>
      </w:r>
      <w:r w:rsidR="00740B04">
        <w:rPr>
          <w:rFonts w:ascii="Arial" w:hAnsi="Arial" w:cs="Arial"/>
          <w:sz w:val="22"/>
          <w:szCs w:val="22"/>
        </w:rPr>
        <w:t>included</w:t>
      </w:r>
      <w:r w:rsidR="000673C9">
        <w:rPr>
          <w:rFonts w:ascii="Arial" w:hAnsi="Arial" w:cs="Arial"/>
          <w:sz w:val="22"/>
          <w:szCs w:val="22"/>
        </w:rPr>
        <w:t xml:space="preserve"> the category of </w:t>
      </w:r>
      <w:r w:rsidR="00617C82">
        <w:rPr>
          <w:rFonts w:ascii="Arial" w:hAnsi="Arial" w:cs="Arial"/>
          <w:sz w:val="22"/>
          <w:szCs w:val="22"/>
        </w:rPr>
        <w:t>‘</w:t>
      </w:r>
      <w:r w:rsidR="00617C82" w:rsidRPr="00617C82">
        <w:rPr>
          <w:rFonts w:ascii="Arial" w:hAnsi="Arial" w:cs="Arial"/>
          <w:sz w:val="22"/>
          <w:szCs w:val="22"/>
        </w:rPr>
        <w:t>gender incongruence of adolescence and adulthood</w:t>
      </w:r>
      <w:r w:rsidR="00617C82">
        <w:rPr>
          <w:rFonts w:ascii="Arial" w:hAnsi="Arial" w:cs="Arial"/>
          <w:sz w:val="22"/>
          <w:szCs w:val="22"/>
        </w:rPr>
        <w:t>’</w:t>
      </w:r>
      <w:r w:rsidR="00740B04">
        <w:rPr>
          <w:rFonts w:ascii="Arial" w:hAnsi="Arial" w:cs="Arial"/>
          <w:sz w:val="22"/>
          <w:szCs w:val="22"/>
        </w:rPr>
        <w:t xml:space="preserve"> in </w:t>
      </w:r>
      <w:r w:rsidR="000673C9">
        <w:rPr>
          <w:rFonts w:ascii="Arial" w:hAnsi="Arial" w:cs="Arial"/>
          <w:sz w:val="22"/>
          <w:szCs w:val="22"/>
        </w:rPr>
        <w:t>a Chapter</w:t>
      </w:r>
      <w:r w:rsidR="00617C82">
        <w:rPr>
          <w:rFonts w:ascii="Arial" w:hAnsi="Arial" w:cs="Arial"/>
          <w:sz w:val="22"/>
          <w:szCs w:val="22"/>
        </w:rPr>
        <w:t xml:space="preserve"> </w:t>
      </w:r>
      <w:r w:rsidR="000673C9">
        <w:rPr>
          <w:rFonts w:ascii="Arial" w:hAnsi="Arial" w:cs="Arial"/>
          <w:sz w:val="22"/>
          <w:szCs w:val="22"/>
        </w:rPr>
        <w:t xml:space="preserve">on </w:t>
      </w:r>
      <w:r w:rsidR="00617C82">
        <w:rPr>
          <w:rFonts w:ascii="Arial" w:hAnsi="Arial" w:cs="Arial"/>
          <w:sz w:val="22"/>
          <w:szCs w:val="22"/>
        </w:rPr>
        <w:t>‘</w:t>
      </w:r>
      <w:r w:rsidR="00740B04" w:rsidRPr="00740B04">
        <w:rPr>
          <w:rFonts w:ascii="Arial" w:hAnsi="Arial" w:cs="Arial"/>
          <w:sz w:val="22"/>
          <w:szCs w:val="22"/>
        </w:rPr>
        <w:t>Conditions</w:t>
      </w:r>
      <w:r w:rsidR="00617C82">
        <w:rPr>
          <w:rFonts w:ascii="Arial" w:hAnsi="Arial" w:cs="Arial"/>
          <w:sz w:val="22"/>
          <w:szCs w:val="22"/>
        </w:rPr>
        <w:t xml:space="preserve"> R</w:t>
      </w:r>
      <w:r w:rsidR="00740B04" w:rsidRPr="00740B04">
        <w:rPr>
          <w:rFonts w:ascii="Arial" w:hAnsi="Arial" w:cs="Arial"/>
          <w:sz w:val="22"/>
          <w:szCs w:val="22"/>
        </w:rPr>
        <w:t xml:space="preserve">elated to </w:t>
      </w:r>
      <w:r w:rsidR="00617C82">
        <w:rPr>
          <w:rFonts w:ascii="Arial" w:hAnsi="Arial" w:cs="Arial"/>
          <w:sz w:val="22"/>
          <w:szCs w:val="22"/>
        </w:rPr>
        <w:t>S</w:t>
      </w:r>
      <w:r w:rsidR="00740B04" w:rsidRPr="00740B04">
        <w:rPr>
          <w:rFonts w:ascii="Arial" w:hAnsi="Arial" w:cs="Arial"/>
          <w:sz w:val="22"/>
          <w:szCs w:val="22"/>
        </w:rPr>
        <w:t xml:space="preserve">exual </w:t>
      </w:r>
      <w:r w:rsidR="00617C82">
        <w:rPr>
          <w:rFonts w:ascii="Arial" w:hAnsi="Arial" w:cs="Arial"/>
          <w:sz w:val="22"/>
          <w:szCs w:val="22"/>
        </w:rPr>
        <w:t>H</w:t>
      </w:r>
      <w:r w:rsidR="00740B04" w:rsidRPr="00740B04">
        <w:rPr>
          <w:rFonts w:ascii="Arial" w:hAnsi="Arial" w:cs="Arial"/>
          <w:sz w:val="22"/>
          <w:szCs w:val="22"/>
        </w:rPr>
        <w:t>ealth</w:t>
      </w:r>
      <w:r w:rsidR="00617C82">
        <w:rPr>
          <w:rFonts w:ascii="Arial" w:hAnsi="Arial" w:cs="Arial"/>
          <w:sz w:val="22"/>
          <w:szCs w:val="22"/>
        </w:rPr>
        <w:t>’</w:t>
      </w:r>
      <w:r w:rsidR="00124E75">
        <w:rPr>
          <w:rFonts w:ascii="Arial" w:hAnsi="Arial" w:cs="Arial"/>
          <w:sz w:val="22"/>
          <w:szCs w:val="22"/>
        </w:rPr>
        <w:t xml:space="preserve"> to facilitate</w:t>
      </w:r>
      <w:r w:rsidR="00740B04">
        <w:rPr>
          <w:rFonts w:ascii="Arial" w:hAnsi="Arial" w:cs="Arial"/>
          <w:sz w:val="22"/>
          <w:szCs w:val="22"/>
        </w:rPr>
        <w:t xml:space="preserve"> access to </w:t>
      </w:r>
      <w:r w:rsidR="00124E75">
        <w:rPr>
          <w:rFonts w:ascii="Arial" w:hAnsi="Arial" w:cs="Arial"/>
          <w:sz w:val="22"/>
          <w:szCs w:val="22"/>
        </w:rPr>
        <w:t>gender-affirming</w:t>
      </w:r>
      <w:r w:rsidR="00740B04">
        <w:rPr>
          <w:rFonts w:ascii="Arial" w:hAnsi="Arial" w:cs="Arial"/>
          <w:sz w:val="22"/>
          <w:szCs w:val="22"/>
        </w:rPr>
        <w:t xml:space="preserve"> health care</w:t>
      </w:r>
      <w:r w:rsidR="00BC364E">
        <w:rPr>
          <w:rStyle w:val="FootnoteReference"/>
          <w:rFonts w:ascii="Arial" w:hAnsi="Arial" w:cs="Arial"/>
          <w:sz w:val="22"/>
          <w:szCs w:val="22"/>
        </w:rPr>
        <w:footnoteReference w:id="11"/>
      </w:r>
      <w:r w:rsidR="00740B04">
        <w:rPr>
          <w:rFonts w:ascii="Arial" w:hAnsi="Arial" w:cs="Arial"/>
          <w:sz w:val="22"/>
          <w:szCs w:val="22"/>
        </w:rPr>
        <w:t xml:space="preserve">.  </w:t>
      </w:r>
    </w:p>
    <w:p w14:paraId="1B6EEFC4" w14:textId="77777777" w:rsidR="003A611A" w:rsidRPr="003A611A" w:rsidRDefault="003A611A" w:rsidP="00170B63">
      <w:pPr>
        <w:spacing w:line="360" w:lineRule="auto"/>
        <w:jc w:val="both"/>
        <w:rPr>
          <w:rFonts w:ascii="Arial" w:hAnsi="Arial" w:cs="Arial"/>
          <w:sz w:val="22"/>
          <w:szCs w:val="22"/>
          <w:lang w:val="en-ZA"/>
        </w:rPr>
      </w:pPr>
    </w:p>
    <w:p w14:paraId="1C203538" w14:textId="5CC6AA37" w:rsidR="00865494" w:rsidRDefault="0061610D" w:rsidP="00A73ADD">
      <w:pPr>
        <w:spacing w:line="360" w:lineRule="auto"/>
        <w:rPr>
          <w:rFonts w:ascii="Arial" w:hAnsi="Arial" w:cs="Arial"/>
          <w:sz w:val="22"/>
          <w:szCs w:val="22"/>
          <w:lang w:val="en-ZA"/>
        </w:rPr>
      </w:pPr>
      <w:r>
        <w:rPr>
          <w:rFonts w:ascii="Arial" w:hAnsi="Arial" w:cs="Arial"/>
          <w:sz w:val="22"/>
          <w:szCs w:val="22"/>
          <w:lang w:val="en-ZA"/>
        </w:rPr>
        <w:t xml:space="preserve">Two examples of </w:t>
      </w:r>
      <w:r w:rsidR="004A75E3">
        <w:rPr>
          <w:rFonts w:ascii="Arial" w:hAnsi="Arial" w:cs="Arial"/>
          <w:sz w:val="22"/>
          <w:szCs w:val="22"/>
          <w:lang w:val="en-ZA"/>
        </w:rPr>
        <w:t xml:space="preserve">two countries </w:t>
      </w:r>
      <w:r w:rsidR="00124E75">
        <w:rPr>
          <w:rFonts w:ascii="Arial" w:hAnsi="Arial" w:cs="Arial"/>
          <w:sz w:val="22"/>
          <w:szCs w:val="22"/>
          <w:lang w:val="en-ZA"/>
        </w:rPr>
        <w:t>that</w:t>
      </w:r>
      <w:r w:rsidR="004A75E3">
        <w:rPr>
          <w:rFonts w:ascii="Arial" w:hAnsi="Arial" w:cs="Arial"/>
          <w:sz w:val="22"/>
          <w:szCs w:val="22"/>
          <w:lang w:val="en-ZA"/>
        </w:rPr>
        <w:t xml:space="preserve"> provide access to </w:t>
      </w:r>
      <w:r w:rsidR="00124E75">
        <w:rPr>
          <w:rFonts w:ascii="Arial" w:hAnsi="Arial" w:cs="Arial"/>
          <w:sz w:val="22"/>
          <w:szCs w:val="22"/>
          <w:lang w:val="en-ZA"/>
        </w:rPr>
        <w:t>gender-affirming</w:t>
      </w:r>
      <w:r w:rsidR="004A75E3">
        <w:rPr>
          <w:rFonts w:ascii="Arial" w:hAnsi="Arial" w:cs="Arial"/>
          <w:sz w:val="22"/>
          <w:szCs w:val="22"/>
          <w:lang w:val="en-ZA"/>
        </w:rPr>
        <w:t xml:space="preserve"> health care within a human rights framework</w:t>
      </w:r>
      <w:r w:rsidR="00124E75">
        <w:rPr>
          <w:rFonts w:ascii="Arial" w:hAnsi="Arial" w:cs="Arial"/>
          <w:sz w:val="22"/>
          <w:szCs w:val="22"/>
          <w:lang w:val="en-ZA"/>
        </w:rPr>
        <w:t>,</w:t>
      </w:r>
      <w:r w:rsidR="004A75E3">
        <w:rPr>
          <w:rFonts w:ascii="Arial" w:hAnsi="Arial" w:cs="Arial"/>
          <w:sz w:val="22"/>
          <w:szCs w:val="22"/>
          <w:lang w:val="en-ZA"/>
        </w:rPr>
        <w:t xml:space="preserve"> </w:t>
      </w:r>
      <w:r w:rsidR="00EB38DB">
        <w:rPr>
          <w:rFonts w:ascii="Arial" w:hAnsi="Arial" w:cs="Arial"/>
          <w:sz w:val="22"/>
          <w:szCs w:val="22"/>
          <w:lang w:val="en-ZA"/>
        </w:rPr>
        <w:t xml:space="preserve">including legal gender recognition and </w:t>
      </w:r>
      <w:r w:rsidR="00D6471D">
        <w:rPr>
          <w:rFonts w:ascii="Arial" w:hAnsi="Arial" w:cs="Arial"/>
          <w:sz w:val="22"/>
          <w:szCs w:val="22"/>
          <w:lang w:val="en-ZA"/>
        </w:rPr>
        <w:t xml:space="preserve">a de pathologized approach to </w:t>
      </w:r>
      <w:r w:rsidR="00124E75">
        <w:rPr>
          <w:rFonts w:ascii="Arial" w:hAnsi="Arial" w:cs="Arial"/>
          <w:sz w:val="22"/>
          <w:szCs w:val="22"/>
          <w:lang w:val="en-ZA"/>
        </w:rPr>
        <w:t>gender-affirming</w:t>
      </w:r>
      <w:r w:rsidR="00D6471D">
        <w:rPr>
          <w:rFonts w:ascii="Arial" w:hAnsi="Arial" w:cs="Arial"/>
          <w:sz w:val="22"/>
          <w:szCs w:val="22"/>
          <w:lang w:val="en-ZA"/>
        </w:rPr>
        <w:t xml:space="preserve"> care</w:t>
      </w:r>
      <w:r w:rsidR="00124E75">
        <w:rPr>
          <w:rFonts w:ascii="Arial" w:hAnsi="Arial" w:cs="Arial"/>
          <w:sz w:val="22"/>
          <w:szCs w:val="22"/>
          <w:lang w:val="en-ZA"/>
        </w:rPr>
        <w:t>,</w:t>
      </w:r>
      <w:r w:rsidR="00D6471D">
        <w:rPr>
          <w:rFonts w:ascii="Arial" w:hAnsi="Arial" w:cs="Arial"/>
          <w:sz w:val="22"/>
          <w:szCs w:val="22"/>
          <w:lang w:val="en-ZA"/>
        </w:rPr>
        <w:t xml:space="preserve"> are Malta and Argentina.  </w:t>
      </w:r>
    </w:p>
    <w:p w14:paraId="3B9AFE66" w14:textId="77777777" w:rsidR="00EB38DB" w:rsidRDefault="00EB38DB" w:rsidP="00A73ADD">
      <w:pPr>
        <w:spacing w:line="360" w:lineRule="auto"/>
        <w:rPr>
          <w:rFonts w:ascii="Arial" w:hAnsi="Arial" w:cs="Arial"/>
          <w:sz w:val="22"/>
          <w:szCs w:val="22"/>
          <w:lang w:val="en-ZA"/>
        </w:rPr>
      </w:pPr>
    </w:p>
    <w:p w14:paraId="541E891F" w14:textId="13C0A955" w:rsidR="00D83247" w:rsidRPr="00A73ADD" w:rsidRDefault="008C4C9F" w:rsidP="00A73ADD">
      <w:pPr>
        <w:spacing w:line="360" w:lineRule="auto"/>
        <w:rPr>
          <w:rFonts w:ascii="Arial" w:hAnsi="Arial" w:cs="Arial"/>
          <w:b/>
          <w:bCs/>
          <w:sz w:val="22"/>
          <w:szCs w:val="22"/>
          <w:lang w:val="en-ZA"/>
        </w:rPr>
      </w:pPr>
      <w:r>
        <w:rPr>
          <w:rFonts w:ascii="Arial" w:hAnsi="Arial" w:cs="Arial"/>
          <w:b/>
          <w:bCs/>
          <w:sz w:val="22"/>
          <w:szCs w:val="22"/>
          <w:lang w:val="en-ZA"/>
        </w:rPr>
        <w:t xml:space="preserve">1. </w:t>
      </w:r>
      <w:r w:rsidR="00D83247" w:rsidRPr="00D83247">
        <w:rPr>
          <w:rFonts w:ascii="Arial" w:hAnsi="Arial" w:cs="Arial"/>
          <w:b/>
          <w:bCs/>
          <w:sz w:val="22"/>
          <w:szCs w:val="22"/>
          <w:lang w:val="en-ZA"/>
        </w:rPr>
        <w:t>Malta</w:t>
      </w:r>
    </w:p>
    <w:p w14:paraId="663779CD" w14:textId="45724C5E" w:rsidR="00D536A1" w:rsidRDefault="00D83247" w:rsidP="00D83247">
      <w:pPr>
        <w:spacing w:line="360" w:lineRule="auto"/>
        <w:rPr>
          <w:rFonts w:ascii="Arial" w:hAnsi="Arial" w:cs="Arial"/>
          <w:sz w:val="22"/>
          <w:szCs w:val="22"/>
          <w:lang w:val="en-ZA"/>
        </w:rPr>
      </w:pPr>
      <w:r w:rsidRPr="00D83247">
        <w:rPr>
          <w:rFonts w:ascii="Arial" w:hAnsi="Arial" w:cs="Arial"/>
          <w:sz w:val="22"/>
          <w:szCs w:val="22"/>
          <w:lang w:val="en-ZA"/>
        </w:rPr>
        <w:t>Malta</w:t>
      </w:r>
      <w:r w:rsidR="00DD6248">
        <w:rPr>
          <w:rFonts w:ascii="Arial" w:hAnsi="Arial" w:cs="Arial"/>
          <w:sz w:val="22"/>
          <w:szCs w:val="22"/>
          <w:lang w:val="en-ZA"/>
        </w:rPr>
        <w:t xml:space="preserve">’s legal framework includes the </w:t>
      </w:r>
      <w:r w:rsidRPr="00D83247">
        <w:rPr>
          <w:rFonts w:ascii="Arial" w:hAnsi="Arial" w:cs="Arial"/>
          <w:sz w:val="22"/>
          <w:szCs w:val="22"/>
          <w:lang w:val="en-ZA"/>
        </w:rPr>
        <w:t>Gender Identity, Gender Expression, and Sex Characteristics Act</w:t>
      </w:r>
      <w:r w:rsidR="00EE3AFE">
        <w:rPr>
          <w:rStyle w:val="FootnoteReference"/>
          <w:rFonts w:ascii="Arial" w:hAnsi="Arial" w:cs="Arial"/>
          <w:sz w:val="22"/>
          <w:szCs w:val="22"/>
          <w:lang w:val="en-ZA"/>
        </w:rPr>
        <w:footnoteReference w:id="12"/>
      </w:r>
      <w:r w:rsidRPr="00D83247">
        <w:rPr>
          <w:rFonts w:ascii="Arial" w:hAnsi="Arial" w:cs="Arial"/>
          <w:sz w:val="22"/>
          <w:szCs w:val="22"/>
          <w:lang w:val="en-ZA"/>
        </w:rPr>
        <w:t xml:space="preserve">, which </w:t>
      </w:r>
      <w:r w:rsidR="00D536A1">
        <w:rPr>
          <w:rFonts w:ascii="Arial" w:hAnsi="Arial" w:cs="Arial"/>
          <w:sz w:val="22"/>
          <w:szCs w:val="22"/>
          <w:lang w:val="en-ZA"/>
        </w:rPr>
        <w:t>provides for</w:t>
      </w:r>
      <w:r w:rsidR="00124E75">
        <w:rPr>
          <w:rFonts w:ascii="Arial" w:hAnsi="Arial" w:cs="Arial"/>
          <w:sz w:val="22"/>
          <w:szCs w:val="22"/>
          <w:lang w:val="en-ZA"/>
        </w:rPr>
        <w:t xml:space="preserve"> the following</w:t>
      </w:r>
      <w:r w:rsidR="00D536A1">
        <w:rPr>
          <w:rFonts w:ascii="Arial" w:hAnsi="Arial" w:cs="Arial"/>
          <w:sz w:val="22"/>
          <w:szCs w:val="22"/>
          <w:lang w:val="en-ZA"/>
        </w:rPr>
        <w:t>:</w:t>
      </w:r>
    </w:p>
    <w:p w14:paraId="6A3ADB0D" w14:textId="2CD7740A" w:rsidR="00D536A1" w:rsidRDefault="00D536A1" w:rsidP="00D536A1">
      <w:pPr>
        <w:pStyle w:val="ListParagraph"/>
        <w:numPr>
          <w:ilvl w:val="0"/>
          <w:numId w:val="3"/>
        </w:numPr>
        <w:spacing w:line="360" w:lineRule="auto"/>
        <w:rPr>
          <w:rFonts w:ascii="Arial" w:hAnsi="Arial" w:cs="Arial"/>
          <w:sz w:val="22"/>
          <w:szCs w:val="22"/>
          <w:lang w:val="en-ZA"/>
        </w:rPr>
      </w:pPr>
      <w:r>
        <w:rPr>
          <w:rFonts w:ascii="Arial" w:hAnsi="Arial" w:cs="Arial"/>
          <w:sz w:val="22"/>
          <w:szCs w:val="22"/>
          <w:lang w:val="en-ZA"/>
        </w:rPr>
        <w:t>L</w:t>
      </w:r>
      <w:r w:rsidRPr="00D536A1">
        <w:rPr>
          <w:rFonts w:ascii="Arial" w:hAnsi="Arial" w:cs="Arial"/>
          <w:sz w:val="22"/>
          <w:szCs w:val="22"/>
          <w:lang w:val="en-ZA"/>
        </w:rPr>
        <w:t xml:space="preserve">egal gender recognition </w:t>
      </w:r>
      <w:r w:rsidR="00124E75">
        <w:rPr>
          <w:rFonts w:ascii="Arial" w:hAnsi="Arial" w:cs="Arial"/>
          <w:sz w:val="22"/>
          <w:szCs w:val="22"/>
          <w:lang w:val="en-ZA"/>
        </w:rPr>
        <w:t>based on</w:t>
      </w:r>
      <w:r w:rsidR="002466E7">
        <w:rPr>
          <w:rFonts w:ascii="Arial" w:hAnsi="Arial" w:cs="Arial"/>
          <w:sz w:val="22"/>
          <w:szCs w:val="22"/>
          <w:lang w:val="en-ZA"/>
        </w:rPr>
        <w:t xml:space="preserve"> </w:t>
      </w:r>
      <w:proofErr w:type="gramStart"/>
      <w:r w:rsidR="002466E7">
        <w:rPr>
          <w:rFonts w:ascii="Arial" w:hAnsi="Arial" w:cs="Arial"/>
          <w:sz w:val="22"/>
          <w:szCs w:val="22"/>
          <w:lang w:val="en-ZA"/>
        </w:rPr>
        <w:t>self-determination</w:t>
      </w:r>
      <w:r w:rsidR="00A50E40">
        <w:rPr>
          <w:rFonts w:ascii="Arial" w:hAnsi="Arial" w:cs="Arial"/>
          <w:sz w:val="22"/>
          <w:szCs w:val="22"/>
          <w:lang w:val="en-ZA"/>
        </w:rPr>
        <w:t>;</w:t>
      </w:r>
      <w:proofErr w:type="gramEnd"/>
    </w:p>
    <w:p w14:paraId="3EF4490B" w14:textId="4E8B684F" w:rsidR="002466E7" w:rsidRDefault="00D536A1" w:rsidP="00D536A1">
      <w:pPr>
        <w:pStyle w:val="ListParagraph"/>
        <w:numPr>
          <w:ilvl w:val="0"/>
          <w:numId w:val="3"/>
        </w:numPr>
        <w:spacing w:line="360" w:lineRule="auto"/>
        <w:rPr>
          <w:rFonts w:ascii="Arial" w:hAnsi="Arial" w:cs="Arial"/>
          <w:sz w:val="22"/>
          <w:szCs w:val="22"/>
          <w:lang w:val="en-ZA"/>
        </w:rPr>
      </w:pPr>
      <w:r>
        <w:rPr>
          <w:rFonts w:ascii="Arial" w:hAnsi="Arial" w:cs="Arial"/>
          <w:sz w:val="22"/>
          <w:szCs w:val="22"/>
          <w:lang w:val="en-ZA"/>
        </w:rPr>
        <w:t>A</w:t>
      </w:r>
      <w:r w:rsidR="00D83247" w:rsidRPr="00D536A1">
        <w:rPr>
          <w:rFonts w:ascii="Arial" w:hAnsi="Arial" w:cs="Arial"/>
          <w:sz w:val="22"/>
          <w:szCs w:val="22"/>
          <w:lang w:val="en-ZA"/>
        </w:rPr>
        <w:t xml:space="preserve">ccess to gender-affirming </w:t>
      </w:r>
      <w:r w:rsidRPr="00D536A1">
        <w:rPr>
          <w:rFonts w:ascii="Arial" w:hAnsi="Arial" w:cs="Arial"/>
          <w:sz w:val="22"/>
          <w:szCs w:val="22"/>
          <w:lang w:val="en-ZA"/>
        </w:rPr>
        <w:t>in</w:t>
      </w:r>
      <w:r w:rsidR="00D83247" w:rsidRPr="00D536A1">
        <w:rPr>
          <w:rFonts w:ascii="Arial" w:hAnsi="Arial" w:cs="Arial"/>
          <w:sz w:val="22"/>
          <w:szCs w:val="22"/>
          <w:lang w:val="en-ZA"/>
        </w:rPr>
        <w:t xml:space="preserve"> </w:t>
      </w:r>
      <w:r w:rsidR="00124E75">
        <w:rPr>
          <w:rFonts w:ascii="Arial" w:hAnsi="Arial" w:cs="Arial"/>
          <w:sz w:val="22"/>
          <w:szCs w:val="22"/>
          <w:lang w:val="en-ZA"/>
        </w:rPr>
        <w:t xml:space="preserve">the </w:t>
      </w:r>
      <w:r w:rsidR="00D83247" w:rsidRPr="00D536A1">
        <w:rPr>
          <w:rFonts w:ascii="Arial" w:hAnsi="Arial" w:cs="Arial"/>
          <w:sz w:val="22"/>
          <w:szCs w:val="22"/>
          <w:lang w:val="en-ZA"/>
        </w:rPr>
        <w:t xml:space="preserve">public health care </w:t>
      </w:r>
      <w:proofErr w:type="gramStart"/>
      <w:r w:rsidR="00D83247" w:rsidRPr="00D536A1">
        <w:rPr>
          <w:rFonts w:ascii="Arial" w:hAnsi="Arial" w:cs="Arial"/>
          <w:sz w:val="22"/>
          <w:szCs w:val="22"/>
          <w:lang w:val="en-ZA"/>
        </w:rPr>
        <w:t>system</w:t>
      </w:r>
      <w:r w:rsidR="00A50E40">
        <w:rPr>
          <w:rFonts w:ascii="Arial" w:hAnsi="Arial" w:cs="Arial"/>
          <w:sz w:val="22"/>
          <w:szCs w:val="22"/>
          <w:lang w:val="en-ZA"/>
        </w:rPr>
        <w:t>;</w:t>
      </w:r>
      <w:proofErr w:type="gramEnd"/>
      <w:r w:rsidR="00A50E40">
        <w:rPr>
          <w:rFonts w:ascii="Arial" w:hAnsi="Arial" w:cs="Arial"/>
          <w:sz w:val="22"/>
          <w:szCs w:val="22"/>
          <w:lang w:val="en-ZA"/>
        </w:rPr>
        <w:t xml:space="preserve"> </w:t>
      </w:r>
    </w:p>
    <w:p w14:paraId="4B2544DB" w14:textId="77777777" w:rsidR="00722BE9" w:rsidRDefault="00D83247" w:rsidP="00D536A1">
      <w:pPr>
        <w:pStyle w:val="ListParagraph"/>
        <w:numPr>
          <w:ilvl w:val="0"/>
          <w:numId w:val="3"/>
        </w:numPr>
        <w:spacing w:line="360" w:lineRule="auto"/>
        <w:rPr>
          <w:rFonts w:ascii="Arial" w:hAnsi="Arial" w:cs="Arial"/>
          <w:sz w:val="22"/>
          <w:szCs w:val="22"/>
          <w:lang w:val="en-ZA"/>
        </w:rPr>
      </w:pPr>
      <w:r w:rsidRPr="00D536A1">
        <w:rPr>
          <w:rFonts w:ascii="Arial" w:hAnsi="Arial" w:cs="Arial"/>
          <w:sz w:val="22"/>
          <w:szCs w:val="22"/>
          <w:lang w:val="en-ZA"/>
        </w:rPr>
        <w:t>The prohibi</w:t>
      </w:r>
      <w:r w:rsidR="002466E7">
        <w:rPr>
          <w:rFonts w:ascii="Arial" w:hAnsi="Arial" w:cs="Arial"/>
          <w:sz w:val="22"/>
          <w:szCs w:val="22"/>
          <w:lang w:val="en-ZA"/>
        </w:rPr>
        <w:t>tion of</w:t>
      </w:r>
      <w:r w:rsidRPr="00D536A1">
        <w:rPr>
          <w:rFonts w:ascii="Arial" w:hAnsi="Arial" w:cs="Arial"/>
          <w:sz w:val="22"/>
          <w:szCs w:val="22"/>
          <w:lang w:val="en-ZA"/>
        </w:rPr>
        <w:t xml:space="preserve"> discrimination </w:t>
      </w:r>
      <w:proofErr w:type="gramStart"/>
      <w:r w:rsidR="002466E7">
        <w:rPr>
          <w:rFonts w:ascii="Arial" w:hAnsi="Arial" w:cs="Arial"/>
          <w:sz w:val="22"/>
          <w:szCs w:val="22"/>
          <w:lang w:val="en-ZA"/>
        </w:rPr>
        <w:t>on the basis of</w:t>
      </w:r>
      <w:proofErr w:type="gramEnd"/>
      <w:r w:rsidR="002466E7">
        <w:rPr>
          <w:rFonts w:ascii="Arial" w:hAnsi="Arial" w:cs="Arial"/>
          <w:sz w:val="22"/>
          <w:szCs w:val="22"/>
          <w:lang w:val="en-ZA"/>
        </w:rPr>
        <w:t xml:space="preserve"> ge</w:t>
      </w:r>
      <w:r w:rsidRPr="00D536A1">
        <w:rPr>
          <w:rFonts w:ascii="Arial" w:hAnsi="Arial" w:cs="Arial"/>
          <w:sz w:val="22"/>
          <w:szCs w:val="22"/>
          <w:lang w:val="en-ZA"/>
        </w:rPr>
        <w:t>nder identity, gender expression, and sex characteristics</w:t>
      </w:r>
      <w:r w:rsidR="005C2D73">
        <w:rPr>
          <w:rFonts w:ascii="Arial" w:hAnsi="Arial" w:cs="Arial"/>
          <w:sz w:val="22"/>
          <w:szCs w:val="22"/>
          <w:lang w:val="en-ZA"/>
        </w:rPr>
        <w:t xml:space="preserve">; and </w:t>
      </w:r>
    </w:p>
    <w:p w14:paraId="087A8BC6" w14:textId="2290F6A8" w:rsidR="00D83247" w:rsidRPr="00D536A1" w:rsidRDefault="00722BE9" w:rsidP="00D536A1">
      <w:pPr>
        <w:pStyle w:val="ListParagraph"/>
        <w:numPr>
          <w:ilvl w:val="0"/>
          <w:numId w:val="3"/>
        </w:numPr>
        <w:spacing w:line="360" w:lineRule="auto"/>
        <w:rPr>
          <w:rFonts w:ascii="Arial" w:hAnsi="Arial" w:cs="Arial"/>
          <w:sz w:val="22"/>
          <w:szCs w:val="22"/>
          <w:lang w:val="en-ZA"/>
        </w:rPr>
      </w:pPr>
      <w:r>
        <w:rPr>
          <w:rFonts w:ascii="Arial" w:hAnsi="Arial" w:cs="Arial"/>
          <w:sz w:val="22"/>
          <w:szCs w:val="22"/>
          <w:lang w:val="en-ZA"/>
        </w:rPr>
        <w:lastRenderedPageBreak/>
        <w:t>The prohibition of</w:t>
      </w:r>
      <w:r w:rsidR="003A1E47">
        <w:rPr>
          <w:rFonts w:ascii="Arial" w:hAnsi="Arial" w:cs="Arial"/>
          <w:sz w:val="22"/>
          <w:szCs w:val="22"/>
          <w:lang w:val="en-ZA"/>
        </w:rPr>
        <w:t xml:space="preserve"> </w:t>
      </w:r>
      <w:r w:rsidR="009A7BEA">
        <w:rPr>
          <w:rFonts w:ascii="Arial" w:hAnsi="Arial" w:cs="Arial"/>
          <w:sz w:val="22"/>
          <w:szCs w:val="22"/>
          <w:lang w:val="en-ZA"/>
        </w:rPr>
        <w:t xml:space="preserve">“normalizing” </w:t>
      </w:r>
      <w:r w:rsidR="003A1E47">
        <w:rPr>
          <w:rFonts w:ascii="Arial" w:hAnsi="Arial" w:cs="Arial"/>
          <w:sz w:val="22"/>
          <w:szCs w:val="22"/>
          <w:lang w:val="en-ZA"/>
        </w:rPr>
        <w:t>genital surgeries on intersex infants</w:t>
      </w:r>
      <w:r w:rsidR="003A1E47">
        <w:rPr>
          <w:rStyle w:val="FootnoteReference"/>
          <w:rFonts w:ascii="Arial" w:hAnsi="Arial" w:cs="Arial"/>
          <w:sz w:val="22"/>
          <w:szCs w:val="22"/>
          <w:lang w:val="en-ZA"/>
        </w:rPr>
        <w:footnoteReference w:id="13"/>
      </w:r>
      <w:r w:rsidR="00D83247" w:rsidRPr="00D536A1">
        <w:rPr>
          <w:rFonts w:ascii="Arial" w:hAnsi="Arial" w:cs="Arial"/>
          <w:sz w:val="22"/>
          <w:szCs w:val="22"/>
          <w:lang w:val="en-ZA"/>
        </w:rPr>
        <w:t>.</w:t>
      </w:r>
    </w:p>
    <w:p w14:paraId="107DDD02" w14:textId="77777777" w:rsidR="00FA1EF9" w:rsidRDefault="00FA1EF9" w:rsidP="00D83247">
      <w:pPr>
        <w:spacing w:line="360" w:lineRule="auto"/>
        <w:rPr>
          <w:rFonts w:ascii="Arial" w:hAnsi="Arial" w:cs="Arial"/>
          <w:sz w:val="22"/>
          <w:szCs w:val="22"/>
          <w:lang w:val="en-ZA"/>
        </w:rPr>
      </w:pPr>
    </w:p>
    <w:p w14:paraId="6050DE7B" w14:textId="4E797868" w:rsidR="00D83247" w:rsidRPr="00D83247" w:rsidRDefault="00FA1EF9" w:rsidP="00D83247">
      <w:pPr>
        <w:spacing w:line="360" w:lineRule="auto"/>
        <w:rPr>
          <w:rFonts w:ascii="Arial" w:hAnsi="Arial" w:cs="Arial"/>
          <w:sz w:val="22"/>
          <w:szCs w:val="22"/>
          <w:lang w:val="en-ZA"/>
        </w:rPr>
      </w:pPr>
      <w:r>
        <w:rPr>
          <w:rFonts w:ascii="Arial" w:hAnsi="Arial" w:cs="Arial"/>
          <w:sz w:val="22"/>
          <w:szCs w:val="22"/>
          <w:lang w:val="en-ZA"/>
        </w:rPr>
        <w:t xml:space="preserve">Malta’s legal framework specifically </w:t>
      </w:r>
      <w:proofErr w:type="spellStart"/>
      <w:r>
        <w:rPr>
          <w:rFonts w:ascii="Arial" w:hAnsi="Arial" w:cs="Arial"/>
          <w:sz w:val="22"/>
          <w:szCs w:val="22"/>
          <w:lang w:val="en-ZA"/>
        </w:rPr>
        <w:t>depathologizes</w:t>
      </w:r>
      <w:proofErr w:type="spellEnd"/>
      <w:r>
        <w:rPr>
          <w:rFonts w:ascii="Arial" w:hAnsi="Arial" w:cs="Arial"/>
          <w:sz w:val="22"/>
          <w:szCs w:val="22"/>
          <w:lang w:val="en-ZA"/>
        </w:rPr>
        <w:t xml:space="preserve"> transgender identities</w:t>
      </w:r>
      <w:r w:rsidR="00124E75">
        <w:rPr>
          <w:rStyle w:val="FootnoteReference"/>
          <w:rFonts w:ascii="Arial" w:hAnsi="Arial" w:cs="Arial"/>
          <w:sz w:val="22"/>
          <w:szCs w:val="22"/>
          <w:lang w:val="en-ZA"/>
        </w:rPr>
        <w:t xml:space="preserve"> </w:t>
      </w:r>
      <w:r w:rsidR="00124E75">
        <w:rPr>
          <w:rFonts w:ascii="Arial" w:hAnsi="Arial" w:cs="Arial"/>
          <w:sz w:val="22"/>
          <w:szCs w:val="22"/>
          <w:lang w:val="en-ZA"/>
        </w:rPr>
        <w:t>to allow</w:t>
      </w:r>
      <w:r w:rsidR="006F5DDF">
        <w:rPr>
          <w:rFonts w:ascii="Arial" w:hAnsi="Arial" w:cs="Arial"/>
          <w:sz w:val="22"/>
          <w:szCs w:val="22"/>
          <w:lang w:val="en-ZA"/>
        </w:rPr>
        <w:t xml:space="preserve"> access to </w:t>
      </w:r>
      <w:r w:rsidR="00124E75">
        <w:rPr>
          <w:rFonts w:ascii="Arial" w:hAnsi="Arial" w:cs="Arial"/>
          <w:sz w:val="22"/>
          <w:szCs w:val="22"/>
          <w:lang w:val="en-ZA"/>
        </w:rPr>
        <w:t>gender-affirming</w:t>
      </w:r>
      <w:r w:rsidR="006F5DDF">
        <w:rPr>
          <w:rFonts w:ascii="Arial" w:hAnsi="Arial" w:cs="Arial"/>
          <w:sz w:val="22"/>
          <w:szCs w:val="22"/>
          <w:lang w:val="en-ZA"/>
        </w:rPr>
        <w:t xml:space="preserve"> health care</w:t>
      </w:r>
      <w:r w:rsidR="00D7519E">
        <w:rPr>
          <w:rFonts w:ascii="Arial" w:hAnsi="Arial" w:cs="Arial"/>
          <w:sz w:val="22"/>
          <w:szCs w:val="22"/>
          <w:lang w:val="en-ZA"/>
        </w:rPr>
        <w:t xml:space="preserve"> without a mental health diagnosis.  </w:t>
      </w:r>
      <w:r w:rsidR="00124E75">
        <w:rPr>
          <w:rFonts w:ascii="Arial" w:hAnsi="Arial" w:cs="Arial"/>
          <w:sz w:val="22"/>
          <w:szCs w:val="22"/>
          <w:lang w:val="en-ZA"/>
        </w:rPr>
        <w:t>Gender-affirming</w:t>
      </w:r>
      <w:r w:rsidR="00D7519E">
        <w:rPr>
          <w:rFonts w:ascii="Arial" w:hAnsi="Arial" w:cs="Arial"/>
          <w:sz w:val="22"/>
          <w:szCs w:val="22"/>
          <w:lang w:val="en-ZA"/>
        </w:rPr>
        <w:t xml:space="preserve"> health care, including hormone therapy, surgery</w:t>
      </w:r>
      <w:r w:rsidR="00124E75">
        <w:rPr>
          <w:rFonts w:ascii="Arial" w:hAnsi="Arial" w:cs="Arial"/>
          <w:sz w:val="22"/>
          <w:szCs w:val="22"/>
          <w:lang w:val="en-ZA"/>
        </w:rPr>
        <w:t>,</w:t>
      </w:r>
      <w:r w:rsidR="00D7519E">
        <w:rPr>
          <w:rFonts w:ascii="Arial" w:hAnsi="Arial" w:cs="Arial"/>
          <w:sz w:val="22"/>
          <w:szCs w:val="22"/>
          <w:lang w:val="en-ZA"/>
        </w:rPr>
        <w:t xml:space="preserve"> and mental health support</w:t>
      </w:r>
      <w:r w:rsidR="00124E75">
        <w:rPr>
          <w:rFonts w:ascii="Arial" w:hAnsi="Arial" w:cs="Arial"/>
          <w:sz w:val="22"/>
          <w:szCs w:val="22"/>
          <w:lang w:val="en-ZA"/>
        </w:rPr>
        <w:t>,</w:t>
      </w:r>
      <w:r w:rsidR="00D7519E">
        <w:rPr>
          <w:rFonts w:ascii="Arial" w:hAnsi="Arial" w:cs="Arial"/>
          <w:sz w:val="22"/>
          <w:szCs w:val="22"/>
          <w:lang w:val="en-ZA"/>
        </w:rPr>
        <w:t xml:space="preserve"> </w:t>
      </w:r>
      <w:r w:rsidR="00124E75">
        <w:rPr>
          <w:rFonts w:ascii="Arial" w:hAnsi="Arial" w:cs="Arial"/>
          <w:sz w:val="22"/>
          <w:szCs w:val="22"/>
          <w:lang w:val="en-ZA"/>
        </w:rPr>
        <w:t>is</w:t>
      </w:r>
      <w:r w:rsidR="00D7519E">
        <w:rPr>
          <w:rFonts w:ascii="Arial" w:hAnsi="Arial" w:cs="Arial"/>
          <w:sz w:val="22"/>
          <w:szCs w:val="22"/>
          <w:lang w:val="en-ZA"/>
        </w:rPr>
        <w:t xml:space="preserve"> available through the </w:t>
      </w:r>
      <w:r w:rsidR="00B066ED">
        <w:rPr>
          <w:rFonts w:ascii="Arial" w:hAnsi="Arial" w:cs="Arial"/>
          <w:sz w:val="22"/>
          <w:szCs w:val="22"/>
          <w:lang w:val="en-ZA"/>
        </w:rPr>
        <w:t>public health system</w:t>
      </w:r>
      <w:r w:rsidR="00B066ED">
        <w:rPr>
          <w:rStyle w:val="FootnoteReference"/>
          <w:rFonts w:ascii="Arial" w:hAnsi="Arial" w:cs="Arial"/>
          <w:sz w:val="22"/>
          <w:szCs w:val="22"/>
          <w:lang w:val="en-ZA"/>
        </w:rPr>
        <w:footnoteReference w:id="14"/>
      </w:r>
      <w:r w:rsidR="00B066ED">
        <w:rPr>
          <w:rFonts w:ascii="Arial" w:hAnsi="Arial" w:cs="Arial"/>
          <w:sz w:val="22"/>
          <w:szCs w:val="22"/>
          <w:lang w:val="en-ZA"/>
        </w:rPr>
        <w:t xml:space="preserve">.  </w:t>
      </w:r>
    </w:p>
    <w:p w14:paraId="41E4079A" w14:textId="77777777" w:rsidR="00004DC9" w:rsidRPr="00D83247" w:rsidRDefault="00004DC9" w:rsidP="00D83247">
      <w:pPr>
        <w:spacing w:line="360" w:lineRule="auto"/>
        <w:rPr>
          <w:rFonts w:ascii="Arial" w:hAnsi="Arial" w:cs="Arial"/>
          <w:sz w:val="22"/>
          <w:szCs w:val="22"/>
          <w:lang w:val="en-ZA"/>
        </w:rPr>
      </w:pPr>
    </w:p>
    <w:p w14:paraId="41AFC83F" w14:textId="42CD7F1D" w:rsidR="00EE7898" w:rsidRPr="00EE7898" w:rsidRDefault="008C4C9F" w:rsidP="00EE7898">
      <w:pPr>
        <w:spacing w:line="360" w:lineRule="auto"/>
        <w:rPr>
          <w:rFonts w:ascii="Arial" w:hAnsi="Arial" w:cs="Arial"/>
          <w:b/>
          <w:bCs/>
          <w:sz w:val="22"/>
          <w:szCs w:val="22"/>
          <w:lang w:val="en-ZA"/>
        </w:rPr>
      </w:pPr>
      <w:r>
        <w:rPr>
          <w:rFonts w:ascii="Arial" w:hAnsi="Arial" w:cs="Arial"/>
          <w:b/>
          <w:bCs/>
          <w:sz w:val="22"/>
          <w:szCs w:val="22"/>
          <w:lang w:val="en-ZA"/>
        </w:rPr>
        <w:t xml:space="preserve">2. </w:t>
      </w:r>
      <w:r w:rsidR="00EE7898" w:rsidRPr="00EE7898">
        <w:rPr>
          <w:rFonts w:ascii="Arial" w:hAnsi="Arial" w:cs="Arial"/>
          <w:b/>
          <w:bCs/>
          <w:sz w:val="22"/>
          <w:szCs w:val="22"/>
          <w:lang w:val="en-ZA"/>
        </w:rPr>
        <w:t>Argentina</w:t>
      </w:r>
    </w:p>
    <w:p w14:paraId="50E0E8BB" w14:textId="25EEA658" w:rsidR="001903BE" w:rsidRDefault="00EE7898" w:rsidP="00EE7898">
      <w:pPr>
        <w:spacing w:line="360" w:lineRule="auto"/>
        <w:rPr>
          <w:rFonts w:ascii="Arial" w:hAnsi="Arial" w:cs="Arial"/>
          <w:sz w:val="22"/>
          <w:szCs w:val="22"/>
          <w:lang w:val="en-ZA"/>
        </w:rPr>
      </w:pPr>
      <w:r w:rsidRPr="00EE7898">
        <w:rPr>
          <w:rFonts w:ascii="Arial" w:hAnsi="Arial" w:cs="Arial"/>
          <w:sz w:val="22"/>
          <w:szCs w:val="22"/>
          <w:lang w:val="en-ZA"/>
        </w:rPr>
        <w:t>Argentina is an</w:t>
      </w:r>
      <w:r>
        <w:rPr>
          <w:rFonts w:ascii="Arial" w:hAnsi="Arial" w:cs="Arial"/>
          <w:sz w:val="22"/>
          <w:szCs w:val="22"/>
          <w:lang w:val="en-ZA"/>
        </w:rPr>
        <w:t>other</w:t>
      </w:r>
      <w:r w:rsidRPr="00EE7898">
        <w:rPr>
          <w:rFonts w:ascii="Arial" w:hAnsi="Arial" w:cs="Arial"/>
          <w:sz w:val="22"/>
          <w:szCs w:val="22"/>
          <w:lang w:val="en-ZA"/>
        </w:rPr>
        <w:t xml:space="preserve"> example of a country that includes </w:t>
      </w:r>
      <w:r w:rsidR="00124E75">
        <w:rPr>
          <w:rFonts w:ascii="Arial" w:hAnsi="Arial" w:cs="Arial"/>
          <w:sz w:val="22"/>
          <w:szCs w:val="22"/>
          <w:lang w:val="en-ZA"/>
        </w:rPr>
        <w:t>gender-affirming</w:t>
      </w:r>
      <w:r w:rsidRPr="00EE7898">
        <w:rPr>
          <w:rFonts w:ascii="Arial" w:hAnsi="Arial" w:cs="Arial"/>
          <w:sz w:val="22"/>
          <w:szCs w:val="22"/>
          <w:lang w:val="en-ZA"/>
        </w:rPr>
        <w:t xml:space="preserve"> care in </w:t>
      </w:r>
      <w:r w:rsidR="001903BE">
        <w:rPr>
          <w:rFonts w:ascii="Arial" w:hAnsi="Arial" w:cs="Arial"/>
          <w:sz w:val="22"/>
          <w:szCs w:val="22"/>
          <w:lang w:val="en-ZA"/>
        </w:rPr>
        <w:t>public</w:t>
      </w:r>
      <w:r w:rsidRPr="00EE7898">
        <w:rPr>
          <w:rFonts w:ascii="Arial" w:hAnsi="Arial" w:cs="Arial"/>
          <w:sz w:val="22"/>
          <w:szCs w:val="22"/>
          <w:lang w:val="en-ZA"/>
        </w:rPr>
        <w:t xml:space="preserve"> health coverage</w:t>
      </w:r>
      <w:r w:rsidR="001903BE">
        <w:rPr>
          <w:rFonts w:ascii="Arial" w:hAnsi="Arial" w:cs="Arial"/>
          <w:sz w:val="22"/>
          <w:szCs w:val="22"/>
          <w:lang w:val="en-ZA"/>
        </w:rPr>
        <w:t xml:space="preserve"> within a legal framework of self-determination and de</w:t>
      </w:r>
      <w:r w:rsidR="002C75ED">
        <w:rPr>
          <w:rFonts w:ascii="Arial" w:hAnsi="Arial" w:cs="Arial"/>
          <w:sz w:val="22"/>
          <w:szCs w:val="22"/>
          <w:lang w:val="en-ZA"/>
        </w:rPr>
        <w:t>pathologization</w:t>
      </w:r>
      <w:r w:rsidR="008874DF">
        <w:rPr>
          <w:rStyle w:val="FootnoteReference"/>
          <w:rFonts w:ascii="Arial" w:hAnsi="Arial" w:cs="Arial"/>
          <w:sz w:val="22"/>
          <w:szCs w:val="22"/>
          <w:lang w:val="en-ZA"/>
        </w:rPr>
        <w:footnoteReference w:id="15"/>
      </w:r>
      <w:r w:rsidRPr="00EE7898">
        <w:rPr>
          <w:rFonts w:ascii="Arial" w:hAnsi="Arial" w:cs="Arial"/>
          <w:sz w:val="22"/>
          <w:szCs w:val="22"/>
          <w:lang w:val="en-ZA"/>
        </w:rPr>
        <w:t xml:space="preserve">. </w:t>
      </w:r>
      <w:r w:rsidR="00701EF6">
        <w:rPr>
          <w:rFonts w:ascii="Arial" w:hAnsi="Arial" w:cs="Arial"/>
          <w:sz w:val="22"/>
          <w:szCs w:val="22"/>
          <w:lang w:val="en-ZA"/>
        </w:rPr>
        <w:t xml:space="preserve"> </w:t>
      </w:r>
      <w:r w:rsidR="00C1129E">
        <w:rPr>
          <w:rFonts w:ascii="Arial" w:hAnsi="Arial" w:cs="Arial"/>
          <w:sz w:val="22"/>
          <w:szCs w:val="22"/>
          <w:lang w:val="en-ZA"/>
        </w:rPr>
        <w:t>Argentina’s Gender Identity Law</w:t>
      </w:r>
      <w:r w:rsidR="00C1129E">
        <w:rPr>
          <w:rStyle w:val="FootnoteReference"/>
          <w:rFonts w:ascii="Arial" w:hAnsi="Arial" w:cs="Arial"/>
          <w:sz w:val="22"/>
          <w:szCs w:val="22"/>
          <w:lang w:val="en-ZA"/>
        </w:rPr>
        <w:footnoteReference w:id="16"/>
      </w:r>
      <w:r w:rsidR="00C1129E">
        <w:rPr>
          <w:rFonts w:ascii="Arial" w:hAnsi="Arial" w:cs="Arial"/>
          <w:sz w:val="22"/>
          <w:szCs w:val="22"/>
          <w:lang w:val="en-ZA"/>
        </w:rPr>
        <w:t xml:space="preserve"> </w:t>
      </w:r>
      <w:r w:rsidR="00605E4A">
        <w:rPr>
          <w:rFonts w:ascii="Arial" w:hAnsi="Arial" w:cs="Arial"/>
          <w:sz w:val="22"/>
          <w:szCs w:val="22"/>
          <w:lang w:val="en-ZA"/>
        </w:rPr>
        <w:t xml:space="preserve">allows for legal gender recognition on the basis of self-declaration, </w:t>
      </w:r>
      <w:r w:rsidR="001D7DDA">
        <w:rPr>
          <w:rFonts w:ascii="Arial" w:hAnsi="Arial" w:cs="Arial"/>
          <w:sz w:val="22"/>
          <w:szCs w:val="22"/>
          <w:lang w:val="en-ZA"/>
        </w:rPr>
        <w:t xml:space="preserve">with no requirement for a medical diagnosis or </w:t>
      </w:r>
      <w:r w:rsidR="006A06F5">
        <w:rPr>
          <w:rFonts w:ascii="Arial" w:hAnsi="Arial" w:cs="Arial"/>
          <w:sz w:val="22"/>
          <w:szCs w:val="22"/>
          <w:lang w:val="en-ZA"/>
        </w:rPr>
        <w:t xml:space="preserve">for </w:t>
      </w:r>
      <w:r w:rsidR="001D7DDA">
        <w:rPr>
          <w:rFonts w:ascii="Arial" w:hAnsi="Arial" w:cs="Arial"/>
          <w:sz w:val="22"/>
          <w:szCs w:val="22"/>
          <w:lang w:val="en-ZA"/>
        </w:rPr>
        <w:t xml:space="preserve">applicants to have undergone any form of medical </w:t>
      </w:r>
      <w:proofErr w:type="gramStart"/>
      <w:r w:rsidR="001D7DDA">
        <w:rPr>
          <w:rFonts w:ascii="Arial" w:hAnsi="Arial" w:cs="Arial"/>
          <w:sz w:val="22"/>
          <w:szCs w:val="22"/>
          <w:lang w:val="en-ZA"/>
        </w:rPr>
        <w:t>treatment</w:t>
      </w:r>
      <w:r w:rsidR="00124E75">
        <w:rPr>
          <w:rFonts w:ascii="Arial" w:hAnsi="Arial" w:cs="Arial"/>
          <w:sz w:val="22"/>
          <w:szCs w:val="22"/>
          <w:lang w:val="en-ZA"/>
        </w:rPr>
        <w:t>,</w:t>
      </w:r>
      <w:r w:rsidR="001D7DDA">
        <w:rPr>
          <w:rFonts w:ascii="Arial" w:hAnsi="Arial" w:cs="Arial"/>
          <w:sz w:val="22"/>
          <w:szCs w:val="22"/>
          <w:lang w:val="en-ZA"/>
        </w:rPr>
        <w:t xml:space="preserve"> </w:t>
      </w:r>
      <w:r w:rsidR="00605E4A">
        <w:rPr>
          <w:rFonts w:ascii="Arial" w:hAnsi="Arial" w:cs="Arial"/>
          <w:sz w:val="22"/>
          <w:szCs w:val="22"/>
          <w:lang w:val="en-ZA"/>
        </w:rPr>
        <w:t>and</w:t>
      </w:r>
      <w:proofErr w:type="gramEnd"/>
      <w:r w:rsidR="00605E4A">
        <w:rPr>
          <w:rFonts w:ascii="Arial" w:hAnsi="Arial" w:cs="Arial"/>
          <w:sz w:val="22"/>
          <w:szCs w:val="22"/>
          <w:lang w:val="en-ZA"/>
        </w:rPr>
        <w:t xml:space="preserve"> </w:t>
      </w:r>
      <w:r w:rsidR="00A94CBE">
        <w:rPr>
          <w:rFonts w:ascii="Arial" w:hAnsi="Arial" w:cs="Arial"/>
          <w:sz w:val="22"/>
          <w:szCs w:val="22"/>
          <w:lang w:val="en-ZA"/>
        </w:rPr>
        <w:t xml:space="preserve">stipulates that </w:t>
      </w:r>
      <w:r w:rsidR="00124E75">
        <w:rPr>
          <w:rFonts w:ascii="Arial" w:hAnsi="Arial" w:cs="Arial"/>
          <w:sz w:val="22"/>
          <w:szCs w:val="22"/>
          <w:lang w:val="en-ZA"/>
        </w:rPr>
        <w:t>gender-affirming</w:t>
      </w:r>
      <w:r w:rsidR="00A94CBE">
        <w:rPr>
          <w:rFonts w:ascii="Arial" w:hAnsi="Arial" w:cs="Arial"/>
          <w:sz w:val="22"/>
          <w:szCs w:val="22"/>
          <w:lang w:val="en-ZA"/>
        </w:rPr>
        <w:t xml:space="preserve"> </w:t>
      </w:r>
      <w:r w:rsidR="00605E4A">
        <w:rPr>
          <w:rFonts w:ascii="Arial" w:hAnsi="Arial" w:cs="Arial"/>
          <w:sz w:val="22"/>
          <w:szCs w:val="22"/>
          <w:lang w:val="en-ZA"/>
        </w:rPr>
        <w:t xml:space="preserve">health care must be covered by both public and private health insurance.  </w:t>
      </w:r>
    </w:p>
    <w:p w14:paraId="2E9CA15C" w14:textId="77777777" w:rsidR="001903BE" w:rsidRDefault="001903BE" w:rsidP="00EE7898">
      <w:pPr>
        <w:spacing w:line="360" w:lineRule="auto"/>
        <w:rPr>
          <w:rFonts w:ascii="Arial" w:hAnsi="Arial" w:cs="Arial"/>
          <w:sz w:val="22"/>
          <w:szCs w:val="22"/>
          <w:lang w:val="en-ZA"/>
        </w:rPr>
      </w:pPr>
    </w:p>
    <w:p w14:paraId="731A9764" w14:textId="7A7FB30F" w:rsidR="00EE7898" w:rsidRPr="00EE7898" w:rsidRDefault="006B5F25" w:rsidP="00EE7898">
      <w:pPr>
        <w:spacing w:line="360" w:lineRule="auto"/>
        <w:rPr>
          <w:rFonts w:ascii="Arial" w:hAnsi="Arial" w:cs="Arial"/>
          <w:sz w:val="22"/>
          <w:szCs w:val="22"/>
          <w:lang w:val="en-ZA"/>
        </w:rPr>
      </w:pPr>
      <w:r>
        <w:rPr>
          <w:rFonts w:ascii="Arial" w:hAnsi="Arial" w:cs="Arial"/>
          <w:sz w:val="22"/>
          <w:szCs w:val="22"/>
          <w:lang w:val="en-ZA"/>
        </w:rPr>
        <w:t xml:space="preserve">Although </w:t>
      </w:r>
      <w:r w:rsidR="00124E75">
        <w:rPr>
          <w:rFonts w:ascii="Arial" w:hAnsi="Arial" w:cs="Arial"/>
          <w:sz w:val="22"/>
          <w:szCs w:val="22"/>
          <w:lang w:val="en-ZA"/>
        </w:rPr>
        <w:t xml:space="preserve">the </w:t>
      </w:r>
      <w:r>
        <w:rPr>
          <w:rFonts w:ascii="Arial" w:hAnsi="Arial" w:cs="Arial"/>
          <w:sz w:val="22"/>
          <w:szCs w:val="22"/>
          <w:lang w:val="en-ZA"/>
        </w:rPr>
        <w:t xml:space="preserve">implementation of the legislation remains problematic, and high levels of violence against </w:t>
      </w:r>
      <w:r w:rsidR="00321FB0">
        <w:rPr>
          <w:rFonts w:ascii="Arial" w:hAnsi="Arial" w:cs="Arial"/>
          <w:sz w:val="22"/>
          <w:szCs w:val="22"/>
          <w:lang w:val="en-ZA"/>
        </w:rPr>
        <w:t>LGBTIQ+ community members</w:t>
      </w:r>
      <w:r>
        <w:rPr>
          <w:rFonts w:ascii="Arial" w:hAnsi="Arial" w:cs="Arial"/>
          <w:sz w:val="22"/>
          <w:szCs w:val="22"/>
          <w:lang w:val="en-ZA"/>
        </w:rPr>
        <w:t xml:space="preserve"> in Argentina remain a serious concern</w:t>
      </w:r>
      <w:r w:rsidR="00941FB0">
        <w:rPr>
          <w:rStyle w:val="FootnoteReference"/>
          <w:rFonts w:ascii="Arial" w:hAnsi="Arial" w:cs="Arial"/>
          <w:sz w:val="22"/>
          <w:szCs w:val="22"/>
          <w:lang w:val="en-ZA"/>
        </w:rPr>
        <w:footnoteReference w:id="17"/>
      </w:r>
      <w:r>
        <w:rPr>
          <w:rFonts w:ascii="Arial" w:hAnsi="Arial" w:cs="Arial"/>
          <w:sz w:val="22"/>
          <w:szCs w:val="22"/>
          <w:lang w:val="en-ZA"/>
        </w:rPr>
        <w:t>,</w:t>
      </w:r>
      <w:r w:rsidR="005C6680">
        <w:rPr>
          <w:rFonts w:ascii="Arial" w:hAnsi="Arial" w:cs="Arial"/>
          <w:sz w:val="22"/>
          <w:szCs w:val="22"/>
          <w:lang w:val="en-ZA"/>
        </w:rPr>
        <w:t xml:space="preserve"> the </w:t>
      </w:r>
      <w:r w:rsidR="00A424BE">
        <w:rPr>
          <w:rFonts w:ascii="Arial" w:hAnsi="Arial" w:cs="Arial"/>
          <w:sz w:val="22"/>
          <w:szCs w:val="22"/>
          <w:lang w:val="en-ZA"/>
        </w:rPr>
        <w:t xml:space="preserve">legislation has </w:t>
      </w:r>
      <w:r w:rsidR="00124E75">
        <w:rPr>
          <w:rFonts w:ascii="Arial" w:hAnsi="Arial" w:cs="Arial"/>
          <w:sz w:val="22"/>
          <w:szCs w:val="22"/>
          <w:lang w:val="en-ZA"/>
        </w:rPr>
        <w:t>positively impacted</w:t>
      </w:r>
      <w:r w:rsidR="00A424BE">
        <w:rPr>
          <w:rFonts w:ascii="Arial" w:hAnsi="Arial" w:cs="Arial"/>
          <w:sz w:val="22"/>
          <w:szCs w:val="22"/>
          <w:lang w:val="en-ZA"/>
        </w:rPr>
        <w:t xml:space="preserve"> the lives of TGDI community members in Argentina </w:t>
      </w:r>
      <w:r w:rsidR="00BE7AF5">
        <w:rPr>
          <w:rFonts w:ascii="Arial" w:hAnsi="Arial" w:cs="Arial"/>
          <w:sz w:val="22"/>
          <w:szCs w:val="22"/>
          <w:lang w:val="en-ZA"/>
        </w:rPr>
        <w:t>in terms of improving access to primary health care facilities</w:t>
      </w:r>
      <w:r w:rsidR="00124E75">
        <w:rPr>
          <w:rFonts w:ascii="Arial" w:hAnsi="Arial" w:cs="Arial"/>
          <w:sz w:val="22"/>
          <w:szCs w:val="22"/>
          <w:lang w:val="en-ZA"/>
        </w:rPr>
        <w:t>. It provides</w:t>
      </w:r>
      <w:r w:rsidR="00A424BE">
        <w:rPr>
          <w:rFonts w:ascii="Arial" w:hAnsi="Arial" w:cs="Arial"/>
          <w:sz w:val="22"/>
          <w:szCs w:val="22"/>
          <w:lang w:val="en-ZA"/>
        </w:rPr>
        <w:t xml:space="preserve"> </w:t>
      </w:r>
      <w:r w:rsidR="00F45566">
        <w:rPr>
          <w:rFonts w:ascii="Arial" w:hAnsi="Arial" w:cs="Arial"/>
          <w:sz w:val="22"/>
          <w:szCs w:val="22"/>
          <w:lang w:val="en-ZA"/>
        </w:rPr>
        <w:t>a legal</w:t>
      </w:r>
      <w:r w:rsidR="00A424BE">
        <w:rPr>
          <w:rFonts w:ascii="Arial" w:hAnsi="Arial" w:cs="Arial"/>
          <w:sz w:val="22"/>
          <w:szCs w:val="22"/>
          <w:lang w:val="en-ZA"/>
        </w:rPr>
        <w:t xml:space="preserve"> basis for a future roll-out of more comprehensive access to </w:t>
      </w:r>
      <w:r w:rsidR="00124E75">
        <w:rPr>
          <w:rFonts w:ascii="Arial" w:hAnsi="Arial" w:cs="Arial"/>
          <w:sz w:val="22"/>
          <w:szCs w:val="22"/>
          <w:lang w:val="en-ZA"/>
        </w:rPr>
        <w:t>gender-affirming</w:t>
      </w:r>
      <w:r w:rsidR="00A424BE">
        <w:rPr>
          <w:rFonts w:ascii="Arial" w:hAnsi="Arial" w:cs="Arial"/>
          <w:sz w:val="22"/>
          <w:szCs w:val="22"/>
          <w:lang w:val="en-ZA"/>
        </w:rPr>
        <w:t xml:space="preserve"> care</w:t>
      </w:r>
      <w:r w:rsidR="005C6680">
        <w:rPr>
          <w:rStyle w:val="FootnoteReference"/>
          <w:rFonts w:ascii="Arial" w:hAnsi="Arial" w:cs="Arial"/>
          <w:sz w:val="22"/>
          <w:szCs w:val="22"/>
          <w:lang w:val="en-ZA"/>
        </w:rPr>
        <w:footnoteReference w:id="18"/>
      </w:r>
      <w:r w:rsidR="00EE7898" w:rsidRPr="00EE7898">
        <w:rPr>
          <w:rFonts w:ascii="Arial" w:hAnsi="Arial" w:cs="Arial"/>
          <w:sz w:val="22"/>
          <w:szCs w:val="22"/>
          <w:lang w:val="en-ZA"/>
        </w:rPr>
        <w:t>.</w:t>
      </w:r>
    </w:p>
    <w:p w14:paraId="7483FE78" w14:textId="77777777" w:rsidR="004E6EBE" w:rsidRPr="008501D6" w:rsidRDefault="004E6EBE" w:rsidP="008501D6">
      <w:pPr>
        <w:spacing w:line="360" w:lineRule="auto"/>
        <w:rPr>
          <w:rFonts w:ascii="Arial" w:hAnsi="Arial" w:cs="Arial"/>
          <w:sz w:val="22"/>
          <w:szCs w:val="22"/>
        </w:rPr>
      </w:pPr>
    </w:p>
    <w:sectPr w:rsidR="004E6EBE" w:rsidRPr="008501D6">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5D57" w14:textId="77777777" w:rsidR="00DE6C88" w:rsidRDefault="00DE6C88">
      <w:r>
        <w:separator/>
      </w:r>
    </w:p>
  </w:endnote>
  <w:endnote w:type="continuationSeparator" w:id="0">
    <w:p w14:paraId="60A80C02" w14:textId="77777777" w:rsidR="00DE6C88" w:rsidRDefault="00DE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6" w14:textId="77777777" w:rsidR="004718C2" w:rsidRDefault="004718C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4718C2" w:rsidRDefault="004718C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7" w14:textId="77777777" w:rsidR="004718C2" w:rsidRDefault="004718C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80D9" w14:textId="77777777" w:rsidR="00DE6C88" w:rsidRDefault="00DE6C88">
      <w:r>
        <w:separator/>
      </w:r>
    </w:p>
  </w:footnote>
  <w:footnote w:type="continuationSeparator" w:id="0">
    <w:p w14:paraId="219FC1F8" w14:textId="77777777" w:rsidR="00DE6C88" w:rsidRDefault="00DE6C88">
      <w:r>
        <w:continuationSeparator/>
      </w:r>
    </w:p>
  </w:footnote>
  <w:footnote w:id="1">
    <w:p w14:paraId="0E4FD0D4" w14:textId="77777777" w:rsidR="004E6EBE" w:rsidRPr="00C1740A" w:rsidRDefault="004E6EBE" w:rsidP="004E6EBE">
      <w:pPr>
        <w:pStyle w:val="FootnoteText"/>
      </w:pPr>
      <w:r>
        <w:rPr>
          <w:rStyle w:val="FootnoteReference"/>
        </w:rPr>
        <w:footnoteRef/>
      </w:r>
      <w:r>
        <w:t xml:space="preserve"> </w:t>
      </w:r>
      <w:hyperlink r:id="rId1" w:history="1">
        <w:r w:rsidRPr="00C1740A">
          <w:rPr>
            <w:rStyle w:val="Hyperlink"/>
          </w:rPr>
          <w:t>https://gate.ngo/</w:t>
        </w:r>
      </w:hyperlink>
      <w:r w:rsidRPr="00C1740A">
        <w:t xml:space="preserve"> </w:t>
      </w:r>
    </w:p>
    <w:p w14:paraId="270B17A1" w14:textId="77777777" w:rsidR="004E6EBE" w:rsidRPr="00C1740A" w:rsidRDefault="004E6EBE" w:rsidP="004E6EBE">
      <w:pPr>
        <w:pStyle w:val="FootnoteText"/>
        <w:rPr>
          <w:lang w:val="en-US"/>
        </w:rPr>
      </w:pPr>
    </w:p>
  </w:footnote>
  <w:footnote w:id="2">
    <w:p w14:paraId="790AE24A" w14:textId="77777777" w:rsidR="00A14A45" w:rsidRPr="00A14A45" w:rsidRDefault="00A14A45" w:rsidP="00A14A45">
      <w:pPr>
        <w:pStyle w:val="FootnoteText"/>
      </w:pPr>
      <w:r>
        <w:rPr>
          <w:rStyle w:val="FootnoteReference"/>
        </w:rPr>
        <w:footnoteRef/>
      </w:r>
      <w:r>
        <w:t xml:space="preserve"> </w:t>
      </w:r>
      <w:hyperlink r:id="rId2" w:history="1">
        <w:r w:rsidRPr="00A14A45">
          <w:rPr>
            <w:rStyle w:val="Hyperlink"/>
          </w:rPr>
          <w:t>https://www.ohchr.org/en/special-procedures/ie-sexual-orientation-and-gender-identity/struggle-trans-and-gender-diverse-persons</w:t>
        </w:r>
      </w:hyperlink>
      <w:r w:rsidRPr="00A14A45">
        <w:t xml:space="preserve"> </w:t>
      </w:r>
    </w:p>
    <w:p w14:paraId="32CE39F3" w14:textId="31982EEA" w:rsidR="00A14A45" w:rsidRPr="00A14A45" w:rsidRDefault="00A14A45">
      <w:pPr>
        <w:pStyle w:val="FootnoteText"/>
        <w:rPr>
          <w:lang w:val="en-US"/>
        </w:rPr>
      </w:pPr>
    </w:p>
  </w:footnote>
  <w:footnote w:id="3">
    <w:p w14:paraId="78F9A1B7" w14:textId="1431839C" w:rsidR="00ED0CD2" w:rsidRPr="00ED0CD2" w:rsidRDefault="00ED0CD2">
      <w:pPr>
        <w:pStyle w:val="FootnoteText"/>
        <w:rPr>
          <w:lang w:val="en-US"/>
        </w:rPr>
      </w:pPr>
      <w:r>
        <w:rPr>
          <w:rStyle w:val="FootnoteReference"/>
        </w:rPr>
        <w:footnoteRef/>
      </w:r>
      <w:r>
        <w:t xml:space="preserve"> </w:t>
      </w:r>
      <w:hyperlink r:id="rId3" w:history="1">
        <w:r w:rsidRPr="00EF240F">
          <w:rPr>
            <w:rStyle w:val="Hyperlink"/>
          </w:rPr>
          <w:t>https://www.who.int/teams/global-hiv-hepatitis-and-stis-programmes/populations/transgender-people</w:t>
        </w:r>
      </w:hyperlink>
      <w:r>
        <w:t xml:space="preserve"> </w:t>
      </w:r>
    </w:p>
  </w:footnote>
  <w:footnote w:id="4">
    <w:p w14:paraId="4A5DFA3A" w14:textId="508BC4F5" w:rsidR="008F45F3" w:rsidRPr="008F45F3" w:rsidRDefault="008F45F3">
      <w:pPr>
        <w:pStyle w:val="FootnoteText"/>
        <w:rPr>
          <w:lang w:val="en-US"/>
        </w:rPr>
      </w:pPr>
      <w:r>
        <w:rPr>
          <w:rStyle w:val="FootnoteReference"/>
        </w:rPr>
        <w:footnoteRef/>
      </w:r>
      <w:r>
        <w:t xml:space="preserve"> </w:t>
      </w:r>
      <w:hyperlink r:id="rId4" w:history="1">
        <w:r w:rsidRPr="00EF240F">
          <w:rPr>
            <w:rStyle w:val="Hyperlink"/>
          </w:rPr>
          <w:t>https://www.hrw.org/report/2017/07/25/i-want-be-nature-made-me/medically-unnecessary-surgeries-intersex-children-us</w:t>
        </w:r>
      </w:hyperlink>
      <w:r>
        <w:t xml:space="preserve"> </w:t>
      </w:r>
    </w:p>
  </w:footnote>
  <w:footnote w:id="5">
    <w:p w14:paraId="37AF9748" w14:textId="377ACFA5" w:rsidR="009553F5" w:rsidRPr="007B3C13" w:rsidRDefault="009553F5">
      <w:pPr>
        <w:pStyle w:val="FootnoteText"/>
      </w:pPr>
      <w:r>
        <w:rPr>
          <w:rStyle w:val="FootnoteReference"/>
        </w:rPr>
        <w:footnoteRef/>
      </w:r>
      <w:r>
        <w:t xml:space="preserve"> </w:t>
      </w:r>
      <w:hyperlink r:id="rId5" w:history="1">
        <w:r w:rsidR="007B3C13" w:rsidRPr="007B3C13">
          <w:rPr>
            <w:rStyle w:val="Hyperlink"/>
          </w:rPr>
          <w:t>https://www.washingtonpost.com/tablet/2023/03/23/nov-10-dec-1-2022-washington-post-kff-trans-survey/</w:t>
        </w:r>
      </w:hyperlink>
      <w:r w:rsidR="007B3C13">
        <w:t xml:space="preserve"> </w:t>
      </w:r>
    </w:p>
  </w:footnote>
  <w:footnote w:id="6">
    <w:p w14:paraId="37419410" w14:textId="3D924B97" w:rsidR="007B3C13" w:rsidRPr="007B3C13" w:rsidRDefault="007B3C13">
      <w:pPr>
        <w:pStyle w:val="FootnoteText"/>
        <w:rPr>
          <w:lang w:val="en-US"/>
        </w:rPr>
      </w:pPr>
      <w:r>
        <w:rPr>
          <w:rStyle w:val="FootnoteReference"/>
        </w:rPr>
        <w:footnoteRef/>
      </w:r>
      <w:r>
        <w:t xml:space="preserve"> </w:t>
      </w:r>
      <w:hyperlink r:id="rId6" w:history="1">
        <w:r w:rsidRPr="007B3C13">
          <w:rPr>
            <w:rStyle w:val="Hyperlink"/>
            <w:lang w:val="en-GB"/>
          </w:rPr>
          <w:t>https://ritshidze.org.za/wp-content/uploads/2023/03/Ritshidze-State-of-Healthcare-for-Key-Populations-2023.pdf</w:t>
        </w:r>
      </w:hyperlink>
      <w:r>
        <w:rPr>
          <w:lang w:val="en-US"/>
        </w:rPr>
        <w:t xml:space="preserve"> </w:t>
      </w:r>
    </w:p>
  </w:footnote>
  <w:footnote w:id="7">
    <w:p w14:paraId="4845F01D" w14:textId="28835CB3" w:rsidR="00301453" w:rsidRPr="00301453" w:rsidRDefault="00301453">
      <w:pPr>
        <w:pStyle w:val="FootnoteText"/>
        <w:rPr>
          <w:lang w:val="en-US"/>
        </w:rPr>
      </w:pPr>
      <w:r>
        <w:rPr>
          <w:rStyle w:val="FootnoteReference"/>
        </w:rPr>
        <w:footnoteRef/>
      </w:r>
      <w:r>
        <w:t xml:space="preserve"> </w:t>
      </w:r>
      <w:hyperlink r:id="rId7" w:history="1">
        <w:r w:rsidRPr="00DB38DE">
          <w:rPr>
            <w:rStyle w:val="Hyperlink"/>
          </w:rPr>
          <w:t>https://www.ohchr.org/en/press-releases/2023/03/uganda-un-experts-condemn-egregious-anti-lgbt-legislation</w:t>
        </w:r>
      </w:hyperlink>
      <w:r w:rsidRPr="00DB38DE">
        <w:t xml:space="preserve"> </w:t>
      </w:r>
    </w:p>
  </w:footnote>
  <w:footnote w:id="8">
    <w:p w14:paraId="6C6A535D" w14:textId="3890DD37" w:rsidR="00F018F5" w:rsidRDefault="00F018F5">
      <w:pPr>
        <w:pStyle w:val="FootnoteText"/>
      </w:pPr>
      <w:r>
        <w:rPr>
          <w:rStyle w:val="FootnoteReference"/>
        </w:rPr>
        <w:footnoteRef/>
      </w:r>
      <w:r>
        <w:t xml:space="preserve"> </w:t>
      </w:r>
      <w:hyperlink r:id="rId8" w:history="1">
        <w:r w:rsidRPr="00EF240F">
          <w:rPr>
            <w:rStyle w:val="Hyperlink"/>
          </w:rPr>
          <w:t>https://www.thelancet.com/journals/lanpub/article/PIIS2468-2667(20)30054-2/fulltext</w:t>
        </w:r>
      </w:hyperlink>
      <w:r>
        <w:t xml:space="preserve"> </w:t>
      </w:r>
    </w:p>
    <w:p w14:paraId="4903DBC5" w14:textId="77777777" w:rsidR="00F018F5" w:rsidRPr="00F018F5" w:rsidRDefault="00F018F5">
      <w:pPr>
        <w:pStyle w:val="FootnoteText"/>
        <w:rPr>
          <w:lang w:val="en-US"/>
        </w:rPr>
      </w:pPr>
    </w:p>
  </w:footnote>
  <w:footnote w:id="9">
    <w:p w14:paraId="3255406B" w14:textId="77777777" w:rsidR="00AC6978" w:rsidRPr="003A611A" w:rsidRDefault="00AC6978" w:rsidP="00AC6978">
      <w:pPr>
        <w:pStyle w:val="FootnoteText"/>
      </w:pPr>
      <w:r>
        <w:rPr>
          <w:rStyle w:val="FootnoteReference"/>
        </w:rPr>
        <w:footnoteRef/>
      </w:r>
      <w:r>
        <w:t xml:space="preserve"> </w:t>
      </w:r>
      <w:hyperlink r:id="rId9" w:history="1">
        <w:r w:rsidRPr="003A611A">
          <w:rPr>
            <w:rStyle w:val="Hyperlink"/>
          </w:rPr>
          <w:t>https://ilga.org/downloads/HRC52_Item8_legal_gender_recognition.pdf</w:t>
        </w:r>
      </w:hyperlink>
      <w:r w:rsidRPr="003A611A">
        <w:t xml:space="preserve"> </w:t>
      </w:r>
    </w:p>
    <w:p w14:paraId="3CC8AD4D" w14:textId="0B951E11" w:rsidR="00AC6978" w:rsidRPr="00AC6978" w:rsidRDefault="00AC6978">
      <w:pPr>
        <w:pStyle w:val="FootnoteText"/>
        <w:rPr>
          <w:lang w:val="en-US"/>
        </w:rPr>
      </w:pPr>
    </w:p>
  </w:footnote>
  <w:footnote w:id="10">
    <w:p w14:paraId="50B21D73" w14:textId="0EB37AC5" w:rsidR="00687BE2" w:rsidRPr="00687BE2" w:rsidRDefault="00687BE2">
      <w:pPr>
        <w:pStyle w:val="FootnoteText"/>
        <w:rPr>
          <w:lang w:val="en-US"/>
        </w:rPr>
      </w:pPr>
      <w:r>
        <w:rPr>
          <w:rStyle w:val="FootnoteReference"/>
        </w:rPr>
        <w:footnoteRef/>
      </w:r>
      <w:r>
        <w:t xml:space="preserve"> </w:t>
      </w:r>
      <w:hyperlink r:id="rId10" w:history="1">
        <w:r w:rsidR="00BC364E" w:rsidRPr="00EF240F">
          <w:rPr>
            <w:rStyle w:val="Hyperlink"/>
          </w:rPr>
          <w:t>https://hrcmeetings.ohchr.org/HRCSessions/HRCDocuments/66/SP/52511_58_944c1c77_1165_4568_a240_ec2900bbbe45.docx</w:t>
        </w:r>
      </w:hyperlink>
      <w:r>
        <w:t xml:space="preserve"> </w:t>
      </w:r>
    </w:p>
  </w:footnote>
  <w:footnote w:id="11">
    <w:p w14:paraId="40DCC63C" w14:textId="77777777" w:rsidR="00BC364E" w:rsidRPr="003A611A" w:rsidRDefault="00BC364E" w:rsidP="00BC364E">
      <w:pPr>
        <w:pStyle w:val="FootnoteText"/>
      </w:pPr>
      <w:r>
        <w:rPr>
          <w:rStyle w:val="FootnoteReference"/>
        </w:rPr>
        <w:footnoteRef/>
      </w:r>
      <w:r>
        <w:t xml:space="preserve"> </w:t>
      </w:r>
      <w:hyperlink r:id="rId11" w:history="1">
        <w:r w:rsidRPr="003A611A">
          <w:rPr>
            <w:rStyle w:val="Hyperlink"/>
          </w:rPr>
          <w:t>https://www.who.int/standards/classifications/frequently-asked-questions/gender-incongruence-and-transgender-health-in-the-icd</w:t>
        </w:r>
      </w:hyperlink>
      <w:r w:rsidRPr="003A611A">
        <w:t xml:space="preserve"> </w:t>
      </w:r>
    </w:p>
    <w:p w14:paraId="27ED6EFF" w14:textId="70ADC0B0" w:rsidR="00BC364E" w:rsidRPr="00BC364E" w:rsidRDefault="00BC364E">
      <w:pPr>
        <w:pStyle w:val="FootnoteText"/>
        <w:rPr>
          <w:lang w:val="en-US"/>
        </w:rPr>
      </w:pPr>
    </w:p>
  </w:footnote>
  <w:footnote w:id="12">
    <w:p w14:paraId="53F5C43A" w14:textId="77777777" w:rsidR="00EE3AFE" w:rsidRPr="00EE3AFE" w:rsidRDefault="00EE3AFE" w:rsidP="00EE3AFE">
      <w:pPr>
        <w:pStyle w:val="FootnoteText"/>
      </w:pPr>
      <w:r>
        <w:rPr>
          <w:rStyle w:val="FootnoteReference"/>
        </w:rPr>
        <w:footnoteRef/>
      </w:r>
      <w:r>
        <w:t xml:space="preserve"> </w:t>
      </w:r>
      <w:hyperlink r:id="rId12" w:history="1">
        <w:r w:rsidRPr="00EE3AFE">
          <w:rPr>
            <w:rStyle w:val="Hyperlink"/>
          </w:rPr>
          <w:t>https://tgeu.org/malta-adopts-ground-breaking-trans-intersex-law/</w:t>
        </w:r>
      </w:hyperlink>
      <w:r w:rsidRPr="00EE3AFE">
        <w:t xml:space="preserve"> </w:t>
      </w:r>
    </w:p>
    <w:p w14:paraId="0D563F81" w14:textId="1675B745" w:rsidR="00EE3AFE" w:rsidRPr="00EE3AFE" w:rsidRDefault="00EE3AFE">
      <w:pPr>
        <w:pStyle w:val="FootnoteText"/>
        <w:rPr>
          <w:lang w:val="en-US"/>
        </w:rPr>
      </w:pPr>
    </w:p>
  </w:footnote>
  <w:footnote w:id="13">
    <w:p w14:paraId="174012E7" w14:textId="569E4B79" w:rsidR="003A1E47" w:rsidRPr="003A1E47" w:rsidRDefault="003A1E47">
      <w:pPr>
        <w:pStyle w:val="FootnoteText"/>
        <w:rPr>
          <w:lang w:val="en-US"/>
        </w:rPr>
      </w:pPr>
      <w:r>
        <w:rPr>
          <w:rStyle w:val="FootnoteReference"/>
        </w:rPr>
        <w:footnoteRef/>
      </w:r>
      <w:r>
        <w:t xml:space="preserve"> </w:t>
      </w:r>
      <w:hyperlink r:id="rId13" w:history="1">
        <w:r w:rsidRPr="00EF240F">
          <w:rPr>
            <w:rStyle w:val="Hyperlink"/>
          </w:rPr>
          <w:t>https://tgeu.org/malta-adopts-ground-breaking-trans-intersex-law/</w:t>
        </w:r>
      </w:hyperlink>
      <w:r>
        <w:t xml:space="preserve"> </w:t>
      </w:r>
    </w:p>
  </w:footnote>
  <w:footnote w:id="14">
    <w:p w14:paraId="284A232E" w14:textId="77777777" w:rsidR="00B066ED" w:rsidRPr="00B066ED" w:rsidRDefault="00B066ED" w:rsidP="00B066ED">
      <w:pPr>
        <w:pStyle w:val="FootnoteText"/>
      </w:pPr>
      <w:r>
        <w:rPr>
          <w:rStyle w:val="FootnoteReference"/>
        </w:rPr>
        <w:footnoteRef/>
      </w:r>
      <w:r>
        <w:t xml:space="preserve"> </w:t>
      </w:r>
      <w:hyperlink r:id="rId14" w:history="1">
        <w:r w:rsidRPr="00B066ED">
          <w:rPr>
            <w:rStyle w:val="Hyperlink"/>
          </w:rPr>
          <w:t>https://deputyprimeministercms.gov.mt/en/CMO/transgender-health/Pages/transgender-care/transgender-care.aspx</w:t>
        </w:r>
      </w:hyperlink>
      <w:r w:rsidRPr="00B066ED">
        <w:t xml:space="preserve"> </w:t>
      </w:r>
    </w:p>
    <w:p w14:paraId="49924FEB" w14:textId="3F3455B5" w:rsidR="00B066ED" w:rsidRPr="00B066ED" w:rsidRDefault="00B066ED">
      <w:pPr>
        <w:pStyle w:val="FootnoteText"/>
        <w:rPr>
          <w:lang w:val="en-US"/>
        </w:rPr>
      </w:pPr>
    </w:p>
  </w:footnote>
  <w:footnote w:id="15">
    <w:p w14:paraId="5AB0B7C1" w14:textId="4329502D" w:rsidR="008874DF" w:rsidRPr="008874DF" w:rsidRDefault="008874DF">
      <w:pPr>
        <w:pStyle w:val="FootnoteText"/>
        <w:rPr>
          <w:lang w:val="en-US"/>
        </w:rPr>
      </w:pPr>
      <w:r>
        <w:rPr>
          <w:rStyle w:val="FootnoteReference"/>
        </w:rPr>
        <w:footnoteRef/>
      </w:r>
      <w:r>
        <w:t xml:space="preserve"> </w:t>
      </w:r>
      <w:hyperlink r:id="rId15" w:history="1">
        <w:r w:rsidRPr="00EF240F">
          <w:rPr>
            <w:rStyle w:val="Hyperlink"/>
          </w:rPr>
          <w:t>https://transequality.org/blog/argentina-passes-historic-law-on-gender-recognition-access-to-health-care</w:t>
        </w:r>
      </w:hyperlink>
      <w:r>
        <w:t xml:space="preserve"> </w:t>
      </w:r>
    </w:p>
  </w:footnote>
  <w:footnote w:id="16">
    <w:p w14:paraId="587A56C1" w14:textId="06087E50" w:rsidR="00C1129E" w:rsidRPr="00C1129E" w:rsidRDefault="00C1129E">
      <w:pPr>
        <w:pStyle w:val="FootnoteText"/>
        <w:rPr>
          <w:lang w:val="en-US"/>
        </w:rPr>
      </w:pPr>
      <w:r>
        <w:rPr>
          <w:rStyle w:val="FootnoteReference"/>
        </w:rPr>
        <w:footnoteRef/>
      </w:r>
      <w:r>
        <w:t xml:space="preserve"> </w:t>
      </w:r>
      <w:hyperlink r:id="rId16" w:history="1">
        <w:r w:rsidRPr="00EF240F">
          <w:rPr>
            <w:rStyle w:val="Hyperlink"/>
          </w:rPr>
          <w:t>https://tgeu.org/argentina-gender-identity-law/</w:t>
        </w:r>
      </w:hyperlink>
      <w:r>
        <w:t xml:space="preserve"> </w:t>
      </w:r>
    </w:p>
  </w:footnote>
  <w:footnote w:id="17">
    <w:p w14:paraId="5261F78E" w14:textId="572B798C" w:rsidR="00941FB0" w:rsidRPr="00941FB0" w:rsidRDefault="00941FB0">
      <w:pPr>
        <w:pStyle w:val="FootnoteText"/>
        <w:rPr>
          <w:lang w:val="en-US"/>
        </w:rPr>
      </w:pPr>
      <w:r>
        <w:rPr>
          <w:rStyle w:val="FootnoteReference"/>
        </w:rPr>
        <w:footnoteRef/>
      </w:r>
      <w:r>
        <w:t xml:space="preserve"> </w:t>
      </w:r>
      <w:hyperlink r:id="rId17" w:history="1">
        <w:r w:rsidRPr="00EF240F">
          <w:rPr>
            <w:rStyle w:val="Hyperlink"/>
          </w:rPr>
          <w:t>https://www.ohchr.org/en/press-releases/2017/03/un-expert-commends-argentinas-progressive-laws-and-policies-urges-action</w:t>
        </w:r>
      </w:hyperlink>
      <w:r>
        <w:t xml:space="preserve"> </w:t>
      </w:r>
    </w:p>
  </w:footnote>
  <w:footnote w:id="18">
    <w:p w14:paraId="266B4DD6" w14:textId="4A7BE2F5" w:rsidR="005C6680" w:rsidRPr="005C6680" w:rsidRDefault="005C6680">
      <w:pPr>
        <w:pStyle w:val="FootnoteText"/>
        <w:rPr>
          <w:lang w:val="en-US"/>
        </w:rPr>
      </w:pPr>
      <w:r>
        <w:rPr>
          <w:rStyle w:val="FootnoteReference"/>
        </w:rPr>
        <w:footnoteRef/>
      </w:r>
      <w:r>
        <w:t xml:space="preserve"> </w:t>
      </w:r>
      <w:hyperlink r:id="rId18" w:history="1">
        <w:r w:rsidRPr="00EF240F">
          <w:rPr>
            <w:rStyle w:val="Hyperlink"/>
          </w:rPr>
          <w:t>https://www.paho.org/en/news/17-4-2018-breaking-down-barriers-healthcare-access-transgender-people-argentina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4" w14:textId="77777777" w:rsidR="004718C2" w:rsidRDefault="00000000">
    <w:pPr>
      <w:pBdr>
        <w:top w:val="nil"/>
        <w:left w:val="nil"/>
        <w:bottom w:val="nil"/>
        <w:right w:val="nil"/>
        <w:between w:val="nil"/>
      </w:pBdr>
      <w:tabs>
        <w:tab w:val="center" w:pos="4680"/>
        <w:tab w:val="right" w:pos="9360"/>
      </w:tabs>
      <w:rPr>
        <w:color w:val="000000"/>
      </w:rPr>
    </w:pPr>
    <w:r>
      <w:pict w14:anchorId="5F957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0.2pt;height:848.9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3" w14:textId="77777777" w:rsidR="004718C2" w:rsidRDefault="00000000">
    <w:pPr>
      <w:pBdr>
        <w:top w:val="nil"/>
        <w:left w:val="nil"/>
        <w:bottom w:val="nil"/>
        <w:right w:val="nil"/>
        <w:between w:val="nil"/>
      </w:pBdr>
      <w:tabs>
        <w:tab w:val="center" w:pos="4680"/>
        <w:tab w:val="right" w:pos="9360"/>
      </w:tabs>
      <w:rPr>
        <w:color w:val="000000"/>
      </w:rPr>
    </w:pPr>
    <w:r>
      <w:pict w14:anchorId="7A0CD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00.2pt;height:848.95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5" w14:textId="77777777" w:rsidR="004718C2" w:rsidRDefault="00000000">
    <w:pPr>
      <w:pBdr>
        <w:top w:val="nil"/>
        <w:left w:val="nil"/>
        <w:bottom w:val="nil"/>
        <w:right w:val="nil"/>
        <w:between w:val="nil"/>
      </w:pBdr>
      <w:tabs>
        <w:tab w:val="center" w:pos="4680"/>
        <w:tab w:val="right" w:pos="9360"/>
      </w:tabs>
      <w:rPr>
        <w:color w:val="000000"/>
      </w:rPr>
    </w:pPr>
    <w:r>
      <w:pict w14:anchorId="2F902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600.2pt;height:848.9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F0651"/>
    <w:multiLevelType w:val="hybridMultilevel"/>
    <w:tmpl w:val="EED89A0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 w15:restartNumberingAfterBreak="0">
    <w:nsid w:val="6A8D035B"/>
    <w:multiLevelType w:val="multilevel"/>
    <w:tmpl w:val="C19A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B61DF"/>
    <w:multiLevelType w:val="multilevel"/>
    <w:tmpl w:val="E4D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910930">
    <w:abstractNumId w:val="1"/>
  </w:num>
  <w:num w:numId="2" w16cid:durableId="1306086037">
    <w:abstractNumId w:val="2"/>
  </w:num>
  <w:num w:numId="3" w16cid:durableId="86320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C2"/>
    <w:rsid w:val="00004DC9"/>
    <w:rsid w:val="000673C9"/>
    <w:rsid w:val="00072A25"/>
    <w:rsid w:val="00091AFD"/>
    <w:rsid w:val="00094A90"/>
    <w:rsid w:val="00095D80"/>
    <w:rsid w:val="000B75FC"/>
    <w:rsid w:val="00120BDC"/>
    <w:rsid w:val="00124E75"/>
    <w:rsid w:val="00170B63"/>
    <w:rsid w:val="001903BE"/>
    <w:rsid w:val="00194CE5"/>
    <w:rsid w:val="001A040B"/>
    <w:rsid w:val="001C31D3"/>
    <w:rsid w:val="001D7D34"/>
    <w:rsid w:val="001D7DDA"/>
    <w:rsid w:val="0021712F"/>
    <w:rsid w:val="00235B8C"/>
    <w:rsid w:val="002466E7"/>
    <w:rsid w:val="00251CB4"/>
    <w:rsid w:val="002914E4"/>
    <w:rsid w:val="002B4F54"/>
    <w:rsid w:val="002C75ED"/>
    <w:rsid w:val="002E1874"/>
    <w:rsid w:val="00301453"/>
    <w:rsid w:val="00315547"/>
    <w:rsid w:val="0032107E"/>
    <w:rsid w:val="00321FB0"/>
    <w:rsid w:val="00336372"/>
    <w:rsid w:val="00345469"/>
    <w:rsid w:val="00366F5A"/>
    <w:rsid w:val="003A1E47"/>
    <w:rsid w:val="003A611A"/>
    <w:rsid w:val="003B29A1"/>
    <w:rsid w:val="003D1480"/>
    <w:rsid w:val="003E44F9"/>
    <w:rsid w:val="00400B31"/>
    <w:rsid w:val="004018B2"/>
    <w:rsid w:val="0040257F"/>
    <w:rsid w:val="0043683D"/>
    <w:rsid w:val="00454B3F"/>
    <w:rsid w:val="004718C2"/>
    <w:rsid w:val="00484D0F"/>
    <w:rsid w:val="00487910"/>
    <w:rsid w:val="004A5F80"/>
    <w:rsid w:val="004A75E3"/>
    <w:rsid w:val="004A760E"/>
    <w:rsid w:val="004E6EBE"/>
    <w:rsid w:val="004F1022"/>
    <w:rsid w:val="005053D3"/>
    <w:rsid w:val="005132D1"/>
    <w:rsid w:val="00531901"/>
    <w:rsid w:val="00542B4D"/>
    <w:rsid w:val="00591DF6"/>
    <w:rsid w:val="005C2D73"/>
    <w:rsid w:val="005C6680"/>
    <w:rsid w:val="00605E4A"/>
    <w:rsid w:val="0061610D"/>
    <w:rsid w:val="00617C82"/>
    <w:rsid w:val="00620104"/>
    <w:rsid w:val="00621D32"/>
    <w:rsid w:val="00685266"/>
    <w:rsid w:val="00687BE2"/>
    <w:rsid w:val="00694F25"/>
    <w:rsid w:val="006955D7"/>
    <w:rsid w:val="006A06F5"/>
    <w:rsid w:val="006B5F25"/>
    <w:rsid w:val="006C159D"/>
    <w:rsid w:val="006C4AB8"/>
    <w:rsid w:val="006E3966"/>
    <w:rsid w:val="006F5DDF"/>
    <w:rsid w:val="00701EF6"/>
    <w:rsid w:val="00717E4E"/>
    <w:rsid w:val="00722BE9"/>
    <w:rsid w:val="0073312D"/>
    <w:rsid w:val="00736CEA"/>
    <w:rsid w:val="00740B04"/>
    <w:rsid w:val="007642F9"/>
    <w:rsid w:val="00771DF4"/>
    <w:rsid w:val="00775940"/>
    <w:rsid w:val="007A0BCB"/>
    <w:rsid w:val="007B09B9"/>
    <w:rsid w:val="007B298C"/>
    <w:rsid w:val="007B3C13"/>
    <w:rsid w:val="007C1E6B"/>
    <w:rsid w:val="00814B7E"/>
    <w:rsid w:val="00822F73"/>
    <w:rsid w:val="00840E7C"/>
    <w:rsid w:val="00846619"/>
    <w:rsid w:val="008501D6"/>
    <w:rsid w:val="00865494"/>
    <w:rsid w:val="00871585"/>
    <w:rsid w:val="008874DF"/>
    <w:rsid w:val="008C4C9F"/>
    <w:rsid w:val="008D2E09"/>
    <w:rsid w:val="008F409E"/>
    <w:rsid w:val="008F45F3"/>
    <w:rsid w:val="00915EFF"/>
    <w:rsid w:val="009174D1"/>
    <w:rsid w:val="009304E5"/>
    <w:rsid w:val="00941FB0"/>
    <w:rsid w:val="00945714"/>
    <w:rsid w:val="00945812"/>
    <w:rsid w:val="00946165"/>
    <w:rsid w:val="009553F5"/>
    <w:rsid w:val="00970422"/>
    <w:rsid w:val="00995DF8"/>
    <w:rsid w:val="009A7BEA"/>
    <w:rsid w:val="009C0BB1"/>
    <w:rsid w:val="009E458A"/>
    <w:rsid w:val="00A12FFE"/>
    <w:rsid w:val="00A14A45"/>
    <w:rsid w:val="00A24935"/>
    <w:rsid w:val="00A25833"/>
    <w:rsid w:val="00A319D7"/>
    <w:rsid w:val="00A424BE"/>
    <w:rsid w:val="00A50E40"/>
    <w:rsid w:val="00A51E99"/>
    <w:rsid w:val="00A57446"/>
    <w:rsid w:val="00A704DB"/>
    <w:rsid w:val="00A73ADD"/>
    <w:rsid w:val="00A94CBE"/>
    <w:rsid w:val="00AC0A39"/>
    <w:rsid w:val="00AC6978"/>
    <w:rsid w:val="00AC6A36"/>
    <w:rsid w:val="00AD33B3"/>
    <w:rsid w:val="00AE6CE3"/>
    <w:rsid w:val="00AF0A5F"/>
    <w:rsid w:val="00AF4536"/>
    <w:rsid w:val="00AF7508"/>
    <w:rsid w:val="00B066ED"/>
    <w:rsid w:val="00B06AE5"/>
    <w:rsid w:val="00B22FFD"/>
    <w:rsid w:val="00B61C52"/>
    <w:rsid w:val="00B75CB5"/>
    <w:rsid w:val="00B868FB"/>
    <w:rsid w:val="00B91409"/>
    <w:rsid w:val="00BA3142"/>
    <w:rsid w:val="00BB5E42"/>
    <w:rsid w:val="00BC364E"/>
    <w:rsid w:val="00BE7AF5"/>
    <w:rsid w:val="00C0589C"/>
    <w:rsid w:val="00C1129E"/>
    <w:rsid w:val="00C25384"/>
    <w:rsid w:val="00C81748"/>
    <w:rsid w:val="00C84A5F"/>
    <w:rsid w:val="00CA319C"/>
    <w:rsid w:val="00CC6796"/>
    <w:rsid w:val="00CC7766"/>
    <w:rsid w:val="00CD314A"/>
    <w:rsid w:val="00CD409F"/>
    <w:rsid w:val="00CF2986"/>
    <w:rsid w:val="00D2003B"/>
    <w:rsid w:val="00D536A1"/>
    <w:rsid w:val="00D6471D"/>
    <w:rsid w:val="00D7519E"/>
    <w:rsid w:val="00D803B4"/>
    <w:rsid w:val="00D822CB"/>
    <w:rsid w:val="00D83247"/>
    <w:rsid w:val="00D83ECD"/>
    <w:rsid w:val="00DB38DE"/>
    <w:rsid w:val="00DD6248"/>
    <w:rsid w:val="00DE6C88"/>
    <w:rsid w:val="00DF6F70"/>
    <w:rsid w:val="00E427B8"/>
    <w:rsid w:val="00E6142D"/>
    <w:rsid w:val="00E67722"/>
    <w:rsid w:val="00E74529"/>
    <w:rsid w:val="00EA368D"/>
    <w:rsid w:val="00EA4488"/>
    <w:rsid w:val="00EB38DB"/>
    <w:rsid w:val="00ED0CD2"/>
    <w:rsid w:val="00ED676D"/>
    <w:rsid w:val="00EE3724"/>
    <w:rsid w:val="00EE3AFE"/>
    <w:rsid w:val="00EE7898"/>
    <w:rsid w:val="00EF28B8"/>
    <w:rsid w:val="00EF3868"/>
    <w:rsid w:val="00F018F5"/>
    <w:rsid w:val="00F101DA"/>
    <w:rsid w:val="00F11959"/>
    <w:rsid w:val="00F17615"/>
    <w:rsid w:val="00F31D6C"/>
    <w:rsid w:val="00F4049A"/>
    <w:rsid w:val="00F45566"/>
    <w:rsid w:val="00F57299"/>
    <w:rsid w:val="00F6794D"/>
    <w:rsid w:val="00FA1EF9"/>
    <w:rsid w:val="00FA5B4E"/>
    <w:rsid w:val="00FA7DFD"/>
    <w:rsid w:val="00FB6DF8"/>
    <w:rsid w:val="00FD3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E9557"/>
  <w15:docId w15:val="{E39D2761-9BDF-4F4E-87CC-20BBDB89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94471"/>
    <w:pPr>
      <w:tabs>
        <w:tab w:val="center" w:pos="4680"/>
        <w:tab w:val="right" w:pos="9360"/>
      </w:tabs>
    </w:pPr>
  </w:style>
  <w:style w:type="character" w:customStyle="1" w:styleId="HeaderChar">
    <w:name w:val="Header Char"/>
    <w:basedOn w:val="DefaultParagraphFont"/>
    <w:link w:val="Header"/>
    <w:uiPriority w:val="99"/>
    <w:rsid w:val="00394471"/>
  </w:style>
  <w:style w:type="paragraph" w:styleId="Footer">
    <w:name w:val="footer"/>
    <w:basedOn w:val="Normal"/>
    <w:link w:val="FooterChar"/>
    <w:uiPriority w:val="99"/>
    <w:unhideWhenUsed/>
    <w:rsid w:val="00394471"/>
    <w:pPr>
      <w:tabs>
        <w:tab w:val="center" w:pos="4680"/>
        <w:tab w:val="right" w:pos="9360"/>
      </w:tabs>
    </w:pPr>
  </w:style>
  <w:style w:type="character" w:customStyle="1" w:styleId="FooterChar">
    <w:name w:val="Footer Char"/>
    <w:basedOn w:val="DefaultParagraphFont"/>
    <w:link w:val="Footer"/>
    <w:uiPriority w:val="99"/>
    <w:rsid w:val="003944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2107E"/>
    <w:rPr>
      <w:color w:val="0563C1" w:themeColor="hyperlink"/>
      <w:u w:val="single"/>
    </w:rPr>
  </w:style>
  <w:style w:type="character" w:styleId="UnresolvedMention">
    <w:name w:val="Unresolved Mention"/>
    <w:basedOn w:val="DefaultParagraphFont"/>
    <w:uiPriority w:val="99"/>
    <w:semiHidden/>
    <w:unhideWhenUsed/>
    <w:rsid w:val="0032107E"/>
    <w:rPr>
      <w:color w:val="605E5C"/>
      <w:shd w:val="clear" w:color="auto" w:fill="E1DFDD"/>
    </w:rPr>
  </w:style>
  <w:style w:type="paragraph" w:styleId="FootnoteText">
    <w:name w:val="footnote text"/>
    <w:basedOn w:val="Normal"/>
    <w:link w:val="FootnoteTextChar"/>
    <w:uiPriority w:val="99"/>
    <w:semiHidden/>
    <w:unhideWhenUsed/>
    <w:rsid w:val="004E6EBE"/>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4E6EBE"/>
    <w:rPr>
      <w:rFonts w:asciiTheme="minorHAnsi" w:eastAsiaTheme="minorHAnsi" w:hAnsiTheme="minorHAnsi" w:cstheme="minorBidi"/>
      <w:sz w:val="20"/>
      <w:szCs w:val="20"/>
      <w:lang w:val="en-ZA" w:eastAsia="en-US"/>
    </w:rPr>
  </w:style>
  <w:style w:type="character" w:styleId="FootnoteReference">
    <w:name w:val="footnote reference"/>
    <w:basedOn w:val="DefaultParagraphFont"/>
    <w:uiPriority w:val="99"/>
    <w:semiHidden/>
    <w:unhideWhenUsed/>
    <w:rsid w:val="004E6EBE"/>
    <w:rPr>
      <w:vertAlign w:val="superscript"/>
    </w:rPr>
  </w:style>
  <w:style w:type="character" w:styleId="FollowedHyperlink">
    <w:name w:val="FollowedHyperlink"/>
    <w:basedOn w:val="DefaultParagraphFont"/>
    <w:uiPriority w:val="99"/>
    <w:semiHidden/>
    <w:unhideWhenUsed/>
    <w:rsid w:val="00CA319C"/>
    <w:rPr>
      <w:color w:val="954F72" w:themeColor="followedHyperlink"/>
      <w:u w:val="single"/>
    </w:rPr>
  </w:style>
  <w:style w:type="paragraph" w:styleId="ListParagraph">
    <w:name w:val="List Paragraph"/>
    <w:basedOn w:val="Normal"/>
    <w:uiPriority w:val="34"/>
    <w:qFormat/>
    <w:rsid w:val="00D5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adavatan@gate.ngo" TargetMode="External"/><Relationship Id="rId4" Type="http://schemas.openxmlformats.org/officeDocument/2006/relationships/styles" Target="styles.xml"/><Relationship Id="rId9" Type="http://schemas.openxmlformats.org/officeDocument/2006/relationships/hyperlink" Target="mailto:ecastellanos@gate.ngo"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lancet.com/journals/lanpub/article/PIIS2468-2667(20)30054-2/fulltext" TargetMode="External"/><Relationship Id="rId13" Type="http://schemas.openxmlformats.org/officeDocument/2006/relationships/hyperlink" Target="https://tgeu.org/malta-adopts-ground-breaking-trans-intersex-law/" TargetMode="External"/><Relationship Id="rId18" Type="http://schemas.openxmlformats.org/officeDocument/2006/relationships/hyperlink" Target="https://www.paho.org/en/news/17-4-2018-breaking-down-barriers-healthcare-access-transgender-people-argentina" TargetMode="External"/><Relationship Id="rId3" Type="http://schemas.openxmlformats.org/officeDocument/2006/relationships/hyperlink" Target="https://www.who.int/teams/global-hiv-hepatitis-and-stis-programmes/populations/transgender-people" TargetMode="External"/><Relationship Id="rId7" Type="http://schemas.openxmlformats.org/officeDocument/2006/relationships/hyperlink" Target="https://www.ohchr.org/en/press-releases/2023/03/uganda-un-experts-condemn-egregious-anti-lgbt-legislation" TargetMode="External"/><Relationship Id="rId12" Type="http://schemas.openxmlformats.org/officeDocument/2006/relationships/hyperlink" Target="https://tgeu.org/malta-adopts-ground-breaking-trans-intersex-law/" TargetMode="External"/><Relationship Id="rId17" Type="http://schemas.openxmlformats.org/officeDocument/2006/relationships/hyperlink" Target="https://www.ohchr.org/en/press-releases/2017/03/un-expert-commends-argentinas-progressive-laws-and-policies-urges-action" TargetMode="External"/><Relationship Id="rId2" Type="http://schemas.openxmlformats.org/officeDocument/2006/relationships/hyperlink" Target="https://www.ohchr.org/en/special-procedures/ie-sexual-orientation-and-gender-identity/struggle-trans-and-gender-diverse-persons" TargetMode="External"/><Relationship Id="rId16" Type="http://schemas.openxmlformats.org/officeDocument/2006/relationships/hyperlink" Target="https://tgeu.org/argentina-gender-identity-law/" TargetMode="External"/><Relationship Id="rId1" Type="http://schemas.openxmlformats.org/officeDocument/2006/relationships/hyperlink" Target="https://gate.ngo/" TargetMode="External"/><Relationship Id="rId6" Type="http://schemas.openxmlformats.org/officeDocument/2006/relationships/hyperlink" Target="https://ritshidze.org.za/wp-content/uploads/2023/03/Ritshidze-State-of-Healthcare-for-Key-Populations-2023.pdf" TargetMode="External"/><Relationship Id="rId11" Type="http://schemas.openxmlformats.org/officeDocument/2006/relationships/hyperlink" Target="https://www.who.int/standards/classifications/frequently-asked-questions/gender-incongruence-and-transgender-health-in-the-icd" TargetMode="External"/><Relationship Id="rId5" Type="http://schemas.openxmlformats.org/officeDocument/2006/relationships/hyperlink" Target="https://www.washingtonpost.com/tablet/2023/03/23/nov-10-dec-1-2022-washington-post-kff-trans-survey/" TargetMode="External"/><Relationship Id="rId15" Type="http://schemas.openxmlformats.org/officeDocument/2006/relationships/hyperlink" Target="https://transequality.org/blog/argentina-passes-historic-law-on-gender-recognition-access-to-health-care" TargetMode="External"/><Relationship Id="rId10" Type="http://schemas.openxmlformats.org/officeDocument/2006/relationships/hyperlink" Target="https://hrcmeetings.ohchr.org/HRCSessions/HRCDocuments/66/SP/52511_58_944c1c77_1165_4568_a240_ec2900bbbe45.docx" TargetMode="External"/><Relationship Id="rId4" Type="http://schemas.openxmlformats.org/officeDocument/2006/relationships/hyperlink" Target="https://www.hrw.org/report/2017/07/25/i-want-be-nature-made-me/medically-unnecessary-surgeries-intersex-children-us" TargetMode="External"/><Relationship Id="rId9" Type="http://schemas.openxmlformats.org/officeDocument/2006/relationships/hyperlink" Target="https://ilga.org/downloads/HRC52_Item8_legal_gender_recognition.pdf" TargetMode="External"/><Relationship Id="rId14" Type="http://schemas.openxmlformats.org/officeDocument/2006/relationships/hyperlink" Target="https://deputyprimeministercms.gov.mt/en/CMO/transgender-health/Pages/transgender-care/transgender-car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qs6eG6aAZHWeFHAN5vvxfIrmg==">AMUW2mXve1jr7lfJIWI/miQ0lUo3lC9uxUX0TIXpPo+LngEStsl2BemZM9bI8IExR3+WKIcnVDS+RjuvvIPaBHplyz/mocPtPL5zzNVOXBceZIWwOzSR/oKpNXz5+yNs2/8/DdHX7CGW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A6223E-4C0B-4FE4-8CB4-4AF9AC6D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Naomhán O'Connor</dc:creator>
  <cp:lastModifiedBy>Anil Padavatan | GDX</cp:lastModifiedBy>
  <cp:revision>2</cp:revision>
  <dcterms:created xsi:type="dcterms:W3CDTF">2023-04-03T15:05:00Z</dcterms:created>
  <dcterms:modified xsi:type="dcterms:W3CDTF">2023-04-03T15:05:00Z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5a244d82e70e1f2af307838907c0e8f313064a19418fc9c914c023be5fa85cbb</vt:lpwstr>
  </property>
</Properties>
</file>