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40D83" w14:textId="77777777" w:rsidR="006A3085" w:rsidRDefault="006A3085" w:rsidP="006A3085">
      <w:pPr>
        <w:jc w:val="center"/>
        <w:rPr>
          <w:b/>
          <w:sz w:val="24"/>
          <w:szCs w:val="24"/>
          <w:u w:val="single"/>
          <w:lang w:val="es-ES"/>
        </w:rPr>
      </w:pPr>
      <w:r>
        <w:rPr>
          <w:b/>
          <w:sz w:val="24"/>
          <w:szCs w:val="24"/>
          <w:u w:val="single"/>
          <w:lang w:val="es-ES"/>
        </w:rPr>
        <w:t>CUESTIONARIO</w:t>
      </w:r>
    </w:p>
    <w:p w14:paraId="6C3749DB" w14:textId="77777777" w:rsidR="006A3085" w:rsidRDefault="006A3085" w:rsidP="006A3085">
      <w:pPr>
        <w:jc w:val="center"/>
        <w:rPr>
          <w:b/>
          <w:sz w:val="24"/>
          <w:szCs w:val="24"/>
          <w:lang w:val="es-ES"/>
        </w:rPr>
      </w:pPr>
    </w:p>
    <w:p w14:paraId="20194CA6" w14:textId="77777777" w:rsidR="006A3085" w:rsidRDefault="006A3085" w:rsidP="006A3085">
      <w:pPr>
        <w:rPr>
          <w:b/>
          <w:sz w:val="24"/>
          <w:szCs w:val="24"/>
          <w:lang w:val="es-ES"/>
        </w:rPr>
      </w:pPr>
      <w:r>
        <w:rPr>
          <w:b/>
          <w:sz w:val="24"/>
          <w:szCs w:val="24"/>
          <w:lang w:val="es-ES"/>
        </w:rPr>
        <w:t xml:space="preserve">Datos de contacto </w:t>
      </w:r>
    </w:p>
    <w:p w14:paraId="059E39F9" w14:textId="77777777" w:rsidR="006A3085" w:rsidRDefault="006A3085" w:rsidP="006A3085">
      <w:pPr>
        <w:rPr>
          <w:sz w:val="16"/>
          <w:szCs w:val="16"/>
          <w:lang w:val="es-ES"/>
        </w:rPr>
      </w:pPr>
    </w:p>
    <w:p w14:paraId="2222CBBE" w14:textId="77777777" w:rsidR="006A3085" w:rsidRDefault="006A3085" w:rsidP="006A3085">
      <w:pPr>
        <w:rPr>
          <w:sz w:val="24"/>
          <w:szCs w:val="24"/>
          <w:lang w:val="es-ES"/>
        </w:rPr>
      </w:pPr>
      <w:r>
        <w:rPr>
          <w:sz w:val="24"/>
          <w:szCs w:val="24"/>
          <w:lang w:val="es-ES"/>
        </w:rPr>
        <w:t>Comparta por favor sus datos de contacto en caso de que necesitemos comunicarnos con usted en relación con este cuestionario. (opcional)</w:t>
      </w:r>
    </w:p>
    <w:p w14:paraId="2BEEFA09" w14:textId="77777777" w:rsidR="006A3085" w:rsidRDefault="006A3085" w:rsidP="006A3085">
      <w:pPr>
        <w:rPr>
          <w:sz w:val="24"/>
          <w:szCs w:val="24"/>
        </w:rPr>
      </w:pPr>
    </w:p>
    <w:tbl>
      <w:tblPr>
        <w:tblStyle w:val="TableGrid"/>
        <w:tblW w:w="0" w:type="auto"/>
        <w:tblInd w:w="0" w:type="dxa"/>
        <w:tblLook w:val="04A0" w:firstRow="1" w:lastRow="0" w:firstColumn="1" w:lastColumn="0" w:noHBand="0" w:noVBand="1"/>
      </w:tblPr>
      <w:tblGrid>
        <w:gridCol w:w="2897"/>
        <w:gridCol w:w="5393"/>
      </w:tblGrid>
      <w:tr w:rsidR="006A3085" w:rsidRPr="006A3085" w14:paraId="1149595E" w14:textId="77777777" w:rsidTr="006A3085">
        <w:tc>
          <w:tcPr>
            <w:tcW w:w="2897" w:type="dxa"/>
            <w:tcBorders>
              <w:top w:val="single" w:sz="4" w:space="0" w:color="auto"/>
              <w:left w:val="single" w:sz="4" w:space="0" w:color="auto"/>
              <w:bottom w:val="single" w:sz="4" w:space="0" w:color="auto"/>
              <w:right w:val="single" w:sz="4" w:space="0" w:color="auto"/>
            </w:tcBorders>
          </w:tcPr>
          <w:p w14:paraId="09FB0616" w14:textId="77777777" w:rsidR="006A3085" w:rsidRDefault="006A3085">
            <w:pPr>
              <w:rPr>
                <w:sz w:val="24"/>
                <w:szCs w:val="24"/>
                <w:lang w:val="es-ES"/>
              </w:rPr>
            </w:pPr>
            <w:r>
              <w:rPr>
                <w:sz w:val="24"/>
                <w:szCs w:val="24"/>
                <w:lang w:val="es-ES"/>
              </w:rPr>
              <w:t>Tipo de actor (por favor seleccione uno)</w:t>
            </w:r>
          </w:p>
          <w:p w14:paraId="7E253329" w14:textId="77777777" w:rsidR="006A3085" w:rsidRDefault="006A3085">
            <w:pPr>
              <w:rPr>
                <w:sz w:val="24"/>
                <w:szCs w:val="24"/>
                <w:lang w:val="es-ES"/>
              </w:rPr>
            </w:pPr>
          </w:p>
        </w:tc>
        <w:tc>
          <w:tcPr>
            <w:tcW w:w="5393" w:type="dxa"/>
            <w:tcBorders>
              <w:top w:val="single" w:sz="4" w:space="0" w:color="auto"/>
              <w:left w:val="single" w:sz="4" w:space="0" w:color="auto"/>
              <w:bottom w:val="single" w:sz="4" w:space="0" w:color="auto"/>
              <w:right w:val="single" w:sz="4" w:space="0" w:color="auto"/>
            </w:tcBorders>
            <w:hideMark/>
          </w:tcPr>
          <w:p w14:paraId="74289C6F" w14:textId="77777777" w:rsidR="006A3085" w:rsidRDefault="006A3085">
            <w:pPr>
              <w:rPr>
                <w:sz w:val="24"/>
                <w:szCs w:val="24"/>
                <w:lang w:val="es-ES"/>
              </w:rPr>
            </w:pPr>
            <w:r>
              <w:rPr>
                <w:sz w:val="24"/>
                <w:szCs w:val="24"/>
              </w:rPr>
              <w:fldChar w:fldCharType="begin">
                <w:ffData>
                  <w:name w:val="Check1"/>
                  <w:enabled/>
                  <w:calcOnExit w:val="0"/>
                  <w:checkBox>
                    <w:sizeAuto/>
                    <w:default w:val="0"/>
                  </w:checkBox>
                </w:ffData>
              </w:fldChar>
            </w:r>
            <w:bookmarkStart w:id="0" w:name="Check1"/>
            <w:r>
              <w:rPr>
                <w:sz w:val="24"/>
                <w:szCs w:val="24"/>
                <w:lang w:val="es-ES"/>
              </w:rPr>
              <w:instrText xml:space="preserve"> FORMCHECKBOX </w:instrText>
            </w:r>
            <w:r>
              <w:rPr>
                <w:sz w:val="24"/>
                <w:szCs w:val="24"/>
              </w:rPr>
            </w:r>
            <w:r>
              <w:rPr>
                <w:sz w:val="24"/>
                <w:szCs w:val="24"/>
              </w:rPr>
              <w:fldChar w:fldCharType="separate"/>
            </w:r>
            <w:r>
              <w:fldChar w:fldCharType="end"/>
            </w:r>
            <w:bookmarkEnd w:id="0"/>
            <w:r>
              <w:rPr>
                <w:sz w:val="24"/>
                <w:szCs w:val="24"/>
                <w:lang w:val="es-ES"/>
              </w:rPr>
              <w:t xml:space="preserve">  Estado</w:t>
            </w:r>
          </w:p>
          <w:p w14:paraId="550647EF" w14:textId="77777777" w:rsidR="006A3085" w:rsidRDefault="006A3085">
            <w:pPr>
              <w:rPr>
                <w:sz w:val="24"/>
                <w:szCs w:val="24"/>
                <w:lang w:val="es-ES"/>
              </w:rPr>
            </w:pPr>
            <w:r>
              <w:rPr>
                <w:sz w:val="24"/>
                <w:szCs w:val="24"/>
              </w:rPr>
              <w:fldChar w:fldCharType="begin">
                <w:ffData>
                  <w:name w:val="Check2"/>
                  <w:enabled/>
                  <w:calcOnExit w:val="0"/>
                  <w:checkBox>
                    <w:sizeAuto/>
                    <w:default w:val="0"/>
                  </w:checkBox>
                </w:ffData>
              </w:fldChar>
            </w:r>
            <w:bookmarkStart w:id="1" w:name="Check2"/>
            <w:r>
              <w:rPr>
                <w:sz w:val="24"/>
                <w:szCs w:val="24"/>
                <w:lang w:val="es-ES"/>
              </w:rPr>
              <w:instrText xml:space="preserve"> FORMCHECKBOX </w:instrText>
            </w:r>
            <w:r>
              <w:rPr>
                <w:sz w:val="24"/>
                <w:szCs w:val="24"/>
              </w:rPr>
            </w:r>
            <w:r>
              <w:rPr>
                <w:sz w:val="24"/>
                <w:szCs w:val="24"/>
              </w:rPr>
              <w:fldChar w:fldCharType="separate"/>
            </w:r>
            <w:r>
              <w:fldChar w:fldCharType="end"/>
            </w:r>
            <w:bookmarkEnd w:id="1"/>
            <w:r>
              <w:rPr>
                <w:sz w:val="24"/>
                <w:szCs w:val="24"/>
                <w:lang w:val="es-ES"/>
              </w:rPr>
              <w:t xml:space="preserve">  Estado observador</w:t>
            </w:r>
          </w:p>
          <w:p w14:paraId="6D026E2B" w14:textId="77777777" w:rsidR="006A3085" w:rsidRDefault="006A3085">
            <w:pPr>
              <w:ind w:left="394" w:hanging="394"/>
              <w:rPr>
                <w:sz w:val="24"/>
                <w:szCs w:val="24"/>
                <w:lang w:val="es-ES"/>
              </w:rPr>
            </w:pPr>
            <w:r>
              <w:rPr>
                <w:sz w:val="24"/>
                <w:szCs w:val="24"/>
              </w:rPr>
              <w:fldChar w:fldCharType="begin">
                <w:ffData>
                  <w:name w:val="Check6"/>
                  <w:enabled/>
                  <w:calcOnExit w:val="0"/>
                  <w:checkBox>
                    <w:sizeAuto/>
                    <w:default w:val="0"/>
                  </w:checkBox>
                </w:ffData>
              </w:fldChar>
            </w:r>
            <w:bookmarkStart w:id="2" w:name="Check6"/>
            <w:r>
              <w:rPr>
                <w:sz w:val="24"/>
                <w:szCs w:val="24"/>
                <w:lang w:val="es-ES"/>
              </w:rPr>
              <w:instrText xml:space="preserve"> FORMCHECKBOX </w:instrText>
            </w:r>
            <w:r>
              <w:rPr>
                <w:sz w:val="24"/>
                <w:szCs w:val="24"/>
              </w:rPr>
            </w:r>
            <w:r>
              <w:rPr>
                <w:sz w:val="24"/>
                <w:szCs w:val="24"/>
              </w:rPr>
              <w:fldChar w:fldCharType="separate"/>
            </w:r>
            <w:r>
              <w:fldChar w:fldCharType="end"/>
            </w:r>
            <w:bookmarkEnd w:id="2"/>
            <w:r>
              <w:rPr>
                <w:sz w:val="24"/>
                <w:szCs w:val="24"/>
                <w:lang w:val="es-ES"/>
              </w:rPr>
              <w:t xml:space="preserve">  Otro (por favor especifique):</w:t>
            </w:r>
          </w:p>
        </w:tc>
      </w:tr>
      <w:tr w:rsidR="006A3085" w14:paraId="5CA6775E" w14:textId="77777777" w:rsidTr="006A3085">
        <w:trPr>
          <w:trHeight w:val="437"/>
        </w:trPr>
        <w:tc>
          <w:tcPr>
            <w:tcW w:w="2897" w:type="dxa"/>
            <w:tcBorders>
              <w:top w:val="single" w:sz="4" w:space="0" w:color="auto"/>
              <w:left w:val="single" w:sz="4" w:space="0" w:color="auto"/>
              <w:bottom w:val="single" w:sz="4" w:space="0" w:color="auto"/>
              <w:right w:val="single" w:sz="4" w:space="0" w:color="auto"/>
            </w:tcBorders>
            <w:hideMark/>
          </w:tcPr>
          <w:p w14:paraId="45F6146F" w14:textId="77777777" w:rsidR="006A3085" w:rsidRDefault="006A3085">
            <w:pPr>
              <w:rPr>
                <w:sz w:val="24"/>
                <w:szCs w:val="24"/>
                <w:lang w:val="es-ES"/>
              </w:rPr>
            </w:pPr>
            <w:r>
              <w:rPr>
                <w:sz w:val="24"/>
                <w:szCs w:val="24"/>
                <w:lang w:val="es-ES"/>
              </w:rPr>
              <w:t xml:space="preserve">Nombre del Estado/persona </w:t>
            </w:r>
          </w:p>
        </w:tc>
        <w:tc>
          <w:tcPr>
            <w:tcW w:w="5393" w:type="dxa"/>
            <w:tcBorders>
              <w:top w:val="single" w:sz="4" w:space="0" w:color="auto"/>
              <w:left w:val="single" w:sz="4" w:space="0" w:color="auto"/>
              <w:bottom w:val="single" w:sz="4" w:space="0" w:color="auto"/>
              <w:right w:val="single" w:sz="4" w:space="0" w:color="auto"/>
            </w:tcBorders>
          </w:tcPr>
          <w:p w14:paraId="0C7AC363" w14:textId="77777777" w:rsidR="006A3085" w:rsidRDefault="006A3085">
            <w:pPr>
              <w:rPr>
                <w:sz w:val="24"/>
                <w:szCs w:val="24"/>
                <w:lang w:val="es-ES"/>
              </w:rPr>
            </w:pPr>
          </w:p>
        </w:tc>
      </w:tr>
      <w:tr w:rsidR="006A3085" w14:paraId="7FDAD0BB" w14:textId="77777777" w:rsidTr="006A3085">
        <w:trPr>
          <w:trHeight w:val="397"/>
        </w:trPr>
        <w:tc>
          <w:tcPr>
            <w:tcW w:w="2897" w:type="dxa"/>
            <w:tcBorders>
              <w:top w:val="single" w:sz="4" w:space="0" w:color="auto"/>
              <w:left w:val="single" w:sz="4" w:space="0" w:color="auto"/>
              <w:bottom w:val="single" w:sz="4" w:space="0" w:color="auto"/>
              <w:right w:val="single" w:sz="4" w:space="0" w:color="auto"/>
            </w:tcBorders>
          </w:tcPr>
          <w:p w14:paraId="793E3925" w14:textId="77777777" w:rsidR="006A3085" w:rsidRDefault="006A3085">
            <w:pPr>
              <w:rPr>
                <w:sz w:val="24"/>
                <w:szCs w:val="24"/>
                <w:lang w:val="es-ES"/>
              </w:rPr>
            </w:pPr>
            <w:r>
              <w:rPr>
                <w:sz w:val="24"/>
                <w:szCs w:val="24"/>
                <w:lang w:val="es-ES"/>
              </w:rPr>
              <w:t>Correo electrónico</w:t>
            </w:r>
          </w:p>
          <w:p w14:paraId="63234523" w14:textId="77777777" w:rsidR="006A3085" w:rsidRDefault="006A3085">
            <w:pPr>
              <w:rPr>
                <w:sz w:val="24"/>
                <w:szCs w:val="24"/>
              </w:rPr>
            </w:pPr>
          </w:p>
        </w:tc>
        <w:tc>
          <w:tcPr>
            <w:tcW w:w="5393" w:type="dxa"/>
            <w:tcBorders>
              <w:top w:val="single" w:sz="4" w:space="0" w:color="auto"/>
              <w:left w:val="single" w:sz="4" w:space="0" w:color="auto"/>
              <w:bottom w:val="single" w:sz="4" w:space="0" w:color="auto"/>
              <w:right w:val="single" w:sz="4" w:space="0" w:color="auto"/>
            </w:tcBorders>
          </w:tcPr>
          <w:p w14:paraId="5B2043ED" w14:textId="77777777" w:rsidR="006A3085" w:rsidRDefault="006A3085">
            <w:pPr>
              <w:rPr>
                <w:sz w:val="24"/>
                <w:szCs w:val="24"/>
              </w:rPr>
            </w:pPr>
          </w:p>
        </w:tc>
      </w:tr>
      <w:tr w:rsidR="006A3085" w:rsidRPr="006A3085" w14:paraId="4CD4F278" w14:textId="77777777" w:rsidTr="006A3085">
        <w:trPr>
          <w:trHeight w:val="838"/>
        </w:trPr>
        <w:tc>
          <w:tcPr>
            <w:tcW w:w="2897" w:type="dxa"/>
            <w:tcBorders>
              <w:top w:val="single" w:sz="4" w:space="0" w:color="auto"/>
              <w:left w:val="single" w:sz="4" w:space="0" w:color="auto"/>
              <w:bottom w:val="single" w:sz="4" w:space="0" w:color="auto"/>
              <w:right w:val="single" w:sz="4" w:space="0" w:color="auto"/>
            </w:tcBorders>
            <w:hideMark/>
          </w:tcPr>
          <w:p w14:paraId="08869CE2" w14:textId="77777777" w:rsidR="006A3085" w:rsidRDefault="006A3085">
            <w:pPr>
              <w:rPr>
                <w:sz w:val="24"/>
                <w:szCs w:val="24"/>
                <w:lang w:val="es-ES"/>
              </w:rPr>
            </w:pPr>
            <w:r>
              <w:rPr>
                <w:sz w:val="24"/>
                <w:szCs w:val="24"/>
                <w:lang w:val="es-ES"/>
              </w:rPr>
              <w:t>¿Podemos atribuir públicamente estas respuestas a su Estado? *</w:t>
            </w:r>
          </w:p>
          <w:p w14:paraId="2F3D42D3" w14:textId="77777777" w:rsidR="006A3085" w:rsidRDefault="006A3085">
            <w:pPr>
              <w:rPr>
                <w:sz w:val="24"/>
                <w:szCs w:val="24"/>
                <w:lang w:val="es-ES"/>
              </w:rPr>
            </w:pPr>
            <w:r>
              <w:rPr>
                <w:sz w:val="24"/>
                <w:szCs w:val="24"/>
                <w:lang w:val="es-ES"/>
              </w:rPr>
              <w:t xml:space="preserve"> </w:t>
            </w:r>
          </w:p>
          <w:p w14:paraId="5C395F62" w14:textId="77777777" w:rsidR="006A3085" w:rsidRDefault="006A3085">
            <w:pPr>
              <w:rPr>
                <w:sz w:val="24"/>
                <w:szCs w:val="24"/>
                <w:lang w:val="es-ES"/>
              </w:rPr>
            </w:pPr>
            <w:r>
              <w:rPr>
                <w:sz w:val="24"/>
                <w:szCs w:val="24"/>
                <w:lang w:val="es-ES"/>
              </w:rPr>
              <w:t>*En el sitio web de la OACDH, en la página de la Relatora Especial</w:t>
            </w:r>
          </w:p>
        </w:tc>
        <w:tc>
          <w:tcPr>
            <w:tcW w:w="5393" w:type="dxa"/>
            <w:tcBorders>
              <w:top w:val="single" w:sz="4" w:space="0" w:color="auto"/>
              <w:left w:val="single" w:sz="4" w:space="0" w:color="auto"/>
              <w:bottom w:val="single" w:sz="4" w:space="0" w:color="auto"/>
              <w:right w:val="single" w:sz="4" w:space="0" w:color="auto"/>
            </w:tcBorders>
          </w:tcPr>
          <w:p w14:paraId="200D1E6D" w14:textId="77777777" w:rsidR="006A3085" w:rsidRDefault="006A3085">
            <w:pPr>
              <w:rPr>
                <w:sz w:val="24"/>
                <w:szCs w:val="24"/>
                <w:lang w:val="es-ES"/>
              </w:rPr>
            </w:pPr>
            <w:r>
              <w:rPr>
                <w:sz w:val="24"/>
                <w:szCs w:val="24"/>
              </w:rPr>
              <w:fldChar w:fldCharType="begin">
                <w:ffData>
                  <w:name w:val="Check1"/>
                  <w:enabled/>
                  <w:calcOnExit w:val="0"/>
                  <w:checkBox>
                    <w:sizeAuto/>
                    <w:default w:val="0"/>
                  </w:checkBox>
                </w:ffData>
              </w:fldChar>
            </w:r>
            <w:r>
              <w:rPr>
                <w:sz w:val="24"/>
                <w:szCs w:val="24"/>
                <w:lang w:val="es-ES"/>
              </w:rPr>
              <w:instrText xml:space="preserve"> FORMCHECKBOX </w:instrText>
            </w:r>
            <w:r>
              <w:rPr>
                <w:sz w:val="24"/>
                <w:szCs w:val="24"/>
              </w:rPr>
            </w:r>
            <w:r>
              <w:rPr>
                <w:sz w:val="24"/>
                <w:szCs w:val="24"/>
              </w:rPr>
              <w:fldChar w:fldCharType="separate"/>
            </w:r>
            <w:r>
              <w:rPr>
                <w:sz w:val="24"/>
                <w:szCs w:val="24"/>
              </w:rPr>
              <w:fldChar w:fldCharType="end"/>
            </w:r>
            <w:r>
              <w:rPr>
                <w:sz w:val="24"/>
                <w:szCs w:val="24"/>
                <w:lang w:val="es-ES"/>
              </w:rPr>
              <w:t xml:space="preserve"> Si          </w:t>
            </w:r>
            <w:r>
              <w:rPr>
                <w:sz w:val="24"/>
                <w:szCs w:val="24"/>
              </w:rPr>
              <w:fldChar w:fldCharType="begin">
                <w:ffData>
                  <w:name w:val="Check1"/>
                  <w:enabled/>
                  <w:calcOnExit w:val="0"/>
                  <w:checkBox>
                    <w:sizeAuto/>
                    <w:default w:val="0"/>
                  </w:checkBox>
                </w:ffData>
              </w:fldChar>
            </w:r>
            <w:r>
              <w:rPr>
                <w:sz w:val="24"/>
                <w:szCs w:val="24"/>
                <w:lang w:val="es-ES"/>
              </w:rPr>
              <w:instrText xml:space="preserve"> FORMCHECKBOX </w:instrText>
            </w:r>
            <w:r>
              <w:rPr>
                <w:sz w:val="24"/>
                <w:szCs w:val="24"/>
              </w:rPr>
            </w:r>
            <w:r>
              <w:rPr>
                <w:sz w:val="24"/>
                <w:szCs w:val="24"/>
              </w:rPr>
              <w:fldChar w:fldCharType="separate"/>
            </w:r>
            <w:r>
              <w:rPr>
                <w:sz w:val="24"/>
                <w:szCs w:val="24"/>
              </w:rPr>
              <w:fldChar w:fldCharType="end"/>
            </w:r>
            <w:r>
              <w:rPr>
                <w:sz w:val="24"/>
                <w:szCs w:val="24"/>
                <w:lang w:val="es-ES"/>
              </w:rPr>
              <w:t xml:space="preserve"> No</w:t>
            </w:r>
          </w:p>
          <w:p w14:paraId="3254FDB0" w14:textId="77777777" w:rsidR="006A3085" w:rsidRDefault="006A3085">
            <w:pPr>
              <w:rPr>
                <w:sz w:val="24"/>
                <w:szCs w:val="24"/>
                <w:lang w:val="es-ES"/>
              </w:rPr>
            </w:pPr>
          </w:p>
          <w:p w14:paraId="0195045C" w14:textId="77777777" w:rsidR="006A3085" w:rsidRDefault="006A3085">
            <w:pPr>
              <w:rPr>
                <w:sz w:val="24"/>
                <w:szCs w:val="24"/>
                <w:lang w:val="es-ES"/>
              </w:rPr>
            </w:pPr>
            <w:r>
              <w:rPr>
                <w:sz w:val="24"/>
                <w:szCs w:val="24"/>
                <w:lang w:val="es-ES"/>
              </w:rPr>
              <w:t>Comentarios (si fuera relevante):</w:t>
            </w:r>
          </w:p>
        </w:tc>
      </w:tr>
    </w:tbl>
    <w:p w14:paraId="2066D684" w14:textId="77777777" w:rsidR="006A3085" w:rsidRDefault="006A3085" w:rsidP="006A3085">
      <w:pPr>
        <w:pStyle w:val="Default"/>
        <w:rPr>
          <w:rFonts w:ascii="Times New Roman" w:hAnsi="Times New Roman" w:cs="Times New Roman"/>
          <w:color w:val="222222"/>
          <w:shd w:val="clear" w:color="auto" w:fill="FFFFFF"/>
          <w:lang w:val="es-ES"/>
        </w:rPr>
      </w:pPr>
    </w:p>
    <w:p w14:paraId="24403AA1" w14:textId="77777777" w:rsidR="006A3085" w:rsidRDefault="006A3085" w:rsidP="006A3085">
      <w:pPr>
        <w:pStyle w:val="Default"/>
        <w:rPr>
          <w:rFonts w:ascii="Times New Roman" w:hAnsi="Times New Roman" w:cs="Times New Roman"/>
          <w:b/>
          <w:color w:val="auto"/>
          <w:lang w:val="es-ES"/>
        </w:rPr>
      </w:pPr>
      <w:r>
        <w:rPr>
          <w:rFonts w:ascii="Times New Roman" w:hAnsi="Times New Roman" w:cs="Times New Roman"/>
          <w:b/>
          <w:color w:val="auto"/>
          <w:lang w:val="es-ES"/>
        </w:rPr>
        <w:t xml:space="preserve">Antecedentes </w:t>
      </w:r>
    </w:p>
    <w:p w14:paraId="4F160090" w14:textId="77777777" w:rsidR="006A3085" w:rsidRDefault="006A3085" w:rsidP="006A3085">
      <w:pPr>
        <w:pStyle w:val="Default"/>
        <w:jc w:val="both"/>
        <w:rPr>
          <w:rFonts w:ascii="Times New Roman" w:hAnsi="Times New Roman" w:cs="Times New Roman"/>
          <w:color w:val="222222"/>
          <w:shd w:val="clear" w:color="auto" w:fill="FFFFFF"/>
          <w:lang w:val="es-ES"/>
        </w:rPr>
      </w:pPr>
    </w:p>
    <w:p w14:paraId="1A20787F" w14:textId="77777777" w:rsidR="006A3085" w:rsidRDefault="006A3085" w:rsidP="006A3085">
      <w:pPr>
        <w:jc w:val="both"/>
        <w:rPr>
          <w:sz w:val="24"/>
          <w:szCs w:val="24"/>
          <w:lang w:val="es-CL"/>
        </w:rPr>
      </w:pPr>
      <w:r>
        <w:rPr>
          <w:sz w:val="24"/>
          <w:szCs w:val="24"/>
          <w:lang w:val="es-CL"/>
        </w:rPr>
        <w:t xml:space="preserve">En el marco de la resolución 51/21 del Consejo de Derechos Humanos, la Relatora Especial sobre el derecho de toda persona al disfrute del más alto nivel posible de salud física y mental, ha identificado el análisis de los progresos y desafíos para alcanzar los Objetivos de Desarrollo Sostenible (ODS) como una de las prioridades estratégicas durante su mandato, junto con el análisis del rol de los determinantes subyacentes de la salud, como el cambio climático y el medio ambiente, el agua y el saneamiento, la educación y la igualdad de género (Véase: </w:t>
      </w:r>
      <w:hyperlink r:id="rId7" w:history="1">
        <w:r>
          <w:rPr>
            <w:rStyle w:val="Hyperlink"/>
            <w:rFonts w:eastAsiaTheme="minorHAnsi"/>
            <w:sz w:val="24"/>
            <w:szCs w:val="24"/>
            <w:lang w:val="es-CL"/>
          </w:rPr>
          <w:t>A/HRC/47/28 párr. 108</w:t>
        </w:r>
      </w:hyperlink>
      <w:r>
        <w:rPr>
          <w:sz w:val="24"/>
          <w:szCs w:val="24"/>
          <w:lang w:val="es-CL"/>
        </w:rPr>
        <w:t>). En cumplimiento de su mandato y en consonancia con estas prioridades, ha decidido dedicar su próximo informe temático ante la Asamblea General, el cual será presentado en octubre de 2023, sobre el tema de "La alimentación, la nutrición y el derecho a la salud".</w:t>
      </w:r>
    </w:p>
    <w:p w14:paraId="6ABB4DFE" w14:textId="77777777" w:rsidR="006A3085" w:rsidRDefault="006A3085" w:rsidP="006A3085">
      <w:pPr>
        <w:jc w:val="both"/>
        <w:rPr>
          <w:sz w:val="24"/>
          <w:szCs w:val="24"/>
          <w:lang w:val="es-CL"/>
        </w:rPr>
      </w:pPr>
    </w:p>
    <w:p w14:paraId="2EABE968" w14:textId="77777777" w:rsidR="006A3085" w:rsidRDefault="006A3085" w:rsidP="006A3085">
      <w:pPr>
        <w:jc w:val="both"/>
        <w:rPr>
          <w:b/>
          <w:bCs/>
          <w:sz w:val="24"/>
          <w:szCs w:val="24"/>
          <w:lang w:val="es-CL"/>
        </w:rPr>
      </w:pPr>
      <w:r>
        <w:rPr>
          <w:b/>
          <w:bCs/>
          <w:sz w:val="24"/>
          <w:szCs w:val="24"/>
          <w:lang w:val="es-CL"/>
        </w:rPr>
        <w:t>Objetivos del informe</w:t>
      </w:r>
    </w:p>
    <w:p w14:paraId="14261659" w14:textId="77777777" w:rsidR="006A3085" w:rsidRDefault="006A3085" w:rsidP="006A3085">
      <w:pPr>
        <w:jc w:val="both"/>
        <w:rPr>
          <w:sz w:val="24"/>
          <w:szCs w:val="24"/>
          <w:lang w:val="es-CL"/>
        </w:rPr>
      </w:pPr>
    </w:p>
    <w:p w14:paraId="14340676" w14:textId="77777777" w:rsidR="006A3085" w:rsidRDefault="006A3085" w:rsidP="006A3085">
      <w:pPr>
        <w:jc w:val="both"/>
        <w:rPr>
          <w:sz w:val="24"/>
          <w:szCs w:val="24"/>
          <w:lang w:val="es-CL"/>
        </w:rPr>
      </w:pPr>
      <w:r>
        <w:rPr>
          <w:sz w:val="24"/>
          <w:szCs w:val="24"/>
          <w:lang w:val="es-CL"/>
        </w:rPr>
        <w:t>En el informe, la Relatora Especial se enfocará en los determinantes subyacentes de la salud, centrándose en cómo la alimentación y la nutrición influyen positiva o negativamente en el derecho a la salud. En particular, se basará en los marcos de los determinantes sociales y comerciales de la salud para abordar cómo el colonialismo, el racismo y otras asimetrías de poder siguen construyendo y manteniendo sistemas y entornos alimentarios no equitativos, influyendo en las actividades de producción, agregación, procesamiento, distribución, consumo y eliminación de productos alimentarios y,</w:t>
      </w:r>
      <w:r>
        <w:rPr>
          <w:rStyle w:val="FootnoteReference"/>
          <w:sz w:val="24"/>
          <w:szCs w:val="24"/>
        </w:rPr>
        <w:footnoteReference w:id="1"/>
      </w:r>
      <w:r>
        <w:rPr>
          <w:sz w:val="24"/>
          <w:szCs w:val="24"/>
          <w:lang w:val="es-CL"/>
        </w:rPr>
        <w:t xml:space="preserve"> en última instancia, configurando el contexto en el que los consumidores adquieren, preparan y consumen alimentos.</w:t>
      </w:r>
      <w:r>
        <w:rPr>
          <w:rStyle w:val="FootnoteReference"/>
          <w:sz w:val="24"/>
          <w:szCs w:val="24"/>
        </w:rPr>
        <w:footnoteReference w:id="2"/>
      </w:r>
      <w:r>
        <w:rPr>
          <w:sz w:val="24"/>
          <w:szCs w:val="24"/>
          <w:lang w:val="es-CL"/>
        </w:rPr>
        <w:t xml:space="preserve"> El análisis </w:t>
      </w:r>
      <w:r>
        <w:rPr>
          <w:sz w:val="24"/>
          <w:szCs w:val="24"/>
          <w:lang w:val="es-CL"/>
        </w:rPr>
        <w:lastRenderedPageBreak/>
        <w:t>de la Relatora Especial tendrá en cuenta la doble carga de la malnutrición,</w:t>
      </w:r>
      <w:r>
        <w:rPr>
          <w:rStyle w:val="FootnoteReference"/>
          <w:sz w:val="24"/>
          <w:szCs w:val="24"/>
        </w:rPr>
        <w:footnoteReference w:id="3"/>
      </w:r>
      <w:r>
        <w:rPr>
          <w:sz w:val="24"/>
          <w:szCs w:val="24"/>
          <w:lang w:val="es-CL"/>
        </w:rPr>
        <w:t xml:space="preserve"> que se refiere a la coexistencia de la desnutrición con enfermedades no transmisibles (ENT) relacionadas con la dieta, como la diabetes, las enfermedades cardiovasculares y el cáncer. En este sentido, hará hincapié en que los enfoques de la alimentación y la nutrición basados en los derechos deben conciliar y abordar ambas preocupaciones, a menudo malinterpretadas como contrapuestas. La Relatora Especial también informará sobre las tendencias nuevas y emergentes relacionadas con el impacto del cambio climático, los conflictos y la COVID-19 en la alimentación y la nutrición, así como sobre las respuestas relacionadas.</w:t>
      </w:r>
    </w:p>
    <w:p w14:paraId="2AE8A433" w14:textId="77777777" w:rsidR="006A3085" w:rsidRDefault="006A3085" w:rsidP="006A3085">
      <w:pPr>
        <w:jc w:val="both"/>
        <w:rPr>
          <w:sz w:val="24"/>
          <w:szCs w:val="24"/>
          <w:lang w:val="es-CL"/>
        </w:rPr>
      </w:pPr>
    </w:p>
    <w:p w14:paraId="39F00F5F" w14:textId="77777777" w:rsidR="006A3085" w:rsidRDefault="006A3085" w:rsidP="006A3085">
      <w:pPr>
        <w:jc w:val="both"/>
        <w:rPr>
          <w:sz w:val="24"/>
          <w:szCs w:val="24"/>
          <w:lang w:val="es-CL"/>
        </w:rPr>
      </w:pPr>
      <w:r>
        <w:rPr>
          <w:sz w:val="24"/>
          <w:szCs w:val="24"/>
          <w:lang w:val="es-CL"/>
        </w:rPr>
        <w:t>Es importante destacar que la Relatora Especial adoptará un enfoque interseccional y considerará las múltiples formas de discriminación que afectan a las personas en el contexto de la alimentación y la nutrición. Analizará los vínculos entre las desigualdades en el acceso a una alimentación adecuada y el sexo, el género, la pobreza, la clase social y la brecha rural y urbana, así como los sistemas de opresión relacionados.</w:t>
      </w:r>
    </w:p>
    <w:p w14:paraId="498A76FE" w14:textId="77777777" w:rsidR="006A3085" w:rsidRDefault="006A3085" w:rsidP="006A3085">
      <w:pPr>
        <w:jc w:val="both"/>
        <w:rPr>
          <w:sz w:val="24"/>
          <w:szCs w:val="24"/>
          <w:lang w:val="es-CL"/>
        </w:rPr>
      </w:pPr>
    </w:p>
    <w:p w14:paraId="6003D30D" w14:textId="77777777" w:rsidR="006A3085" w:rsidRDefault="006A3085" w:rsidP="006A3085">
      <w:pPr>
        <w:jc w:val="both"/>
        <w:rPr>
          <w:sz w:val="24"/>
          <w:szCs w:val="24"/>
          <w:lang w:val="es-CL"/>
        </w:rPr>
      </w:pPr>
      <w:r>
        <w:rPr>
          <w:sz w:val="24"/>
          <w:szCs w:val="24"/>
          <w:lang w:val="es-CL"/>
        </w:rPr>
        <w:t>La Relatora Especial pretende analizar las obligaciones y responsabilidades de los actores, como los Estados y las empresas respectivamente, en relación con la alimentación y la nutrición en el marco del derecho a la salud. Por lo tanto, la Relatora Especial desea identificar retos y oportunidades específicos relacionados con la alimentación y la nutrición en países y comunidades de todo el mundo. También le gustaría identificar buenas prácticas que afirmen el derecho a la salud en este contexto, así como buscar ejemplos de cómo combatir la discriminación en el acceso a una alimentación adecuada.</w:t>
      </w:r>
    </w:p>
    <w:p w14:paraId="0DC47F54" w14:textId="77777777" w:rsidR="006A3085" w:rsidRDefault="006A3085" w:rsidP="006A3085">
      <w:pPr>
        <w:jc w:val="both"/>
        <w:rPr>
          <w:sz w:val="24"/>
          <w:szCs w:val="24"/>
          <w:lang w:val="es-CL"/>
        </w:rPr>
      </w:pPr>
    </w:p>
    <w:p w14:paraId="465578AE" w14:textId="77777777" w:rsidR="006A3085" w:rsidRDefault="006A3085" w:rsidP="006A3085">
      <w:pPr>
        <w:jc w:val="both"/>
        <w:rPr>
          <w:i/>
          <w:iCs/>
          <w:sz w:val="24"/>
          <w:szCs w:val="24"/>
          <w:lang w:val="es-CL"/>
        </w:rPr>
      </w:pPr>
      <w:r>
        <w:rPr>
          <w:i/>
          <w:iCs/>
          <w:sz w:val="24"/>
          <w:szCs w:val="24"/>
          <w:lang w:val="es-CL"/>
        </w:rPr>
        <w:t>Glosario de definiciones a efectos de este cuestionario:</w:t>
      </w:r>
    </w:p>
    <w:p w14:paraId="580389C5" w14:textId="77777777" w:rsidR="006A3085" w:rsidRDefault="006A3085" w:rsidP="006A3085">
      <w:pPr>
        <w:jc w:val="both"/>
        <w:rPr>
          <w:sz w:val="24"/>
          <w:szCs w:val="24"/>
          <w:lang w:val="es-CL"/>
        </w:rPr>
      </w:pPr>
      <w:r>
        <w:rPr>
          <w:sz w:val="24"/>
          <w:szCs w:val="24"/>
          <w:lang w:val="es-CL"/>
        </w:rPr>
        <w:t xml:space="preserve"> </w:t>
      </w:r>
    </w:p>
    <w:p w14:paraId="1AC92D40" w14:textId="77777777" w:rsidR="006A3085" w:rsidRDefault="006A3085" w:rsidP="006A3085">
      <w:pPr>
        <w:pStyle w:val="ListParagraph"/>
        <w:numPr>
          <w:ilvl w:val="0"/>
          <w:numId w:val="1"/>
        </w:numPr>
        <w:jc w:val="both"/>
        <w:rPr>
          <w:sz w:val="24"/>
          <w:szCs w:val="24"/>
          <w:lang w:val="es-CL"/>
        </w:rPr>
      </w:pPr>
      <w:r>
        <w:rPr>
          <w:b/>
          <w:bCs/>
          <w:sz w:val="24"/>
          <w:szCs w:val="24"/>
          <w:lang w:val="es-CL"/>
        </w:rPr>
        <w:t>Doble carga de la malnutrición</w:t>
      </w:r>
      <w:r>
        <w:rPr>
          <w:sz w:val="24"/>
          <w:szCs w:val="24"/>
          <w:lang w:val="es-CL"/>
        </w:rPr>
        <w:t>: se refiere a la coexistencia de la desnutrición junto con el sobrepeso, la obesidad o las ENT relacionadas con la dieta, en individuos, hogares y poblaciones, y a lo largo del curso de vida.</w:t>
      </w:r>
      <w:r>
        <w:rPr>
          <w:rStyle w:val="FootnoteReference"/>
          <w:sz w:val="24"/>
          <w:szCs w:val="24"/>
        </w:rPr>
        <w:footnoteReference w:id="4"/>
      </w:r>
    </w:p>
    <w:p w14:paraId="32D9AC32" w14:textId="77777777" w:rsidR="006A3085" w:rsidRDefault="006A3085" w:rsidP="006A3085">
      <w:pPr>
        <w:pStyle w:val="ListParagraph"/>
        <w:jc w:val="both"/>
        <w:rPr>
          <w:sz w:val="24"/>
          <w:szCs w:val="24"/>
          <w:lang w:val="es-CL"/>
        </w:rPr>
      </w:pPr>
    </w:p>
    <w:p w14:paraId="63AFB9A0" w14:textId="77777777" w:rsidR="006A3085" w:rsidRDefault="006A3085" w:rsidP="006A3085">
      <w:pPr>
        <w:pStyle w:val="ListParagraph"/>
        <w:numPr>
          <w:ilvl w:val="0"/>
          <w:numId w:val="1"/>
        </w:numPr>
        <w:jc w:val="both"/>
        <w:rPr>
          <w:sz w:val="24"/>
          <w:szCs w:val="24"/>
          <w:lang w:val="es-CL"/>
        </w:rPr>
      </w:pPr>
      <w:r>
        <w:rPr>
          <w:b/>
          <w:bCs/>
          <w:sz w:val="24"/>
          <w:szCs w:val="24"/>
          <w:lang w:val="es-CL"/>
        </w:rPr>
        <w:t>Entornos alimentarios</w:t>
      </w:r>
      <w:r>
        <w:rPr>
          <w:sz w:val="24"/>
          <w:szCs w:val="24"/>
          <w:lang w:val="es-CL"/>
        </w:rPr>
        <w:t>: se refiere al contexto físico, económico, político y sociocultural en el que los consumidores se relacionan con el sistema alimentario para tomar sus decisiones sobre la adquisición, preparación y consumo de alimentos.</w:t>
      </w:r>
      <w:r>
        <w:rPr>
          <w:rStyle w:val="FootnoteReference"/>
          <w:sz w:val="24"/>
          <w:szCs w:val="24"/>
        </w:rPr>
        <w:footnoteReference w:id="5"/>
      </w:r>
    </w:p>
    <w:p w14:paraId="6771298E" w14:textId="77777777" w:rsidR="006A3085" w:rsidRDefault="006A3085" w:rsidP="006A3085">
      <w:pPr>
        <w:pStyle w:val="ListParagraph"/>
        <w:rPr>
          <w:sz w:val="24"/>
          <w:szCs w:val="24"/>
          <w:lang w:val="es-CL"/>
        </w:rPr>
      </w:pPr>
    </w:p>
    <w:p w14:paraId="7B542524" w14:textId="77777777" w:rsidR="006A3085" w:rsidRDefault="006A3085" w:rsidP="006A3085">
      <w:pPr>
        <w:pStyle w:val="ListParagraph"/>
        <w:numPr>
          <w:ilvl w:val="0"/>
          <w:numId w:val="1"/>
        </w:numPr>
        <w:jc w:val="both"/>
        <w:rPr>
          <w:sz w:val="24"/>
          <w:szCs w:val="24"/>
          <w:lang w:val="es-CL"/>
        </w:rPr>
      </w:pPr>
      <w:r>
        <w:rPr>
          <w:b/>
          <w:bCs/>
          <w:sz w:val="24"/>
          <w:szCs w:val="24"/>
          <w:lang w:val="es-CL"/>
        </w:rPr>
        <w:t>Sistemas alimentarios</w:t>
      </w:r>
      <w:r>
        <w:rPr>
          <w:sz w:val="24"/>
          <w:szCs w:val="24"/>
          <w:lang w:val="es-CL"/>
        </w:rPr>
        <w:t>: se refieren a toda la gama de actores y sus actividades interrelacionadas de valor añadido implicadas en la producción, agregación, procesamiento, distribución, consumo y eliminación de productos alimentarios. Los sistemas alimentarios comprenden todos los productos alimentarios que se originan en la producción agrícola y ganadera, la silvicultura, la pesca y la acuicultura, así como los entornos económicos, sociales y naturales más amplios en los que se insertan estos diversos sistemas de producción.</w:t>
      </w:r>
      <w:r>
        <w:rPr>
          <w:rStyle w:val="FootnoteReference"/>
          <w:sz w:val="24"/>
          <w:szCs w:val="24"/>
        </w:rPr>
        <w:footnoteReference w:id="6"/>
      </w:r>
    </w:p>
    <w:p w14:paraId="6621E03E" w14:textId="77777777" w:rsidR="006A3085" w:rsidRDefault="006A3085" w:rsidP="006A3085">
      <w:pPr>
        <w:jc w:val="both"/>
        <w:rPr>
          <w:sz w:val="24"/>
          <w:szCs w:val="24"/>
          <w:lang w:val="es-CL"/>
        </w:rPr>
      </w:pPr>
    </w:p>
    <w:p w14:paraId="01183297" w14:textId="77777777" w:rsidR="006A3085" w:rsidRDefault="006A3085" w:rsidP="006A3085">
      <w:pPr>
        <w:jc w:val="both"/>
        <w:rPr>
          <w:b/>
          <w:bCs/>
          <w:sz w:val="24"/>
          <w:szCs w:val="24"/>
          <w:lang w:val="es-CL"/>
        </w:rPr>
      </w:pPr>
    </w:p>
    <w:p w14:paraId="39D23143" w14:textId="77777777" w:rsidR="006A3085" w:rsidRDefault="006A3085" w:rsidP="006A3085">
      <w:pPr>
        <w:jc w:val="both"/>
        <w:rPr>
          <w:b/>
          <w:bCs/>
          <w:sz w:val="24"/>
          <w:szCs w:val="24"/>
          <w:lang w:val="es-CL"/>
        </w:rPr>
      </w:pPr>
    </w:p>
    <w:p w14:paraId="3CA4A8A1" w14:textId="18596DB3" w:rsidR="006A3085" w:rsidRDefault="006A3085" w:rsidP="006A3085">
      <w:pPr>
        <w:jc w:val="both"/>
        <w:rPr>
          <w:b/>
          <w:bCs/>
          <w:sz w:val="24"/>
          <w:szCs w:val="24"/>
          <w:lang w:val="es-CL"/>
        </w:rPr>
      </w:pPr>
      <w:r>
        <w:rPr>
          <w:b/>
          <w:bCs/>
          <w:sz w:val="24"/>
          <w:szCs w:val="24"/>
          <w:lang w:val="es-CL"/>
        </w:rPr>
        <w:lastRenderedPageBreak/>
        <w:t>Cuestionario</w:t>
      </w:r>
    </w:p>
    <w:p w14:paraId="13E5F6DE" w14:textId="77777777" w:rsidR="006A3085" w:rsidRDefault="006A3085" w:rsidP="006A3085">
      <w:pPr>
        <w:jc w:val="both"/>
        <w:rPr>
          <w:sz w:val="24"/>
          <w:szCs w:val="24"/>
          <w:lang w:val="es-CL"/>
        </w:rPr>
      </w:pPr>
    </w:p>
    <w:p w14:paraId="783C55F9" w14:textId="77777777" w:rsidR="006A3085" w:rsidRDefault="006A3085" w:rsidP="006A3085">
      <w:pPr>
        <w:jc w:val="both"/>
        <w:rPr>
          <w:sz w:val="24"/>
          <w:szCs w:val="24"/>
          <w:lang w:val="es-CL"/>
        </w:rPr>
      </w:pPr>
      <w:r>
        <w:rPr>
          <w:sz w:val="24"/>
          <w:szCs w:val="24"/>
          <w:lang w:val="es-CL"/>
        </w:rPr>
        <w:t xml:space="preserve">El cuestionario puede descargarse a continuación en inglés (idioma original), francés y español (traducciones no oficiales). </w:t>
      </w:r>
      <w:r>
        <w:rPr>
          <w:sz w:val="24"/>
          <w:szCs w:val="24"/>
          <w:u w:val="single"/>
          <w:lang w:val="es-CL"/>
        </w:rPr>
        <w:t>Las respuestas pueden referirse a algunas de las preguntas o a todas, según sea posible o se prefiera</w:t>
      </w:r>
      <w:r>
        <w:rPr>
          <w:sz w:val="24"/>
          <w:szCs w:val="24"/>
          <w:lang w:val="es-CL"/>
        </w:rPr>
        <w:t>.</w:t>
      </w:r>
    </w:p>
    <w:p w14:paraId="3DBB1B8E" w14:textId="77777777" w:rsidR="006A3085" w:rsidRDefault="006A3085" w:rsidP="006A3085">
      <w:pPr>
        <w:jc w:val="both"/>
        <w:rPr>
          <w:sz w:val="24"/>
          <w:szCs w:val="24"/>
          <w:lang w:val="es-CL"/>
        </w:rPr>
      </w:pPr>
    </w:p>
    <w:p w14:paraId="4E1CF838" w14:textId="77777777" w:rsidR="006A3085" w:rsidRDefault="006A3085" w:rsidP="006A3085">
      <w:pPr>
        <w:pStyle w:val="ListParagraph"/>
        <w:numPr>
          <w:ilvl w:val="0"/>
          <w:numId w:val="2"/>
        </w:numPr>
        <w:jc w:val="both"/>
        <w:rPr>
          <w:sz w:val="24"/>
          <w:szCs w:val="24"/>
          <w:lang w:val="es-CL"/>
        </w:rPr>
      </w:pPr>
      <w:r>
        <w:rPr>
          <w:sz w:val="24"/>
          <w:szCs w:val="24"/>
          <w:lang w:val="es-CL"/>
        </w:rPr>
        <w:t xml:space="preserve">Descargue el cuestionario (WORD):  English | </w:t>
      </w:r>
      <w:proofErr w:type="spellStart"/>
      <w:r>
        <w:rPr>
          <w:sz w:val="24"/>
          <w:szCs w:val="24"/>
          <w:lang w:val="es-CL"/>
        </w:rPr>
        <w:t>Français</w:t>
      </w:r>
      <w:proofErr w:type="spellEnd"/>
      <w:r>
        <w:rPr>
          <w:sz w:val="24"/>
          <w:szCs w:val="24"/>
          <w:lang w:val="es-CL"/>
        </w:rPr>
        <w:t xml:space="preserve"> | </w:t>
      </w:r>
      <w:proofErr w:type="gramStart"/>
      <w:r>
        <w:rPr>
          <w:sz w:val="24"/>
          <w:szCs w:val="24"/>
          <w:lang w:val="es-CL"/>
        </w:rPr>
        <w:t>Español</w:t>
      </w:r>
      <w:proofErr w:type="gramEnd"/>
    </w:p>
    <w:p w14:paraId="486B49D2" w14:textId="77777777" w:rsidR="006A3085" w:rsidRDefault="006A3085" w:rsidP="006A3085">
      <w:pPr>
        <w:jc w:val="both"/>
        <w:rPr>
          <w:sz w:val="24"/>
          <w:szCs w:val="24"/>
          <w:lang w:val="es-CL"/>
        </w:rPr>
      </w:pPr>
    </w:p>
    <w:p w14:paraId="56FBD015" w14:textId="77777777" w:rsidR="006A3085" w:rsidRDefault="006A3085" w:rsidP="006A3085">
      <w:pPr>
        <w:jc w:val="both"/>
        <w:rPr>
          <w:b/>
          <w:bCs/>
          <w:sz w:val="24"/>
          <w:szCs w:val="24"/>
          <w:lang w:val="es-CL"/>
        </w:rPr>
      </w:pPr>
      <w:r>
        <w:rPr>
          <w:b/>
          <w:bCs/>
          <w:sz w:val="24"/>
          <w:szCs w:val="24"/>
          <w:lang w:val="es-CL"/>
        </w:rPr>
        <w:t>Cómo y dónde enviar las contribuciones</w:t>
      </w:r>
    </w:p>
    <w:p w14:paraId="156AAAD2" w14:textId="77777777" w:rsidR="006A3085" w:rsidRDefault="006A3085" w:rsidP="006A3085">
      <w:pPr>
        <w:jc w:val="both"/>
        <w:rPr>
          <w:sz w:val="24"/>
          <w:szCs w:val="24"/>
          <w:lang w:val="es-CL"/>
        </w:rPr>
      </w:pPr>
    </w:p>
    <w:p w14:paraId="3827F110" w14:textId="77777777" w:rsidR="006A3085" w:rsidRDefault="006A3085" w:rsidP="006A3085">
      <w:pPr>
        <w:jc w:val="both"/>
        <w:rPr>
          <w:sz w:val="24"/>
          <w:szCs w:val="24"/>
          <w:lang w:val="es-CL"/>
        </w:rPr>
      </w:pPr>
      <w:r>
        <w:rPr>
          <w:sz w:val="24"/>
          <w:szCs w:val="24"/>
          <w:lang w:val="es-CL"/>
        </w:rPr>
        <w:t>Las contribuciones pueden enviarse por correo electrónico hasta el 24 de marzo de 2023.</w:t>
      </w:r>
    </w:p>
    <w:p w14:paraId="6F57C42F" w14:textId="77777777" w:rsidR="006A3085" w:rsidRDefault="006A3085" w:rsidP="006A3085">
      <w:pPr>
        <w:jc w:val="both"/>
        <w:rPr>
          <w:sz w:val="24"/>
          <w:szCs w:val="24"/>
          <w:lang w:val="es-CL"/>
        </w:rPr>
      </w:pPr>
    </w:p>
    <w:tbl>
      <w:tblPr>
        <w:tblStyle w:val="TableGrid"/>
        <w:tblW w:w="0" w:type="auto"/>
        <w:tblInd w:w="108" w:type="dxa"/>
        <w:tblLook w:val="04A0" w:firstRow="1" w:lastRow="0" w:firstColumn="1" w:lastColumn="0" w:noHBand="0" w:noVBand="1"/>
      </w:tblPr>
      <w:tblGrid>
        <w:gridCol w:w="2552"/>
        <w:gridCol w:w="6237"/>
      </w:tblGrid>
      <w:tr w:rsidR="006A3085" w14:paraId="27BF2BD2" w14:textId="77777777" w:rsidTr="006A3085">
        <w:tc>
          <w:tcPr>
            <w:tcW w:w="2552" w:type="dxa"/>
            <w:tcBorders>
              <w:top w:val="single" w:sz="4" w:space="0" w:color="auto"/>
              <w:left w:val="single" w:sz="4" w:space="0" w:color="auto"/>
              <w:bottom w:val="single" w:sz="4" w:space="0" w:color="auto"/>
              <w:right w:val="single" w:sz="4" w:space="0" w:color="auto"/>
            </w:tcBorders>
            <w:hideMark/>
          </w:tcPr>
          <w:p w14:paraId="150E22F5" w14:textId="77777777" w:rsidR="006A3085" w:rsidRDefault="006A3085">
            <w:pPr>
              <w:pStyle w:val="NormalWeb"/>
              <w:jc w:val="both"/>
              <w:rPr>
                <w:rFonts w:ascii="Times New Roman" w:hAnsi="Times New Roman"/>
                <w:sz w:val="24"/>
                <w:lang w:val="en-US"/>
              </w:rPr>
            </w:pPr>
            <w:proofErr w:type="spellStart"/>
            <w:r>
              <w:rPr>
                <w:rFonts w:ascii="Times New Roman" w:eastAsia="Times New Roman" w:hAnsi="Times New Roman"/>
                <w:b/>
                <w:color w:val="000000"/>
                <w:sz w:val="24"/>
                <w:lang w:val="en-US"/>
              </w:rPr>
              <w:t>Correo</w:t>
            </w:r>
            <w:proofErr w:type="spellEnd"/>
            <w:r>
              <w:rPr>
                <w:rFonts w:ascii="Times New Roman" w:eastAsia="Times New Roman" w:hAnsi="Times New Roman"/>
                <w:b/>
                <w:color w:val="000000"/>
                <w:sz w:val="24"/>
                <w:lang w:val="en-US"/>
              </w:rPr>
              <w:t xml:space="preserve"> </w:t>
            </w:r>
            <w:proofErr w:type="spellStart"/>
            <w:r>
              <w:rPr>
                <w:rFonts w:ascii="Times New Roman" w:eastAsia="Times New Roman" w:hAnsi="Times New Roman"/>
                <w:b/>
                <w:color w:val="000000"/>
                <w:sz w:val="24"/>
                <w:lang w:val="en-US"/>
              </w:rPr>
              <w:t>electrónico</w:t>
            </w:r>
            <w:proofErr w:type="spellEnd"/>
          </w:p>
        </w:tc>
        <w:tc>
          <w:tcPr>
            <w:tcW w:w="6237" w:type="dxa"/>
            <w:tcBorders>
              <w:top w:val="single" w:sz="4" w:space="0" w:color="auto"/>
              <w:left w:val="single" w:sz="4" w:space="0" w:color="auto"/>
              <w:bottom w:val="single" w:sz="4" w:space="0" w:color="auto"/>
              <w:right w:val="single" w:sz="4" w:space="0" w:color="auto"/>
            </w:tcBorders>
            <w:hideMark/>
          </w:tcPr>
          <w:p w14:paraId="5A5FC96C" w14:textId="77777777" w:rsidR="006A3085" w:rsidRDefault="006A3085">
            <w:pPr>
              <w:pStyle w:val="NormalWeb"/>
              <w:jc w:val="both"/>
              <w:rPr>
                <w:rFonts w:ascii="Times New Roman" w:hAnsi="Times New Roman"/>
                <w:sz w:val="24"/>
                <w:lang w:val="en-US"/>
              </w:rPr>
            </w:pPr>
            <w:r>
              <w:rPr>
                <w:rStyle w:val="Hyperlink"/>
                <w:rFonts w:ascii="Times New Roman" w:hAnsi="Times New Roman"/>
                <w:sz w:val="24"/>
                <w:lang w:val="pt-PT"/>
              </w:rPr>
              <w:t>ohchr-</w:t>
            </w:r>
            <w:r>
              <w:fldChar w:fldCharType="begin"/>
            </w:r>
            <w:r>
              <w:instrText xml:space="preserve"> HYPERLINK "mailto:srhealth@un.org" </w:instrText>
            </w:r>
            <w:r>
              <w:fldChar w:fldCharType="separate"/>
            </w:r>
            <w:r>
              <w:rPr>
                <w:rStyle w:val="Hyperlink"/>
                <w:rFonts w:ascii="Times New Roman" w:hAnsi="Times New Roman"/>
                <w:sz w:val="24"/>
                <w:lang w:val="pt-PT"/>
              </w:rPr>
              <w:t>srhealth@un.org</w:t>
            </w:r>
            <w:r>
              <w:fldChar w:fldCharType="end"/>
            </w:r>
          </w:p>
        </w:tc>
      </w:tr>
      <w:tr w:rsidR="006A3085" w:rsidRPr="006A3085" w14:paraId="7AE8BA9E" w14:textId="77777777" w:rsidTr="006A3085">
        <w:tc>
          <w:tcPr>
            <w:tcW w:w="2552" w:type="dxa"/>
            <w:tcBorders>
              <w:top w:val="single" w:sz="4" w:space="0" w:color="auto"/>
              <w:left w:val="single" w:sz="4" w:space="0" w:color="auto"/>
              <w:bottom w:val="single" w:sz="4" w:space="0" w:color="auto"/>
              <w:right w:val="single" w:sz="4" w:space="0" w:color="auto"/>
            </w:tcBorders>
            <w:hideMark/>
          </w:tcPr>
          <w:p w14:paraId="6C00ED3B" w14:textId="77777777" w:rsidR="006A3085" w:rsidRDefault="006A3085">
            <w:pPr>
              <w:pStyle w:val="NormalWeb"/>
              <w:jc w:val="both"/>
              <w:rPr>
                <w:rFonts w:ascii="Times New Roman" w:hAnsi="Times New Roman"/>
                <w:sz w:val="24"/>
                <w:lang w:val="en-US"/>
              </w:rPr>
            </w:pPr>
            <w:proofErr w:type="spellStart"/>
            <w:r>
              <w:rPr>
                <w:rFonts w:ascii="Times New Roman" w:eastAsia="Times New Roman" w:hAnsi="Times New Roman"/>
                <w:b/>
                <w:color w:val="000000"/>
                <w:sz w:val="24"/>
                <w:lang w:val="en-US"/>
              </w:rPr>
              <w:t>Asunto</w:t>
            </w:r>
            <w:proofErr w:type="spellEnd"/>
            <w:r>
              <w:rPr>
                <w:rFonts w:ascii="Times New Roman" w:eastAsia="Times New Roman" w:hAnsi="Times New Roman"/>
                <w:b/>
                <w:color w:val="000000"/>
                <w:sz w:val="24"/>
                <w:lang w:val="en-US"/>
              </w:rPr>
              <w:t xml:space="preserve"> del </w:t>
            </w:r>
            <w:proofErr w:type="spellStart"/>
            <w:r>
              <w:rPr>
                <w:rFonts w:ascii="Times New Roman" w:eastAsia="Times New Roman" w:hAnsi="Times New Roman"/>
                <w:b/>
                <w:color w:val="000000"/>
                <w:sz w:val="24"/>
                <w:lang w:val="en-US"/>
              </w:rPr>
              <w:t>correo</w:t>
            </w:r>
            <w:proofErr w:type="spellEnd"/>
          </w:p>
        </w:tc>
        <w:tc>
          <w:tcPr>
            <w:tcW w:w="6237" w:type="dxa"/>
            <w:tcBorders>
              <w:top w:val="single" w:sz="4" w:space="0" w:color="auto"/>
              <w:left w:val="single" w:sz="4" w:space="0" w:color="auto"/>
              <w:bottom w:val="single" w:sz="4" w:space="0" w:color="auto"/>
              <w:right w:val="single" w:sz="4" w:space="0" w:color="auto"/>
            </w:tcBorders>
            <w:hideMark/>
          </w:tcPr>
          <w:p w14:paraId="7A99D762" w14:textId="77777777" w:rsidR="006A3085" w:rsidRDefault="006A3085">
            <w:pPr>
              <w:pStyle w:val="NormalWeb"/>
              <w:jc w:val="both"/>
              <w:rPr>
                <w:rFonts w:ascii="Times New Roman" w:hAnsi="Times New Roman"/>
                <w:sz w:val="24"/>
                <w:lang w:val="es-CL"/>
              </w:rPr>
            </w:pPr>
            <w:r>
              <w:rPr>
                <w:rFonts w:ascii="Times New Roman" w:hAnsi="Times New Roman"/>
                <w:sz w:val="24"/>
                <w:lang w:val="es-CL"/>
              </w:rPr>
              <w:t>Contribución al reporte de la AG – RE derecho a la salud</w:t>
            </w:r>
          </w:p>
        </w:tc>
      </w:tr>
      <w:tr w:rsidR="006A3085" w14:paraId="0C97C56C" w14:textId="77777777" w:rsidTr="006A3085">
        <w:tc>
          <w:tcPr>
            <w:tcW w:w="2552" w:type="dxa"/>
            <w:tcBorders>
              <w:top w:val="single" w:sz="4" w:space="0" w:color="auto"/>
              <w:left w:val="single" w:sz="4" w:space="0" w:color="auto"/>
              <w:bottom w:val="single" w:sz="4" w:space="0" w:color="auto"/>
              <w:right w:val="single" w:sz="4" w:space="0" w:color="auto"/>
            </w:tcBorders>
            <w:hideMark/>
          </w:tcPr>
          <w:p w14:paraId="4D4C2E84" w14:textId="77777777" w:rsidR="006A3085" w:rsidRDefault="006A3085">
            <w:pPr>
              <w:pStyle w:val="NormalWeb"/>
              <w:jc w:val="both"/>
              <w:rPr>
                <w:rFonts w:ascii="Times New Roman" w:eastAsia="Times New Roman" w:hAnsi="Times New Roman"/>
                <w:b/>
                <w:color w:val="000000"/>
                <w:sz w:val="24"/>
                <w:lang w:val="en-US"/>
              </w:rPr>
            </w:pPr>
            <w:proofErr w:type="spellStart"/>
            <w:r>
              <w:rPr>
                <w:rFonts w:ascii="Times New Roman" w:eastAsia="Times New Roman" w:hAnsi="Times New Roman"/>
                <w:b/>
                <w:color w:val="000000"/>
                <w:sz w:val="24"/>
                <w:lang w:val="en-US"/>
              </w:rPr>
              <w:t>Límite</w:t>
            </w:r>
            <w:proofErr w:type="spellEnd"/>
            <w:r>
              <w:rPr>
                <w:rFonts w:ascii="Times New Roman" w:eastAsia="Times New Roman" w:hAnsi="Times New Roman"/>
                <w:b/>
                <w:color w:val="000000"/>
                <w:sz w:val="24"/>
                <w:lang w:val="en-US"/>
              </w:rPr>
              <w:t xml:space="preserve"> de palabras</w:t>
            </w:r>
          </w:p>
        </w:tc>
        <w:tc>
          <w:tcPr>
            <w:tcW w:w="6237" w:type="dxa"/>
            <w:tcBorders>
              <w:top w:val="single" w:sz="4" w:space="0" w:color="auto"/>
              <w:left w:val="single" w:sz="4" w:space="0" w:color="auto"/>
              <w:bottom w:val="single" w:sz="4" w:space="0" w:color="auto"/>
              <w:right w:val="single" w:sz="4" w:space="0" w:color="auto"/>
            </w:tcBorders>
          </w:tcPr>
          <w:p w14:paraId="7EA1662D" w14:textId="77777777" w:rsidR="006A3085" w:rsidRDefault="006A3085">
            <w:pPr>
              <w:pStyle w:val="NormalWeb"/>
              <w:jc w:val="both"/>
              <w:rPr>
                <w:rFonts w:ascii="Times New Roman" w:eastAsia="Times New Roman" w:hAnsi="Times New Roman"/>
                <w:color w:val="000000"/>
                <w:sz w:val="24"/>
                <w:lang w:val="en-US"/>
              </w:rPr>
            </w:pPr>
            <w:r>
              <w:rPr>
                <w:rFonts w:ascii="Times New Roman" w:eastAsia="Times New Roman" w:hAnsi="Times New Roman"/>
                <w:color w:val="000000"/>
                <w:sz w:val="24"/>
                <w:lang w:val="en-US"/>
              </w:rPr>
              <w:t xml:space="preserve">750 palabras </w:t>
            </w:r>
            <w:proofErr w:type="spellStart"/>
            <w:r>
              <w:rPr>
                <w:rFonts w:ascii="Times New Roman" w:eastAsia="Times New Roman" w:hAnsi="Times New Roman"/>
                <w:color w:val="000000"/>
                <w:sz w:val="24"/>
                <w:lang w:val="en-US"/>
              </w:rPr>
              <w:t>por</w:t>
            </w:r>
            <w:proofErr w:type="spellEnd"/>
            <w:r>
              <w:rPr>
                <w:rFonts w:ascii="Times New Roman" w:eastAsia="Times New Roman" w:hAnsi="Times New Roman"/>
                <w:color w:val="000000"/>
                <w:sz w:val="24"/>
                <w:lang w:val="en-US"/>
              </w:rPr>
              <w:t xml:space="preserve"> </w:t>
            </w:r>
            <w:proofErr w:type="spellStart"/>
            <w:r>
              <w:rPr>
                <w:rFonts w:ascii="Times New Roman" w:eastAsia="Times New Roman" w:hAnsi="Times New Roman"/>
                <w:color w:val="000000"/>
                <w:sz w:val="24"/>
                <w:lang w:val="en-US"/>
              </w:rPr>
              <w:t>pregunta</w:t>
            </w:r>
            <w:proofErr w:type="spellEnd"/>
          </w:p>
          <w:p w14:paraId="10D9BF97" w14:textId="77777777" w:rsidR="006A3085" w:rsidRDefault="006A3085">
            <w:pPr>
              <w:pStyle w:val="NormalWeb"/>
              <w:jc w:val="both"/>
              <w:rPr>
                <w:rFonts w:ascii="Times New Roman" w:eastAsia="Times New Roman" w:hAnsi="Times New Roman"/>
                <w:color w:val="000000"/>
                <w:sz w:val="24"/>
                <w:lang w:val="en-US"/>
              </w:rPr>
            </w:pPr>
          </w:p>
        </w:tc>
      </w:tr>
      <w:tr w:rsidR="006A3085" w:rsidRPr="006A3085" w14:paraId="1F781E62" w14:textId="77777777" w:rsidTr="006A3085">
        <w:tc>
          <w:tcPr>
            <w:tcW w:w="2552" w:type="dxa"/>
            <w:tcBorders>
              <w:top w:val="single" w:sz="4" w:space="0" w:color="auto"/>
              <w:left w:val="single" w:sz="4" w:space="0" w:color="auto"/>
              <w:bottom w:val="single" w:sz="4" w:space="0" w:color="auto"/>
              <w:right w:val="single" w:sz="4" w:space="0" w:color="auto"/>
            </w:tcBorders>
            <w:hideMark/>
          </w:tcPr>
          <w:p w14:paraId="357D713D" w14:textId="77777777" w:rsidR="006A3085" w:rsidRDefault="006A3085">
            <w:pPr>
              <w:pStyle w:val="NormalWeb"/>
              <w:rPr>
                <w:rFonts w:ascii="Times New Roman" w:eastAsia="Times New Roman" w:hAnsi="Times New Roman"/>
                <w:b/>
                <w:color w:val="000000"/>
                <w:sz w:val="24"/>
                <w:lang w:val="en-US"/>
              </w:rPr>
            </w:pPr>
            <w:proofErr w:type="spellStart"/>
            <w:r>
              <w:rPr>
                <w:rFonts w:ascii="Times New Roman" w:eastAsia="Times New Roman" w:hAnsi="Times New Roman"/>
                <w:b/>
                <w:color w:val="000000"/>
                <w:sz w:val="24"/>
                <w:lang w:val="en-US"/>
              </w:rPr>
              <w:t>Formato</w:t>
            </w:r>
            <w:proofErr w:type="spellEnd"/>
            <w:r>
              <w:rPr>
                <w:rFonts w:ascii="Times New Roman" w:eastAsia="Times New Roman" w:hAnsi="Times New Roman"/>
                <w:b/>
                <w:color w:val="000000"/>
                <w:sz w:val="24"/>
                <w:lang w:val="en-US"/>
              </w:rPr>
              <w:t xml:space="preserve"> del </w:t>
            </w:r>
            <w:proofErr w:type="spellStart"/>
            <w:r>
              <w:rPr>
                <w:rFonts w:ascii="Times New Roman" w:eastAsia="Times New Roman" w:hAnsi="Times New Roman"/>
                <w:b/>
                <w:color w:val="000000"/>
                <w:sz w:val="24"/>
                <w:lang w:val="en-US"/>
              </w:rPr>
              <w:t>documento</w:t>
            </w:r>
            <w:proofErr w:type="spellEnd"/>
            <w:r>
              <w:rPr>
                <w:rFonts w:ascii="Times New Roman" w:eastAsia="Times New Roman" w:hAnsi="Times New Roman"/>
                <w:b/>
                <w:color w:val="000000"/>
                <w:sz w:val="24"/>
                <w:lang w:val="en-US"/>
              </w:rPr>
              <w:t xml:space="preserve"> </w:t>
            </w:r>
          </w:p>
        </w:tc>
        <w:tc>
          <w:tcPr>
            <w:tcW w:w="6237" w:type="dxa"/>
            <w:tcBorders>
              <w:top w:val="single" w:sz="4" w:space="0" w:color="auto"/>
              <w:left w:val="single" w:sz="4" w:space="0" w:color="auto"/>
              <w:bottom w:val="single" w:sz="4" w:space="0" w:color="auto"/>
              <w:right w:val="single" w:sz="4" w:space="0" w:color="auto"/>
            </w:tcBorders>
            <w:hideMark/>
          </w:tcPr>
          <w:p w14:paraId="286E030F" w14:textId="77777777" w:rsidR="006A3085" w:rsidRDefault="006A3085">
            <w:pPr>
              <w:pStyle w:val="NormalWeb"/>
              <w:jc w:val="both"/>
              <w:rPr>
                <w:rFonts w:ascii="Times New Roman" w:eastAsia="Times New Roman" w:hAnsi="Times New Roman"/>
                <w:color w:val="000000"/>
                <w:sz w:val="24"/>
                <w:lang w:val="es-CL"/>
              </w:rPr>
            </w:pPr>
            <w:r>
              <w:rPr>
                <w:rFonts w:ascii="Times New Roman" w:eastAsia="Times New Roman" w:hAnsi="Times New Roman"/>
                <w:color w:val="000000"/>
                <w:sz w:val="24"/>
                <w:lang w:val="es-CL"/>
              </w:rPr>
              <w:t>Word o PDF (Tenga en cuenta que solamente los documentos Word o PDF serán publicados en línea)</w:t>
            </w:r>
          </w:p>
        </w:tc>
      </w:tr>
      <w:tr w:rsidR="006A3085" w14:paraId="09FF1C97" w14:textId="77777777" w:rsidTr="006A3085">
        <w:tc>
          <w:tcPr>
            <w:tcW w:w="2552" w:type="dxa"/>
            <w:tcBorders>
              <w:top w:val="single" w:sz="4" w:space="0" w:color="auto"/>
              <w:left w:val="single" w:sz="4" w:space="0" w:color="auto"/>
              <w:bottom w:val="single" w:sz="4" w:space="0" w:color="auto"/>
              <w:right w:val="single" w:sz="4" w:space="0" w:color="auto"/>
            </w:tcBorders>
            <w:hideMark/>
          </w:tcPr>
          <w:p w14:paraId="5E325776" w14:textId="77777777" w:rsidR="006A3085" w:rsidRDefault="006A3085">
            <w:pPr>
              <w:pStyle w:val="NormalWeb"/>
              <w:jc w:val="both"/>
              <w:rPr>
                <w:rFonts w:ascii="Times New Roman" w:eastAsia="Times New Roman" w:hAnsi="Times New Roman"/>
                <w:b/>
                <w:color w:val="000000"/>
                <w:sz w:val="24"/>
                <w:lang w:val="en-US"/>
              </w:rPr>
            </w:pPr>
            <w:proofErr w:type="spellStart"/>
            <w:r>
              <w:rPr>
                <w:rFonts w:ascii="Times New Roman" w:eastAsia="Times New Roman" w:hAnsi="Times New Roman"/>
                <w:b/>
                <w:color w:val="000000"/>
                <w:sz w:val="24"/>
                <w:lang w:val="en-US"/>
              </w:rPr>
              <w:t>Idiomas</w:t>
            </w:r>
            <w:proofErr w:type="spellEnd"/>
            <w:r>
              <w:rPr>
                <w:rFonts w:ascii="Times New Roman" w:eastAsia="Times New Roman" w:hAnsi="Times New Roman"/>
                <w:b/>
                <w:color w:val="000000"/>
                <w:sz w:val="24"/>
                <w:lang w:val="en-US"/>
              </w:rPr>
              <w:t xml:space="preserve"> </w:t>
            </w:r>
            <w:proofErr w:type="spellStart"/>
            <w:r>
              <w:rPr>
                <w:rFonts w:ascii="Times New Roman" w:eastAsia="Times New Roman" w:hAnsi="Times New Roman"/>
                <w:b/>
                <w:color w:val="000000"/>
                <w:sz w:val="24"/>
                <w:lang w:val="en-US"/>
              </w:rPr>
              <w:t>aceptados</w:t>
            </w:r>
            <w:proofErr w:type="spellEnd"/>
          </w:p>
        </w:tc>
        <w:tc>
          <w:tcPr>
            <w:tcW w:w="6237" w:type="dxa"/>
            <w:tcBorders>
              <w:top w:val="single" w:sz="4" w:space="0" w:color="auto"/>
              <w:left w:val="single" w:sz="4" w:space="0" w:color="auto"/>
              <w:bottom w:val="single" w:sz="4" w:space="0" w:color="auto"/>
              <w:right w:val="single" w:sz="4" w:space="0" w:color="auto"/>
            </w:tcBorders>
            <w:hideMark/>
          </w:tcPr>
          <w:p w14:paraId="4C523D1B" w14:textId="77777777" w:rsidR="006A3085" w:rsidRDefault="006A3085">
            <w:pPr>
              <w:pStyle w:val="NormalWeb"/>
              <w:jc w:val="both"/>
              <w:rPr>
                <w:rFonts w:ascii="Times New Roman" w:eastAsia="Times New Roman" w:hAnsi="Times New Roman"/>
                <w:color w:val="000000"/>
                <w:sz w:val="24"/>
                <w:lang w:val="en-US"/>
              </w:rPr>
            </w:pPr>
            <w:proofErr w:type="spellStart"/>
            <w:r>
              <w:rPr>
                <w:rFonts w:ascii="Times New Roman" w:eastAsia="Times New Roman" w:hAnsi="Times New Roman"/>
                <w:color w:val="000000"/>
                <w:sz w:val="24"/>
                <w:lang w:val="en-US"/>
              </w:rPr>
              <w:t>Inglés</w:t>
            </w:r>
            <w:proofErr w:type="spellEnd"/>
            <w:r>
              <w:rPr>
                <w:rFonts w:ascii="Times New Roman" w:eastAsia="Times New Roman" w:hAnsi="Times New Roman"/>
                <w:color w:val="000000"/>
                <w:sz w:val="24"/>
                <w:lang w:val="en-US"/>
              </w:rPr>
              <w:t xml:space="preserve">, </w:t>
            </w:r>
            <w:proofErr w:type="spellStart"/>
            <w:r>
              <w:rPr>
                <w:rFonts w:ascii="Times New Roman" w:eastAsia="Times New Roman" w:hAnsi="Times New Roman"/>
                <w:color w:val="000000"/>
                <w:sz w:val="24"/>
                <w:lang w:val="en-US"/>
              </w:rPr>
              <w:t>Francés</w:t>
            </w:r>
            <w:proofErr w:type="spellEnd"/>
            <w:r>
              <w:rPr>
                <w:rFonts w:ascii="Times New Roman" w:eastAsia="Times New Roman" w:hAnsi="Times New Roman"/>
                <w:color w:val="000000"/>
                <w:sz w:val="24"/>
                <w:lang w:val="en-US"/>
              </w:rPr>
              <w:t xml:space="preserve">, </w:t>
            </w:r>
            <w:proofErr w:type="spellStart"/>
            <w:r>
              <w:rPr>
                <w:rFonts w:ascii="Times New Roman" w:eastAsia="Times New Roman" w:hAnsi="Times New Roman"/>
                <w:color w:val="000000"/>
                <w:sz w:val="24"/>
                <w:lang w:val="en-US"/>
              </w:rPr>
              <w:t>Español</w:t>
            </w:r>
            <w:proofErr w:type="spellEnd"/>
          </w:p>
        </w:tc>
      </w:tr>
    </w:tbl>
    <w:p w14:paraId="1AF86FED" w14:textId="77777777" w:rsidR="006A3085" w:rsidRDefault="006A3085" w:rsidP="006A3085">
      <w:pPr>
        <w:jc w:val="both"/>
        <w:rPr>
          <w:sz w:val="24"/>
          <w:szCs w:val="24"/>
        </w:rPr>
      </w:pPr>
    </w:p>
    <w:p w14:paraId="47EA8ADF" w14:textId="77777777" w:rsidR="006A3085" w:rsidRDefault="006A3085" w:rsidP="006A3085">
      <w:pPr>
        <w:jc w:val="both"/>
        <w:rPr>
          <w:b/>
          <w:bCs/>
          <w:sz w:val="24"/>
          <w:szCs w:val="24"/>
          <w:lang w:val="es-CL"/>
        </w:rPr>
      </w:pPr>
      <w:r>
        <w:rPr>
          <w:b/>
          <w:bCs/>
          <w:sz w:val="24"/>
          <w:szCs w:val="24"/>
          <w:lang w:val="es-CL"/>
        </w:rPr>
        <w:t>Tratamiento de las contribuciones/comentarios recibidos</w:t>
      </w:r>
    </w:p>
    <w:p w14:paraId="0BDE7A8F" w14:textId="77777777" w:rsidR="006A3085" w:rsidRDefault="006A3085" w:rsidP="006A3085">
      <w:pPr>
        <w:jc w:val="both"/>
        <w:rPr>
          <w:sz w:val="24"/>
          <w:szCs w:val="24"/>
          <w:lang w:val="es-CL"/>
        </w:rPr>
      </w:pPr>
    </w:p>
    <w:p w14:paraId="711088DA" w14:textId="77777777" w:rsidR="006A3085" w:rsidRDefault="006A3085" w:rsidP="006A3085">
      <w:pPr>
        <w:jc w:val="both"/>
        <w:rPr>
          <w:sz w:val="24"/>
          <w:szCs w:val="24"/>
          <w:lang w:val="es-CL"/>
        </w:rPr>
      </w:pPr>
      <w:r>
        <w:rPr>
          <w:sz w:val="24"/>
          <w:szCs w:val="24"/>
          <w:lang w:val="es-CL"/>
        </w:rPr>
        <w:t>Tenga en cuenta que todas las respuestas se publicarán por defecto en la página web oficial de la Relatora Especial.</w:t>
      </w:r>
    </w:p>
    <w:p w14:paraId="225F0949" w14:textId="77777777" w:rsidR="006A3085" w:rsidRDefault="006A3085" w:rsidP="006A3085">
      <w:pPr>
        <w:jc w:val="both"/>
        <w:rPr>
          <w:sz w:val="24"/>
          <w:szCs w:val="24"/>
          <w:lang w:val="es-CL"/>
        </w:rPr>
      </w:pPr>
    </w:p>
    <w:p w14:paraId="32F3F330" w14:textId="77777777" w:rsidR="006A3085" w:rsidRDefault="006A3085" w:rsidP="006A3085">
      <w:pPr>
        <w:jc w:val="both"/>
        <w:rPr>
          <w:b/>
          <w:bCs/>
          <w:sz w:val="24"/>
          <w:szCs w:val="24"/>
          <w:lang w:val="es-CL"/>
        </w:rPr>
      </w:pPr>
      <w:r>
        <w:rPr>
          <w:b/>
          <w:bCs/>
          <w:sz w:val="24"/>
          <w:szCs w:val="24"/>
          <w:lang w:val="es-CL"/>
        </w:rPr>
        <w:t>Preguntas claves</w:t>
      </w:r>
    </w:p>
    <w:p w14:paraId="53C53EB8" w14:textId="77777777" w:rsidR="006A3085" w:rsidRDefault="006A3085" w:rsidP="006A3085">
      <w:pPr>
        <w:jc w:val="both"/>
        <w:rPr>
          <w:sz w:val="24"/>
          <w:szCs w:val="24"/>
          <w:lang w:val="es-CL"/>
        </w:rPr>
      </w:pPr>
    </w:p>
    <w:p w14:paraId="51040138" w14:textId="77777777" w:rsidR="006A3085" w:rsidRDefault="006A3085" w:rsidP="006A3085">
      <w:pPr>
        <w:pBdr>
          <w:top w:val="single" w:sz="4" w:space="1" w:color="auto"/>
          <w:left w:val="single" w:sz="4" w:space="4" w:color="auto"/>
          <w:bottom w:val="single" w:sz="4" w:space="1" w:color="auto"/>
          <w:right w:val="single" w:sz="4" w:space="4" w:color="auto"/>
        </w:pBdr>
        <w:jc w:val="both"/>
        <w:rPr>
          <w:i/>
          <w:sz w:val="24"/>
          <w:szCs w:val="24"/>
          <w:lang w:val="es-CL"/>
        </w:rPr>
      </w:pPr>
      <w:r>
        <w:rPr>
          <w:i/>
          <w:sz w:val="24"/>
          <w:szCs w:val="24"/>
          <w:lang w:val="es-CL"/>
        </w:rPr>
        <w:t>Puede elegir responder a todas o a algunas de las preguntas que aparecen a continuación. (Límite de 750 palabras por pregunta).</w:t>
      </w:r>
    </w:p>
    <w:p w14:paraId="21AF9C29" w14:textId="77777777" w:rsidR="006A3085" w:rsidRDefault="006A3085" w:rsidP="006A3085">
      <w:pPr>
        <w:rPr>
          <w:sz w:val="24"/>
          <w:szCs w:val="24"/>
          <w:lang w:val="es-CL"/>
        </w:rPr>
      </w:pPr>
    </w:p>
    <w:p w14:paraId="69068A10" w14:textId="77777777" w:rsidR="006A3085" w:rsidRDefault="006A3085" w:rsidP="006A3085">
      <w:pPr>
        <w:pStyle w:val="ListParagraph"/>
        <w:numPr>
          <w:ilvl w:val="0"/>
          <w:numId w:val="3"/>
        </w:numPr>
        <w:rPr>
          <w:sz w:val="24"/>
          <w:szCs w:val="24"/>
          <w:lang w:val="es-CL"/>
        </w:rPr>
      </w:pPr>
      <w:r>
        <w:rPr>
          <w:sz w:val="24"/>
          <w:szCs w:val="24"/>
          <w:lang w:val="es-CL"/>
        </w:rPr>
        <w:t xml:space="preserve">¿Cuáles son los principales factores que dificultan cuantitativa y cualitativamente el acceso adecuado a la alimentación y la nutrición en su país y/o comunidad (incluso que se encuentran fuera de su país)? Teniendo en cuenta los determinantes subyacentes de la salud, ¿de qué manera contribuyen a las desigualdades sanitarias? </w:t>
      </w:r>
    </w:p>
    <w:p w14:paraId="3AEB785B" w14:textId="77777777" w:rsidR="006A3085" w:rsidRDefault="006A3085" w:rsidP="006A3085">
      <w:pPr>
        <w:pStyle w:val="ListParagraph"/>
        <w:ind w:left="360"/>
        <w:rPr>
          <w:sz w:val="24"/>
          <w:szCs w:val="24"/>
          <w:lang w:val="es-CL"/>
        </w:rPr>
      </w:pPr>
    </w:p>
    <w:p w14:paraId="76750E27" w14:textId="77777777" w:rsidR="006A3085" w:rsidRDefault="006A3085" w:rsidP="006A3085">
      <w:pPr>
        <w:pStyle w:val="ListParagraph"/>
        <w:numPr>
          <w:ilvl w:val="0"/>
          <w:numId w:val="3"/>
        </w:numPr>
        <w:rPr>
          <w:sz w:val="24"/>
          <w:szCs w:val="24"/>
          <w:lang w:val="es-CL"/>
        </w:rPr>
      </w:pPr>
      <w:r>
        <w:rPr>
          <w:sz w:val="24"/>
          <w:szCs w:val="24"/>
          <w:lang w:val="es-CL"/>
        </w:rPr>
        <w:t>¿Qué medidas legislativas o reglamentarias (como las relacionadas con las normas nutricionales, el etiquetado, la comercialización, la adquisición en contextos institucionales, incluidas – aunque no exclusivamente – las escuelas y las prisiones, y las medidas fiscales) se han considerado o adoptado en su país y/o comunidad para mejorar la alimentación y la nutrición, especialmente de las personas en situación vulnerable? En este caso, ¿cómo se están aplicando esas medidas?</w:t>
      </w:r>
    </w:p>
    <w:p w14:paraId="03ACD8DF" w14:textId="77777777" w:rsidR="006A3085" w:rsidRDefault="006A3085" w:rsidP="006A3085">
      <w:pPr>
        <w:pStyle w:val="ListParagraph"/>
        <w:rPr>
          <w:sz w:val="24"/>
          <w:szCs w:val="24"/>
          <w:lang w:val="es-CL"/>
        </w:rPr>
      </w:pPr>
    </w:p>
    <w:p w14:paraId="1908894E" w14:textId="77777777" w:rsidR="006A3085" w:rsidRDefault="006A3085" w:rsidP="006A3085">
      <w:pPr>
        <w:pStyle w:val="ListParagraph"/>
        <w:numPr>
          <w:ilvl w:val="0"/>
          <w:numId w:val="3"/>
        </w:numPr>
        <w:rPr>
          <w:sz w:val="24"/>
          <w:szCs w:val="24"/>
          <w:lang w:val="es-CL"/>
        </w:rPr>
      </w:pPr>
      <w:r>
        <w:rPr>
          <w:sz w:val="24"/>
          <w:szCs w:val="24"/>
          <w:lang w:val="es-CL"/>
        </w:rPr>
        <w:t>En su contexto, ¿alguna de las medidas legislativas o reglamentarias ha intentado abordar simultáneamente la desnutrición, por un lado, y las enfermedades no transmisibles relacionadas con la dieta, como la diabetes, las enfermedades cardiovasculares y el cáncer, por otro? ¿Han tenido éxito? Por favor, proporcione ejemplos concretos.</w:t>
      </w:r>
    </w:p>
    <w:p w14:paraId="778821D7" w14:textId="77777777" w:rsidR="006A3085" w:rsidRDefault="006A3085" w:rsidP="006A3085">
      <w:pPr>
        <w:pStyle w:val="ListParagraph"/>
        <w:rPr>
          <w:sz w:val="24"/>
          <w:szCs w:val="24"/>
          <w:lang w:val="es-CL"/>
        </w:rPr>
      </w:pPr>
    </w:p>
    <w:p w14:paraId="3C873143" w14:textId="77777777" w:rsidR="006A3085" w:rsidRDefault="006A3085" w:rsidP="006A3085">
      <w:pPr>
        <w:pStyle w:val="ListParagraph"/>
        <w:numPr>
          <w:ilvl w:val="0"/>
          <w:numId w:val="3"/>
        </w:numPr>
        <w:rPr>
          <w:sz w:val="24"/>
          <w:szCs w:val="24"/>
          <w:lang w:val="es-CL"/>
        </w:rPr>
      </w:pPr>
      <w:r>
        <w:rPr>
          <w:sz w:val="24"/>
          <w:szCs w:val="24"/>
          <w:lang w:val="es-CL"/>
        </w:rPr>
        <w:lastRenderedPageBreak/>
        <w:t>Más allá de las enfermedades no transmisibles relacionadas con la dieta, la alimentación y la nutrición también son relevantes en relación con las enfermedades infecciosas y otras enfermedades. Por ejemplo, los alimentos contaminados pueden provocar enfermedades transmitidas por los alimentos, la mala nutrición puede hacer que las personas sean más susceptibles a las enfermedades infecciosas, y las personas que viven con enfermedades infecciosas y otras enfermedades crónicas pueden tener requisitos dietéticos únicos para la salud. Por favor, describa los retos y progresos realizados en este sentido en su país y/o dentro de su comunidad.</w:t>
      </w:r>
    </w:p>
    <w:p w14:paraId="2979B06E" w14:textId="77777777" w:rsidR="006A3085" w:rsidRDefault="006A3085" w:rsidP="006A3085">
      <w:pPr>
        <w:rPr>
          <w:sz w:val="24"/>
          <w:szCs w:val="24"/>
          <w:lang w:val="es-CL"/>
        </w:rPr>
      </w:pPr>
    </w:p>
    <w:p w14:paraId="3C7244AD" w14:textId="77777777" w:rsidR="006A3085" w:rsidRDefault="006A3085" w:rsidP="006A3085">
      <w:pPr>
        <w:pStyle w:val="ListParagraph"/>
        <w:numPr>
          <w:ilvl w:val="0"/>
          <w:numId w:val="3"/>
        </w:numPr>
        <w:rPr>
          <w:sz w:val="24"/>
          <w:szCs w:val="24"/>
          <w:lang w:val="es-CL"/>
        </w:rPr>
      </w:pPr>
      <w:r>
        <w:rPr>
          <w:sz w:val="24"/>
          <w:szCs w:val="24"/>
          <w:lang w:val="es-CL"/>
        </w:rPr>
        <w:t xml:space="preserve">Los enfoques multisectoriales de la alimentación y la nutrición suelen verse afectados por asimetrías de poder que excluyen a las personas y comunidades en situación de vulnerabilidad. </w:t>
      </w:r>
    </w:p>
    <w:p w14:paraId="06C17D17" w14:textId="77777777" w:rsidR="006A3085" w:rsidRDefault="006A3085" w:rsidP="006A3085">
      <w:pPr>
        <w:pStyle w:val="ListParagraph"/>
        <w:rPr>
          <w:sz w:val="24"/>
          <w:szCs w:val="24"/>
          <w:lang w:val="es-CL"/>
        </w:rPr>
      </w:pPr>
    </w:p>
    <w:p w14:paraId="47E87F79" w14:textId="77777777" w:rsidR="006A3085" w:rsidRDefault="006A3085" w:rsidP="006A3085">
      <w:pPr>
        <w:pStyle w:val="ListParagraph"/>
        <w:numPr>
          <w:ilvl w:val="1"/>
          <w:numId w:val="3"/>
        </w:numPr>
        <w:rPr>
          <w:sz w:val="24"/>
          <w:szCs w:val="24"/>
          <w:lang w:val="es-CL"/>
        </w:rPr>
      </w:pPr>
      <w:r>
        <w:rPr>
          <w:sz w:val="24"/>
          <w:szCs w:val="24"/>
          <w:lang w:val="es-CL"/>
        </w:rPr>
        <w:t>Sírvase proporcionar ejemplos concretos de los obstáculos y las oportunidades que tienen estas personas o comunidades, como los pueblos indígenas, las mujeres, los niños y los migrantes, para participar en los procesos nacionales y/o internacionales de formulación de políticas relativas a la alimentación y la nutrición, incluido sobre el proceso de participación.</w:t>
      </w:r>
    </w:p>
    <w:p w14:paraId="3D6F0D90" w14:textId="77777777" w:rsidR="006A3085" w:rsidRDefault="006A3085" w:rsidP="006A3085">
      <w:pPr>
        <w:pStyle w:val="ListParagraph"/>
        <w:ind w:left="792"/>
        <w:rPr>
          <w:sz w:val="24"/>
          <w:szCs w:val="24"/>
          <w:lang w:val="es-CL"/>
        </w:rPr>
      </w:pPr>
    </w:p>
    <w:p w14:paraId="68682786" w14:textId="77777777" w:rsidR="006A3085" w:rsidRDefault="006A3085" w:rsidP="006A3085">
      <w:pPr>
        <w:pStyle w:val="ListParagraph"/>
        <w:numPr>
          <w:ilvl w:val="1"/>
          <w:numId w:val="3"/>
        </w:numPr>
        <w:rPr>
          <w:sz w:val="24"/>
          <w:szCs w:val="24"/>
          <w:lang w:val="es-CL"/>
        </w:rPr>
      </w:pPr>
      <w:r>
        <w:rPr>
          <w:sz w:val="24"/>
          <w:szCs w:val="24"/>
          <w:lang w:val="es-CL"/>
        </w:rPr>
        <w:t>¿Qué medidas proactivas o buenas prácticas puede informar sobre las adoptadas por el Estado para participar en actividades destinadas a fortalecer el acceso de las personas a los recursos para la seguridad alimentaria y su utilización a este respecto?</w:t>
      </w:r>
    </w:p>
    <w:p w14:paraId="7EC13431" w14:textId="77777777" w:rsidR="006A3085" w:rsidRDefault="006A3085" w:rsidP="006A3085">
      <w:pPr>
        <w:pStyle w:val="ListParagraph"/>
        <w:rPr>
          <w:sz w:val="24"/>
          <w:szCs w:val="24"/>
          <w:lang w:val="es-CL"/>
        </w:rPr>
      </w:pPr>
    </w:p>
    <w:p w14:paraId="54FC26F3" w14:textId="77777777" w:rsidR="006A3085" w:rsidRDefault="006A3085" w:rsidP="006A3085">
      <w:pPr>
        <w:pStyle w:val="ListParagraph"/>
        <w:numPr>
          <w:ilvl w:val="0"/>
          <w:numId w:val="3"/>
        </w:numPr>
        <w:rPr>
          <w:sz w:val="24"/>
          <w:szCs w:val="24"/>
          <w:lang w:val="es-CL"/>
        </w:rPr>
      </w:pPr>
      <w:r>
        <w:rPr>
          <w:sz w:val="24"/>
          <w:szCs w:val="24"/>
          <w:lang w:val="es-CL"/>
        </w:rPr>
        <w:t>¿Cuál es el impacto del aburguesamiento, el desarrollo, la tecnología, la actividad industrial y la deforestación en la seguridad alimentaria? Por favor, comparta algunos ejemplos concretos.</w:t>
      </w:r>
    </w:p>
    <w:p w14:paraId="686F0886" w14:textId="77777777" w:rsidR="006A3085" w:rsidRDefault="006A3085" w:rsidP="006A3085">
      <w:pPr>
        <w:pStyle w:val="ListParagraph"/>
        <w:ind w:left="360"/>
        <w:rPr>
          <w:sz w:val="24"/>
          <w:szCs w:val="24"/>
          <w:lang w:val="es-CL"/>
        </w:rPr>
      </w:pPr>
    </w:p>
    <w:p w14:paraId="06A6EB21" w14:textId="77777777" w:rsidR="006A3085" w:rsidRDefault="006A3085" w:rsidP="006A3085">
      <w:pPr>
        <w:pStyle w:val="ListParagraph"/>
        <w:numPr>
          <w:ilvl w:val="0"/>
          <w:numId w:val="3"/>
        </w:numPr>
        <w:rPr>
          <w:sz w:val="24"/>
          <w:szCs w:val="24"/>
          <w:lang w:val="es-CL"/>
        </w:rPr>
      </w:pPr>
      <w:r>
        <w:rPr>
          <w:sz w:val="24"/>
          <w:szCs w:val="24"/>
          <w:lang w:val="es-CL"/>
        </w:rPr>
        <w:t>Proporcione ejemplos relacionados con el impacto de la producción de alimentos sobre el derecho a la salud de la población que vive o trabaja en las zonas de producción/cultivo o cerca de ellas.</w:t>
      </w:r>
    </w:p>
    <w:p w14:paraId="6824C483" w14:textId="77777777" w:rsidR="000D71C2" w:rsidRPr="006A3085" w:rsidRDefault="000D71C2">
      <w:pPr>
        <w:rPr>
          <w:lang w:val="es-CL"/>
        </w:rPr>
      </w:pPr>
    </w:p>
    <w:sectPr w:rsidR="000D71C2" w:rsidRPr="006A30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68733" w14:textId="77777777" w:rsidR="006A3085" w:rsidRDefault="006A3085" w:rsidP="006A3085">
      <w:r>
        <w:separator/>
      </w:r>
    </w:p>
  </w:endnote>
  <w:endnote w:type="continuationSeparator" w:id="0">
    <w:p w14:paraId="7518BF69" w14:textId="77777777" w:rsidR="006A3085" w:rsidRDefault="006A3085" w:rsidP="006A3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1DB5D" w14:textId="77777777" w:rsidR="006A3085" w:rsidRDefault="006A3085" w:rsidP="006A3085">
      <w:r>
        <w:separator/>
      </w:r>
    </w:p>
  </w:footnote>
  <w:footnote w:type="continuationSeparator" w:id="0">
    <w:p w14:paraId="28182868" w14:textId="77777777" w:rsidR="006A3085" w:rsidRDefault="006A3085" w:rsidP="006A3085">
      <w:r>
        <w:continuationSeparator/>
      </w:r>
    </w:p>
  </w:footnote>
  <w:footnote w:id="1">
    <w:p w14:paraId="4C96FA6C" w14:textId="77777777" w:rsidR="006A3085" w:rsidRDefault="006A3085" w:rsidP="006A3085">
      <w:pPr>
        <w:pStyle w:val="FootnoteText"/>
        <w:tabs>
          <w:tab w:val="right" w:pos="0"/>
        </w:tabs>
        <w:ind w:right="-1"/>
        <w:rPr>
          <w:rFonts w:ascii="Times New Roman" w:hAnsi="Times New Roman" w:cs="Times New Roman"/>
          <w:sz w:val="18"/>
          <w:szCs w:val="18"/>
          <w:lang w:val="en-US"/>
        </w:rPr>
      </w:pPr>
      <w:r>
        <w:rPr>
          <w:rStyle w:val="FootnoteReference"/>
          <w:sz w:val="18"/>
          <w:szCs w:val="18"/>
        </w:rPr>
        <w:footnoteRef/>
      </w:r>
      <w:r>
        <w:rPr>
          <w:rFonts w:ascii="Times New Roman" w:hAnsi="Times New Roman" w:cs="Times New Roman"/>
          <w:sz w:val="18"/>
          <w:szCs w:val="18"/>
          <w:lang w:val="en-GB"/>
        </w:rPr>
        <w:t xml:space="preserve"> </w:t>
      </w:r>
      <w:r>
        <w:rPr>
          <w:rFonts w:ascii="Times New Roman" w:eastAsia="Times New Roman" w:hAnsi="Times New Roman" w:cs="Times New Roman"/>
          <w:sz w:val="18"/>
          <w:szCs w:val="18"/>
          <w:lang w:val="en-GB"/>
        </w:rPr>
        <w:t>FAO, IFAD, UNICEF, WFP y WHO, The State of Food Security and Nutrition in the World, Transforming food systems for affordable healthy diets, Roma, FAO</w:t>
      </w:r>
      <w:r>
        <w:rPr>
          <w:rFonts w:ascii="Times New Roman" w:hAnsi="Times New Roman" w:cs="Times New Roman"/>
          <w:sz w:val="18"/>
          <w:szCs w:val="18"/>
          <w:lang w:val="en-GB"/>
        </w:rPr>
        <w:t>, 2020 disponible en:</w:t>
      </w:r>
      <w:r>
        <w:rPr>
          <w:rFonts w:ascii="Times New Roman" w:eastAsia="Times New Roman" w:hAnsi="Times New Roman" w:cs="Times New Roman"/>
          <w:sz w:val="18"/>
          <w:szCs w:val="18"/>
          <w:lang w:val="en-GB"/>
        </w:rPr>
        <w:t xml:space="preserve"> </w:t>
      </w:r>
      <w:hyperlink r:id="rId1" w:history="1">
        <w:r>
          <w:rPr>
            <w:rStyle w:val="Hyperlink"/>
            <w:rFonts w:ascii="Times New Roman" w:eastAsia="Times New Roman" w:hAnsi="Times New Roman" w:cs="Times New Roman"/>
            <w:color w:val="1155CC"/>
            <w:sz w:val="18"/>
            <w:szCs w:val="18"/>
            <w:lang w:val="en-GB"/>
          </w:rPr>
          <w:t>https://doi.org/10.4060/ca9692en</w:t>
        </w:r>
      </w:hyperlink>
      <w:r>
        <w:rPr>
          <w:rFonts w:ascii="Times New Roman" w:eastAsia="Times New Roman" w:hAnsi="Times New Roman" w:cs="Times New Roman"/>
          <w:color w:val="1155CC"/>
          <w:sz w:val="18"/>
          <w:szCs w:val="18"/>
          <w:u w:val="single"/>
          <w:lang w:val="en-GB"/>
        </w:rPr>
        <w:t xml:space="preserve"> </w:t>
      </w:r>
    </w:p>
  </w:footnote>
  <w:footnote w:id="2">
    <w:p w14:paraId="5711EC3B" w14:textId="77777777" w:rsidR="006A3085" w:rsidRDefault="006A3085" w:rsidP="006A3085">
      <w:pPr>
        <w:pStyle w:val="FootnoteText"/>
        <w:tabs>
          <w:tab w:val="right" w:pos="0"/>
        </w:tabs>
        <w:ind w:right="-1"/>
        <w:rPr>
          <w:rFonts w:ascii="Times New Roman" w:hAnsi="Times New Roman" w:cs="Times New Roman"/>
          <w:sz w:val="18"/>
          <w:szCs w:val="18"/>
          <w:lang w:val="es-CL"/>
        </w:rPr>
      </w:pPr>
      <w:r>
        <w:rPr>
          <w:rStyle w:val="FootnoteReference"/>
          <w:sz w:val="18"/>
          <w:szCs w:val="18"/>
        </w:rPr>
        <w:footnoteRef/>
      </w:r>
      <w:r>
        <w:rPr>
          <w:rFonts w:ascii="Times New Roman" w:hAnsi="Times New Roman" w:cs="Times New Roman"/>
          <w:sz w:val="18"/>
          <w:szCs w:val="18"/>
          <w:lang w:val="es-CL"/>
        </w:rPr>
        <w:t xml:space="preserve"> </w:t>
      </w:r>
      <w:r>
        <w:rPr>
          <w:rFonts w:ascii="Times New Roman" w:eastAsia="Times New Roman" w:hAnsi="Times New Roman" w:cs="Times New Roman"/>
          <w:sz w:val="18"/>
          <w:szCs w:val="18"/>
          <w:lang w:val="es-CL"/>
        </w:rPr>
        <w:t>HLPE</w:t>
      </w:r>
      <w:r>
        <w:rPr>
          <w:rFonts w:ascii="Times New Roman" w:hAnsi="Times New Roman" w:cs="Times New Roman"/>
          <w:sz w:val="18"/>
          <w:szCs w:val="18"/>
          <w:lang w:val="es-CL"/>
        </w:rPr>
        <w:t>,</w:t>
      </w:r>
      <w:r>
        <w:rPr>
          <w:rFonts w:ascii="Times New Roman" w:eastAsia="Times New Roman" w:hAnsi="Times New Roman" w:cs="Times New Roman"/>
          <w:sz w:val="18"/>
          <w:szCs w:val="18"/>
          <w:lang w:val="es-CL"/>
        </w:rPr>
        <w:t xml:space="preserve"> </w:t>
      </w:r>
      <w:proofErr w:type="spellStart"/>
      <w:r>
        <w:rPr>
          <w:rFonts w:ascii="Times New Roman" w:eastAsia="Times New Roman" w:hAnsi="Times New Roman" w:cs="Times New Roman"/>
          <w:sz w:val="18"/>
          <w:szCs w:val="18"/>
          <w:lang w:val="es-CL"/>
        </w:rPr>
        <w:t>Nutrition</w:t>
      </w:r>
      <w:proofErr w:type="spellEnd"/>
      <w:r>
        <w:rPr>
          <w:rFonts w:ascii="Times New Roman" w:eastAsia="Times New Roman" w:hAnsi="Times New Roman" w:cs="Times New Roman"/>
          <w:sz w:val="18"/>
          <w:szCs w:val="18"/>
          <w:lang w:val="es-CL"/>
        </w:rPr>
        <w:t xml:space="preserve"> and </w:t>
      </w:r>
      <w:proofErr w:type="spellStart"/>
      <w:r>
        <w:rPr>
          <w:rFonts w:ascii="Times New Roman" w:eastAsia="Times New Roman" w:hAnsi="Times New Roman" w:cs="Times New Roman"/>
          <w:sz w:val="18"/>
          <w:szCs w:val="18"/>
          <w:lang w:val="es-CL"/>
        </w:rPr>
        <w:t>food</w:t>
      </w:r>
      <w:proofErr w:type="spellEnd"/>
      <w:r>
        <w:rPr>
          <w:rFonts w:ascii="Times New Roman" w:eastAsia="Times New Roman" w:hAnsi="Times New Roman" w:cs="Times New Roman"/>
          <w:sz w:val="18"/>
          <w:szCs w:val="18"/>
          <w:lang w:val="es-CL"/>
        </w:rPr>
        <w:t xml:space="preserve"> </w:t>
      </w:r>
      <w:proofErr w:type="spellStart"/>
      <w:r>
        <w:rPr>
          <w:rFonts w:ascii="Times New Roman" w:eastAsia="Times New Roman" w:hAnsi="Times New Roman" w:cs="Times New Roman"/>
          <w:sz w:val="18"/>
          <w:szCs w:val="18"/>
          <w:lang w:val="es-CL"/>
        </w:rPr>
        <w:t>systems</w:t>
      </w:r>
      <w:proofErr w:type="spellEnd"/>
      <w:r>
        <w:rPr>
          <w:rFonts w:ascii="Times New Roman" w:eastAsia="Times New Roman" w:hAnsi="Times New Roman" w:cs="Times New Roman"/>
          <w:sz w:val="18"/>
          <w:szCs w:val="18"/>
          <w:lang w:val="es-CL"/>
        </w:rPr>
        <w:t xml:space="preserve">, Un informe del Panel de Alto Nivel de Expertos sobre Seguridad Alimentaria y Nutrición del Comité sobre Seguridad Alimentaria Mundial, </w:t>
      </w:r>
      <w:r>
        <w:rPr>
          <w:rFonts w:ascii="Times New Roman" w:hAnsi="Times New Roman" w:cs="Times New Roman"/>
          <w:sz w:val="18"/>
          <w:szCs w:val="18"/>
          <w:lang w:val="es-CL"/>
        </w:rPr>
        <w:t xml:space="preserve">2017, </w:t>
      </w:r>
      <w:r>
        <w:rPr>
          <w:rFonts w:ascii="Times New Roman" w:eastAsia="Times New Roman" w:hAnsi="Times New Roman" w:cs="Times New Roman"/>
          <w:sz w:val="18"/>
          <w:szCs w:val="18"/>
          <w:lang w:val="es-CL"/>
        </w:rPr>
        <w:t>Roma</w:t>
      </w:r>
      <w:r>
        <w:rPr>
          <w:rFonts w:ascii="Times New Roman" w:hAnsi="Times New Roman" w:cs="Times New Roman"/>
          <w:sz w:val="18"/>
          <w:szCs w:val="18"/>
          <w:lang w:val="es-CL"/>
        </w:rPr>
        <w:t>, disponible en:</w:t>
      </w:r>
      <w:r>
        <w:rPr>
          <w:rFonts w:ascii="Times New Roman" w:eastAsia="Times New Roman" w:hAnsi="Times New Roman" w:cs="Times New Roman"/>
          <w:sz w:val="18"/>
          <w:szCs w:val="18"/>
          <w:lang w:val="es-CL"/>
        </w:rPr>
        <w:t xml:space="preserve"> </w:t>
      </w:r>
      <w:hyperlink r:id="rId2" w:history="1">
        <w:r>
          <w:rPr>
            <w:rStyle w:val="Hyperlink"/>
            <w:rFonts w:ascii="Times New Roman" w:eastAsia="Times New Roman" w:hAnsi="Times New Roman" w:cs="Times New Roman"/>
            <w:color w:val="1155CC"/>
            <w:sz w:val="18"/>
            <w:szCs w:val="18"/>
            <w:lang w:val="es-CL"/>
          </w:rPr>
          <w:t>https://www.fao.org/3/i7846e/i7846e.pdf</w:t>
        </w:r>
      </w:hyperlink>
    </w:p>
  </w:footnote>
  <w:footnote w:id="3">
    <w:p w14:paraId="65A07BF5" w14:textId="77777777" w:rsidR="006A3085" w:rsidRDefault="006A3085" w:rsidP="006A3085">
      <w:pPr>
        <w:pStyle w:val="FootnoteText"/>
        <w:tabs>
          <w:tab w:val="right" w:pos="0"/>
        </w:tabs>
        <w:ind w:right="-1"/>
        <w:rPr>
          <w:rFonts w:ascii="Times New Roman" w:hAnsi="Times New Roman" w:cs="Times New Roman"/>
          <w:sz w:val="18"/>
          <w:szCs w:val="18"/>
          <w:lang w:val="en-US"/>
        </w:rPr>
      </w:pPr>
      <w:r>
        <w:rPr>
          <w:rStyle w:val="FootnoteReference"/>
          <w:sz w:val="18"/>
          <w:szCs w:val="18"/>
        </w:rPr>
        <w:footnoteRef/>
      </w:r>
      <w:r>
        <w:rPr>
          <w:rFonts w:ascii="Times New Roman" w:hAnsi="Times New Roman" w:cs="Times New Roman"/>
          <w:sz w:val="18"/>
          <w:szCs w:val="18"/>
          <w:lang w:val="en-GB"/>
        </w:rPr>
        <w:t xml:space="preserve"> </w:t>
      </w:r>
      <w:proofErr w:type="spellStart"/>
      <w:r>
        <w:rPr>
          <w:rFonts w:ascii="Times New Roman" w:eastAsia="Times New Roman" w:hAnsi="Times New Roman" w:cs="Times New Roman"/>
          <w:sz w:val="18"/>
          <w:szCs w:val="18"/>
          <w:lang w:val="en-GB"/>
        </w:rPr>
        <w:t>Organización</w:t>
      </w:r>
      <w:proofErr w:type="spellEnd"/>
      <w:r>
        <w:rPr>
          <w:rFonts w:ascii="Times New Roman" w:eastAsia="Times New Roman" w:hAnsi="Times New Roman" w:cs="Times New Roman"/>
          <w:sz w:val="18"/>
          <w:szCs w:val="18"/>
          <w:lang w:val="en-GB"/>
        </w:rPr>
        <w:t xml:space="preserve"> Mundial de la </w:t>
      </w:r>
      <w:proofErr w:type="spellStart"/>
      <w:r>
        <w:rPr>
          <w:rFonts w:ascii="Times New Roman" w:eastAsia="Times New Roman" w:hAnsi="Times New Roman" w:cs="Times New Roman"/>
          <w:sz w:val="18"/>
          <w:szCs w:val="18"/>
          <w:lang w:val="en-GB"/>
        </w:rPr>
        <w:t>Salud</w:t>
      </w:r>
      <w:proofErr w:type="spellEnd"/>
      <w:r>
        <w:rPr>
          <w:rFonts w:ascii="Times New Roman" w:eastAsia="Times New Roman" w:hAnsi="Times New Roman" w:cs="Times New Roman"/>
          <w:sz w:val="18"/>
          <w:szCs w:val="18"/>
          <w:lang w:val="en-GB"/>
        </w:rPr>
        <w:t xml:space="preserve">, The double burden of malnutrition: Policy brief, 2017, disponible en: </w:t>
      </w:r>
      <w:hyperlink r:id="rId3" w:history="1">
        <w:r>
          <w:rPr>
            <w:rStyle w:val="Hyperlink"/>
            <w:rFonts w:ascii="Times New Roman" w:eastAsia="Times New Roman" w:hAnsi="Times New Roman" w:cs="Times New Roman"/>
            <w:color w:val="1155CC"/>
            <w:sz w:val="18"/>
            <w:szCs w:val="18"/>
            <w:lang w:val="en-GB"/>
          </w:rPr>
          <w:t>WHO/NMH/NHD/17.3</w:t>
        </w:r>
      </w:hyperlink>
    </w:p>
  </w:footnote>
  <w:footnote w:id="4">
    <w:p w14:paraId="58C04EC1" w14:textId="77777777" w:rsidR="006A3085" w:rsidRDefault="006A3085" w:rsidP="006A3085">
      <w:pPr>
        <w:pStyle w:val="FootnoteText"/>
        <w:tabs>
          <w:tab w:val="right" w:pos="0"/>
        </w:tabs>
        <w:ind w:right="-1"/>
        <w:rPr>
          <w:rFonts w:ascii="Times New Roman" w:hAnsi="Times New Roman" w:cs="Times New Roman"/>
          <w:sz w:val="18"/>
          <w:szCs w:val="18"/>
          <w:lang w:val="en-GB"/>
        </w:rPr>
      </w:pPr>
      <w:r>
        <w:rPr>
          <w:rStyle w:val="FootnoteReference"/>
          <w:sz w:val="18"/>
          <w:szCs w:val="18"/>
        </w:rPr>
        <w:footnoteRef/>
      </w:r>
      <w:r>
        <w:rPr>
          <w:rFonts w:ascii="Times New Roman" w:hAnsi="Times New Roman" w:cs="Times New Roman"/>
          <w:sz w:val="18"/>
          <w:szCs w:val="18"/>
          <w:lang w:val="en-GB"/>
        </w:rPr>
        <w:t xml:space="preserve"> </w:t>
      </w:r>
      <w:r>
        <w:rPr>
          <w:rFonts w:ascii="Times New Roman" w:hAnsi="Times New Roman" w:cs="Times New Roman"/>
          <w:i/>
          <w:iCs/>
          <w:sz w:val="18"/>
          <w:szCs w:val="18"/>
          <w:lang w:val="en-GB"/>
        </w:rPr>
        <w:t>Ibid</w:t>
      </w:r>
      <w:r>
        <w:rPr>
          <w:rFonts w:ascii="Times New Roman" w:hAnsi="Times New Roman" w:cs="Times New Roman"/>
          <w:sz w:val="18"/>
          <w:szCs w:val="18"/>
          <w:lang w:val="en-GB"/>
        </w:rPr>
        <w:t>.</w:t>
      </w:r>
    </w:p>
  </w:footnote>
  <w:footnote w:id="5">
    <w:p w14:paraId="649A1967" w14:textId="77777777" w:rsidR="006A3085" w:rsidRDefault="006A3085" w:rsidP="006A3085">
      <w:pPr>
        <w:pStyle w:val="FootnoteText"/>
        <w:tabs>
          <w:tab w:val="right" w:pos="0"/>
        </w:tabs>
        <w:ind w:right="-1"/>
        <w:rPr>
          <w:rFonts w:ascii="Times New Roman" w:hAnsi="Times New Roman" w:cs="Times New Roman"/>
          <w:sz w:val="18"/>
          <w:szCs w:val="18"/>
          <w:lang w:val="es-CL"/>
        </w:rPr>
      </w:pPr>
      <w:r>
        <w:rPr>
          <w:rStyle w:val="FootnoteReference"/>
          <w:sz w:val="18"/>
          <w:szCs w:val="18"/>
        </w:rPr>
        <w:footnoteRef/>
      </w:r>
      <w:r>
        <w:rPr>
          <w:rFonts w:ascii="Times New Roman" w:hAnsi="Times New Roman" w:cs="Times New Roman"/>
          <w:sz w:val="18"/>
          <w:szCs w:val="18"/>
          <w:lang w:val="en-GB"/>
        </w:rPr>
        <w:t xml:space="preserve"> </w:t>
      </w:r>
      <w:r>
        <w:rPr>
          <w:rFonts w:ascii="Times New Roman" w:eastAsia="Times New Roman" w:hAnsi="Times New Roman" w:cs="Times New Roman"/>
          <w:sz w:val="18"/>
          <w:szCs w:val="18"/>
          <w:lang w:val="en-GB"/>
        </w:rPr>
        <w:t>HLPE</w:t>
      </w:r>
      <w:r>
        <w:rPr>
          <w:rFonts w:ascii="Times New Roman" w:hAnsi="Times New Roman" w:cs="Times New Roman"/>
          <w:sz w:val="18"/>
          <w:szCs w:val="18"/>
          <w:lang w:val="en-GB"/>
        </w:rPr>
        <w:t>,</w:t>
      </w:r>
      <w:r>
        <w:rPr>
          <w:rFonts w:ascii="Times New Roman" w:eastAsia="Times New Roman" w:hAnsi="Times New Roman" w:cs="Times New Roman"/>
          <w:sz w:val="18"/>
          <w:szCs w:val="18"/>
          <w:lang w:val="en-GB"/>
        </w:rPr>
        <w:t xml:space="preserve"> Nutrition and food systems. </w:t>
      </w:r>
      <w:r>
        <w:rPr>
          <w:rFonts w:ascii="Times New Roman" w:eastAsia="Times New Roman" w:hAnsi="Times New Roman" w:cs="Times New Roman"/>
          <w:sz w:val="18"/>
          <w:szCs w:val="18"/>
          <w:lang w:val="es-CL"/>
        </w:rPr>
        <w:t xml:space="preserve">Un informe del Panel de Alto Nivel de Expertos sobre Seguridad Alimentaria y Nutrición del Comité sobre Seguridad Alimentaria Mundial, </w:t>
      </w:r>
      <w:r>
        <w:rPr>
          <w:rFonts w:ascii="Times New Roman" w:hAnsi="Times New Roman" w:cs="Times New Roman"/>
          <w:sz w:val="18"/>
          <w:szCs w:val="18"/>
          <w:lang w:val="es-CL"/>
        </w:rPr>
        <w:t xml:space="preserve">2017, </w:t>
      </w:r>
      <w:r>
        <w:rPr>
          <w:rFonts w:ascii="Times New Roman" w:eastAsia="Times New Roman" w:hAnsi="Times New Roman" w:cs="Times New Roman"/>
          <w:sz w:val="18"/>
          <w:szCs w:val="18"/>
          <w:lang w:val="es-CL"/>
        </w:rPr>
        <w:t>Roma</w:t>
      </w:r>
      <w:r>
        <w:rPr>
          <w:rFonts w:ascii="Times New Roman" w:hAnsi="Times New Roman" w:cs="Times New Roman"/>
          <w:sz w:val="18"/>
          <w:szCs w:val="18"/>
          <w:lang w:val="es-CL"/>
        </w:rPr>
        <w:t>, disponible en:</w:t>
      </w:r>
      <w:r>
        <w:rPr>
          <w:rFonts w:ascii="Times New Roman" w:eastAsia="Times New Roman" w:hAnsi="Times New Roman" w:cs="Times New Roman"/>
          <w:sz w:val="18"/>
          <w:szCs w:val="18"/>
          <w:lang w:val="es-CL"/>
        </w:rPr>
        <w:t xml:space="preserve"> </w:t>
      </w:r>
      <w:hyperlink r:id="rId4" w:history="1">
        <w:r>
          <w:rPr>
            <w:rStyle w:val="Hyperlink"/>
            <w:rFonts w:ascii="Times New Roman" w:eastAsia="Times New Roman" w:hAnsi="Times New Roman" w:cs="Times New Roman"/>
            <w:color w:val="1155CC"/>
            <w:sz w:val="18"/>
            <w:szCs w:val="18"/>
            <w:lang w:val="es-CL"/>
          </w:rPr>
          <w:t>https://www.fao.org/3/i7846e/i7846e.pdf</w:t>
        </w:r>
      </w:hyperlink>
    </w:p>
  </w:footnote>
  <w:footnote w:id="6">
    <w:p w14:paraId="06CD75B7" w14:textId="77777777" w:rsidR="006A3085" w:rsidRDefault="006A3085" w:rsidP="006A3085">
      <w:pPr>
        <w:pStyle w:val="FootnoteText"/>
        <w:tabs>
          <w:tab w:val="right" w:pos="0"/>
        </w:tabs>
        <w:ind w:right="-1"/>
        <w:rPr>
          <w:rFonts w:ascii="Times New Roman" w:hAnsi="Times New Roman" w:cs="Times New Roman"/>
          <w:sz w:val="18"/>
          <w:szCs w:val="18"/>
          <w:lang w:val="en-GB"/>
        </w:rPr>
      </w:pPr>
      <w:r>
        <w:rPr>
          <w:rStyle w:val="FootnoteReference"/>
          <w:sz w:val="18"/>
          <w:szCs w:val="18"/>
        </w:rPr>
        <w:footnoteRef/>
      </w:r>
      <w:r>
        <w:rPr>
          <w:rFonts w:ascii="Times New Roman" w:hAnsi="Times New Roman" w:cs="Times New Roman"/>
          <w:sz w:val="18"/>
          <w:szCs w:val="18"/>
          <w:lang w:val="en-GB"/>
        </w:rPr>
        <w:t xml:space="preserve"> FAO, IFAD, UNICEF, WFP and WHO, The State of Food Security and Nutrition in the World, Transforming food systems for affordable healthy diets, Roma, 2020, disponible en: </w:t>
      </w:r>
      <w:hyperlink r:id="rId5" w:history="1">
        <w:r>
          <w:rPr>
            <w:rStyle w:val="Hyperlink"/>
            <w:rFonts w:ascii="Times New Roman" w:hAnsi="Times New Roman" w:cs="Times New Roman"/>
            <w:color w:val="1155CC"/>
            <w:sz w:val="18"/>
            <w:szCs w:val="18"/>
            <w:lang w:val="en-GB"/>
          </w:rPr>
          <w:t>https://doi.org/10.4060/ca9692en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03D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EE917E8"/>
    <w:multiLevelType w:val="hybridMultilevel"/>
    <w:tmpl w:val="3BC20A10"/>
    <w:lvl w:ilvl="0" w:tplc="F0F447C2">
      <w:start w:val="15"/>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56D27383"/>
    <w:multiLevelType w:val="hybridMultilevel"/>
    <w:tmpl w:val="88FC8C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085"/>
    <w:rsid w:val="000D71C2"/>
    <w:rsid w:val="006A30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5DC9B"/>
  <w15:chartTrackingRefBased/>
  <w15:docId w15:val="{C42AFFF6-7179-4496-A856-0CAD92904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08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6A3085"/>
    <w:rPr>
      <w:color w:val="0000FF"/>
      <w:u w:val="single"/>
    </w:rPr>
  </w:style>
  <w:style w:type="paragraph" w:styleId="NormalWeb">
    <w:name w:val="Normal (Web)"/>
    <w:basedOn w:val="Normal"/>
    <w:uiPriority w:val="99"/>
    <w:semiHidden/>
    <w:unhideWhenUsed/>
    <w:rsid w:val="006A3085"/>
    <w:pPr>
      <w:spacing w:before="120"/>
    </w:pPr>
    <w:rPr>
      <w:rFonts w:ascii="Verdana" w:eastAsia="Helvetica Neue" w:hAnsi="Verdana"/>
      <w:szCs w:val="24"/>
      <w:lang w:val="en"/>
    </w:rPr>
  </w:style>
  <w:style w:type="character" w:customStyle="1" w:styleId="FootnoteTextChar">
    <w:name w:val="Footnote Text Char"/>
    <w:aliases w:val="5_G Char"/>
    <w:basedOn w:val="DefaultParagraphFont"/>
    <w:link w:val="FootnoteText"/>
    <w:uiPriority w:val="99"/>
    <w:semiHidden/>
    <w:locked/>
    <w:rsid w:val="006A3085"/>
    <w:rPr>
      <w:lang w:val="fr-FR"/>
    </w:rPr>
  </w:style>
  <w:style w:type="paragraph" w:styleId="FootnoteText">
    <w:name w:val="footnote text"/>
    <w:aliases w:val="5_G"/>
    <w:basedOn w:val="Normal"/>
    <w:link w:val="FootnoteTextChar"/>
    <w:uiPriority w:val="99"/>
    <w:semiHidden/>
    <w:unhideWhenUsed/>
    <w:qFormat/>
    <w:rsid w:val="006A3085"/>
    <w:rPr>
      <w:rFonts w:asciiTheme="minorHAnsi" w:eastAsiaTheme="minorHAnsi" w:hAnsiTheme="minorHAnsi" w:cstheme="minorBidi"/>
      <w:sz w:val="22"/>
      <w:szCs w:val="22"/>
      <w:lang w:val="fr-FR"/>
    </w:rPr>
  </w:style>
  <w:style w:type="character" w:customStyle="1" w:styleId="FootnoteTextChar1">
    <w:name w:val="Footnote Text Char1"/>
    <w:basedOn w:val="DefaultParagraphFont"/>
    <w:uiPriority w:val="99"/>
    <w:semiHidden/>
    <w:rsid w:val="006A3085"/>
    <w:rPr>
      <w:rFonts w:ascii="Times New Roman" w:eastAsia="Times New Roman" w:hAnsi="Times New Roman" w:cs="Times New Roman"/>
      <w:sz w:val="20"/>
      <w:szCs w:val="20"/>
    </w:rPr>
  </w:style>
  <w:style w:type="paragraph" w:styleId="ListParagraph">
    <w:name w:val="List Paragraph"/>
    <w:basedOn w:val="Normal"/>
    <w:uiPriority w:val="34"/>
    <w:qFormat/>
    <w:rsid w:val="006A3085"/>
    <w:pPr>
      <w:ind w:left="720"/>
      <w:contextualSpacing/>
    </w:pPr>
  </w:style>
  <w:style w:type="paragraph" w:customStyle="1" w:styleId="Default">
    <w:name w:val="Default"/>
    <w:uiPriority w:val="99"/>
    <w:rsid w:val="006A3085"/>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FootnoteReference">
    <w:name w:val="footnote reference"/>
    <w:aliases w:val="4_G"/>
    <w:uiPriority w:val="99"/>
    <w:semiHidden/>
    <w:unhideWhenUsed/>
    <w:qFormat/>
    <w:rsid w:val="006A3085"/>
    <w:rPr>
      <w:rFonts w:ascii="Times New Roman" w:hAnsi="Times New Roman" w:cs="Times New Roman" w:hint="default"/>
      <w:vertAlign w:val="superscript"/>
    </w:rPr>
  </w:style>
  <w:style w:type="table" w:styleId="TableGrid">
    <w:name w:val="Table Grid"/>
    <w:basedOn w:val="TableNormal"/>
    <w:uiPriority w:val="59"/>
    <w:rsid w:val="006A3085"/>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78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hchr.org/en/documents/thematic-reports/ahrc4728-strategic-priorities-work-report-special-rapporteur-righ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who.int/publications/i/item/WHO-NMH-NHD-17.3" TargetMode="External"/><Relationship Id="rId2" Type="http://schemas.openxmlformats.org/officeDocument/2006/relationships/hyperlink" Target="https://www.fao.org/3/i7846e/i7846e.pdf" TargetMode="External"/><Relationship Id="rId1" Type="http://schemas.openxmlformats.org/officeDocument/2006/relationships/hyperlink" Target="https://doi.org/10.4060/ca9692en" TargetMode="External"/><Relationship Id="rId5" Type="http://schemas.openxmlformats.org/officeDocument/2006/relationships/hyperlink" Target="https://doi.org/10.4060/ca9692en" TargetMode="External"/><Relationship Id="rId4" Type="http://schemas.openxmlformats.org/officeDocument/2006/relationships/hyperlink" Target="https://www.fao.org/3/i7846e/i7846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1381</Words>
  <Characters>7873</Characters>
  <Application>Microsoft Office Word</Application>
  <DocSecurity>0</DocSecurity>
  <Lines>65</Lines>
  <Paragraphs>18</Paragraphs>
  <ScaleCrop>false</ScaleCrop>
  <Company>OHCHR</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HECHENLEITNER SCHACHT Karin</dc:creator>
  <cp:keywords/>
  <dc:description/>
  <cp:lastModifiedBy>HECHENLEITNER SCHACHT Karin</cp:lastModifiedBy>
  <cp:revision>1</cp:revision>
  <dcterms:created xsi:type="dcterms:W3CDTF">2023-02-16T11:03:00Z</dcterms:created>
  <dcterms:modified xsi:type="dcterms:W3CDTF">2023-02-16T11:03:00Z</dcterms:modified>
</cp:coreProperties>
</file>