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0F7A" w14:textId="77777777" w:rsidR="00336942" w:rsidRDefault="00A673AE">
      <w:pPr>
        <w:spacing w:line="240" w:lineRule="auto"/>
        <w:jc w:val="right"/>
        <w:rPr>
          <w:rFonts w:ascii="Montserrat" w:eastAsia="Montserrat" w:hAnsi="Montserrat" w:cs="Montserrat"/>
          <w:b/>
        </w:rPr>
      </w:pPr>
      <w:r>
        <w:t xml:space="preserve">                                                                                                                  </w:t>
      </w:r>
      <w:r w:rsidR="00960A5E">
        <w:rPr>
          <w:rFonts w:ascii="Montserrat" w:eastAsia="Montserrat" w:hAnsi="Montserrat" w:cs="Montserrat"/>
          <w:b/>
        </w:rPr>
        <w:t>Ref. DIDEH-DDF-042</w:t>
      </w:r>
      <w:r>
        <w:rPr>
          <w:rFonts w:ascii="Montserrat" w:eastAsia="Montserrat" w:hAnsi="Montserrat" w:cs="Montserrat"/>
          <w:b/>
        </w:rPr>
        <w:t>/WB/LDL/</w:t>
      </w:r>
      <w:proofErr w:type="spellStart"/>
      <w:r>
        <w:rPr>
          <w:rFonts w:ascii="Montserrat" w:eastAsia="Montserrat" w:hAnsi="Montserrat" w:cs="Montserrat"/>
          <w:b/>
        </w:rPr>
        <w:t>sf</w:t>
      </w:r>
      <w:proofErr w:type="spellEnd"/>
    </w:p>
    <w:p w14:paraId="0F080F7B" w14:textId="77777777" w:rsidR="00336942" w:rsidRDefault="00960A5E" w:rsidP="007639DE">
      <w:pPr>
        <w:spacing w:line="240" w:lineRule="auto"/>
        <w:jc w:val="right"/>
        <w:rPr>
          <w:rFonts w:ascii="Montserrat" w:eastAsia="Montserrat" w:hAnsi="Montserrat" w:cs="Montserrat"/>
        </w:rPr>
      </w:pPr>
      <w:r>
        <w:rPr>
          <w:rFonts w:ascii="Montserrat" w:eastAsia="Montserrat" w:hAnsi="Montserrat" w:cs="Montserrat"/>
        </w:rPr>
        <w:t>Guatemala, 30</w:t>
      </w:r>
      <w:r w:rsidR="008835BF">
        <w:rPr>
          <w:rFonts w:ascii="Montserrat" w:eastAsia="Montserrat" w:hAnsi="Montserrat" w:cs="Montserrat"/>
        </w:rPr>
        <w:t xml:space="preserve"> de septiembre</w:t>
      </w:r>
      <w:r w:rsidR="00A673AE">
        <w:rPr>
          <w:rFonts w:ascii="Montserrat" w:eastAsia="Montserrat" w:hAnsi="Montserrat" w:cs="Montserrat"/>
        </w:rPr>
        <w:t xml:space="preserve"> del 2022</w:t>
      </w:r>
    </w:p>
    <w:p w14:paraId="0F080F7C" w14:textId="77777777" w:rsidR="00336942" w:rsidRDefault="00A673AE" w:rsidP="007639DE">
      <w:pPr>
        <w:spacing w:line="240" w:lineRule="auto"/>
        <w:jc w:val="both"/>
        <w:rPr>
          <w:rFonts w:ascii="Montserrat" w:eastAsia="Montserrat" w:hAnsi="Montserrat" w:cs="Montserrat"/>
          <w:b/>
          <w:color w:val="000000"/>
        </w:rPr>
      </w:pPr>
      <w:r>
        <w:rPr>
          <w:rFonts w:ascii="Montserrat" w:eastAsia="Montserrat" w:hAnsi="Montserrat" w:cs="Montserrat"/>
          <w:b/>
          <w:color w:val="000000"/>
        </w:rPr>
        <w:t xml:space="preserve">Respuesta de la Comisión Presidencial por la Paz y los Derechos Humanos, en atención a la </w:t>
      </w:r>
      <w:r w:rsidR="00960A5E" w:rsidRPr="00960A5E">
        <w:rPr>
          <w:rFonts w:ascii="Montserrat" w:eastAsia="Montserrat" w:hAnsi="Montserrat" w:cs="Montserrat"/>
          <w:b/>
          <w:color w:val="000000"/>
        </w:rPr>
        <w:t>comunicación de la Oficina del Alto Comisionado de las Naciones Unidas para los Derechos Humanos (OACNUDH), donde solicitan insumos para la elaboración de informe que se titula “Contribuciones a la resolución 49/25 del CDH” y se centrará en las consecuencias para los derechos humanos, las buenas prácticas y los principales desafíos del acceso universal a las vacunas contra el COVID-19</w:t>
      </w:r>
    </w:p>
    <w:p w14:paraId="0F080F7D" w14:textId="77777777" w:rsidR="00336942" w:rsidRDefault="00395340">
      <w:pPr>
        <w:spacing w:after="240" w:line="240" w:lineRule="auto"/>
        <w:rPr>
          <w:rFonts w:ascii="Montserrat" w:eastAsia="Montserrat" w:hAnsi="Montserrat" w:cs="Montserrat"/>
        </w:rPr>
      </w:pPr>
      <w:r>
        <w:rPr>
          <w:noProof/>
          <w:lang w:val="es-GT"/>
        </w:rPr>
        <mc:AlternateContent>
          <mc:Choice Requires="wps">
            <w:drawing>
              <wp:anchor distT="0" distB="0" distL="114300" distR="114300" simplePos="0" relativeHeight="251658240" behindDoc="0" locked="0" layoutInCell="1" hidden="0" allowOverlap="1" wp14:anchorId="0F080FB4" wp14:editId="0F080FB5">
                <wp:simplePos x="0" y="0"/>
                <wp:positionH relativeFrom="margin">
                  <wp:align>left</wp:align>
                </wp:positionH>
                <wp:positionV relativeFrom="paragraph">
                  <wp:posOffset>42546</wp:posOffset>
                </wp:positionV>
                <wp:extent cx="6181725" cy="45719"/>
                <wp:effectExtent l="19050" t="19050" r="28575" b="31115"/>
                <wp:wrapNone/>
                <wp:docPr id="34" name="Conector recto de flecha 34"/>
                <wp:cNvGraphicFramePr/>
                <a:graphic xmlns:a="http://schemas.openxmlformats.org/drawingml/2006/main">
                  <a:graphicData uri="http://schemas.microsoft.com/office/word/2010/wordprocessingShape">
                    <wps:wsp>
                      <wps:cNvCnPr/>
                      <wps:spPr>
                        <a:xfrm flipV="1">
                          <a:off x="0" y="0"/>
                          <a:ext cx="6181725" cy="45719"/>
                        </a:xfrm>
                        <a:prstGeom prst="straightConnector1">
                          <a:avLst/>
                        </a:prstGeom>
                        <a:noFill/>
                        <a:ln w="38100" cap="flat" cmpd="sng">
                          <a:solidFill>
                            <a:srgbClr val="4472C4"/>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EECA2B1" id="_x0000_t32" coordsize="21600,21600" o:spt="32" o:oned="t" path="m,l21600,21600e" filled="f">
                <v:path arrowok="t" fillok="f" o:connecttype="none"/>
                <o:lock v:ext="edit" shapetype="t"/>
              </v:shapetype>
              <v:shape id="Conector recto de flecha 34" o:spid="_x0000_s1026" type="#_x0000_t32" style="position:absolute;margin-left:0;margin-top:3.35pt;width:486.75pt;height:3.6p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w1AEAAJkDAAAOAAAAZHJzL2Uyb0RvYy54bWysU02P0zAQvSPxHyzfaZLS3Zao6R5alguC&#10;lfi4Tx07seQveUzT/nvGTunycUBC5GA5M57nN2+etw9na9hJRtTedbxZ1JxJJ3yv3dDxL58fX204&#10;wwSuB+Od7PhFIn/YvXyxnUIrl370ppeREYjDdgodH1MKbVWhGKUFXPggHSWVjxYS/cah6iNMhG5N&#10;tazr+2rysQ/RC4lI0cOc5LuCr5QU6aNSKBMzHSduqayxrMe8VrsttEOEMGpxpQH/wMKCdnTpDeoA&#10;Cdi3qP+AslpEj16lhfC28kppIUsP1E1T/9bNpxGCLL2QOBhuMuH/gxUfTnv3FEmGKWCL4SnmLs4q&#10;WqaMDl9ppqUvYsrORbbLTTZ5TkxQ8L7ZNOvlHWeCcqu7dfMmy1rNMBkuREzvpLcsbzqOKYIexrT3&#10;ztGAfJyvgNN7THPhj4Jc7PyjNqbMyTg2dfz1pqlplALILspAoq0NPcG6oVBFb3Sfa3I1xuG4N5Gd&#10;gAywWq2X+9WV3C/H8oUHwHE+V1KzNaxO5E+jbcc3df7m8Cihf+t6li6BTO3I2jxTQ8uZkfQQaFMY&#10;J9Dm7+dIKuNIsecR5N3R95cymRKn+RdNr17NBvv5v1Q/v6jddwAAAP//AwBQSwMEFAAGAAgAAAAh&#10;AJlNrjTbAAAABQEAAA8AAABkcnMvZG93bnJldi54bWxMj0FPAjEUhO8m/ofmmXiTLoIg63aJGjh5&#10;IKJyLtvn7ob2dWm7sP57Hyc9TmYy802xHJwVJwyx9aRgPMpAIFXetFQr+PxY3z2CiEmT0dYTKvjB&#10;CMvy+qrQufFnesfTNtWCSyjmWkGTUpdLGasGnY4j3yGx9+2D04llqKUJ+szlzsr7LJtJp1vihUZ3&#10;+Npgddj2jnendjXeHL76zct69RbScYfH6U6p25vh+QlEwiH9heGCz+hQMtPe92SisAr4SFIwm4Ng&#10;czGfPIDYc2qyAFkW8j99+QsAAP//AwBQSwECLQAUAAYACAAAACEAtoM4kv4AAADhAQAAEwAAAAAA&#10;AAAAAAAAAAAAAAAAW0NvbnRlbnRfVHlwZXNdLnhtbFBLAQItABQABgAIAAAAIQA4/SH/1gAAAJQB&#10;AAALAAAAAAAAAAAAAAAAAC8BAABfcmVscy8ucmVsc1BLAQItABQABgAIAAAAIQDvk/ww1AEAAJkD&#10;AAAOAAAAAAAAAAAAAAAAAC4CAABkcnMvZTJvRG9jLnhtbFBLAQItABQABgAIAAAAIQCZTa402wAA&#10;AAUBAAAPAAAAAAAAAAAAAAAAAC4EAABkcnMvZG93bnJldi54bWxQSwUGAAAAAAQABADzAAAANgUA&#10;AAAA&#10;" strokecolor="#4472c4" strokeweight="3pt">
                <v:stroke startarrowwidth="narrow" startarrowlength="short" endarrowwidth="narrow" endarrowlength="short" joinstyle="miter"/>
                <w10:wrap anchorx="margin"/>
              </v:shape>
            </w:pict>
          </mc:Fallback>
        </mc:AlternateContent>
      </w:r>
    </w:p>
    <w:p w14:paraId="0F080F7E" w14:textId="77777777" w:rsidR="00336942" w:rsidRPr="007238C1" w:rsidRDefault="00A673AE">
      <w:pPr>
        <w:spacing w:after="0"/>
        <w:jc w:val="both"/>
        <w:rPr>
          <w:rFonts w:ascii="Montserrat" w:eastAsia="Montserrat" w:hAnsi="Montserrat" w:cs="Montserrat"/>
          <w:sz w:val="21"/>
          <w:szCs w:val="21"/>
        </w:rPr>
      </w:pPr>
      <w:r w:rsidRPr="007238C1">
        <w:rPr>
          <w:rFonts w:ascii="Montserrat" w:eastAsia="Montserrat" w:hAnsi="Montserrat" w:cs="Montserrat"/>
          <w:b/>
          <w:color w:val="000000"/>
          <w:sz w:val="21"/>
          <w:szCs w:val="21"/>
        </w:rPr>
        <w:t>Antecedentes</w:t>
      </w:r>
    </w:p>
    <w:p w14:paraId="0F080F7F" w14:textId="77777777" w:rsidR="00336942" w:rsidRDefault="00336942" w:rsidP="007639DE">
      <w:pPr>
        <w:spacing w:after="0"/>
        <w:jc w:val="both"/>
        <w:rPr>
          <w:rFonts w:ascii="Montserrat" w:eastAsia="Montserrat" w:hAnsi="Montserrat" w:cs="Montserrat"/>
          <w:color w:val="000000"/>
          <w:sz w:val="20"/>
          <w:szCs w:val="20"/>
        </w:rPr>
      </w:pPr>
    </w:p>
    <w:p w14:paraId="0F080F80" w14:textId="77777777" w:rsidR="00335346" w:rsidRPr="00960A5E" w:rsidRDefault="00A673AE" w:rsidP="000C3009">
      <w:pPr>
        <w:spacing w:after="0"/>
        <w:jc w:val="both"/>
        <w:rPr>
          <w:rFonts w:ascii="Montserrat" w:eastAsia="Montserrat" w:hAnsi="Montserrat" w:cs="Montserrat"/>
          <w:color w:val="000000"/>
          <w:sz w:val="21"/>
          <w:szCs w:val="21"/>
        </w:rPr>
      </w:pPr>
      <w:r w:rsidRPr="007238C1">
        <w:rPr>
          <w:rFonts w:ascii="Montserrat" w:eastAsia="Montserrat" w:hAnsi="Montserrat" w:cs="Montserrat"/>
          <w:color w:val="000000"/>
          <w:sz w:val="21"/>
          <w:szCs w:val="21"/>
        </w:rPr>
        <w:t>La Comisión Presidencial por la Paz y los Derechos Humanos -COPADEH- a requerimiento del Ministerio de Relaciones Exterior</w:t>
      </w:r>
      <w:r w:rsidR="00E75E7B" w:rsidRPr="007238C1">
        <w:rPr>
          <w:rFonts w:ascii="Montserrat" w:eastAsia="Montserrat" w:hAnsi="Montserrat" w:cs="Montserrat"/>
          <w:color w:val="000000"/>
          <w:sz w:val="21"/>
          <w:szCs w:val="21"/>
        </w:rPr>
        <w:t xml:space="preserve">es, </w:t>
      </w:r>
      <w:r w:rsidR="00960A5E">
        <w:rPr>
          <w:rFonts w:ascii="Montserrat" w:eastAsia="Montserrat" w:hAnsi="Montserrat" w:cs="Montserrat"/>
          <w:color w:val="000000"/>
          <w:sz w:val="21"/>
          <w:szCs w:val="21"/>
        </w:rPr>
        <w:t>a través del oficio DIRDEHU 1325-2022 de fecha 23</w:t>
      </w:r>
      <w:r w:rsidR="00E75E7B" w:rsidRPr="007238C1">
        <w:rPr>
          <w:rFonts w:ascii="Montserrat" w:eastAsia="Montserrat" w:hAnsi="Montserrat" w:cs="Montserrat"/>
          <w:color w:val="000000"/>
          <w:sz w:val="21"/>
          <w:szCs w:val="21"/>
        </w:rPr>
        <w:t xml:space="preserve"> de agosto</w:t>
      </w:r>
      <w:r w:rsidRPr="007238C1">
        <w:rPr>
          <w:rFonts w:ascii="Montserrat" w:eastAsia="Montserrat" w:hAnsi="Montserrat" w:cs="Montserrat"/>
          <w:color w:val="000000"/>
          <w:sz w:val="21"/>
          <w:szCs w:val="21"/>
        </w:rPr>
        <w:t xml:space="preserve"> del </w:t>
      </w:r>
      <w:r w:rsidR="00E75E7B" w:rsidRPr="007238C1">
        <w:rPr>
          <w:rFonts w:ascii="Montserrat" w:eastAsia="Montserrat" w:hAnsi="Montserrat" w:cs="Montserrat"/>
          <w:color w:val="000000"/>
          <w:sz w:val="21"/>
          <w:szCs w:val="21"/>
        </w:rPr>
        <w:t>2022</w:t>
      </w:r>
      <w:r w:rsidRPr="007238C1">
        <w:rPr>
          <w:rFonts w:ascii="Montserrat" w:eastAsia="Montserrat" w:hAnsi="Montserrat" w:cs="Montserrat"/>
          <w:color w:val="000000"/>
          <w:sz w:val="21"/>
          <w:szCs w:val="21"/>
        </w:rPr>
        <w:t xml:space="preserve">, </w:t>
      </w:r>
      <w:r w:rsidR="00960A5E">
        <w:rPr>
          <w:rFonts w:ascii="Montserrat" w:eastAsia="Montserrat" w:hAnsi="Montserrat" w:cs="Montserrat"/>
          <w:color w:val="000000"/>
          <w:sz w:val="21"/>
          <w:szCs w:val="21"/>
        </w:rPr>
        <w:t>en la cual</w:t>
      </w:r>
      <w:r w:rsidR="00335346" w:rsidRPr="00960A5E">
        <w:rPr>
          <w:rFonts w:ascii="Montserrat" w:eastAsia="Montserrat" w:hAnsi="Montserrat" w:cs="Montserrat"/>
          <w:color w:val="000000"/>
          <w:sz w:val="21"/>
          <w:szCs w:val="21"/>
        </w:rPr>
        <w:t xml:space="preserve"> </w:t>
      </w:r>
      <w:r w:rsidR="00960A5E">
        <w:rPr>
          <w:rFonts w:ascii="Montserrat" w:eastAsia="Montserrat" w:hAnsi="Montserrat" w:cs="Montserrat"/>
          <w:color w:val="000000"/>
          <w:sz w:val="21"/>
          <w:szCs w:val="21"/>
        </w:rPr>
        <w:t>la OACNDUH solicita</w:t>
      </w:r>
      <w:r w:rsidR="00960A5E" w:rsidRPr="00960A5E">
        <w:rPr>
          <w:rFonts w:ascii="Montserrat" w:eastAsia="Montserrat" w:hAnsi="Montserrat" w:cs="Montserrat"/>
          <w:color w:val="000000"/>
          <w:sz w:val="21"/>
          <w:szCs w:val="21"/>
        </w:rPr>
        <w:t xml:space="preserve"> información requerida en las siguientes áreas:   a) Consecuencias para los derechos humanos, así como sobre las repercusiones en el derecho de toda persona al disfrute del más alto nivel posible de salud física y mental, del acceso y distribución asequibles, oportunos, equitativos y universales de la vacuna contra la COVID-19.    b) Buenas prácticas y los principales desafíos para asegurar el acceso universal a las vacunas contra la COVID-19 y su distribución de manera asequible, oportuna, equitativa y universal</w:t>
      </w:r>
      <w:r w:rsidR="00960A5E">
        <w:rPr>
          <w:rFonts w:ascii="Montserrat" w:eastAsia="Montserrat" w:hAnsi="Montserrat" w:cs="Montserrat"/>
          <w:color w:val="000000"/>
          <w:sz w:val="21"/>
          <w:szCs w:val="21"/>
        </w:rPr>
        <w:t>.</w:t>
      </w:r>
    </w:p>
    <w:p w14:paraId="0F080F81" w14:textId="77777777" w:rsidR="000C3009" w:rsidRPr="007238C1" w:rsidRDefault="000C3009" w:rsidP="007238C1">
      <w:pPr>
        <w:spacing w:after="0"/>
        <w:jc w:val="both"/>
        <w:rPr>
          <w:rFonts w:ascii="Montserrat" w:eastAsia="Times New Roman" w:hAnsi="Montserrat" w:cs="Times New Roman"/>
          <w:color w:val="000000"/>
          <w:sz w:val="21"/>
          <w:szCs w:val="21"/>
        </w:rPr>
      </w:pPr>
    </w:p>
    <w:p w14:paraId="0F080F82" w14:textId="77777777" w:rsidR="00336942" w:rsidRPr="007238C1" w:rsidRDefault="00A673AE" w:rsidP="007238C1">
      <w:pPr>
        <w:jc w:val="both"/>
        <w:rPr>
          <w:rFonts w:ascii="Montserrat" w:eastAsia="Montserrat" w:hAnsi="Montserrat" w:cs="Montserrat"/>
          <w:color w:val="000000"/>
          <w:sz w:val="21"/>
          <w:szCs w:val="21"/>
        </w:rPr>
      </w:pPr>
      <w:r w:rsidRPr="007238C1">
        <w:rPr>
          <w:rFonts w:ascii="Montserrat" w:eastAsia="Montserrat" w:hAnsi="Montserrat" w:cs="Montserrat"/>
          <w:color w:val="000000"/>
          <w:sz w:val="21"/>
          <w:szCs w:val="21"/>
        </w:rPr>
        <w:t xml:space="preserve">Es por ello </w:t>
      </w:r>
      <w:proofErr w:type="gramStart"/>
      <w:r w:rsidRPr="007238C1">
        <w:rPr>
          <w:rFonts w:ascii="Montserrat" w:eastAsia="Montserrat" w:hAnsi="Montserrat" w:cs="Montserrat"/>
          <w:color w:val="000000"/>
          <w:sz w:val="21"/>
          <w:szCs w:val="21"/>
        </w:rPr>
        <w:t>que</w:t>
      </w:r>
      <w:proofErr w:type="gramEnd"/>
      <w:r w:rsidRPr="007238C1">
        <w:rPr>
          <w:rFonts w:ascii="Montserrat" w:eastAsia="Montserrat" w:hAnsi="Montserrat" w:cs="Montserrat"/>
          <w:color w:val="000000"/>
          <w:sz w:val="21"/>
          <w:szCs w:val="21"/>
        </w:rPr>
        <w:t>, esta Comisión Presidencial, en atención a su mandato legal, teniendo como objeto asesorar y coordinar con las distintas dependencias del Organismo Ejecutivo, en la promoción de acciones y mecanismos encaminados a la efectiva vigencia y protección de los derechos humanos (…), presenta la siguiente información en aras de dar respuesta a las siguientes interrogantes:</w:t>
      </w:r>
    </w:p>
    <w:p w14:paraId="0F080F83" w14:textId="77777777" w:rsidR="008B68B9" w:rsidRDefault="00960A5E" w:rsidP="00960A5E">
      <w:pPr>
        <w:pStyle w:val="ListParagraph"/>
        <w:numPr>
          <w:ilvl w:val="0"/>
          <w:numId w:val="7"/>
        </w:numPr>
        <w:spacing w:after="160" w:line="259" w:lineRule="auto"/>
        <w:jc w:val="both"/>
        <w:rPr>
          <w:rFonts w:ascii="Montserrat" w:eastAsia="Montserrat" w:hAnsi="Montserrat" w:cs="Montserrat"/>
          <w:b/>
          <w:color w:val="000000"/>
          <w:sz w:val="21"/>
          <w:szCs w:val="21"/>
        </w:rPr>
      </w:pPr>
      <w:r w:rsidRPr="00960A5E">
        <w:rPr>
          <w:rFonts w:ascii="Montserrat" w:eastAsia="Montserrat" w:hAnsi="Montserrat" w:cs="Montserrat"/>
          <w:b/>
          <w:color w:val="000000"/>
          <w:sz w:val="21"/>
          <w:szCs w:val="21"/>
        </w:rPr>
        <w:t>Consecuencias para los derechos humanos, así como sobre las repercusiones en el derecho de toda persona al disfrute del más alto nivel posible de salud física y mental, del acceso y distribución asequibles, oportunos, equitativos y universales de la vacuna contra la COVID-19</w:t>
      </w:r>
      <w:r>
        <w:rPr>
          <w:rFonts w:ascii="Montserrat" w:eastAsia="Montserrat" w:hAnsi="Montserrat" w:cs="Montserrat"/>
          <w:b/>
          <w:color w:val="000000"/>
          <w:sz w:val="21"/>
          <w:szCs w:val="21"/>
        </w:rPr>
        <w:t>.</w:t>
      </w:r>
    </w:p>
    <w:p w14:paraId="0F080F84" w14:textId="77777777" w:rsidR="002F2514" w:rsidRDefault="002F2514" w:rsidP="002F2514">
      <w:pPr>
        <w:pStyle w:val="ListParagraph"/>
        <w:spacing w:after="160" w:line="259" w:lineRule="auto"/>
        <w:ind w:left="360"/>
        <w:jc w:val="both"/>
        <w:rPr>
          <w:rFonts w:ascii="Montserrat" w:eastAsia="Montserrat" w:hAnsi="Montserrat" w:cs="Montserrat"/>
          <w:b/>
          <w:color w:val="000000"/>
          <w:sz w:val="21"/>
          <w:szCs w:val="21"/>
        </w:rPr>
      </w:pPr>
    </w:p>
    <w:p w14:paraId="0F080F85" w14:textId="77777777" w:rsidR="002F2514" w:rsidRPr="006724B7" w:rsidRDefault="002F2514" w:rsidP="006724B7">
      <w:pPr>
        <w:pStyle w:val="ListParagraph"/>
        <w:spacing w:after="0" w:line="259" w:lineRule="auto"/>
        <w:ind w:left="357"/>
        <w:jc w:val="both"/>
        <w:rPr>
          <w:rFonts w:ascii="Montserrat" w:eastAsia="Montserrat" w:hAnsi="Montserrat" w:cs="Montserrat"/>
          <w:color w:val="000000"/>
          <w:sz w:val="21"/>
          <w:szCs w:val="21"/>
        </w:rPr>
      </w:pPr>
      <w:r w:rsidRPr="002F2514">
        <w:rPr>
          <w:rFonts w:ascii="Montserrat" w:eastAsia="Montserrat" w:hAnsi="Montserrat" w:cs="Montserrat"/>
          <w:color w:val="000000"/>
          <w:sz w:val="21"/>
          <w:szCs w:val="21"/>
        </w:rPr>
        <w:t>Con base en el Decreto 295 del Congre</w:t>
      </w:r>
      <w:r w:rsidR="00A008AA">
        <w:rPr>
          <w:rFonts w:ascii="Montserrat" w:eastAsia="Montserrat" w:hAnsi="Montserrat" w:cs="Montserrat"/>
          <w:color w:val="000000"/>
          <w:sz w:val="21"/>
          <w:szCs w:val="21"/>
        </w:rPr>
        <w:t>so de la República de Guatemala:</w:t>
      </w:r>
      <w:r w:rsidRPr="002F2514">
        <w:rPr>
          <w:rFonts w:ascii="Montserrat" w:eastAsia="Montserrat" w:hAnsi="Montserrat" w:cs="Montserrat"/>
          <w:color w:val="000000"/>
          <w:sz w:val="21"/>
          <w:szCs w:val="21"/>
        </w:rPr>
        <w:t xml:space="preserve"> </w:t>
      </w:r>
      <w:r w:rsidR="00A008AA">
        <w:rPr>
          <w:rFonts w:ascii="Montserrat" w:eastAsia="Montserrat" w:hAnsi="Montserrat" w:cs="Montserrat"/>
          <w:color w:val="000000"/>
          <w:sz w:val="21"/>
          <w:szCs w:val="21"/>
        </w:rPr>
        <w:t>“</w:t>
      </w:r>
      <w:r w:rsidRPr="002F2514">
        <w:rPr>
          <w:rFonts w:ascii="Montserrat" w:eastAsia="Montserrat" w:hAnsi="Montserrat" w:cs="Montserrat"/>
          <w:color w:val="000000"/>
          <w:sz w:val="21"/>
          <w:szCs w:val="21"/>
        </w:rPr>
        <w:t>Ley Orgánica</w:t>
      </w:r>
      <w:r w:rsidR="00A008AA">
        <w:rPr>
          <w:rFonts w:ascii="Montserrat" w:eastAsia="Montserrat" w:hAnsi="Montserrat" w:cs="Montserrat"/>
          <w:color w:val="000000"/>
          <w:sz w:val="21"/>
          <w:szCs w:val="21"/>
        </w:rPr>
        <w:t xml:space="preserve"> </w:t>
      </w:r>
      <w:r w:rsidRPr="00A008AA">
        <w:rPr>
          <w:rFonts w:ascii="Montserrat" w:eastAsia="Montserrat" w:hAnsi="Montserrat" w:cs="Montserrat"/>
          <w:color w:val="000000"/>
          <w:sz w:val="21"/>
          <w:szCs w:val="21"/>
        </w:rPr>
        <w:t>del Instituto Guatemalteco de Seguridad Social</w:t>
      </w:r>
      <w:r w:rsidR="00CC3841" w:rsidRPr="00A008AA">
        <w:rPr>
          <w:rFonts w:ascii="Montserrat" w:eastAsia="Montserrat" w:hAnsi="Montserrat" w:cs="Montserrat"/>
          <w:color w:val="000000"/>
          <w:sz w:val="21"/>
          <w:szCs w:val="21"/>
        </w:rPr>
        <w:t xml:space="preserve"> –IGSS-</w:t>
      </w:r>
      <w:r w:rsidR="00A008AA" w:rsidRPr="00A008AA">
        <w:rPr>
          <w:rFonts w:ascii="Montserrat" w:eastAsia="Montserrat" w:hAnsi="Montserrat" w:cs="Montserrat"/>
          <w:color w:val="000000"/>
          <w:sz w:val="21"/>
          <w:szCs w:val="21"/>
        </w:rPr>
        <w:t>“</w:t>
      </w:r>
      <w:r w:rsidRPr="00A008AA">
        <w:rPr>
          <w:rFonts w:ascii="Montserrat" w:eastAsia="Montserrat" w:hAnsi="Montserrat" w:cs="Montserrat"/>
          <w:color w:val="000000"/>
          <w:sz w:val="21"/>
          <w:szCs w:val="21"/>
        </w:rPr>
        <w:t>, en el Artículo 1,</w:t>
      </w:r>
      <w:r w:rsidR="00156C9A" w:rsidRPr="00A008AA">
        <w:rPr>
          <w:rFonts w:ascii="Montserrat" w:eastAsia="Montserrat" w:hAnsi="Montserrat" w:cs="Montserrat"/>
          <w:color w:val="000000"/>
          <w:sz w:val="21"/>
          <w:szCs w:val="21"/>
        </w:rPr>
        <w:t xml:space="preserve"> </w:t>
      </w:r>
      <w:r w:rsidR="00A008AA" w:rsidRPr="00A008AA">
        <w:rPr>
          <w:rFonts w:ascii="Montserrat" w:eastAsia="Montserrat" w:hAnsi="Montserrat" w:cs="Montserrat"/>
          <w:color w:val="000000"/>
          <w:sz w:val="21"/>
          <w:szCs w:val="21"/>
        </w:rPr>
        <w:t xml:space="preserve">que </w:t>
      </w:r>
      <w:r w:rsidR="00156C9A" w:rsidRPr="00A008AA">
        <w:rPr>
          <w:rFonts w:ascii="Montserrat" w:eastAsia="Montserrat" w:hAnsi="Montserrat" w:cs="Montserrat"/>
          <w:color w:val="000000"/>
          <w:sz w:val="21"/>
          <w:szCs w:val="21"/>
        </w:rPr>
        <w:t>indica</w:t>
      </w:r>
      <w:r w:rsidRPr="00A008AA">
        <w:rPr>
          <w:rFonts w:ascii="Montserrat" w:eastAsia="Montserrat" w:hAnsi="Montserrat" w:cs="Montserrat"/>
          <w:color w:val="000000"/>
          <w:sz w:val="21"/>
          <w:szCs w:val="21"/>
        </w:rPr>
        <w:t>:</w:t>
      </w:r>
      <w:r w:rsidR="00A008AA">
        <w:rPr>
          <w:rFonts w:ascii="Montserrat" w:eastAsia="Montserrat" w:hAnsi="Montserrat" w:cs="Montserrat"/>
          <w:color w:val="000000"/>
          <w:sz w:val="21"/>
          <w:szCs w:val="21"/>
        </w:rPr>
        <w:t xml:space="preserve"> </w:t>
      </w:r>
      <w:r w:rsidRPr="002F2514">
        <w:rPr>
          <w:rFonts w:ascii="Montserrat" w:eastAsia="Montserrat" w:hAnsi="Montserrat" w:cs="Montserrat"/>
          <w:color w:val="000000"/>
          <w:sz w:val="21"/>
          <w:szCs w:val="21"/>
        </w:rPr>
        <w:t>“…Créase una institución autónoma, de derecho público, con personería jurídica</w:t>
      </w:r>
      <w:r w:rsidR="00A008AA">
        <w:rPr>
          <w:rFonts w:ascii="Montserrat" w:eastAsia="Montserrat" w:hAnsi="Montserrat" w:cs="Montserrat"/>
          <w:color w:val="000000"/>
          <w:sz w:val="21"/>
          <w:szCs w:val="21"/>
        </w:rPr>
        <w:t xml:space="preserve"> </w:t>
      </w:r>
      <w:r w:rsidRPr="002F2514">
        <w:rPr>
          <w:rFonts w:ascii="Montserrat" w:eastAsia="Montserrat" w:hAnsi="Montserrat" w:cs="Montserrat"/>
          <w:color w:val="000000"/>
          <w:sz w:val="21"/>
          <w:szCs w:val="21"/>
        </w:rPr>
        <w:t>propia y plena capacidad para adquirir derecho</w:t>
      </w:r>
      <w:r w:rsidR="006724B7">
        <w:rPr>
          <w:rFonts w:ascii="Montserrat" w:eastAsia="Montserrat" w:hAnsi="Montserrat" w:cs="Montserrat"/>
          <w:color w:val="000000"/>
          <w:sz w:val="21"/>
          <w:szCs w:val="21"/>
        </w:rPr>
        <w:t xml:space="preserve">s y contraer obligaciones, cuya </w:t>
      </w:r>
      <w:r w:rsidRPr="006724B7">
        <w:rPr>
          <w:rFonts w:ascii="Montserrat" w:eastAsia="Montserrat" w:hAnsi="Montserrat" w:cs="Montserrat"/>
          <w:color w:val="000000"/>
          <w:sz w:val="21"/>
          <w:szCs w:val="21"/>
        </w:rPr>
        <w:t>finalidad es la de aplicar en beneficio del Pueblo de Guatemala un régimen nacional,</w:t>
      </w:r>
      <w:r w:rsidR="006724B7">
        <w:rPr>
          <w:rFonts w:ascii="Montserrat" w:eastAsia="Montserrat" w:hAnsi="Montserrat" w:cs="Montserrat"/>
          <w:color w:val="000000"/>
          <w:sz w:val="21"/>
          <w:szCs w:val="21"/>
        </w:rPr>
        <w:t xml:space="preserve"> </w:t>
      </w:r>
      <w:r w:rsidRPr="006724B7">
        <w:rPr>
          <w:rFonts w:ascii="Montserrat" w:eastAsia="Montserrat" w:hAnsi="Montserrat" w:cs="Montserrat"/>
          <w:color w:val="000000"/>
          <w:sz w:val="21"/>
          <w:szCs w:val="21"/>
        </w:rPr>
        <w:t>unitario y obligatorio de Seguridad Social…”</w:t>
      </w:r>
      <w:r w:rsidR="006724B7">
        <w:rPr>
          <w:rFonts w:ascii="Montserrat" w:eastAsia="Montserrat" w:hAnsi="Montserrat" w:cs="Montserrat"/>
          <w:color w:val="000000"/>
          <w:sz w:val="21"/>
          <w:szCs w:val="21"/>
        </w:rPr>
        <w:t xml:space="preserve"> </w:t>
      </w:r>
      <w:r w:rsidRPr="006724B7">
        <w:rPr>
          <w:rFonts w:ascii="Montserrat" w:eastAsia="Montserrat" w:hAnsi="Montserrat" w:cs="Montserrat"/>
          <w:color w:val="000000"/>
          <w:sz w:val="21"/>
          <w:szCs w:val="21"/>
        </w:rPr>
        <w:t>y el Acuerdo 466 de Junta Directiva “Reglamento de Asistencia Médica”, en su Artículo 21</w:t>
      </w:r>
      <w:r w:rsidR="006724B7">
        <w:rPr>
          <w:rFonts w:ascii="Montserrat" w:eastAsia="Montserrat" w:hAnsi="Montserrat" w:cs="Montserrat"/>
          <w:color w:val="000000"/>
          <w:sz w:val="21"/>
          <w:szCs w:val="21"/>
        </w:rPr>
        <w:t xml:space="preserve"> </w:t>
      </w:r>
      <w:r w:rsidRPr="006724B7">
        <w:rPr>
          <w:rFonts w:ascii="Montserrat" w:eastAsia="Montserrat" w:hAnsi="Montserrat" w:cs="Montserrat"/>
          <w:color w:val="000000"/>
          <w:sz w:val="21"/>
          <w:szCs w:val="21"/>
        </w:rPr>
        <w:t>establece que,</w:t>
      </w:r>
      <w:r w:rsidR="006724B7">
        <w:rPr>
          <w:rFonts w:ascii="Montserrat" w:eastAsia="Montserrat" w:hAnsi="Montserrat" w:cs="Montserrat"/>
          <w:color w:val="000000"/>
          <w:sz w:val="21"/>
          <w:szCs w:val="21"/>
        </w:rPr>
        <w:t xml:space="preserve"> </w:t>
      </w:r>
      <w:r w:rsidRPr="006724B7">
        <w:rPr>
          <w:rFonts w:ascii="Montserrat" w:eastAsia="Montserrat" w:hAnsi="Montserrat" w:cs="Montserrat"/>
          <w:color w:val="000000"/>
          <w:sz w:val="21"/>
          <w:szCs w:val="21"/>
        </w:rPr>
        <w:t xml:space="preserve">“…El Instituto participará, en lo posible y de </w:t>
      </w:r>
      <w:r w:rsidRPr="006724B7">
        <w:rPr>
          <w:rFonts w:ascii="Montserrat" w:eastAsia="Montserrat" w:hAnsi="Montserrat" w:cs="Montserrat"/>
          <w:color w:val="000000"/>
          <w:sz w:val="21"/>
          <w:szCs w:val="21"/>
        </w:rPr>
        <w:lastRenderedPageBreak/>
        <w:t>acuerdo con sus recursos económicos</w:t>
      </w:r>
      <w:r w:rsidR="006724B7">
        <w:rPr>
          <w:rFonts w:ascii="Montserrat" w:eastAsia="Montserrat" w:hAnsi="Montserrat" w:cs="Montserrat"/>
          <w:color w:val="000000"/>
          <w:sz w:val="21"/>
          <w:szCs w:val="21"/>
        </w:rPr>
        <w:t xml:space="preserve"> </w:t>
      </w:r>
      <w:r w:rsidRPr="006724B7">
        <w:rPr>
          <w:rFonts w:ascii="Montserrat" w:eastAsia="Montserrat" w:hAnsi="Montserrat" w:cs="Montserrat"/>
          <w:color w:val="000000"/>
          <w:sz w:val="21"/>
          <w:szCs w:val="21"/>
        </w:rPr>
        <w:t>en programas preventivos de enfermedades endémicas y en campañas contra</w:t>
      </w:r>
      <w:r w:rsidR="006724B7">
        <w:rPr>
          <w:rFonts w:ascii="Montserrat" w:eastAsia="Montserrat" w:hAnsi="Montserrat" w:cs="Montserrat"/>
          <w:color w:val="000000"/>
          <w:sz w:val="21"/>
          <w:szCs w:val="21"/>
        </w:rPr>
        <w:t xml:space="preserve"> </w:t>
      </w:r>
      <w:r w:rsidRPr="006724B7">
        <w:rPr>
          <w:rFonts w:ascii="Montserrat" w:eastAsia="Montserrat" w:hAnsi="Montserrat" w:cs="Montserrat"/>
          <w:color w:val="000000"/>
          <w:sz w:val="21"/>
          <w:szCs w:val="21"/>
        </w:rPr>
        <w:t>epidemias, en colaboración con entidades públicas y privadas competentes</w:t>
      </w:r>
      <w:r w:rsidR="006724B7">
        <w:rPr>
          <w:rFonts w:ascii="Montserrat" w:eastAsia="Montserrat" w:hAnsi="Montserrat" w:cs="Montserrat"/>
          <w:color w:val="000000"/>
          <w:sz w:val="21"/>
          <w:szCs w:val="21"/>
        </w:rPr>
        <w:t xml:space="preserve"> </w:t>
      </w:r>
      <w:r w:rsidRPr="006724B7">
        <w:rPr>
          <w:rFonts w:ascii="Montserrat" w:eastAsia="Montserrat" w:hAnsi="Montserrat" w:cs="Montserrat"/>
          <w:color w:val="000000"/>
          <w:sz w:val="21"/>
          <w:szCs w:val="21"/>
        </w:rPr>
        <w:t>utilizando los medios con que estas contaren”,</w:t>
      </w:r>
    </w:p>
    <w:p w14:paraId="0F080F86" w14:textId="77777777" w:rsidR="00A008AA" w:rsidRDefault="00A008AA" w:rsidP="006724B7">
      <w:pPr>
        <w:pStyle w:val="ListParagraph"/>
        <w:spacing w:after="0" w:line="259" w:lineRule="auto"/>
        <w:ind w:left="357"/>
        <w:jc w:val="both"/>
        <w:rPr>
          <w:rFonts w:ascii="Montserrat" w:eastAsia="Montserrat" w:hAnsi="Montserrat" w:cs="Montserrat"/>
          <w:color w:val="000000"/>
          <w:sz w:val="21"/>
          <w:szCs w:val="21"/>
        </w:rPr>
      </w:pPr>
    </w:p>
    <w:p w14:paraId="0F080F87" w14:textId="77777777" w:rsidR="002F2514" w:rsidRPr="006724B7" w:rsidRDefault="00CC3841" w:rsidP="006724B7">
      <w:pPr>
        <w:pStyle w:val="ListParagraph"/>
        <w:spacing w:after="0" w:line="259" w:lineRule="auto"/>
        <w:ind w:left="35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El IGSS</w:t>
      </w:r>
      <w:r w:rsidR="002F2514" w:rsidRPr="002F2514">
        <w:rPr>
          <w:rFonts w:ascii="Montserrat" w:eastAsia="Montserrat" w:hAnsi="Montserrat" w:cs="Montserrat"/>
          <w:color w:val="000000"/>
          <w:sz w:val="21"/>
          <w:szCs w:val="21"/>
        </w:rPr>
        <w:t>, en el marco de su Normativa vigente</w:t>
      </w:r>
      <w:r w:rsidR="006724B7">
        <w:rPr>
          <w:rFonts w:ascii="Montserrat" w:eastAsia="Montserrat" w:hAnsi="Montserrat" w:cs="Montserrat"/>
          <w:color w:val="000000"/>
          <w:sz w:val="21"/>
          <w:szCs w:val="21"/>
        </w:rPr>
        <w:t xml:space="preserve"> y ámbito de su competencia, ha </w:t>
      </w:r>
      <w:r w:rsidR="002F2514" w:rsidRPr="006724B7">
        <w:rPr>
          <w:rFonts w:ascii="Montserrat" w:eastAsia="Montserrat" w:hAnsi="Montserrat" w:cs="Montserrat"/>
          <w:color w:val="000000"/>
          <w:sz w:val="21"/>
          <w:szCs w:val="21"/>
        </w:rPr>
        <w:t>realizado todas las acciones para cumplir con su mandato, apegados a los Lineamientos</w:t>
      </w:r>
      <w:r w:rsidR="006724B7">
        <w:rPr>
          <w:rFonts w:ascii="Montserrat" w:eastAsia="Montserrat" w:hAnsi="Montserrat" w:cs="Montserrat"/>
          <w:color w:val="000000"/>
          <w:sz w:val="21"/>
          <w:szCs w:val="21"/>
        </w:rPr>
        <w:t xml:space="preserve"> </w:t>
      </w:r>
      <w:r w:rsidR="002F2514" w:rsidRPr="006724B7">
        <w:rPr>
          <w:rFonts w:ascii="Montserrat" w:eastAsia="Montserrat" w:hAnsi="Montserrat" w:cs="Montserrat"/>
          <w:color w:val="000000"/>
          <w:sz w:val="21"/>
          <w:szCs w:val="21"/>
        </w:rPr>
        <w:t>socializados por el ente rector de la salud en el país, el Ministerio de Salud Pública y</w:t>
      </w:r>
      <w:r w:rsidR="006724B7">
        <w:rPr>
          <w:rFonts w:ascii="Montserrat" w:eastAsia="Montserrat" w:hAnsi="Montserrat" w:cs="Montserrat"/>
          <w:color w:val="000000"/>
          <w:sz w:val="21"/>
          <w:szCs w:val="21"/>
        </w:rPr>
        <w:t xml:space="preserve"> </w:t>
      </w:r>
      <w:r w:rsidR="002F2514" w:rsidRPr="006724B7">
        <w:rPr>
          <w:rFonts w:ascii="Montserrat" w:eastAsia="Montserrat" w:hAnsi="Montserrat" w:cs="Montserrat"/>
          <w:color w:val="000000"/>
          <w:sz w:val="21"/>
          <w:szCs w:val="21"/>
        </w:rPr>
        <w:t>Asistencia Social, con el objetivo de asegurar la salud de sus afiliados y derechohabientes</w:t>
      </w:r>
      <w:r w:rsidR="006724B7">
        <w:rPr>
          <w:rFonts w:ascii="Montserrat" w:eastAsia="Montserrat" w:hAnsi="Montserrat" w:cs="Montserrat"/>
          <w:color w:val="000000"/>
          <w:sz w:val="21"/>
          <w:szCs w:val="21"/>
        </w:rPr>
        <w:t xml:space="preserve"> </w:t>
      </w:r>
      <w:r w:rsidR="00A008AA">
        <w:rPr>
          <w:rFonts w:ascii="Montserrat" w:eastAsia="Montserrat" w:hAnsi="Montserrat" w:cs="Montserrat"/>
          <w:color w:val="000000"/>
          <w:sz w:val="21"/>
          <w:szCs w:val="21"/>
        </w:rPr>
        <w:t xml:space="preserve">extendiéndose, a </w:t>
      </w:r>
      <w:r w:rsidR="002F2514" w:rsidRPr="006724B7">
        <w:rPr>
          <w:rFonts w:ascii="Montserrat" w:eastAsia="Montserrat" w:hAnsi="Montserrat" w:cs="Montserrat"/>
          <w:color w:val="000000"/>
          <w:sz w:val="21"/>
          <w:szCs w:val="21"/>
        </w:rPr>
        <w:t>causa de la emergencia nacional derivada de la pandemia COVID-19, a</w:t>
      </w:r>
      <w:r w:rsidR="006724B7">
        <w:rPr>
          <w:rFonts w:ascii="Montserrat" w:eastAsia="Montserrat" w:hAnsi="Montserrat" w:cs="Montserrat"/>
          <w:color w:val="000000"/>
          <w:sz w:val="21"/>
          <w:szCs w:val="21"/>
        </w:rPr>
        <w:t xml:space="preserve"> l</w:t>
      </w:r>
      <w:r w:rsidR="002F2514" w:rsidRPr="006724B7">
        <w:rPr>
          <w:rFonts w:ascii="Montserrat" w:eastAsia="Montserrat" w:hAnsi="Montserrat" w:cs="Montserrat"/>
          <w:color w:val="000000"/>
          <w:sz w:val="21"/>
          <w:szCs w:val="21"/>
        </w:rPr>
        <w:t>a población no afiliada al Seguro Social, sumándonos al esfuerzo nacional por contener la</w:t>
      </w:r>
      <w:r w:rsidR="006724B7">
        <w:rPr>
          <w:rFonts w:ascii="Montserrat" w:eastAsia="Montserrat" w:hAnsi="Montserrat" w:cs="Montserrat"/>
          <w:color w:val="000000"/>
          <w:sz w:val="21"/>
          <w:szCs w:val="21"/>
        </w:rPr>
        <w:t xml:space="preserve"> </w:t>
      </w:r>
      <w:r w:rsidR="002F2514" w:rsidRPr="006724B7">
        <w:rPr>
          <w:rFonts w:ascii="Montserrat" w:eastAsia="Montserrat" w:hAnsi="Montserrat" w:cs="Montserrat"/>
          <w:color w:val="000000"/>
          <w:sz w:val="21"/>
          <w:szCs w:val="21"/>
        </w:rPr>
        <w:t>propagación de esta enfermedad.</w:t>
      </w:r>
    </w:p>
    <w:p w14:paraId="0F080F88" w14:textId="77777777" w:rsidR="007F233E" w:rsidRDefault="007F233E" w:rsidP="007F233E">
      <w:pPr>
        <w:pStyle w:val="ListParagraph"/>
        <w:spacing w:after="160" w:line="259" w:lineRule="auto"/>
        <w:ind w:left="360"/>
        <w:jc w:val="both"/>
        <w:rPr>
          <w:rFonts w:ascii="Montserrat" w:eastAsia="Montserrat" w:hAnsi="Montserrat" w:cs="Montserrat"/>
          <w:b/>
          <w:color w:val="000000"/>
          <w:sz w:val="21"/>
          <w:szCs w:val="21"/>
        </w:rPr>
      </w:pPr>
    </w:p>
    <w:p w14:paraId="0F080F89" w14:textId="77777777" w:rsidR="007F233E" w:rsidRDefault="007F233E" w:rsidP="007F233E">
      <w:pPr>
        <w:pStyle w:val="ListParagraph"/>
        <w:spacing w:after="160" w:line="259" w:lineRule="auto"/>
        <w:ind w:left="360"/>
        <w:jc w:val="both"/>
        <w:rPr>
          <w:rFonts w:ascii="Montserrat" w:eastAsia="Montserrat" w:hAnsi="Montserrat" w:cs="Montserrat"/>
          <w:b/>
          <w:color w:val="000000"/>
          <w:sz w:val="21"/>
          <w:szCs w:val="21"/>
        </w:rPr>
      </w:pPr>
    </w:p>
    <w:p w14:paraId="0F080F8A" w14:textId="77777777" w:rsidR="007F233E" w:rsidRPr="007F233E" w:rsidRDefault="007F233E" w:rsidP="007F233E">
      <w:pPr>
        <w:pStyle w:val="ListParagraph"/>
        <w:numPr>
          <w:ilvl w:val="0"/>
          <w:numId w:val="7"/>
        </w:numPr>
        <w:spacing w:after="0"/>
        <w:jc w:val="both"/>
        <w:rPr>
          <w:rFonts w:ascii="Montserrat" w:eastAsia="Montserrat" w:hAnsi="Montserrat" w:cs="Montserrat"/>
          <w:b/>
          <w:color w:val="000000"/>
          <w:sz w:val="21"/>
          <w:szCs w:val="21"/>
        </w:rPr>
      </w:pPr>
      <w:r w:rsidRPr="007F233E">
        <w:rPr>
          <w:rFonts w:ascii="Montserrat" w:eastAsia="Montserrat" w:hAnsi="Montserrat" w:cs="Montserrat"/>
          <w:b/>
          <w:color w:val="000000"/>
          <w:sz w:val="21"/>
          <w:szCs w:val="21"/>
        </w:rPr>
        <w:t>Buenas prácticas y los principales desafíos para asegurar el acceso universal a las vacunas contra la COVID-19 y su distribución de manera asequible, oportuna, equitativa y universal.</w:t>
      </w:r>
    </w:p>
    <w:p w14:paraId="0F080F8B" w14:textId="77777777" w:rsidR="009B310E" w:rsidRDefault="009B310E" w:rsidP="004F60A5">
      <w:pPr>
        <w:pStyle w:val="ListParagraph"/>
        <w:spacing w:after="0" w:line="259" w:lineRule="auto"/>
        <w:ind w:left="360"/>
        <w:jc w:val="both"/>
        <w:rPr>
          <w:rFonts w:ascii="Montserrat" w:eastAsia="Montserrat" w:hAnsi="Montserrat" w:cs="Montserrat"/>
          <w:color w:val="000000"/>
          <w:sz w:val="21"/>
          <w:szCs w:val="21"/>
        </w:rPr>
      </w:pPr>
    </w:p>
    <w:p w14:paraId="0F080F8C" w14:textId="77777777" w:rsidR="00CD5143" w:rsidRDefault="00CD5143" w:rsidP="004F60A5">
      <w:pPr>
        <w:pStyle w:val="ListParagraph"/>
        <w:spacing w:after="0" w:line="259" w:lineRule="auto"/>
        <w:ind w:left="360"/>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Buenas prácticas: </w:t>
      </w:r>
    </w:p>
    <w:p w14:paraId="0F080F8D" w14:textId="77777777" w:rsidR="00CD5143" w:rsidRDefault="00CD5143" w:rsidP="004F60A5">
      <w:pPr>
        <w:pStyle w:val="ListParagraph"/>
        <w:spacing w:after="0" w:line="259" w:lineRule="auto"/>
        <w:ind w:left="360"/>
        <w:jc w:val="both"/>
        <w:rPr>
          <w:rFonts w:ascii="Montserrat" w:eastAsia="Montserrat" w:hAnsi="Montserrat" w:cs="Montserrat"/>
          <w:color w:val="000000"/>
          <w:sz w:val="21"/>
          <w:szCs w:val="21"/>
        </w:rPr>
      </w:pPr>
    </w:p>
    <w:p w14:paraId="0F080F8E" w14:textId="77777777" w:rsidR="00CD5143" w:rsidRDefault="00CD5143" w:rsidP="00CD5143">
      <w:pPr>
        <w:pStyle w:val="ListParagraph"/>
        <w:numPr>
          <w:ilvl w:val="0"/>
          <w:numId w:val="8"/>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La coordinación con el Ministerio de Salud Pública y Asistencia social, de quien se recibieron </w:t>
      </w:r>
      <w:r w:rsidR="002F2514" w:rsidRPr="002F2514">
        <w:rPr>
          <w:rFonts w:ascii="Montserrat" w:eastAsia="Montserrat" w:hAnsi="Montserrat" w:cs="Montserrat"/>
          <w:color w:val="000000"/>
          <w:sz w:val="21"/>
          <w:szCs w:val="21"/>
        </w:rPr>
        <w:t>2,179,400 dosis de</w:t>
      </w:r>
      <w:r w:rsidR="004F60A5">
        <w:rPr>
          <w:rFonts w:ascii="Montserrat" w:eastAsia="Montserrat" w:hAnsi="Montserrat" w:cs="Montserrat"/>
          <w:color w:val="000000"/>
          <w:sz w:val="21"/>
          <w:szCs w:val="21"/>
        </w:rPr>
        <w:t xml:space="preserve"> </w:t>
      </w:r>
      <w:r>
        <w:rPr>
          <w:rFonts w:ascii="Montserrat" w:eastAsia="Montserrat" w:hAnsi="Montserrat" w:cs="Montserrat"/>
          <w:color w:val="000000"/>
          <w:sz w:val="21"/>
          <w:szCs w:val="21"/>
        </w:rPr>
        <w:t>vacunas contra COVID-19,</w:t>
      </w:r>
    </w:p>
    <w:p w14:paraId="0F080F8F" w14:textId="77777777" w:rsidR="00427BE0" w:rsidRDefault="00CD5143" w:rsidP="00427BE0">
      <w:pPr>
        <w:pStyle w:val="ListParagraph"/>
        <w:numPr>
          <w:ilvl w:val="0"/>
          <w:numId w:val="8"/>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La compra directa con el </w:t>
      </w:r>
      <w:r w:rsidR="002F2514" w:rsidRPr="004F60A5">
        <w:rPr>
          <w:rFonts w:ascii="Montserrat" w:eastAsia="Montserrat" w:hAnsi="Montserrat" w:cs="Montserrat"/>
          <w:color w:val="000000"/>
          <w:sz w:val="21"/>
          <w:szCs w:val="21"/>
        </w:rPr>
        <w:t>Fabricante a través de la compra</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bilateral.</w:t>
      </w:r>
    </w:p>
    <w:p w14:paraId="0F080F90" w14:textId="77777777" w:rsidR="00427BE0" w:rsidRDefault="002F2514" w:rsidP="00427BE0">
      <w:pPr>
        <w:pStyle w:val="ListParagraph"/>
        <w:numPr>
          <w:ilvl w:val="0"/>
          <w:numId w:val="8"/>
        </w:numPr>
        <w:spacing w:after="0" w:line="259" w:lineRule="auto"/>
        <w:jc w:val="both"/>
        <w:rPr>
          <w:rFonts w:ascii="Montserrat" w:eastAsia="Montserrat" w:hAnsi="Montserrat" w:cs="Montserrat"/>
          <w:color w:val="000000"/>
          <w:sz w:val="21"/>
          <w:szCs w:val="21"/>
        </w:rPr>
      </w:pPr>
      <w:r w:rsidRPr="00427BE0">
        <w:rPr>
          <w:rFonts w:ascii="Montserrat" w:eastAsia="Montserrat" w:hAnsi="Montserrat" w:cs="Montserrat"/>
          <w:color w:val="000000"/>
          <w:sz w:val="21"/>
          <w:szCs w:val="21"/>
        </w:rPr>
        <w:t>Hasta el cierre del mes de agosto de 2022, se reporta la cantidad</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de 1,774,706 dosis administradas, 298,401 frascos utilizados y 924 frascos de vacunas</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disponibles para la inmunización de las personas, de las diferentes plataformas</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desarrolladas por los fabricantes autorizados a nivel internacional (Pfizer/BioNTech,</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Moderna, AstraZeneca, Sputnik-V), dirigida a la vacunación de la población en general,</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incluidos el personal de salud, los adultos mayores, los pacientes con comorbilidades, los</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adolescentes y los niños de 6 a 11 años de edad.</w:t>
      </w:r>
      <w:r w:rsidR="004F60A5" w:rsidRPr="00427BE0">
        <w:rPr>
          <w:rFonts w:ascii="Montserrat" w:eastAsia="Montserrat" w:hAnsi="Montserrat" w:cs="Montserrat"/>
          <w:color w:val="000000"/>
          <w:sz w:val="21"/>
          <w:szCs w:val="21"/>
        </w:rPr>
        <w:t xml:space="preserve"> </w:t>
      </w:r>
    </w:p>
    <w:p w14:paraId="0F080F91" w14:textId="77777777" w:rsidR="00AE0894" w:rsidRDefault="002F2514" w:rsidP="00427BE0">
      <w:pPr>
        <w:pStyle w:val="ListParagraph"/>
        <w:numPr>
          <w:ilvl w:val="0"/>
          <w:numId w:val="8"/>
        </w:numPr>
        <w:spacing w:after="0" w:line="259" w:lineRule="auto"/>
        <w:jc w:val="both"/>
        <w:rPr>
          <w:rFonts w:ascii="Montserrat" w:eastAsia="Montserrat" w:hAnsi="Montserrat" w:cs="Montserrat"/>
          <w:color w:val="000000"/>
          <w:sz w:val="21"/>
          <w:szCs w:val="21"/>
        </w:rPr>
      </w:pPr>
      <w:r w:rsidRPr="00427BE0">
        <w:rPr>
          <w:rFonts w:ascii="Montserrat" w:eastAsia="Montserrat" w:hAnsi="Montserrat" w:cs="Montserrat"/>
          <w:color w:val="000000"/>
          <w:sz w:val="21"/>
          <w:szCs w:val="21"/>
        </w:rPr>
        <w:t>Para llevar a cabo la vacunación contra COVID-19 dirigida a la población afiliada y</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derecho</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habiente al Seguro Social (que posteriormente se amplió a la población no afiliada</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por orden del ente rector de la Salud en el país, el Ministerio de Salud Pública y Asistencia</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Social), se implementaron diferentes estrategias de vacunación</w:t>
      </w:r>
      <w:r w:rsidR="00AE0894">
        <w:rPr>
          <w:rFonts w:ascii="Montserrat" w:eastAsia="Montserrat" w:hAnsi="Montserrat" w:cs="Montserrat"/>
          <w:color w:val="000000"/>
          <w:sz w:val="21"/>
          <w:szCs w:val="21"/>
        </w:rPr>
        <w:t>:</w:t>
      </w:r>
    </w:p>
    <w:p w14:paraId="0F080F92" w14:textId="77777777" w:rsidR="00F03109" w:rsidRDefault="00F03109" w:rsidP="00F03109">
      <w:pPr>
        <w:pStyle w:val="ListParagraph"/>
        <w:spacing w:after="0" w:line="259" w:lineRule="auto"/>
        <w:ind w:left="1080"/>
        <w:jc w:val="both"/>
        <w:rPr>
          <w:rFonts w:ascii="Montserrat" w:eastAsia="Montserrat" w:hAnsi="Montserrat" w:cs="Montserrat"/>
          <w:color w:val="000000"/>
          <w:sz w:val="21"/>
          <w:szCs w:val="21"/>
        </w:rPr>
      </w:pPr>
    </w:p>
    <w:p w14:paraId="0F080F93" w14:textId="77777777" w:rsidR="00F35BB6" w:rsidRDefault="00AE0894" w:rsidP="00AE0894">
      <w:pPr>
        <w:pStyle w:val="ListParagraph"/>
        <w:numPr>
          <w:ilvl w:val="1"/>
          <w:numId w:val="8"/>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Habilitación de </w:t>
      </w:r>
      <w:r w:rsidR="002F2514" w:rsidRPr="00427BE0">
        <w:rPr>
          <w:rFonts w:ascii="Montserrat" w:eastAsia="Montserrat" w:hAnsi="Montserrat" w:cs="Montserrat"/>
          <w:color w:val="000000"/>
          <w:sz w:val="21"/>
          <w:szCs w:val="21"/>
        </w:rPr>
        <w:t>108</w:t>
      </w:r>
      <w:r w:rsidR="004F60A5" w:rsidRPr="00427BE0">
        <w:rPr>
          <w:rFonts w:ascii="Montserrat" w:eastAsia="Montserrat" w:hAnsi="Montserrat" w:cs="Montserrat"/>
          <w:color w:val="000000"/>
          <w:sz w:val="21"/>
          <w:szCs w:val="21"/>
        </w:rPr>
        <w:t xml:space="preserve"> </w:t>
      </w:r>
      <w:proofErr w:type="spellStart"/>
      <w:r w:rsidR="002F2514" w:rsidRPr="00427BE0">
        <w:rPr>
          <w:rFonts w:ascii="Montserrat" w:eastAsia="Montserrat" w:hAnsi="Montserrat" w:cs="Montserrat"/>
          <w:color w:val="000000"/>
          <w:sz w:val="21"/>
          <w:szCs w:val="21"/>
        </w:rPr>
        <w:t>vacunatorios</w:t>
      </w:r>
      <w:proofErr w:type="spellEnd"/>
      <w:r w:rsidR="002F2514" w:rsidRPr="00427BE0">
        <w:rPr>
          <w:rFonts w:ascii="Montserrat" w:eastAsia="Montserrat" w:hAnsi="Montserrat" w:cs="Montserrat"/>
          <w:color w:val="000000"/>
          <w:sz w:val="21"/>
          <w:szCs w:val="21"/>
        </w:rPr>
        <w:t xml:space="preserve"> fijos habilitados en las </w:t>
      </w:r>
      <w:r w:rsidR="00F35BB6">
        <w:rPr>
          <w:rFonts w:ascii="Montserrat" w:eastAsia="Montserrat" w:hAnsi="Montserrat" w:cs="Montserrat"/>
          <w:color w:val="000000"/>
          <w:sz w:val="21"/>
          <w:szCs w:val="21"/>
        </w:rPr>
        <w:t>Unidades Médicas del Instituto:</w:t>
      </w:r>
    </w:p>
    <w:p w14:paraId="0F080F94" w14:textId="77777777" w:rsidR="00F35BB6" w:rsidRDefault="002F2514" w:rsidP="00F35BB6">
      <w:pPr>
        <w:pStyle w:val="ListParagraph"/>
        <w:numPr>
          <w:ilvl w:val="2"/>
          <w:numId w:val="8"/>
        </w:numPr>
        <w:spacing w:after="0" w:line="259" w:lineRule="auto"/>
        <w:jc w:val="both"/>
        <w:rPr>
          <w:rFonts w:ascii="Montserrat" w:eastAsia="Montserrat" w:hAnsi="Montserrat" w:cs="Montserrat"/>
          <w:color w:val="000000"/>
          <w:sz w:val="21"/>
          <w:szCs w:val="21"/>
        </w:rPr>
      </w:pPr>
      <w:r w:rsidRPr="00427BE0">
        <w:rPr>
          <w:rFonts w:ascii="Montserrat" w:eastAsia="Montserrat" w:hAnsi="Montserrat" w:cs="Montserrat"/>
          <w:color w:val="000000"/>
          <w:sz w:val="21"/>
          <w:szCs w:val="21"/>
        </w:rPr>
        <w:t>22 centros en el área</w:t>
      </w:r>
      <w:r w:rsidR="004F60A5" w:rsidRPr="00427BE0">
        <w:rPr>
          <w:rFonts w:ascii="Montserrat" w:eastAsia="Montserrat" w:hAnsi="Montserrat" w:cs="Montserrat"/>
          <w:color w:val="000000"/>
          <w:sz w:val="21"/>
          <w:szCs w:val="21"/>
        </w:rPr>
        <w:t xml:space="preserve"> </w:t>
      </w:r>
      <w:r w:rsidR="00F35BB6">
        <w:rPr>
          <w:rFonts w:ascii="Montserrat" w:eastAsia="Montserrat" w:hAnsi="Montserrat" w:cs="Montserrat"/>
          <w:color w:val="000000"/>
          <w:sz w:val="21"/>
          <w:szCs w:val="21"/>
        </w:rPr>
        <w:t>metropolitana;</w:t>
      </w:r>
    </w:p>
    <w:p w14:paraId="0F080F95" w14:textId="77777777" w:rsidR="00F35BB6" w:rsidRDefault="002F2514" w:rsidP="00F35BB6">
      <w:pPr>
        <w:pStyle w:val="ListParagraph"/>
        <w:numPr>
          <w:ilvl w:val="2"/>
          <w:numId w:val="8"/>
        </w:numPr>
        <w:spacing w:after="0" w:line="259" w:lineRule="auto"/>
        <w:jc w:val="both"/>
        <w:rPr>
          <w:rFonts w:ascii="Montserrat" w:eastAsia="Montserrat" w:hAnsi="Montserrat" w:cs="Montserrat"/>
          <w:color w:val="000000"/>
          <w:sz w:val="21"/>
          <w:szCs w:val="21"/>
        </w:rPr>
      </w:pPr>
      <w:r w:rsidRPr="00427BE0">
        <w:rPr>
          <w:rFonts w:ascii="Montserrat" w:eastAsia="Montserrat" w:hAnsi="Montserrat" w:cs="Montserrat"/>
          <w:color w:val="000000"/>
          <w:sz w:val="21"/>
          <w:szCs w:val="21"/>
        </w:rPr>
        <w:t xml:space="preserve">86 centros en el área departamental), </w:t>
      </w:r>
    </w:p>
    <w:p w14:paraId="0F080F96" w14:textId="77777777" w:rsidR="00F35BB6" w:rsidRDefault="002F2514" w:rsidP="00F35BB6">
      <w:pPr>
        <w:pStyle w:val="ListParagraph"/>
        <w:numPr>
          <w:ilvl w:val="1"/>
          <w:numId w:val="8"/>
        </w:numPr>
        <w:spacing w:after="0" w:line="259" w:lineRule="auto"/>
        <w:jc w:val="both"/>
        <w:rPr>
          <w:rFonts w:ascii="Montserrat" w:eastAsia="Montserrat" w:hAnsi="Montserrat" w:cs="Montserrat"/>
          <w:color w:val="000000"/>
          <w:sz w:val="21"/>
          <w:szCs w:val="21"/>
        </w:rPr>
      </w:pPr>
      <w:r w:rsidRPr="00427BE0">
        <w:rPr>
          <w:rFonts w:ascii="Montserrat" w:eastAsia="Montserrat" w:hAnsi="Montserrat" w:cs="Montserrat"/>
          <w:color w:val="000000"/>
          <w:sz w:val="21"/>
          <w:szCs w:val="21"/>
        </w:rPr>
        <w:t>78 brigadas de vacunación</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 xml:space="preserve">dirigidas a empresas e instituciones gubernamentales y no gubernamentales y </w:t>
      </w:r>
    </w:p>
    <w:p w14:paraId="0F080F97" w14:textId="77777777" w:rsidR="00F35BB6" w:rsidRDefault="002F2514" w:rsidP="00F35BB6">
      <w:pPr>
        <w:pStyle w:val="ListParagraph"/>
        <w:numPr>
          <w:ilvl w:val="1"/>
          <w:numId w:val="8"/>
        </w:numPr>
        <w:spacing w:after="0" w:line="259" w:lineRule="auto"/>
        <w:jc w:val="both"/>
        <w:rPr>
          <w:rFonts w:ascii="Montserrat" w:eastAsia="Montserrat" w:hAnsi="Montserrat" w:cs="Montserrat"/>
          <w:color w:val="000000"/>
          <w:sz w:val="21"/>
          <w:szCs w:val="21"/>
        </w:rPr>
      </w:pPr>
      <w:r w:rsidRPr="00427BE0">
        <w:rPr>
          <w:rFonts w:ascii="Montserrat" w:eastAsia="Montserrat" w:hAnsi="Montserrat" w:cs="Montserrat"/>
          <w:color w:val="000000"/>
          <w:sz w:val="21"/>
          <w:szCs w:val="21"/>
        </w:rPr>
        <w:t>54</w:t>
      </w:r>
      <w:r w:rsidR="004F60A5" w:rsidRPr="00427BE0">
        <w:rPr>
          <w:rFonts w:ascii="Montserrat" w:eastAsia="Montserrat" w:hAnsi="Montserrat" w:cs="Montserrat"/>
          <w:color w:val="000000"/>
          <w:sz w:val="21"/>
          <w:szCs w:val="21"/>
        </w:rPr>
        <w:t xml:space="preserve"> </w:t>
      </w:r>
      <w:proofErr w:type="gramStart"/>
      <w:r w:rsidRPr="00427BE0">
        <w:rPr>
          <w:rFonts w:ascii="Montserrat" w:eastAsia="Montserrat" w:hAnsi="Montserrat" w:cs="Montserrat"/>
          <w:color w:val="000000"/>
          <w:sz w:val="21"/>
          <w:szCs w:val="21"/>
        </w:rPr>
        <w:t>Unidades</w:t>
      </w:r>
      <w:proofErr w:type="gramEnd"/>
      <w:r w:rsidRPr="00427BE0">
        <w:rPr>
          <w:rFonts w:ascii="Montserrat" w:eastAsia="Montserrat" w:hAnsi="Montserrat" w:cs="Montserrat"/>
          <w:color w:val="000000"/>
          <w:sz w:val="21"/>
          <w:szCs w:val="21"/>
        </w:rPr>
        <w:t xml:space="preserve"> Integrales de Adscripción y Puestos de Salud del Instituto. </w:t>
      </w:r>
    </w:p>
    <w:p w14:paraId="0F080F98" w14:textId="77777777" w:rsidR="002F2514" w:rsidRPr="00427BE0" w:rsidRDefault="002F2514" w:rsidP="00F35BB6">
      <w:pPr>
        <w:pStyle w:val="ListParagraph"/>
        <w:numPr>
          <w:ilvl w:val="1"/>
          <w:numId w:val="8"/>
        </w:numPr>
        <w:spacing w:after="0" w:line="259" w:lineRule="auto"/>
        <w:jc w:val="both"/>
        <w:rPr>
          <w:rFonts w:ascii="Montserrat" w:eastAsia="Montserrat" w:hAnsi="Montserrat" w:cs="Montserrat"/>
          <w:color w:val="000000"/>
          <w:sz w:val="21"/>
          <w:szCs w:val="21"/>
        </w:rPr>
      </w:pPr>
      <w:r w:rsidRPr="00427BE0">
        <w:rPr>
          <w:rFonts w:ascii="Montserrat" w:eastAsia="Montserrat" w:hAnsi="Montserrat" w:cs="Montserrat"/>
          <w:color w:val="000000"/>
          <w:sz w:val="21"/>
          <w:szCs w:val="21"/>
        </w:rPr>
        <w:lastRenderedPageBreak/>
        <w:t>26 centros de vacunación móviles, con el propósito de abarcar un mayor rango de</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población, estableciéndose esto mismos en lugares de mayor afluencia de personas como</w:t>
      </w:r>
      <w:r w:rsidR="004F60A5" w:rsidRPr="00427BE0">
        <w:rPr>
          <w:rFonts w:ascii="Montserrat" w:eastAsia="Montserrat" w:hAnsi="Montserrat" w:cs="Montserrat"/>
          <w:color w:val="000000"/>
          <w:sz w:val="21"/>
          <w:szCs w:val="21"/>
        </w:rPr>
        <w:t xml:space="preserve"> </w:t>
      </w:r>
      <w:r w:rsidRPr="00427BE0">
        <w:rPr>
          <w:rFonts w:ascii="Montserrat" w:eastAsia="Montserrat" w:hAnsi="Montserrat" w:cs="Montserrat"/>
          <w:color w:val="000000"/>
          <w:sz w:val="21"/>
          <w:szCs w:val="21"/>
        </w:rPr>
        <w:t>plazas, centros comerciales, parques, entre otras.</w:t>
      </w:r>
    </w:p>
    <w:p w14:paraId="0F080F99" w14:textId="77777777" w:rsidR="00F35BB6" w:rsidRDefault="00F35BB6" w:rsidP="004F60A5">
      <w:pPr>
        <w:pStyle w:val="ListParagraph"/>
        <w:spacing w:after="0" w:line="259" w:lineRule="auto"/>
        <w:ind w:left="360"/>
        <w:jc w:val="both"/>
        <w:rPr>
          <w:rFonts w:ascii="Montserrat" w:eastAsia="Montserrat" w:hAnsi="Montserrat" w:cs="Montserrat"/>
          <w:color w:val="000000"/>
          <w:sz w:val="21"/>
          <w:szCs w:val="21"/>
        </w:rPr>
      </w:pPr>
    </w:p>
    <w:p w14:paraId="0F080F9A" w14:textId="77777777" w:rsidR="00F35BB6" w:rsidRDefault="00F35BB6" w:rsidP="00F35BB6">
      <w:pPr>
        <w:pStyle w:val="ListParagraph"/>
        <w:numPr>
          <w:ilvl w:val="0"/>
          <w:numId w:val="9"/>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Con el Sector Privado:</w:t>
      </w:r>
    </w:p>
    <w:p w14:paraId="0F080F9B" w14:textId="77777777" w:rsidR="00F35BB6" w:rsidRDefault="002F2514" w:rsidP="00F35BB6">
      <w:pPr>
        <w:pStyle w:val="ListParagraph"/>
        <w:numPr>
          <w:ilvl w:val="1"/>
          <w:numId w:val="9"/>
        </w:numPr>
        <w:spacing w:after="0" w:line="259" w:lineRule="auto"/>
        <w:jc w:val="both"/>
        <w:rPr>
          <w:rFonts w:ascii="Montserrat" w:eastAsia="Montserrat" w:hAnsi="Montserrat" w:cs="Montserrat"/>
          <w:color w:val="000000"/>
          <w:sz w:val="21"/>
          <w:szCs w:val="21"/>
        </w:rPr>
      </w:pPr>
      <w:r w:rsidRPr="002F2514">
        <w:rPr>
          <w:rFonts w:ascii="Montserrat" w:eastAsia="Montserrat" w:hAnsi="Montserrat" w:cs="Montserrat"/>
          <w:color w:val="000000"/>
          <w:sz w:val="21"/>
          <w:szCs w:val="21"/>
        </w:rPr>
        <w:t>Se realizó la vacunación de 2,160 empresas a niv</w:t>
      </w:r>
      <w:r w:rsidR="004F60A5">
        <w:rPr>
          <w:rFonts w:ascii="Montserrat" w:eastAsia="Montserrat" w:hAnsi="Montserrat" w:cs="Montserrat"/>
          <w:color w:val="000000"/>
          <w:sz w:val="21"/>
          <w:szCs w:val="21"/>
        </w:rPr>
        <w:t xml:space="preserve">el nacional durante el año 2021 </w:t>
      </w:r>
      <w:r w:rsidRPr="004F60A5">
        <w:rPr>
          <w:rFonts w:ascii="Montserrat" w:eastAsia="Montserrat" w:hAnsi="Montserrat" w:cs="Montserrat"/>
          <w:color w:val="000000"/>
          <w:sz w:val="21"/>
          <w:szCs w:val="21"/>
        </w:rPr>
        <w:t xml:space="preserve">alcanzando un total de 240,400 trabajadores. </w:t>
      </w:r>
    </w:p>
    <w:p w14:paraId="0F080F9C" w14:textId="77777777" w:rsidR="002F2514" w:rsidRDefault="00F35BB6" w:rsidP="00F35BB6">
      <w:pPr>
        <w:pStyle w:val="ListParagraph"/>
        <w:numPr>
          <w:ilvl w:val="1"/>
          <w:numId w:val="9"/>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En </w:t>
      </w:r>
      <w:r w:rsidR="002F2514" w:rsidRPr="004F60A5">
        <w:rPr>
          <w:rFonts w:ascii="Montserrat" w:eastAsia="Montserrat" w:hAnsi="Montserrat" w:cs="Montserrat"/>
          <w:color w:val="000000"/>
          <w:sz w:val="21"/>
          <w:szCs w:val="21"/>
        </w:rPr>
        <w:t>2022 se</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vacunaron 2,701 empresas alcanzando la vacunación de 290,219 trabajadores de todos</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los sectores productivos del país, a través de la estrategia de brigadas de vacunación</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contra COVID-19.</w:t>
      </w:r>
    </w:p>
    <w:p w14:paraId="0F080F9D" w14:textId="77777777" w:rsidR="00F35BB6" w:rsidRPr="00F35BB6" w:rsidRDefault="00F35BB6" w:rsidP="00F35BB6">
      <w:pPr>
        <w:spacing w:after="0" w:line="259" w:lineRule="auto"/>
        <w:jc w:val="both"/>
        <w:rPr>
          <w:rFonts w:ascii="Montserrat" w:eastAsia="Montserrat" w:hAnsi="Montserrat" w:cs="Montserrat"/>
          <w:color w:val="000000"/>
          <w:sz w:val="21"/>
          <w:szCs w:val="21"/>
        </w:rPr>
      </w:pPr>
    </w:p>
    <w:p w14:paraId="0F080F9E" w14:textId="77777777" w:rsidR="002F2514" w:rsidRDefault="002F2514" w:rsidP="004F60A5">
      <w:pPr>
        <w:pStyle w:val="ListParagraph"/>
        <w:spacing w:after="0" w:line="259" w:lineRule="auto"/>
        <w:ind w:left="360"/>
        <w:jc w:val="both"/>
        <w:rPr>
          <w:rFonts w:ascii="Montserrat" w:eastAsia="Montserrat" w:hAnsi="Montserrat" w:cs="Montserrat"/>
          <w:color w:val="000000"/>
          <w:sz w:val="21"/>
          <w:szCs w:val="21"/>
        </w:rPr>
      </w:pPr>
      <w:r w:rsidRPr="002F2514">
        <w:rPr>
          <w:rFonts w:ascii="Montserrat" w:eastAsia="Montserrat" w:hAnsi="Montserrat" w:cs="Montserrat"/>
          <w:color w:val="000000"/>
          <w:sz w:val="21"/>
          <w:szCs w:val="21"/>
        </w:rPr>
        <w:t>Todo el personal de Salud del Instituto se inv</w:t>
      </w:r>
      <w:r w:rsidR="004F60A5">
        <w:rPr>
          <w:rFonts w:ascii="Montserrat" w:eastAsia="Montserrat" w:hAnsi="Montserrat" w:cs="Montserrat"/>
          <w:color w:val="000000"/>
          <w:sz w:val="21"/>
          <w:szCs w:val="21"/>
        </w:rPr>
        <w:t xml:space="preserve">olucró en la ejecución del Plan </w:t>
      </w:r>
      <w:r w:rsidRPr="004F60A5">
        <w:rPr>
          <w:rFonts w:ascii="Montserrat" w:eastAsia="Montserrat" w:hAnsi="Montserrat" w:cs="Montserrat"/>
          <w:color w:val="000000"/>
          <w:sz w:val="21"/>
          <w:szCs w:val="21"/>
        </w:rPr>
        <w:t>Nacional de Vacunación contra COVID-19 y el Plan Institucional de Vacunación contra</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COVID-19 y permaneció altamente comprometido con cada una de sus funciones,</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procurando la utilización óptima de las vacunas dentro del tiempo de su vida útil.</w:t>
      </w:r>
    </w:p>
    <w:p w14:paraId="0F080F9F" w14:textId="77777777" w:rsidR="00FA67D3" w:rsidRPr="004F60A5" w:rsidRDefault="00FA67D3" w:rsidP="004F60A5">
      <w:pPr>
        <w:pStyle w:val="ListParagraph"/>
        <w:spacing w:after="0" w:line="259" w:lineRule="auto"/>
        <w:ind w:left="360"/>
        <w:jc w:val="both"/>
        <w:rPr>
          <w:rFonts w:ascii="Montserrat" w:eastAsia="Montserrat" w:hAnsi="Montserrat" w:cs="Montserrat"/>
          <w:color w:val="000000"/>
          <w:sz w:val="21"/>
          <w:szCs w:val="21"/>
        </w:rPr>
      </w:pPr>
    </w:p>
    <w:p w14:paraId="0F080FA0" w14:textId="77777777" w:rsidR="003A734A" w:rsidRDefault="003A734A" w:rsidP="003A734A">
      <w:pPr>
        <w:pStyle w:val="ListParagraph"/>
        <w:numPr>
          <w:ilvl w:val="0"/>
          <w:numId w:val="9"/>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Estrategias de Comunicación y Difusión: </w:t>
      </w:r>
    </w:p>
    <w:p w14:paraId="0F080FA1" w14:textId="77777777" w:rsidR="003A734A" w:rsidRDefault="003A734A" w:rsidP="004F60A5">
      <w:pPr>
        <w:pStyle w:val="ListParagraph"/>
        <w:spacing w:after="0" w:line="259" w:lineRule="auto"/>
        <w:ind w:left="360"/>
        <w:jc w:val="both"/>
        <w:rPr>
          <w:rFonts w:ascii="Montserrat" w:eastAsia="Montserrat" w:hAnsi="Montserrat" w:cs="Montserrat"/>
          <w:color w:val="000000"/>
          <w:sz w:val="21"/>
          <w:szCs w:val="21"/>
        </w:rPr>
      </w:pPr>
    </w:p>
    <w:p w14:paraId="0F080FA2" w14:textId="77777777" w:rsidR="002F2514" w:rsidRDefault="003A734A" w:rsidP="004F60A5">
      <w:pPr>
        <w:pStyle w:val="ListParagraph"/>
        <w:spacing w:after="0" w:line="259" w:lineRule="auto"/>
        <w:ind w:left="360"/>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Fortalecimiento d</w:t>
      </w:r>
      <w:r w:rsidR="002F2514" w:rsidRPr="004F60A5">
        <w:rPr>
          <w:rFonts w:ascii="Montserrat" w:eastAsia="Montserrat" w:hAnsi="Montserrat" w:cs="Montserrat"/>
          <w:color w:val="000000"/>
          <w:sz w:val="21"/>
          <w:szCs w:val="21"/>
        </w:rPr>
        <w:t>el proceso de vacunación a través de las diferentes campañas de intensificación</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 xml:space="preserve">de la vacunación, dirigidas a varias audiencias, difundidas a través de </w:t>
      </w:r>
      <w:proofErr w:type="gramStart"/>
      <w:r w:rsidR="002F2514" w:rsidRPr="004F60A5">
        <w:rPr>
          <w:rFonts w:ascii="Montserrat" w:eastAsia="Montserrat" w:hAnsi="Montserrat" w:cs="Montserrat"/>
          <w:color w:val="000000"/>
          <w:sz w:val="21"/>
          <w:szCs w:val="21"/>
        </w:rPr>
        <w:t>los diferentes</w:t>
      </w:r>
      <w:r w:rsidR="004F60A5">
        <w:rPr>
          <w:rFonts w:ascii="Montserrat" w:eastAsia="Montserrat" w:hAnsi="Montserrat" w:cs="Montserrat"/>
          <w:color w:val="000000"/>
          <w:sz w:val="21"/>
          <w:szCs w:val="21"/>
        </w:rPr>
        <w:t xml:space="preserve"> medio</w:t>
      </w:r>
      <w:proofErr w:type="gramEnd"/>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de comunicación y redes sociales, en las cuales se incluyó la actualización de los</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centros de vacunación habilitados en las diferentes Unidades Médicas y ubicaciones</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externalizadas (centros comerciales, mercados, etc.), así como las actividades llevadas a</w:t>
      </w:r>
      <w:r w:rsidR="004F60A5">
        <w:rPr>
          <w:rFonts w:ascii="Montserrat" w:eastAsia="Montserrat" w:hAnsi="Montserrat" w:cs="Montserrat"/>
          <w:color w:val="000000"/>
          <w:sz w:val="21"/>
          <w:szCs w:val="21"/>
        </w:rPr>
        <w:t xml:space="preserve"> </w:t>
      </w:r>
      <w:r w:rsidR="002F2514" w:rsidRPr="004F60A5">
        <w:rPr>
          <w:rFonts w:ascii="Montserrat" w:eastAsia="Montserrat" w:hAnsi="Montserrat" w:cs="Montserrat"/>
          <w:color w:val="000000"/>
          <w:sz w:val="21"/>
          <w:szCs w:val="21"/>
        </w:rPr>
        <w:t>cabo localmente por las Unidades Médicas.</w:t>
      </w:r>
    </w:p>
    <w:p w14:paraId="0F080FA3" w14:textId="77777777" w:rsidR="006B6F10" w:rsidRDefault="006B6F10" w:rsidP="004F60A5">
      <w:pPr>
        <w:pStyle w:val="ListParagraph"/>
        <w:spacing w:after="0" w:line="259" w:lineRule="auto"/>
        <w:ind w:left="360"/>
        <w:jc w:val="both"/>
        <w:rPr>
          <w:rFonts w:ascii="Montserrat" w:eastAsia="Montserrat" w:hAnsi="Montserrat" w:cs="Montserrat"/>
          <w:color w:val="000000"/>
          <w:sz w:val="21"/>
          <w:szCs w:val="21"/>
        </w:rPr>
      </w:pPr>
    </w:p>
    <w:p w14:paraId="0F080FA4" w14:textId="77777777" w:rsidR="006B6F10" w:rsidRDefault="006B6F10" w:rsidP="006B6F10">
      <w:pPr>
        <w:pStyle w:val="ListParagraph"/>
        <w:numPr>
          <w:ilvl w:val="0"/>
          <w:numId w:val="9"/>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Implementación de sistemas </w:t>
      </w:r>
    </w:p>
    <w:p w14:paraId="0F080FA5" w14:textId="77777777" w:rsidR="00FA67D3" w:rsidRPr="004F60A5" w:rsidRDefault="00FA67D3" w:rsidP="004F60A5">
      <w:pPr>
        <w:pStyle w:val="ListParagraph"/>
        <w:spacing w:after="0" w:line="259" w:lineRule="auto"/>
        <w:ind w:left="360"/>
        <w:jc w:val="both"/>
        <w:rPr>
          <w:rFonts w:ascii="Montserrat" w:eastAsia="Montserrat" w:hAnsi="Montserrat" w:cs="Montserrat"/>
          <w:color w:val="000000"/>
          <w:sz w:val="21"/>
          <w:szCs w:val="21"/>
        </w:rPr>
      </w:pPr>
    </w:p>
    <w:p w14:paraId="0F080FA6" w14:textId="77777777" w:rsidR="002F2514" w:rsidRDefault="002F2514" w:rsidP="004F60A5">
      <w:pPr>
        <w:pStyle w:val="ListParagraph"/>
        <w:spacing w:after="0" w:line="259" w:lineRule="auto"/>
        <w:ind w:left="360"/>
        <w:jc w:val="both"/>
        <w:rPr>
          <w:rFonts w:ascii="Montserrat" w:eastAsia="Montserrat" w:hAnsi="Montserrat" w:cs="Montserrat"/>
          <w:color w:val="000000"/>
          <w:sz w:val="21"/>
          <w:szCs w:val="21"/>
        </w:rPr>
      </w:pPr>
      <w:r w:rsidRPr="002F2514">
        <w:rPr>
          <w:rFonts w:ascii="Montserrat" w:eastAsia="Montserrat" w:hAnsi="Montserrat" w:cs="Montserrat"/>
          <w:color w:val="000000"/>
          <w:sz w:val="21"/>
          <w:szCs w:val="21"/>
        </w:rPr>
        <w:t>El Departamento de Farmacovigilancia de la Dirección Terapéutica Centra</w:t>
      </w:r>
      <w:r w:rsidR="004F60A5">
        <w:rPr>
          <w:rFonts w:ascii="Montserrat" w:eastAsia="Montserrat" w:hAnsi="Montserrat" w:cs="Montserrat"/>
          <w:color w:val="000000"/>
          <w:sz w:val="21"/>
          <w:szCs w:val="21"/>
        </w:rPr>
        <w:t xml:space="preserve">l </w:t>
      </w:r>
      <w:r w:rsidRPr="004F60A5">
        <w:rPr>
          <w:rFonts w:ascii="Montserrat" w:eastAsia="Montserrat" w:hAnsi="Montserrat" w:cs="Montserrat"/>
          <w:color w:val="000000"/>
          <w:sz w:val="21"/>
          <w:szCs w:val="21"/>
        </w:rPr>
        <w:t>implementó un sistema de monitoreo de los Eventos Supuestamente Atribuidos a la</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Vacunación o Inmunización (ESAVI). A partir del 04 de marzo de 2021, cuando dio inicio</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el proceso de vacunación en el Instituto, al 25 de agosto de 2022, se recibió un total de</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1,725 ESAVI, de los cuales 1,164 son mujeres (67.48%) y 561 son hombres (32.52%). Del</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total de ESAVI, el 100% fueron clasificados como no graves (las cuales son comunes en</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los procesos de vacunación utilizando las diversas plataformas disponibles en el país) y el</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ningún paciente fue reportado como grave.</w:t>
      </w:r>
    </w:p>
    <w:p w14:paraId="0F080FA7" w14:textId="77777777" w:rsidR="001537BF" w:rsidRDefault="001537BF" w:rsidP="004F60A5">
      <w:pPr>
        <w:pStyle w:val="ListParagraph"/>
        <w:spacing w:after="0" w:line="259" w:lineRule="auto"/>
        <w:ind w:left="360"/>
        <w:jc w:val="both"/>
        <w:rPr>
          <w:rFonts w:ascii="Montserrat" w:eastAsia="Montserrat" w:hAnsi="Montserrat" w:cs="Montserrat"/>
          <w:color w:val="000000"/>
          <w:sz w:val="21"/>
          <w:szCs w:val="21"/>
        </w:rPr>
      </w:pPr>
    </w:p>
    <w:p w14:paraId="0F080FA8" w14:textId="77777777" w:rsidR="00F03109" w:rsidRDefault="00F03109" w:rsidP="004F60A5">
      <w:pPr>
        <w:pStyle w:val="ListParagraph"/>
        <w:spacing w:after="0" w:line="259" w:lineRule="auto"/>
        <w:ind w:left="360"/>
        <w:jc w:val="both"/>
        <w:rPr>
          <w:rFonts w:ascii="Montserrat" w:eastAsia="Montserrat" w:hAnsi="Montserrat" w:cs="Montserrat"/>
          <w:color w:val="000000"/>
          <w:sz w:val="21"/>
          <w:szCs w:val="21"/>
        </w:rPr>
      </w:pPr>
    </w:p>
    <w:p w14:paraId="0F080FA9" w14:textId="77777777" w:rsidR="00F03109" w:rsidRDefault="00F03109" w:rsidP="004F60A5">
      <w:pPr>
        <w:pStyle w:val="ListParagraph"/>
        <w:spacing w:after="0" w:line="259" w:lineRule="auto"/>
        <w:ind w:left="360"/>
        <w:jc w:val="both"/>
        <w:rPr>
          <w:rFonts w:ascii="Montserrat" w:eastAsia="Montserrat" w:hAnsi="Montserrat" w:cs="Montserrat"/>
          <w:color w:val="000000"/>
          <w:sz w:val="21"/>
          <w:szCs w:val="21"/>
        </w:rPr>
      </w:pPr>
    </w:p>
    <w:p w14:paraId="0F080FAA" w14:textId="77777777" w:rsidR="00F03109" w:rsidRDefault="00F03109" w:rsidP="004F60A5">
      <w:pPr>
        <w:pStyle w:val="ListParagraph"/>
        <w:spacing w:after="0" w:line="259" w:lineRule="auto"/>
        <w:ind w:left="360"/>
        <w:jc w:val="both"/>
        <w:rPr>
          <w:rFonts w:ascii="Montserrat" w:eastAsia="Montserrat" w:hAnsi="Montserrat" w:cs="Montserrat"/>
          <w:color w:val="000000"/>
          <w:sz w:val="21"/>
          <w:szCs w:val="21"/>
        </w:rPr>
      </w:pPr>
    </w:p>
    <w:p w14:paraId="0F080FAB" w14:textId="77777777" w:rsidR="00F03109" w:rsidRDefault="00F03109" w:rsidP="004F60A5">
      <w:pPr>
        <w:pStyle w:val="ListParagraph"/>
        <w:spacing w:after="0" w:line="259" w:lineRule="auto"/>
        <w:ind w:left="360"/>
        <w:jc w:val="both"/>
        <w:rPr>
          <w:rFonts w:ascii="Montserrat" w:eastAsia="Montserrat" w:hAnsi="Montserrat" w:cs="Montserrat"/>
          <w:color w:val="000000"/>
          <w:sz w:val="21"/>
          <w:szCs w:val="21"/>
        </w:rPr>
      </w:pPr>
    </w:p>
    <w:p w14:paraId="0F080FAC" w14:textId="77777777" w:rsidR="00F03109" w:rsidRDefault="00F03109" w:rsidP="004F60A5">
      <w:pPr>
        <w:pStyle w:val="ListParagraph"/>
        <w:spacing w:after="0" w:line="259" w:lineRule="auto"/>
        <w:ind w:left="360"/>
        <w:jc w:val="both"/>
        <w:rPr>
          <w:rFonts w:ascii="Montserrat" w:eastAsia="Montserrat" w:hAnsi="Montserrat" w:cs="Montserrat"/>
          <w:color w:val="000000"/>
          <w:sz w:val="21"/>
          <w:szCs w:val="21"/>
        </w:rPr>
      </w:pPr>
    </w:p>
    <w:p w14:paraId="0F080FAD" w14:textId="77777777" w:rsidR="001537BF" w:rsidRDefault="001537BF" w:rsidP="001537BF">
      <w:pPr>
        <w:pStyle w:val="ListParagraph"/>
        <w:numPr>
          <w:ilvl w:val="0"/>
          <w:numId w:val="9"/>
        </w:numPr>
        <w:spacing w:after="0" w:line="259" w:lineRule="auto"/>
        <w:jc w:val="both"/>
        <w:rPr>
          <w:rFonts w:ascii="Montserrat" w:eastAsia="Montserrat" w:hAnsi="Montserrat" w:cs="Montserrat"/>
          <w:color w:val="000000"/>
          <w:sz w:val="21"/>
          <w:szCs w:val="21"/>
        </w:rPr>
      </w:pPr>
      <w:r>
        <w:rPr>
          <w:rFonts w:ascii="Montserrat" w:eastAsia="Montserrat" w:hAnsi="Montserrat" w:cs="Montserrat"/>
          <w:color w:val="000000"/>
          <w:sz w:val="21"/>
          <w:szCs w:val="21"/>
        </w:rPr>
        <w:lastRenderedPageBreak/>
        <w:t>Monitoreo y Evaluación</w:t>
      </w:r>
    </w:p>
    <w:p w14:paraId="0F080FAE" w14:textId="77777777" w:rsidR="001537BF" w:rsidRPr="004F60A5" w:rsidRDefault="001537BF" w:rsidP="001537BF">
      <w:pPr>
        <w:pStyle w:val="ListParagraph"/>
        <w:spacing w:after="0" w:line="259" w:lineRule="auto"/>
        <w:ind w:left="1080"/>
        <w:jc w:val="both"/>
        <w:rPr>
          <w:rFonts w:ascii="Montserrat" w:eastAsia="Montserrat" w:hAnsi="Montserrat" w:cs="Montserrat"/>
          <w:color w:val="000000"/>
          <w:sz w:val="21"/>
          <w:szCs w:val="21"/>
        </w:rPr>
      </w:pPr>
    </w:p>
    <w:p w14:paraId="0F080FAF" w14:textId="77777777" w:rsidR="002F2514" w:rsidRDefault="002F2514" w:rsidP="004F60A5">
      <w:pPr>
        <w:pStyle w:val="ListParagraph"/>
        <w:spacing w:after="0" w:line="259" w:lineRule="auto"/>
        <w:ind w:left="360"/>
        <w:jc w:val="both"/>
        <w:rPr>
          <w:rFonts w:ascii="Montserrat" w:eastAsia="Montserrat" w:hAnsi="Montserrat" w:cs="Montserrat"/>
          <w:color w:val="000000"/>
          <w:sz w:val="21"/>
          <w:szCs w:val="21"/>
        </w:rPr>
      </w:pPr>
      <w:r w:rsidRPr="002F2514">
        <w:rPr>
          <w:rFonts w:ascii="Montserrat" w:eastAsia="Montserrat" w:hAnsi="Montserrat" w:cs="Montserrat"/>
          <w:color w:val="000000"/>
          <w:sz w:val="21"/>
          <w:szCs w:val="21"/>
        </w:rPr>
        <w:t xml:space="preserve">Como parte de las acciones realizadas, se </w:t>
      </w:r>
      <w:r w:rsidR="004F60A5">
        <w:rPr>
          <w:rFonts w:ascii="Montserrat" w:eastAsia="Montserrat" w:hAnsi="Montserrat" w:cs="Montserrat"/>
          <w:color w:val="000000"/>
          <w:sz w:val="21"/>
          <w:szCs w:val="21"/>
        </w:rPr>
        <w:t xml:space="preserve">llevó a cabo el Acompañamiento, </w:t>
      </w:r>
      <w:r w:rsidRPr="004F60A5">
        <w:rPr>
          <w:rFonts w:ascii="Montserrat" w:eastAsia="Montserrat" w:hAnsi="Montserrat" w:cs="Montserrat"/>
          <w:color w:val="000000"/>
          <w:sz w:val="21"/>
          <w:szCs w:val="21"/>
        </w:rPr>
        <w:t>Monitoreo, supervisión y Evaluación del proceso de vacunación, a través de los cuales se</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logró fortalecer localmente a los equipos de vacunación a través de personal vacunador,</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implementación de nuevas modalidades de vacunación, establecimiento de lugares de</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confluencia de personas como los son centros comerciales, empresas, mercados,</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cuerpos de socorro, entre otros, y las alianzas estratégicas con líderes comunitarios.</w:t>
      </w:r>
    </w:p>
    <w:p w14:paraId="0F080FB0" w14:textId="77777777" w:rsidR="001537BF" w:rsidRPr="004F60A5" w:rsidRDefault="001537BF" w:rsidP="004F60A5">
      <w:pPr>
        <w:pStyle w:val="ListParagraph"/>
        <w:spacing w:after="0" w:line="259" w:lineRule="auto"/>
        <w:ind w:left="360"/>
        <w:jc w:val="both"/>
        <w:rPr>
          <w:rFonts w:ascii="Montserrat" w:eastAsia="Montserrat" w:hAnsi="Montserrat" w:cs="Montserrat"/>
          <w:color w:val="000000"/>
          <w:sz w:val="21"/>
          <w:szCs w:val="21"/>
        </w:rPr>
      </w:pPr>
    </w:p>
    <w:p w14:paraId="0F080FB1" w14:textId="77777777" w:rsidR="002F2514" w:rsidRPr="004F60A5" w:rsidRDefault="002F2514" w:rsidP="004F60A5">
      <w:pPr>
        <w:pStyle w:val="ListParagraph"/>
        <w:spacing w:after="0" w:line="259" w:lineRule="auto"/>
        <w:ind w:left="360"/>
        <w:jc w:val="both"/>
        <w:rPr>
          <w:rFonts w:ascii="Montserrat" w:eastAsia="Montserrat" w:hAnsi="Montserrat" w:cs="Montserrat"/>
          <w:color w:val="000000"/>
          <w:sz w:val="21"/>
          <w:szCs w:val="21"/>
        </w:rPr>
      </w:pPr>
      <w:r w:rsidRPr="002F2514">
        <w:rPr>
          <w:rFonts w:ascii="Montserrat" w:eastAsia="Montserrat" w:hAnsi="Montserrat" w:cs="Montserrat"/>
          <w:color w:val="000000"/>
          <w:sz w:val="21"/>
          <w:szCs w:val="21"/>
        </w:rPr>
        <w:t>Finalmente, se informa que el Instituto Guatemalt</w:t>
      </w:r>
      <w:r w:rsidR="004F60A5">
        <w:rPr>
          <w:rFonts w:ascii="Montserrat" w:eastAsia="Montserrat" w:hAnsi="Montserrat" w:cs="Montserrat"/>
          <w:color w:val="000000"/>
          <w:sz w:val="21"/>
          <w:szCs w:val="21"/>
        </w:rPr>
        <w:t xml:space="preserve">eco de Seguridad Social realizó </w:t>
      </w:r>
      <w:r w:rsidRPr="004F60A5">
        <w:rPr>
          <w:rFonts w:ascii="Montserrat" w:eastAsia="Montserrat" w:hAnsi="Montserrat" w:cs="Montserrat"/>
          <w:color w:val="000000"/>
          <w:sz w:val="21"/>
          <w:szCs w:val="21"/>
        </w:rPr>
        <w:t>todas las gestiones necesarias para brindar las líneas de acción prioritarias y esenciales</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para garantizar, de manera segura, la inmunización contra COVID-19, de acuerdo al Plan</w:t>
      </w:r>
      <w:r w:rsidR="004F60A5">
        <w:rPr>
          <w:rFonts w:ascii="Montserrat" w:eastAsia="Montserrat" w:hAnsi="Montserrat" w:cs="Montserrat"/>
          <w:color w:val="000000"/>
          <w:sz w:val="21"/>
          <w:szCs w:val="21"/>
        </w:rPr>
        <w:t xml:space="preserve"> n</w:t>
      </w:r>
      <w:r w:rsidRPr="004F60A5">
        <w:rPr>
          <w:rFonts w:ascii="Montserrat" w:eastAsia="Montserrat" w:hAnsi="Montserrat" w:cs="Montserrat"/>
          <w:color w:val="000000"/>
          <w:sz w:val="21"/>
          <w:szCs w:val="21"/>
        </w:rPr>
        <w:t>acional de Vacunación contra COVID-19. No obstante, el presente Informe puede ser</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sujeto a ser ampliado, detallado o cualquier otra que estime la Comisión Presidencial por</w:t>
      </w:r>
      <w:r w:rsidR="004F60A5">
        <w:rPr>
          <w:rFonts w:ascii="Montserrat" w:eastAsia="Montserrat" w:hAnsi="Montserrat" w:cs="Montserrat"/>
          <w:color w:val="000000"/>
          <w:sz w:val="21"/>
          <w:szCs w:val="21"/>
        </w:rPr>
        <w:t xml:space="preserve"> </w:t>
      </w:r>
      <w:r w:rsidRPr="004F60A5">
        <w:rPr>
          <w:rFonts w:ascii="Montserrat" w:eastAsia="Montserrat" w:hAnsi="Montserrat" w:cs="Montserrat"/>
          <w:color w:val="000000"/>
          <w:sz w:val="21"/>
          <w:szCs w:val="21"/>
        </w:rPr>
        <w:t>la Paz y los Derechos Humanos, tomando en cuenta que el proceso de vacunación contra</w:t>
      </w:r>
    </w:p>
    <w:p w14:paraId="0F080FB2" w14:textId="77777777" w:rsidR="002F2514" w:rsidRPr="001537BF" w:rsidRDefault="002F2514" w:rsidP="001537BF">
      <w:pPr>
        <w:pStyle w:val="ListParagraph"/>
        <w:spacing w:after="0" w:line="259" w:lineRule="auto"/>
        <w:ind w:left="360"/>
        <w:jc w:val="both"/>
        <w:rPr>
          <w:rFonts w:ascii="Montserrat" w:eastAsia="Montserrat" w:hAnsi="Montserrat" w:cs="Montserrat"/>
          <w:color w:val="000000"/>
          <w:sz w:val="21"/>
          <w:szCs w:val="21"/>
        </w:rPr>
      </w:pPr>
      <w:r w:rsidRPr="002F2514">
        <w:rPr>
          <w:rFonts w:ascii="Montserrat" w:eastAsia="Montserrat" w:hAnsi="Montserrat" w:cs="Montserrat"/>
          <w:color w:val="000000"/>
          <w:sz w:val="21"/>
          <w:szCs w:val="21"/>
        </w:rPr>
        <w:t>COVID-19 continua vigente en el país. Lo anterior, se traslada para su conocimiento en</w:t>
      </w:r>
      <w:r w:rsidR="001537BF">
        <w:rPr>
          <w:rFonts w:ascii="Montserrat" w:eastAsia="Montserrat" w:hAnsi="Montserrat" w:cs="Montserrat"/>
          <w:color w:val="000000"/>
          <w:sz w:val="21"/>
          <w:szCs w:val="21"/>
        </w:rPr>
        <w:t xml:space="preserve"> </w:t>
      </w:r>
      <w:r w:rsidRPr="001537BF">
        <w:rPr>
          <w:rFonts w:ascii="Montserrat" w:eastAsia="Montserrat" w:hAnsi="Montserrat" w:cs="Montserrat"/>
          <w:color w:val="000000"/>
          <w:sz w:val="21"/>
          <w:szCs w:val="21"/>
        </w:rPr>
        <w:t>cumplimiento de solicitado.</w:t>
      </w:r>
    </w:p>
    <w:p w14:paraId="0F080FB3" w14:textId="77777777" w:rsidR="00156C9A" w:rsidRDefault="00156C9A" w:rsidP="002F2514">
      <w:pPr>
        <w:pStyle w:val="ListParagraph"/>
        <w:spacing w:after="0" w:line="259" w:lineRule="auto"/>
        <w:ind w:left="360"/>
        <w:jc w:val="both"/>
        <w:rPr>
          <w:rFonts w:ascii="Montserrat" w:eastAsia="Montserrat" w:hAnsi="Montserrat" w:cs="Montserrat"/>
          <w:color w:val="000000"/>
          <w:sz w:val="21"/>
          <w:szCs w:val="21"/>
        </w:rPr>
      </w:pPr>
    </w:p>
    <w:sectPr w:rsidR="00156C9A">
      <w:headerReference w:type="default" r:id="rId11"/>
      <w:footerReference w:type="default" r:id="rId12"/>
      <w:pgSz w:w="12240" w:h="15840"/>
      <w:pgMar w:top="2189" w:right="1183" w:bottom="2027" w:left="1276" w:header="567"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0FB8" w14:textId="77777777" w:rsidR="00B75530" w:rsidRDefault="00B75530">
      <w:pPr>
        <w:spacing w:after="0" w:line="240" w:lineRule="auto"/>
      </w:pPr>
      <w:r>
        <w:separator/>
      </w:r>
    </w:p>
  </w:endnote>
  <w:endnote w:type="continuationSeparator" w:id="0">
    <w:p w14:paraId="0F080FB9" w14:textId="77777777" w:rsidR="00B75530" w:rsidRDefault="00B7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gle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0FBB" w14:textId="77777777" w:rsidR="00336942" w:rsidRDefault="00A673AE">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03109">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03109">
      <w:rPr>
        <w:b/>
        <w:noProof/>
        <w:color w:val="000000"/>
        <w:sz w:val="24"/>
        <w:szCs w:val="24"/>
      </w:rPr>
      <w:t>4</w:t>
    </w:r>
    <w:r>
      <w:rPr>
        <w:b/>
        <w:color w:val="000000"/>
        <w:sz w:val="24"/>
        <w:szCs w:val="24"/>
      </w:rPr>
      <w:fldChar w:fldCharType="end"/>
    </w:r>
  </w:p>
  <w:p w14:paraId="0F080FBC" w14:textId="77777777" w:rsidR="00336942" w:rsidRDefault="0033694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0FB6" w14:textId="77777777" w:rsidR="00B75530" w:rsidRDefault="00B75530">
      <w:pPr>
        <w:spacing w:after="0" w:line="240" w:lineRule="auto"/>
      </w:pPr>
      <w:r>
        <w:separator/>
      </w:r>
    </w:p>
  </w:footnote>
  <w:footnote w:type="continuationSeparator" w:id="0">
    <w:p w14:paraId="0F080FB7" w14:textId="77777777" w:rsidR="00B75530" w:rsidRDefault="00B75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0FBA" w14:textId="77777777" w:rsidR="00336942" w:rsidRDefault="00A673AE">
    <w:pPr>
      <w:pBdr>
        <w:top w:val="nil"/>
        <w:left w:val="nil"/>
        <w:bottom w:val="nil"/>
        <w:right w:val="nil"/>
        <w:between w:val="nil"/>
      </w:pBdr>
      <w:tabs>
        <w:tab w:val="center" w:pos="4419"/>
        <w:tab w:val="right" w:pos="8838"/>
      </w:tabs>
      <w:rPr>
        <w:color w:val="000000"/>
      </w:rPr>
    </w:pPr>
    <w:r>
      <w:rPr>
        <w:noProof/>
        <w:lang w:val="es-GT"/>
      </w:rPr>
      <w:drawing>
        <wp:anchor distT="0" distB="0" distL="0" distR="0" simplePos="0" relativeHeight="251658240" behindDoc="1" locked="0" layoutInCell="1" hidden="0" allowOverlap="1" wp14:anchorId="0F080FBD" wp14:editId="0F080FBE">
          <wp:simplePos x="0" y="0"/>
          <wp:positionH relativeFrom="column">
            <wp:posOffset>-810258</wp:posOffset>
          </wp:positionH>
          <wp:positionV relativeFrom="paragraph">
            <wp:posOffset>-664208</wp:posOffset>
          </wp:positionV>
          <wp:extent cx="7751445" cy="1003427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7ED"/>
    <w:multiLevelType w:val="hybridMultilevel"/>
    <w:tmpl w:val="A1802CC6"/>
    <w:lvl w:ilvl="0" w:tplc="100A0017">
      <w:start w:val="1"/>
      <w:numFmt w:val="lowerLetter"/>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20C00FBA"/>
    <w:multiLevelType w:val="multilevel"/>
    <w:tmpl w:val="13667ED0"/>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48069E"/>
    <w:multiLevelType w:val="hybridMultilevel"/>
    <w:tmpl w:val="C61E10A2"/>
    <w:lvl w:ilvl="0" w:tplc="100A0001">
      <w:start w:val="1"/>
      <w:numFmt w:val="bullet"/>
      <w:lvlText w:val=""/>
      <w:lvlJc w:val="left"/>
      <w:pPr>
        <w:ind w:left="1080" w:hanging="360"/>
      </w:pPr>
      <w:rPr>
        <w:rFonts w:ascii="Symbol" w:hAnsi="Symbol" w:hint="default"/>
      </w:rPr>
    </w:lvl>
    <w:lvl w:ilvl="1" w:tplc="100A0003">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 w15:restartNumberingAfterBreak="0">
    <w:nsid w:val="42F73F2D"/>
    <w:multiLevelType w:val="multilevel"/>
    <w:tmpl w:val="E4427EDE"/>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C64BF8"/>
    <w:multiLevelType w:val="hybridMultilevel"/>
    <w:tmpl w:val="39F255D0"/>
    <w:lvl w:ilvl="0" w:tplc="100A0001">
      <w:start w:val="1"/>
      <w:numFmt w:val="bullet"/>
      <w:lvlText w:val=""/>
      <w:lvlJc w:val="left"/>
      <w:pPr>
        <w:ind w:left="1080" w:hanging="360"/>
      </w:pPr>
      <w:rPr>
        <w:rFonts w:ascii="Symbol" w:hAnsi="Symbol" w:hint="default"/>
      </w:rPr>
    </w:lvl>
    <w:lvl w:ilvl="1" w:tplc="100A0003">
      <w:start w:val="1"/>
      <w:numFmt w:val="bullet"/>
      <w:lvlText w:val="o"/>
      <w:lvlJc w:val="left"/>
      <w:pPr>
        <w:ind w:left="1800" w:hanging="360"/>
      </w:pPr>
      <w:rPr>
        <w:rFonts w:ascii="Courier New" w:hAnsi="Courier New" w:cs="Courier New" w:hint="default"/>
      </w:rPr>
    </w:lvl>
    <w:lvl w:ilvl="2" w:tplc="100A0005">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5" w15:restartNumberingAfterBreak="0">
    <w:nsid w:val="4B095A71"/>
    <w:multiLevelType w:val="multilevel"/>
    <w:tmpl w:val="B6847B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2C2EB1"/>
    <w:multiLevelType w:val="multilevel"/>
    <w:tmpl w:val="EF38F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71B2B"/>
    <w:multiLevelType w:val="multilevel"/>
    <w:tmpl w:val="02C6B848"/>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151EB9"/>
    <w:multiLevelType w:val="multilevel"/>
    <w:tmpl w:val="B92A16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42"/>
    <w:rsid w:val="00085318"/>
    <w:rsid w:val="000C3009"/>
    <w:rsid w:val="001537BF"/>
    <w:rsid w:val="00156C9A"/>
    <w:rsid w:val="0017084F"/>
    <w:rsid w:val="001C4B4F"/>
    <w:rsid w:val="001E65C9"/>
    <w:rsid w:val="002A533F"/>
    <w:rsid w:val="002F2514"/>
    <w:rsid w:val="00335346"/>
    <w:rsid w:val="00336942"/>
    <w:rsid w:val="003675AE"/>
    <w:rsid w:val="00395340"/>
    <w:rsid w:val="003A734A"/>
    <w:rsid w:val="00427BE0"/>
    <w:rsid w:val="004F60A5"/>
    <w:rsid w:val="005669A1"/>
    <w:rsid w:val="005D02DA"/>
    <w:rsid w:val="005F32BE"/>
    <w:rsid w:val="00624064"/>
    <w:rsid w:val="006724B7"/>
    <w:rsid w:val="006842C6"/>
    <w:rsid w:val="006B6F10"/>
    <w:rsid w:val="007238C1"/>
    <w:rsid w:val="00726094"/>
    <w:rsid w:val="007639DE"/>
    <w:rsid w:val="007908F5"/>
    <w:rsid w:val="007F233E"/>
    <w:rsid w:val="008835BF"/>
    <w:rsid w:val="008B68B9"/>
    <w:rsid w:val="0090032A"/>
    <w:rsid w:val="0090270F"/>
    <w:rsid w:val="0092658F"/>
    <w:rsid w:val="00960A5E"/>
    <w:rsid w:val="009B310E"/>
    <w:rsid w:val="00A008AA"/>
    <w:rsid w:val="00A673AE"/>
    <w:rsid w:val="00AD42E9"/>
    <w:rsid w:val="00AE0894"/>
    <w:rsid w:val="00B22DD0"/>
    <w:rsid w:val="00B75530"/>
    <w:rsid w:val="00C2137A"/>
    <w:rsid w:val="00CC3841"/>
    <w:rsid w:val="00CD5143"/>
    <w:rsid w:val="00E75E7B"/>
    <w:rsid w:val="00E83F8E"/>
    <w:rsid w:val="00EA72ED"/>
    <w:rsid w:val="00F03109"/>
    <w:rsid w:val="00F35BB6"/>
    <w:rsid w:val="00FA67D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0F7A"/>
  <w15:docId w15:val="{DD2CAC13-BE14-4745-90A0-BCE8433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94"/>
  </w:style>
  <w:style w:type="paragraph" w:styleId="Heading1">
    <w:name w:val="heading 1"/>
    <w:basedOn w:val="Normal"/>
    <w:next w:val="Normal"/>
    <w:link w:val="Heading1Ch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Heading2Char">
    <w:name w:val="Heading 2 Char"/>
    <w:basedOn w:val="DefaultParagraphFont"/>
    <w:link w:val="Heading2"/>
    <w:uiPriority w:val="9"/>
    <w:rsid w:val="000008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0856"/>
    <w:rPr>
      <w:rFonts w:asciiTheme="majorHAnsi" w:eastAsiaTheme="majorEastAsia" w:hAnsiTheme="majorHAnsi" w:cstheme="majorBidi"/>
      <w:color w:val="1F3763" w:themeColor="accent1" w:themeShade="7F"/>
      <w:lang w:val="es-ES_tradnl"/>
    </w:rPr>
  </w:style>
  <w:style w:type="character" w:customStyle="1" w:styleId="Heading4Char">
    <w:name w:val="Heading 4 Char"/>
    <w:basedOn w:val="DefaultParagraphFont"/>
    <w:link w:val="Heading4"/>
    <w:uiPriority w:val="9"/>
    <w:rsid w:val="00000856"/>
    <w:rPr>
      <w:rFonts w:asciiTheme="majorHAnsi" w:eastAsiaTheme="majorEastAsia" w:hAnsiTheme="majorHAnsi" w:cstheme="majorBidi"/>
      <w:i/>
      <w:iCs/>
      <w:color w:val="2F5496" w:themeColor="accent1" w:themeShade="BF"/>
      <w:sz w:val="22"/>
      <w:szCs w:val="22"/>
    </w:rPr>
  </w:style>
  <w:style w:type="paragraph" w:styleId="Header">
    <w:name w:val="header"/>
    <w:basedOn w:val="Normal"/>
    <w:link w:val="HeaderChar"/>
    <w:uiPriority w:val="99"/>
    <w:unhideWhenUsed/>
    <w:rsid w:val="005B1EDE"/>
    <w:pPr>
      <w:tabs>
        <w:tab w:val="center" w:pos="4419"/>
        <w:tab w:val="right" w:pos="8838"/>
      </w:tabs>
    </w:pPr>
  </w:style>
  <w:style w:type="character" w:customStyle="1" w:styleId="HeaderChar">
    <w:name w:val="Header Char"/>
    <w:basedOn w:val="DefaultParagraphFont"/>
    <w:link w:val="Header"/>
    <w:uiPriority w:val="99"/>
    <w:rsid w:val="005B1EDE"/>
    <w:rPr>
      <w:lang w:val="es-ES_tradnl"/>
    </w:rPr>
  </w:style>
  <w:style w:type="paragraph" w:styleId="Footer">
    <w:name w:val="footer"/>
    <w:basedOn w:val="Normal"/>
    <w:link w:val="FooterChar"/>
    <w:uiPriority w:val="99"/>
    <w:unhideWhenUsed/>
    <w:rsid w:val="005B1EDE"/>
    <w:pPr>
      <w:tabs>
        <w:tab w:val="center" w:pos="4419"/>
        <w:tab w:val="right" w:pos="8838"/>
      </w:tabs>
    </w:pPr>
  </w:style>
  <w:style w:type="character" w:customStyle="1" w:styleId="FooterChar">
    <w:name w:val="Footer Char"/>
    <w:basedOn w:val="DefaultParagraphFont"/>
    <w:link w:val="Footer"/>
    <w:uiPriority w:val="99"/>
    <w:rsid w:val="005B1EDE"/>
    <w:rPr>
      <w:lang w:val="es-ES_tradnl"/>
    </w:rPr>
  </w:style>
  <w:style w:type="paragraph" w:styleId="BalloonText">
    <w:name w:val="Balloon Text"/>
    <w:basedOn w:val="Normal"/>
    <w:link w:val="BalloonTextChar"/>
    <w:uiPriority w:val="99"/>
    <w:semiHidden/>
    <w:unhideWhenUsed/>
    <w:rsid w:val="00451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6E"/>
    <w:rPr>
      <w:rFonts w:ascii="Segoe UI" w:hAnsi="Segoe UI" w:cs="Segoe UI"/>
      <w:sz w:val="18"/>
      <w:szCs w:val="18"/>
      <w:lang w:val="es-ES_tradnl"/>
    </w:rPr>
  </w:style>
  <w:style w:type="paragraph" w:styleId="ListParagraph">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ListParagraphChar"/>
    <w:uiPriority w:val="34"/>
    <w:qFormat/>
    <w:rsid w:val="00000856"/>
    <w:pPr>
      <w:ind w:left="720"/>
      <w:contextualSpacing/>
    </w:pPr>
  </w:style>
  <w:style w:type="character" w:styleId="Hyperlink">
    <w:name w:val="Hyperlink"/>
    <w:basedOn w:val="DefaultParagraphFont"/>
    <w:uiPriority w:val="99"/>
    <w:unhideWhenUsed/>
    <w:rsid w:val="00000856"/>
    <w:rPr>
      <w:color w:val="0000FF"/>
      <w:u w:val="single"/>
    </w:rPr>
  </w:style>
  <w:style w:type="character" w:customStyle="1" w:styleId="Mencinsinresolver1">
    <w:name w:val="Mención sin resolver1"/>
    <w:basedOn w:val="DefaultParagraphFont"/>
    <w:uiPriority w:val="99"/>
    <w:semiHidden/>
    <w:unhideWhenUsed/>
    <w:rsid w:val="00D930F5"/>
    <w:rPr>
      <w:color w:val="605E5C"/>
      <w:shd w:val="clear" w:color="auto" w:fill="E1DFDD"/>
    </w:rPr>
  </w:style>
  <w:style w:type="character" w:styleId="Strong">
    <w:name w:val="Strong"/>
    <w:basedOn w:val="DefaultParagraphFont"/>
    <w:uiPriority w:val="22"/>
    <w:qFormat/>
    <w:rsid w:val="00000856"/>
    <w:rPr>
      <w:b/>
      <w:bCs/>
    </w:rPr>
  </w:style>
  <w:style w:type="character" w:customStyle="1" w:styleId="english-link">
    <w:name w:val="english-link"/>
    <w:basedOn w:val="DefaultParagraphFont"/>
    <w:rsid w:val="00000856"/>
  </w:style>
  <w:style w:type="paragraph" w:styleId="NoSpacing">
    <w:name w:val="No Spacing"/>
    <w:uiPriority w:val="1"/>
    <w:qFormat/>
    <w:rsid w:val="007B095B"/>
  </w:style>
  <w:style w:type="character" w:styleId="FollowedHyperlink">
    <w:name w:val="FollowedHyperlink"/>
    <w:basedOn w:val="DefaultParagraphFont"/>
    <w:uiPriority w:val="99"/>
    <w:semiHidden/>
    <w:unhideWhenUsed/>
    <w:rsid w:val="00681064"/>
    <w:rPr>
      <w:color w:val="954F72" w:themeColor="followedHyperlink"/>
      <w:u w:val="single"/>
    </w:rPr>
  </w:style>
  <w:style w:type="paragraph" w:styleId="FootnoteText">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FootnoteTextChar"/>
    <w:uiPriority w:val="99"/>
    <w:unhideWhenUsed/>
    <w:qFormat/>
    <w:rsid w:val="007D63F7"/>
    <w:pPr>
      <w:spacing w:after="0" w:line="240" w:lineRule="auto"/>
    </w:pPr>
    <w:rPr>
      <w:sz w:val="20"/>
      <w:szCs w:val="20"/>
    </w:rPr>
  </w:style>
  <w:style w:type="character" w:customStyle="1" w:styleId="FootnoteTextChar">
    <w:name w:val="Footnote Text Char"/>
    <w:aliases w:val="Texto nota pie Car Car Car Car Car Car Char,Texto nota pie Car Car Car Car Car Car Car Char,Texto nota pie Car Car Car Car Car Car Ca Char,Texto nota pie Car Car Car Car Char,Texto nota pie1 Char,FA Fu Char,Footnote reference Char"/>
    <w:basedOn w:val="DefaultParagraphFont"/>
    <w:link w:val="FootnoteText"/>
    <w:uiPriority w:val="99"/>
    <w:rsid w:val="007D63F7"/>
    <w:rPr>
      <w:rFonts w:ascii="Calibri" w:eastAsia="Calibri" w:hAnsi="Calibri" w:cs="Calibri"/>
      <w:sz w:val="20"/>
      <w:szCs w:val="20"/>
      <w:lang w:val="es-ES_tradnl" w:eastAsia="es-GT"/>
    </w:rPr>
  </w:style>
  <w:style w:type="character" w:styleId="FootnoteReference">
    <w:name w:val="footnote reference"/>
    <w:aliases w:val="Footnotes refss,Texto de nota al pie,referencia nota al pie,BVI fnr,Appel note de bas de page,Footnote number,Footnote symbol,Footnote,f,ftref,16 Point,Superscript 6 Point,Appel note de bas de p,Footnote Reference1,Ref,de nota al pie"/>
    <w:basedOn w:val="DefaultParagraphFont"/>
    <w:link w:val="Appelnotedebasde"/>
    <w:uiPriority w:val="99"/>
    <w:unhideWhenUsed/>
    <w:qFormat/>
    <w:rsid w:val="007D63F7"/>
    <w:rPr>
      <w:vertAlign w:val="superscript"/>
    </w:rPr>
  </w:style>
  <w:style w:type="paragraph" w:customStyle="1" w:styleId="Appelnotedebasde">
    <w:name w:val="Appel note de bas de..."/>
    <w:basedOn w:val="Normal"/>
    <w:link w:val="FootnoteReference"/>
    <w:uiPriority w:val="99"/>
    <w:rsid w:val="007D63F7"/>
    <w:pPr>
      <w:spacing w:after="160" w:line="240" w:lineRule="exact"/>
    </w:pPr>
    <w:rPr>
      <w:sz w:val="24"/>
      <w:szCs w:val="24"/>
      <w:vertAlign w:val="superscript"/>
    </w:rPr>
  </w:style>
  <w:style w:type="paragraph" w:customStyle="1" w:styleId="Default">
    <w:name w:val="Default"/>
    <w:rsid w:val="008C2D6E"/>
    <w:pPr>
      <w:autoSpaceDE w:val="0"/>
      <w:autoSpaceDN w:val="0"/>
      <w:adjustRightInd w:val="0"/>
    </w:pPr>
    <w:rPr>
      <w:rFonts w:ascii="Google Sans" w:hAnsi="Google Sans" w:cs="Google Sans"/>
      <w:color w:val="000000"/>
    </w:rPr>
  </w:style>
  <w:style w:type="paragraph" w:customStyle="1" w:styleId="SingleTxtG">
    <w:name w:val="_ Single Txt_G"/>
    <w:basedOn w:val="Normal"/>
    <w:link w:val="SingleTxtGChar"/>
    <w:qFormat/>
    <w:rsid w:val="008C2D6E"/>
    <w:pPr>
      <w:spacing w:after="120" w:line="240" w:lineRule="atLeast"/>
      <w:ind w:left="1134" w:right="1134"/>
      <w:jc w:val="both"/>
    </w:pPr>
    <w:rPr>
      <w:rFonts w:ascii="Times New Roman" w:eastAsiaTheme="minorEastAsia" w:hAnsi="Times New Roman" w:cs="Times New Roman"/>
      <w:sz w:val="20"/>
      <w:szCs w:val="20"/>
      <w:lang w:val="es-ES" w:eastAsia="es-ES"/>
    </w:rPr>
  </w:style>
  <w:style w:type="character" w:customStyle="1" w:styleId="SingleTxtGChar">
    <w:name w:val="_ Single Txt_G Char"/>
    <w:link w:val="SingleTxtG"/>
    <w:locked/>
    <w:rsid w:val="008C2D6E"/>
    <w:rPr>
      <w:rFonts w:ascii="Times New Roman" w:eastAsiaTheme="minorEastAsia" w:hAnsi="Times New Roman" w:cs="Times New Roman"/>
      <w:sz w:val="20"/>
      <w:szCs w:val="20"/>
      <w:lang w:val="es-ES" w:eastAsia="es-ES"/>
    </w:rPr>
  </w:style>
  <w:style w:type="character" w:customStyle="1" w:styleId="ListParagraphChar">
    <w:name w:val="List Paragraph Char"/>
    <w:aliases w:val="HOJA Char,Colorful List Accent 1 Char,Colorful List - Accent 11 Char,Párrafo de lista (analisis predial) Char,Colorful List - Accent 111 Char,Table of contents numbered Char,Bullet OFM Char,Bullet Points Char,Liste Paragraf1 Char"/>
    <w:basedOn w:val="DefaultParagraphFont"/>
    <w:link w:val="ListParagraph"/>
    <w:uiPriority w:val="34"/>
    <w:qFormat/>
    <w:locked/>
    <w:rsid w:val="002E727D"/>
    <w:rPr>
      <w:sz w:val="22"/>
      <w:szCs w:val="22"/>
    </w:rPr>
  </w:style>
  <w:style w:type="paragraph" w:styleId="NormalWeb">
    <w:name w:val="Normal (Web)"/>
    <w:basedOn w:val="Normal"/>
    <w:uiPriority w:val="99"/>
    <w:semiHidden/>
    <w:unhideWhenUsed/>
    <w:rsid w:val="0055217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51A2"/>
    <w:rPr>
      <w:b/>
      <w:bCs/>
    </w:rPr>
  </w:style>
  <w:style w:type="character" w:customStyle="1" w:styleId="CommentSubjectChar">
    <w:name w:val="Comment Subject Char"/>
    <w:basedOn w:val="CommentTextChar"/>
    <w:link w:val="CommentSubject"/>
    <w:uiPriority w:val="99"/>
    <w:semiHidden/>
    <w:rsid w:val="008651A2"/>
    <w:rPr>
      <w:b/>
      <w:bCs/>
      <w:sz w:val="20"/>
      <w:szCs w:val="20"/>
    </w:rPr>
  </w:style>
  <w:style w:type="character" w:customStyle="1" w:styleId="Ninguno">
    <w:name w:val="Ninguno"/>
    <w:rsid w:val="00FD5C78"/>
    <w:rPr>
      <w:lang w:val="es-ES_tradnl"/>
    </w:rPr>
  </w:style>
  <w:style w:type="paragraph" w:styleId="BodyText3">
    <w:name w:val="Body Text 3"/>
    <w:basedOn w:val="Normal"/>
    <w:link w:val="BodyText3Char"/>
    <w:uiPriority w:val="99"/>
    <w:semiHidden/>
    <w:unhideWhenUsed/>
    <w:rsid w:val="00D20F77"/>
    <w:pPr>
      <w:spacing w:after="120" w:line="240" w:lineRule="auto"/>
    </w:pPr>
    <w:rPr>
      <w:rFonts w:ascii="Cambria" w:eastAsia="Cambria" w:hAnsi="Cambria" w:cs="Times New Roman"/>
      <w:sz w:val="16"/>
      <w:szCs w:val="16"/>
      <w:lang w:eastAsia="en-US"/>
    </w:rPr>
  </w:style>
  <w:style w:type="character" w:customStyle="1" w:styleId="BodyText3Char">
    <w:name w:val="Body Text 3 Char"/>
    <w:basedOn w:val="DefaultParagraphFont"/>
    <w:link w:val="BodyText3"/>
    <w:uiPriority w:val="99"/>
    <w:semiHidden/>
    <w:rsid w:val="00D20F77"/>
    <w:rPr>
      <w:rFonts w:ascii="Cambria" w:eastAsia="Cambria" w:hAnsi="Cambri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3yJZ1XDsYqBuNlppmePoW2HQf3g==">AMUW2mV4plO6mi6rKPBV1hTo/eUA6+WOJnR2QynUTiEcGiSKPNwSI6TabVuYa3IBoRMGW48Wrs1PiVOHL8w/1jE/o7Mv1mkrXlhEIkVkkZ67wkt5X4Ki3P84pgpaKFeDd6BACoinCAvf</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09D57-ADEB-492A-B7AD-95AE384F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FDE4D29-EF03-4F13-92A0-837253228C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A174B-B49A-42B0-9632-A61D09C4A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7108</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Cerna</dc:creator>
  <cp:lastModifiedBy>Sheena Neogi</cp:lastModifiedBy>
  <cp:revision>2</cp:revision>
  <cp:lastPrinted>2022-10-04T21:47:00Z</cp:lastPrinted>
  <dcterms:created xsi:type="dcterms:W3CDTF">2022-12-21T10:18:00Z</dcterms:created>
  <dcterms:modified xsi:type="dcterms:W3CDTF">2022-12-21T10:18:00Z</dcterms:modified>
</cp:coreProperties>
</file>