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E21E" w14:textId="77777777" w:rsidR="006D2EDE" w:rsidRPr="000269A8" w:rsidRDefault="006D2EDE" w:rsidP="00F20FA8">
      <w:pPr>
        <w:jc w:val="both"/>
        <w:rPr>
          <w:rFonts w:ascii="Times New Roman" w:hAnsi="Times New Roman" w:cs="Times New Roman"/>
          <w:sz w:val="23"/>
          <w:szCs w:val="23"/>
        </w:rPr>
      </w:pPr>
    </w:p>
    <w:p w14:paraId="7F6A79C6" w14:textId="5086FA6B" w:rsidR="00642A2A" w:rsidRPr="000269A8" w:rsidRDefault="00642A2A" w:rsidP="00F20FA8">
      <w:pPr>
        <w:jc w:val="both"/>
        <w:rPr>
          <w:rFonts w:ascii="Times New Roman" w:hAnsi="Times New Roman" w:cs="Times New Roman"/>
          <w:sz w:val="23"/>
          <w:szCs w:val="23"/>
        </w:rPr>
      </w:pPr>
      <w:r w:rsidRPr="000269A8">
        <w:rPr>
          <w:rFonts w:ascii="Times New Roman" w:hAnsi="Times New Roman" w:cs="Times New Roman"/>
          <w:sz w:val="23"/>
          <w:szCs w:val="23"/>
        </w:rPr>
        <w:t>Submission to OHCHR</w:t>
      </w:r>
      <w:r w:rsidR="00AD60C2">
        <w:rPr>
          <w:rFonts w:ascii="Times New Roman" w:hAnsi="Times New Roman" w:cs="Times New Roman"/>
          <w:sz w:val="23"/>
          <w:szCs w:val="23"/>
          <w:lang w:val="en-GB"/>
        </w:rPr>
        <w:t xml:space="preserve">: </w:t>
      </w:r>
      <w:r w:rsidRPr="000269A8">
        <w:rPr>
          <w:rFonts w:ascii="Times New Roman" w:hAnsi="Times New Roman" w:cs="Times New Roman"/>
          <w:sz w:val="23"/>
          <w:szCs w:val="23"/>
          <w:lang w:val="en-GB"/>
        </w:rPr>
        <w:t xml:space="preserve">Input to HRC </w:t>
      </w:r>
      <w:r w:rsidR="00AD60C2">
        <w:rPr>
          <w:rFonts w:ascii="Times New Roman" w:hAnsi="Times New Roman" w:cs="Times New Roman"/>
          <w:sz w:val="23"/>
          <w:szCs w:val="23"/>
          <w:lang w:val="en-GB"/>
        </w:rPr>
        <w:t>R</w:t>
      </w:r>
      <w:r w:rsidRPr="000269A8">
        <w:rPr>
          <w:rFonts w:ascii="Times New Roman" w:hAnsi="Times New Roman" w:cs="Times New Roman"/>
          <w:sz w:val="23"/>
          <w:szCs w:val="23"/>
          <w:lang w:val="en-GB"/>
        </w:rPr>
        <w:t>esolution 49/25</w:t>
      </w:r>
    </w:p>
    <w:p w14:paraId="3FC3FDF7" w14:textId="5CF2C36C" w:rsidR="00642A2A" w:rsidRPr="000269A8" w:rsidRDefault="00642A2A" w:rsidP="00F20FA8">
      <w:pPr>
        <w:jc w:val="both"/>
        <w:rPr>
          <w:rFonts w:ascii="Times New Roman" w:hAnsi="Times New Roman" w:cs="Times New Roman"/>
          <w:sz w:val="23"/>
          <w:szCs w:val="23"/>
        </w:rPr>
      </w:pPr>
    </w:p>
    <w:p w14:paraId="683FE624" w14:textId="117563DA" w:rsidR="00642A2A" w:rsidRPr="000269A8" w:rsidRDefault="00642A2A" w:rsidP="00F20FA8">
      <w:pPr>
        <w:jc w:val="both"/>
        <w:rPr>
          <w:rFonts w:ascii="Times New Roman" w:hAnsi="Times New Roman" w:cs="Times New Roman"/>
          <w:sz w:val="23"/>
          <w:szCs w:val="23"/>
        </w:rPr>
      </w:pPr>
      <w:r w:rsidRPr="000269A8">
        <w:rPr>
          <w:rFonts w:ascii="Times New Roman" w:hAnsi="Times New Roman" w:cs="Times New Roman"/>
          <w:sz w:val="23"/>
          <w:szCs w:val="23"/>
          <w:lang w:val="en-GB"/>
        </w:rPr>
        <w:t>ATTN: Registry of OHCHR</w:t>
      </w:r>
    </w:p>
    <w:p w14:paraId="357E2B8D" w14:textId="445997F7" w:rsidR="00642A2A" w:rsidRPr="000269A8" w:rsidRDefault="00642A2A" w:rsidP="00F20FA8">
      <w:pPr>
        <w:jc w:val="both"/>
        <w:rPr>
          <w:rFonts w:ascii="Times New Roman" w:hAnsi="Times New Roman" w:cs="Times New Roman"/>
          <w:sz w:val="23"/>
          <w:szCs w:val="23"/>
        </w:rPr>
      </w:pPr>
    </w:p>
    <w:p w14:paraId="3C27AD1B" w14:textId="2E198021" w:rsidR="00642A2A" w:rsidRPr="000269A8" w:rsidRDefault="003970E9" w:rsidP="00F20FA8">
      <w:pPr>
        <w:jc w:val="both"/>
        <w:rPr>
          <w:rFonts w:ascii="Times New Roman" w:hAnsi="Times New Roman" w:cs="Times New Roman"/>
          <w:sz w:val="23"/>
          <w:szCs w:val="23"/>
          <w:u w:val="single"/>
        </w:rPr>
      </w:pPr>
      <w:r w:rsidRPr="000269A8">
        <w:rPr>
          <w:rFonts w:ascii="Times New Roman" w:hAnsi="Times New Roman" w:cs="Times New Roman"/>
          <w:sz w:val="23"/>
          <w:szCs w:val="23"/>
          <w:u w:val="single"/>
        </w:rPr>
        <w:t>Introduction:</w:t>
      </w:r>
    </w:p>
    <w:p w14:paraId="6BEC0459" w14:textId="77777777" w:rsidR="00642A2A" w:rsidRPr="000269A8" w:rsidRDefault="00642A2A" w:rsidP="00F20FA8">
      <w:pPr>
        <w:jc w:val="both"/>
        <w:rPr>
          <w:rFonts w:ascii="Times New Roman" w:hAnsi="Times New Roman" w:cs="Times New Roman"/>
          <w:sz w:val="23"/>
          <w:szCs w:val="23"/>
        </w:rPr>
      </w:pPr>
    </w:p>
    <w:p w14:paraId="1E555106" w14:textId="1F8453F4" w:rsidR="00642A2A" w:rsidRPr="000269A8" w:rsidRDefault="00642A2A" w:rsidP="00F20FA8">
      <w:pPr>
        <w:pStyle w:val="ListParagraph"/>
        <w:numPr>
          <w:ilvl w:val="0"/>
          <w:numId w:val="1"/>
        </w:numPr>
        <w:jc w:val="both"/>
        <w:rPr>
          <w:rFonts w:ascii="Times New Roman" w:hAnsi="Times New Roman" w:cs="Times New Roman"/>
          <w:sz w:val="23"/>
          <w:szCs w:val="23"/>
        </w:rPr>
      </w:pPr>
      <w:r w:rsidRPr="000269A8">
        <w:rPr>
          <w:rFonts w:ascii="Times New Roman" w:hAnsi="Times New Roman" w:cs="Times New Roman"/>
          <w:sz w:val="23"/>
          <w:szCs w:val="23"/>
        </w:rPr>
        <w:t xml:space="preserve">Treatment Action Group (TAG) is an independent, activist, and community-based research and policy think tank committed to racial, gender, and LGBTQ+ equity; social justice; and liberation, fighting to end HIV, tuberculosis (TB), and hepatitis C virus (HCV). We are science-based activists working to expand and accelerate vital research and effective community engagement to </w:t>
      </w:r>
      <w:r w:rsidR="006D2EDE" w:rsidRPr="000269A8">
        <w:rPr>
          <w:rFonts w:ascii="Times New Roman" w:hAnsi="Times New Roman" w:cs="Times New Roman"/>
          <w:sz w:val="23"/>
          <w:szCs w:val="23"/>
        </w:rPr>
        <w:t xml:space="preserve">end </w:t>
      </w:r>
      <w:r w:rsidRPr="000269A8">
        <w:rPr>
          <w:rFonts w:ascii="Times New Roman" w:hAnsi="Times New Roman" w:cs="Times New Roman"/>
          <w:sz w:val="23"/>
          <w:szCs w:val="23"/>
        </w:rPr>
        <w:t>the HIV, TB, and HCV pandemics.</w:t>
      </w:r>
    </w:p>
    <w:p w14:paraId="5689E2E3" w14:textId="77777777" w:rsidR="00245EC2" w:rsidRPr="000269A8" w:rsidRDefault="00245EC2" w:rsidP="00F20FA8">
      <w:pPr>
        <w:pStyle w:val="ListParagraph"/>
        <w:jc w:val="both"/>
        <w:rPr>
          <w:rFonts w:ascii="Times New Roman" w:hAnsi="Times New Roman" w:cs="Times New Roman"/>
          <w:sz w:val="23"/>
          <w:szCs w:val="23"/>
        </w:rPr>
      </w:pPr>
    </w:p>
    <w:p w14:paraId="67CFACCD" w14:textId="0853B2EB" w:rsidR="0030563D" w:rsidRPr="000269A8" w:rsidRDefault="00873BDB" w:rsidP="00F20FA8">
      <w:pPr>
        <w:pStyle w:val="ListParagraph"/>
        <w:numPr>
          <w:ilvl w:val="0"/>
          <w:numId w:val="1"/>
        </w:numPr>
        <w:tabs>
          <w:tab w:val="left" w:pos="993"/>
        </w:tabs>
        <w:jc w:val="both"/>
        <w:rPr>
          <w:rFonts w:ascii="Times New Roman" w:hAnsi="Times New Roman" w:cs="Times New Roman"/>
          <w:bCs/>
          <w:sz w:val="23"/>
          <w:szCs w:val="23"/>
        </w:rPr>
      </w:pPr>
      <w:r w:rsidRPr="000269A8">
        <w:rPr>
          <w:rFonts w:ascii="Times New Roman" w:hAnsi="Times New Roman" w:cs="Times New Roman"/>
          <w:sz w:val="23"/>
          <w:szCs w:val="23"/>
        </w:rPr>
        <w:t>TAG strongly urges OHCHR</w:t>
      </w:r>
      <w:r w:rsidR="006D2EDE" w:rsidRPr="000269A8">
        <w:rPr>
          <w:rFonts w:ascii="Times New Roman" w:hAnsi="Times New Roman" w:cs="Times New Roman"/>
          <w:sz w:val="23"/>
          <w:szCs w:val="23"/>
        </w:rPr>
        <w:t xml:space="preserve"> in its report following </w:t>
      </w:r>
      <w:r w:rsidR="006D2EDE" w:rsidRPr="000269A8">
        <w:rPr>
          <w:rFonts w:ascii="Times New Roman" w:hAnsi="Times New Roman" w:cs="Times New Roman"/>
          <w:sz w:val="23"/>
          <w:szCs w:val="23"/>
          <w:lang w:val="en-GB"/>
        </w:rPr>
        <w:t>HRC resolution 49/25</w:t>
      </w:r>
      <w:r w:rsidRPr="000269A8">
        <w:rPr>
          <w:rFonts w:ascii="Times New Roman" w:hAnsi="Times New Roman" w:cs="Times New Roman"/>
          <w:sz w:val="23"/>
          <w:szCs w:val="23"/>
        </w:rPr>
        <w:t xml:space="preserve"> to recognize </w:t>
      </w:r>
      <w:r w:rsidRPr="000269A8">
        <w:rPr>
          <w:rFonts w:ascii="Times New Roman" w:hAnsi="Times New Roman" w:cs="Times New Roman"/>
          <w:b/>
          <w:bCs/>
          <w:sz w:val="23"/>
          <w:szCs w:val="23"/>
        </w:rPr>
        <w:t xml:space="preserve">the right of everyone to enjoy the benefits </w:t>
      </w:r>
      <w:r w:rsidR="00DE1CD6" w:rsidRPr="000269A8">
        <w:rPr>
          <w:rFonts w:ascii="Times New Roman" w:hAnsi="Times New Roman" w:cs="Times New Roman"/>
          <w:b/>
          <w:bCs/>
          <w:sz w:val="23"/>
          <w:szCs w:val="23"/>
        </w:rPr>
        <w:t>of scientific progress and its applications</w:t>
      </w:r>
      <w:r w:rsidR="00DE1CD6" w:rsidRPr="000269A8">
        <w:rPr>
          <w:rFonts w:ascii="Times New Roman" w:hAnsi="Times New Roman" w:cs="Times New Roman"/>
          <w:sz w:val="23"/>
          <w:szCs w:val="23"/>
        </w:rPr>
        <w:t xml:space="preserve"> (hereafter: right to science) as</w:t>
      </w:r>
      <w:r w:rsidR="0030563D" w:rsidRPr="000269A8">
        <w:rPr>
          <w:rFonts w:ascii="Times New Roman" w:hAnsi="Times New Roman" w:cs="Times New Roman"/>
          <w:sz w:val="23"/>
          <w:szCs w:val="23"/>
        </w:rPr>
        <w:t xml:space="preserve"> establishing</w:t>
      </w:r>
      <w:r w:rsidR="00DE1CD6" w:rsidRPr="000269A8">
        <w:rPr>
          <w:rFonts w:ascii="Times New Roman" w:hAnsi="Times New Roman" w:cs="Times New Roman"/>
          <w:sz w:val="23"/>
          <w:szCs w:val="23"/>
        </w:rPr>
        <w:t xml:space="preserve"> essential </w:t>
      </w:r>
      <w:r w:rsidR="0030563D" w:rsidRPr="000269A8">
        <w:rPr>
          <w:rFonts w:ascii="Times New Roman" w:hAnsi="Times New Roman" w:cs="Times New Roman"/>
          <w:sz w:val="23"/>
          <w:szCs w:val="23"/>
        </w:rPr>
        <w:t>obligations on states to ensure equitable, affordable, timely and universal access to vaccines in response to the COVID-19 pandemic.</w:t>
      </w:r>
      <w:r w:rsidR="0030563D" w:rsidRPr="000269A8">
        <w:rPr>
          <w:rFonts w:ascii="Times New Roman" w:hAnsi="Times New Roman" w:cs="Times New Roman"/>
          <w:bCs/>
          <w:sz w:val="23"/>
          <w:szCs w:val="23"/>
        </w:rPr>
        <w:t xml:space="preserve"> </w:t>
      </w:r>
    </w:p>
    <w:p w14:paraId="4EC79C22" w14:textId="77777777" w:rsidR="00245EC2" w:rsidRPr="000269A8" w:rsidRDefault="00245EC2" w:rsidP="00F20FA8">
      <w:pPr>
        <w:pStyle w:val="ListParagraph"/>
        <w:jc w:val="both"/>
        <w:rPr>
          <w:rFonts w:ascii="Times New Roman" w:hAnsi="Times New Roman" w:cs="Times New Roman"/>
          <w:sz w:val="23"/>
          <w:szCs w:val="23"/>
        </w:rPr>
      </w:pPr>
    </w:p>
    <w:p w14:paraId="4260F518" w14:textId="6A30F9E1" w:rsidR="007A6FF6" w:rsidRPr="000269A8" w:rsidRDefault="00245EC2" w:rsidP="00F20FA8">
      <w:pPr>
        <w:pStyle w:val="ListParagraph"/>
        <w:numPr>
          <w:ilvl w:val="0"/>
          <w:numId w:val="1"/>
        </w:numPr>
        <w:jc w:val="both"/>
        <w:rPr>
          <w:rFonts w:ascii="Times New Roman" w:hAnsi="Times New Roman" w:cs="Times New Roman"/>
          <w:sz w:val="23"/>
          <w:szCs w:val="23"/>
        </w:rPr>
      </w:pPr>
      <w:r w:rsidRPr="000269A8">
        <w:rPr>
          <w:rFonts w:ascii="Times New Roman" w:hAnsi="Times New Roman" w:cs="Times New Roman"/>
          <w:sz w:val="23"/>
          <w:szCs w:val="23"/>
        </w:rPr>
        <w:t>The right to science is a necessary complement to attaining the right of everyone to the enjoyment of the highest attainable standard of physical and mental health (hereafter: right to health) in the context of</w:t>
      </w:r>
      <w:r w:rsidR="00384AD2" w:rsidRPr="000269A8">
        <w:rPr>
          <w:rFonts w:ascii="Times New Roman" w:hAnsi="Times New Roman" w:cs="Times New Roman"/>
          <w:sz w:val="23"/>
          <w:szCs w:val="23"/>
        </w:rPr>
        <w:t xml:space="preserve"> </w:t>
      </w:r>
      <w:r w:rsidRPr="000269A8">
        <w:rPr>
          <w:rFonts w:ascii="Times New Roman" w:hAnsi="Times New Roman" w:cs="Times New Roman"/>
          <w:sz w:val="23"/>
          <w:szCs w:val="23"/>
        </w:rPr>
        <w:t>pandemics. The right to science obligat</w:t>
      </w:r>
      <w:r w:rsidR="0030563D" w:rsidRPr="000269A8">
        <w:rPr>
          <w:rFonts w:ascii="Times New Roman" w:hAnsi="Times New Roman" w:cs="Times New Roman"/>
          <w:sz w:val="23"/>
          <w:szCs w:val="23"/>
        </w:rPr>
        <w:t>es</w:t>
      </w:r>
      <w:r w:rsidRPr="000269A8">
        <w:rPr>
          <w:rFonts w:ascii="Times New Roman" w:hAnsi="Times New Roman" w:cs="Times New Roman"/>
          <w:sz w:val="23"/>
          <w:szCs w:val="23"/>
        </w:rPr>
        <w:t xml:space="preserve"> states to develop, diffuse, and conserve science</w:t>
      </w:r>
      <w:r w:rsidR="00384AD2" w:rsidRPr="000269A8">
        <w:rPr>
          <w:rFonts w:ascii="Times New Roman" w:hAnsi="Times New Roman" w:cs="Times New Roman"/>
          <w:sz w:val="23"/>
          <w:szCs w:val="23"/>
        </w:rPr>
        <w:t xml:space="preserve">. </w:t>
      </w:r>
      <w:r w:rsidR="005B3201" w:rsidRPr="000269A8">
        <w:rPr>
          <w:rFonts w:ascii="Times New Roman" w:hAnsi="Times New Roman" w:cs="Times New Roman"/>
          <w:sz w:val="23"/>
          <w:szCs w:val="23"/>
        </w:rPr>
        <w:t>Ensuring universal access to vaccines requires that states acknowledge and act on t</w:t>
      </w:r>
      <w:r w:rsidR="00384AD2" w:rsidRPr="000269A8">
        <w:rPr>
          <w:rFonts w:ascii="Times New Roman" w:hAnsi="Times New Roman" w:cs="Times New Roman"/>
          <w:sz w:val="23"/>
          <w:szCs w:val="23"/>
        </w:rPr>
        <w:t>his tripartite set of obligations</w:t>
      </w:r>
      <w:r w:rsidRPr="000269A8">
        <w:rPr>
          <w:rFonts w:ascii="Times New Roman" w:hAnsi="Times New Roman" w:cs="Times New Roman"/>
          <w:sz w:val="23"/>
          <w:szCs w:val="23"/>
        </w:rPr>
        <w:t>.</w:t>
      </w:r>
      <w:r w:rsidR="005B3201" w:rsidRPr="000269A8">
        <w:rPr>
          <w:rFonts w:ascii="Times New Roman" w:hAnsi="Times New Roman" w:cs="Times New Roman"/>
          <w:sz w:val="23"/>
          <w:szCs w:val="23"/>
        </w:rPr>
        <w:t xml:space="preserve"> A right to science analysis is relevant to both areas where OHCHR is seeking input, as detailed below. </w:t>
      </w:r>
    </w:p>
    <w:p w14:paraId="55193FB8" w14:textId="77777777" w:rsidR="00DE1CD6" w:rsidRPr="000269A8" w:rsidRDefault="00DE1CD6" w:rsidP="00F20FA8">
      <w:pPr>
        <w:pStyle w:val="ListParagraph"/>
        <w:jc w:val="both"/>
        <w:rPr>
          <w:rFonts w:ascii="Times New Roman" w:hAnsi="Times New Roman" w:cs="Times New Roman"/>
          <w:sz w:val="23"/>
          <w:szCs w:val="23"/>
        </w:rPr>
      </w:pPr>
    </w:p>
    <w:p w14:paraId="4E2087AE" w14:textId="2F51B388" w:rsidR="00642A2A" w:rsidRPr="000269A8" w:rsidRDefault="00642A2A" w:rsidP="00F20FA8">
      <w:pPr>
        <w:jc w:val="both"/>
        <w:rPr>
          <w:rFonts w:ascii="Times New Roman" w:hAnsi="Times New Roman" w:cs="Times New Roman"/>
          <w:sz w:val="23"/>
          <w:szCs w:val="23"/>
          <w:u w:val="single"/>
        </w:rPr>
      </w:pPr>
      <w:r w:rsidRPr="000269A8">
        <w:rPr>
          <w:rFonts w:ascii="Times New Roman" w:hAnsi="Times New Roman" w:cs="Times New Roman"/>
          <w:sz w:val="23"/>
          <w:szCs w:val="23"/>
          <w:u w:val="single"/>
          <w:lang w:val="en-GB"/>
        </w:rPr>
        <w:t>(a)</w:t>
      </w:r>
      <w:r w:rsidR="00873BDB" w:rsidRPr="000269A8">
        <w:rPr>
          <w:rFonts w:ascii="Times New Roman" w:hAnsi="Times New Roman" w:cs="Times New Roman"/>
          <w:sz w:val="23"/>
          <w:szCs w:val="23"/>
          <w:u w:val="single"/>
          <w:lang w:val="en-GB"/>
        </w:rPr>
        <w:t xml:space="preserve"> </w:t>
      </w:r>
      <w:r w:rsidRPr="000269A8">
        <w:rPr>
          <w:rFonts w:ascii="Times New Roman" w:hAnsi="Times New Roman" w:cs="Times New Roman"/>
          <w:sz w:val="23"/>
          <w:szCs w:val="23"/>
          <w:u w:val="single"/>
          <w:lang w:val="en-GB"/>
        </w:rPr>
        <w:t>the human rights implications and the impact on the right of everyone to the enjoyment of the highest attainable standard of physical and mental health of affordable, timely, equitable and universal access and distribution of COVID-19 vaccines</w:t>
      </w:r>
      <w:r w:rsidR="00873BDB" w:rsidRPr="000269A8">
        <w:rPr>
          <w:rFonts w:ascii="Times New Roman" w:hAnsi="Times New Roman" w:cs="Times New Roman"/>
          <w:sz w:val="23"/>
          <w:szCs w:val="23"/>
          <w:u w:val="single"/>
          <w:lang w:val="en-GB"/>
        </w:rPr>
        <w:t>:</w:t>
      </w:r>
    </w:p>
    <w:p w14:paraId="661E0BC3" w14:textId="77777777" w:rsidR="00EB4DC7" w:rsidRPr="000269A8" w:rsidRDefault="00EB4DC7" w:rsidP="00F20FA8">
      <w:pPr>
        <w:pStyle w:val="ListParagraph"/>
        <w:jc w:val="both"/>
        <w:rPr>
          <w:rFonts w:ascii="Times New Roman" w:hAnsi="Times New Roman" w:cs="Times New Roman"/>
          <w:sz w:val="23"/>
          <w:szCs w:val="23"/>
        </w:rPr>
      </w:pPr>
    </w:p>
    <w:p w14:paraId="720C4F05" w14:textId="4E88B78B" w:rsidR="00085331" w:rsidRPr="000269A8" w:rsidRDefault="00EB4DC7" w:rsidP="00F20FA8">
      <w:pPr>
        <w:pStyle w:val="ListParagraph"/>
        <w:numPr>
          <w:ilvl w:val="0"/>
          <w:numId w:val="1"/>
        </w:numPr>
        <w:jc w:val="both"/>
        <w:rPr>
          <w:rFonts w:ascii="Times New Roman" w:hAnsi="Times New Roman" w:cs="Times New Roman"/>
          <w:color w:val="000000" w:themeColor="text1"/>
          <w:sz w:val="23"/>
          <w:szCs w:val="23"/>
        </w:rPr>
      </w:pPr>
      <w:r w:rsidRPr="000269A8">
        <w:rPr>
          <w:rFonts w:ascii="Times New Roman" w:hAnsi="Times New Roman" w:cs="Times New Roman"/>
          <w:sz w:val="23"/>
          <w:szCs w:val="23"/>
        </w:rPr>
        <w:t xml:space="preserve">The right to science derives from </w:t>
      </w:r>
      <w:r w:rsidR="00C110A4" w:rsidRPr="000269A8">
        <w:rPr>
          <w:rFonts w:ascii="Times New Roman" w:hAnsi="Times New Roman" w:cs="Times New Roman"/>
          <w:sz w:val="23"/>
          <w:szCs w:val="23"/>
        </w:rPr>
        <w:t xml:space="preserve">the International Covenant on Economic, Social, and Cultural Rights </w:t>
      </w:r>
      <w:r w:rsidR="00245EC2" w:rsidRPr="000269A8">
        <w:rPr>
          <w:rFonts w:ascii="Times New Roman" w:hAnsi="Times New Roman" w:cs="Times New Roman"/>
          <w:color w:val="000000" w:themeColor="text1"/>
          <w:sz w:val="23"/>
          <w:szCs w:val="23"/>
        </w:rPr>
        <w:t>Art. 15 (1) (b), (2), (3) and (4)</w:t>
      </w:r>
      <w:r w:rsidR="00C110A4" w:rsidRPr="000269A8">
        <w:rPr>
          <w:rFonts w:ascii="Times New Roman" w:hAnsi="Times New Roman" w:cs="Times New Roman"/>
          <w:color w:val="000000" w:themeColor="text1"/>
          <w:sz w:val="23"/>
          <w:szCs w:val="23"/>
        </w:rPr>
        <w:t>.</w:t>
      </w:r>
      <w:r w:rsidR="00A5265C" w:rsidRPr="000269A8">
        <w:rPr>
          <w:rFonts w:ascii="Times New Roman" w:hAnsi="Times New Roman" w:cs="Times New Roman"/>
          <w:color w:val="000000" w:themeColor="text1"/>
          <w:sz w:val="23"/>
          <w:szCs w:val="23"/>
        </w:rPr>
        <w:t xml:space="preserve"> </w:t>
      </w:r>
      <w:r w:rsidR="00923542" w:rsidRPr="000269A8">
        <w:rPr>
          <w:rFonts w:ascii="Times New Roman" w:hAnsi="Times New Roman" w:cs="Times New Roman"/>
          <w:color w:val="000000" w:themeColor="text1"/>
          <w:sz w:val="23"/>
          <w:szCs w:val="23"/>
        </w:rPr>
        <w:t xml:space="preserve">Access </w:t>
      </w:r>
      <w:r w:rsidR="00E65572" w:rsidRPr="000269A8">
        <w:rPr>
          <w:rFonts w:ascii="Times New Roman" w:hAnsi="Times New Roman" w:cs="Times New Roman"/>
          <w:color w:val="000000" w:themeColor="text1"/>
          <w:sz w:val="23"/>
          <w:szCs w:val="23"/>
        </w:rPr>
        <w:t>sits</w:t>
      </w:r>
      <w:r w:rsidR="00923542" w:rsidRPr="000269A8">
        <w:rPr>
          <w:rFonts w:ascii="Times New Roman" w:hAnsi="Times New Roman" w:cs="Times New Roman"/>
          <w:color w:val="000000" w:themeColor="text1"/>
          <w:sz w:val="23"/>
          <w:szCs w:val="23"/>
        </w:rPr>
        <w:t xml:space="preserve"> at the heart of the right to science:</w:t>
      </w:r>
      <w:r w:rsidR="00E65572" w:rsidRPr="000269A8">
        <w:rPr>
          <w:rFonts w:ascii="Times New Roman" w:hAnsi="Times New Roman" w:cs="Times New Roman"/>
          <w:color w:val="000000" w:themeColor="text1"/>
          <w:sz w:val="23"/>
          <w:szCs w:val="23"/>
        </w:rPr>
        <w:t xml:space="preserve"> </w:t>
      </w:r>
      <w:r w:rsidR="00923542" w:rsidRPr="000269A8">
        <w:rPr>
          <w:rFonts w:ascii="Times New Roman" w:hAnsi="Times New Roman" w:cs="Times New Roman"/>
          <w:color w:val="000000" w:themeColor="text1"/>
          <w:sz w:val="23"/>
          <w:szCs w:val="23"/>
        </w:rPr>
        <w:t xml:space="preserve">In a May 2012 report to the Human Rights Council, former Special Rapporteur in the field of cultural rights Farida Shaheed listed access as the first element of the </w:t>
      </w:r>
      <w:r w:rsidR="00E65572" w:rsidRPr="000269A8">
        <w:rPr>
          <w:rFonts w:ascii="Times New Roman" w:hAnsi="Times New Roman" w:cs="Times New Roman"/>
          <w:color w:val="000000" w:themeColor="text1"/>
          <w:sz w:val="23"/>
          <w:szCs w:val="23"/>
        </w:rPr>
        <w:t>normative content of the right</w:t>
      </w:r>
      <w:r w:rsidR="00923542" w:rsidRPr="000269A8">
        <w:rPr>
          <w:rFonts w:ascii="Times New Roman" w:hAnsi="Times New Roman" w:cs="Times New Roman"/>
          <w:color w:val="000000" w:themeColor="text1"/>
          <w:sz w:val="23"/>
          <w:szCs w:val="23"/>
        </w:rPr>
        <w:t>: “The right to science connotes, first of all, a right of access: scientific knowledge, information and advances must be made accessible to all . . . without discrimination of any kind.”</w:t>
      </w:r>
      <w:r w:rsidR="00E65572" w:rsidRPr="000269A8">
        <w:rPr>
          <w:rStyle w:val="FootnoteReference"/>
          <w:rFonts w:ascii="Times New Roman" w:hAnsi="Times New Roman" w:cs="Times New Roman"/>
          <w:color w:val="000000" w:themeColor="text1"/>
          <w:sz w:val="23"/>
          <w:szCs w:val="23"/>
        </w:rPr>
        <w:footnoteReference w:id="1"/>
      </w:r>
    </w:p>
    <w:p w14:paraId="1830DCB2" w14:textId="77777777" w:rsidR="00085331" w:rsidRPr="000269A8" w:rsidRDefault="00085331" w:rsidP="00F20FA8">
      <w:pPr>
        <w:pStyle w:val="ListParagraph"/>
        <w:jc w:val="both"/>
        <w:rPr>
          <w:rFonts w:ascii="Times New Roman" w:hAnsi="Times New Roman" w:cs="Times New Roman"/>
          <w:color w:val="000000" w:themeColor="text1"/>
          <w:sz w:val="23"/>
          <w:szCs w:val="23"/>
        </w:rPr>
      </w:pPr>
    </w:p>
    <w:p w14:paraId="67CC4F5A" w14:textId="1573E6CE" w:rsidR="00085331" w:rsidRPr="000269A8" w:rsidRDefault="00085331" w:rsidP="00F20FA8">
      <w:pPr>
        <w:pStyle w:val="ListParagraph"/>
        <w:numPr>
          <w:ilvl w:val="0"/>
          <w:numId w:val="1"/>
        </w:numPr>
        <w:jc w:val="both"/>
        <w:rPr>
          <w:rFonts w:ascii="Times New Roman" w:hAnsi="Times New Roman" w:cs="Times New Roman"/>
          <w:color w:val="000000" w:themeColor="text1"/>
          <w:sz w:val="23"/>
          <w:szCs w:val="23"/>
        </w:rPr>
      </w:pPr>
      <w:r w:rsidRPr="000269A8">
        <w:rPr>
          <w:rFonts w:ascii="Times New Roman" w:hAnsi="Times New Roman" w:cs="Times New Roman"/>
          <w:sz w:val="23"/>
          <w:szCs w:val="23"/>
        </w:rPr>
        <w:t>Importantly for the context of COVID-19 vaccin</w:t>
      </w:r>
      <w:r w:rsidR="00A76ADD" w:rsidRPr="000269A8">
        <w:rPr>
          <w:rFonts w:ascii="Times New Roman" w:hAnsi="Times New Roman" w:cs="Times New Roman"/>
          <w:sz w:val="23"/>
          <w:szCs w:val="23"/>
        </w:rPr>
        <w:t xml:space="preserve">es </w:t>
      </w:r>
      <w:r w:rsidRPr="000269A8">
        <w:rPr>
          <w:rFonts w:ascii="Times New Roman" w:hAnsi="Times New Roman" w:cs="Times New Roman"/>
          <w:sz w:val="23"/>
          <w:szCs w:val="23"/>
        </w:rPr>
        <w:t xml:space="preserve">and the right to health, </w:t>
      </w:r>
      <w:r w:rsidR="00E65572" w:rsidRPr="000269A8">
        <w:rPr>
          <w:rFonts w:ascii="Times New Roman" w:hAnsi="Times New Roman" w:cs="Times New Roman"/>
          <w:sz w:val="23"/>
          <w:szCs w:val="23"/>
        </w:rPr>
        <w:t xml:space="preserve">‘access’ under </w:t>
      </w:r>
      <w:r w:rsidRPr="000269A8">
        <w:rPr>
          <w:rFonts w:ascii="Times New Roman" w:hAnsi="Times New Roman" w:cs="Times New Roman"/>
          <w:sz w:val="23"/>
          <w:szCs w:val="23"/>
        </w:rPr>
        <w:t xml:space="preserve">the right to science </w:t>
      </w:r>
      <w:r w:rsidRPr="000269A8">
        <w:rPr>
          <w:rFonts w:ascii="Times New Roman" w:hAnsi="Times New Roman" w:cs="Times New Roman"/>
          <w:color w:val="000000" w:themeColor="text1"/>
          <w:sz w:val="23"/>
          <w:szCs w:val="23"/>
        </w:rPr>
        <w:t>includ</w:t>
      </w:r>
      <w:r w:rsidR="00E65572" w:rsidRPr="000269A8">
        <w:rPr>
          <w:rFonts w:ascii="Times New Roman" w:hAnsi="Times New Roman" w:cs="Times New Roman"/>
          <w:color w:val="000000" w:themeColor="text1"/>
          <w:sz w:val="23"/>
          <w:szCs w:val="23"/>
        </w:rPr>
        <w:t>es</w:t>
      </w:r>
      <w:r w:rsidR="007A6FF6" w:rsidRPr="000269A8">
        <w:rPr>
          <w:rFonts w:ascii="Times New Roman" w:hAnsi="Times New Roman" w:cs="Times New Roman"/>
          <w:color w:val="000000" w:themeColor="text1"/>
          <w:sz w:val="23"/>
          <w:szCs w:val="23"/>
        </w:rPr>
        <w:t>:</w:t>
      </w:r>
      <w:r w:rsidRPr="000269A8">
        <w:rPr>
          <w:rFonts w:ascii="Times New Roman" w:hAnsi="Times New Roman" w:cs="Times New Roman"/>
          <w:color w:val="000000" w:themeColor="text1"/>
          <w:sz w:val="23"/>
          <w:szCs w:val="23"/>
        </w:rPr>
        <w:t xml:space="preserve"> </w:t>
      </w:r>
    </w:p>
    <w:p w14:paraId="27AE8AD8" w14:textId="46C5F9F8" w:rsidR="00085331" w:rsidRPr="000269A8" w:rsidRDefault="00085331" w:rsidP="00F20FA8">
      <w:pPr>
        <w:pStyle w:val="ListParagraph"/>
        <w:numPr>
          <w:ilvl w:val="1"/>
          <w:numId w:val="1"/>
        </w:numPr>
        <w:jc w:val="both"/>
        <w:rPr>
          <w:rFonts w:ascii="Times New Roman" w:hAnsi="Times New Roman" w:cs="Times New Roman"/>
          <w:color w:val="000000" w:themeColor="text1"/>
          <w:sz w:val="23"/>
          <w:szCs w:val="23"/>
        </w:rPr>
      </w:pPr>
      <w:r w:rsidRPr="000269A8">
        <w:rPr>
          <w:rFonts w:ascii="Times New Roman" w:hAnsi="Times New Roman" w:cs="Times New Roman"/>
          <w:color w:val="000000" w:themeColor="text1"/>
          <w:sz w:val="23"/>
          <w:szCs w:val="23"/>
        </w:rPr>
        <w:t>the intangible scientific benefits</w:t>
      </w:r>
      <w:r w:rsidR="00384AD2" w:rsidRPr="000269A8">
        <w:rPr>
          <w:rFonts w:ascii="Times New Roman" w:hAnsi="Times New Roman" w:cs="Times New Roman"/>
          <w:color w:val="000000" w:themeColor="text1"/>
          <w:sz w:val="23"/>
          <w:szCs w:val="23"/>
        </w:rPr>
        <w:t xml:space="preserve"> of science</w:t>
      </w:r>
      <w:r w:rsidRPr="000269A8">
        <w:rPr>
          <w:rFonts w:ascii="Times New Roman" w:hAnsi="Times New Roman" w:cs="Times New Roman"/>
          <w:color w:val="000000" w:themeColor="text1"/>
          <w:sz w:val="23"/>
          <w:szCs w:val="23"/>
        </w:rPr>
        <w:t>, i.e., knowledge</w:t>
      </w:r>
      <w:r w:rsidR="00384AD2" w:rsidRPr="000269A8">
        <w:rPr>
          <w:rFonts w:ascii="Times New Roman" w:hAnsi="Times New Roman" w:cs="Times New Roman"/>
          <w:color w:val="000000" w:themeColor="text1"/>
          <w:sz w:val="23"/>
          <w:szCs w:val="23"/>
        </w:rPr>
        <w:t>,</w:t>
      </w:r>
      <w:r w:rsidRPr="000269A8">
        <w:rPr>
          <w:rFonts w:ascii="Times New Roman" w:hAnsi="Times New Roman" w:cs="Times New Roman"/>
          <w:color w:val="000000" w:themeColor="text1"/>
          <w:sz w:val="23"/>
          <w:szCs w:val="23"/>
        </w:rPr>
        <w:t xml:space="preserve"> information;</w:t>
      </w:r>
    </w:p>
    <w:p w14:paraId="25BD742F" w14:textId="74EEF897" w:rsidR="00085331" w:rsidRPr="000269A8" w:rsidRDefault="00085331" w:rsidP="00F20FA8">
      <w:pPr>
        <w:pStyle w:val="ListParagraph"/>
        <w:numPr>
          <w:ilvl w:val="1"/>
          <w:numId w:val="1"/>
        </w:numPr>
        <w:jc w:val="both"/>
        <w:rPr>
          <w:rFonts w:ascii="Times New Roman" w:hAnsi="Times New Roman" w:cs="Times New Roman"/>
          <w:color w:val="000000" w:themeColor="text1"/>
          <w:sz w:val="23"/>
          <w:szCs w:val="23"/>
        </w:rPr>
      </w:pPr>
      <w:r w:rsidRPr="000269A8">
        <w:rPr>
          <w:rFonts w:ascii="Times New Roman" w:hAnsi="Times New Roman" w:cs="Times New Roman"/>
          <w:color w:val="000000" w:themeColor="text1"/>
          <w:sz w:val="23"/>
          <w:szCs w:val="23"/>
        </w:rPr>
        <w:t xml:space="preserve">the </w:t>
      </w:r>
      <w:r w:rsidR="00A76ADD" w:rsidRPr="000269A8">
        <w:rPr>
          <w:rFonts w:ascii="Times New Roman" w:hAnsi="Times New Roman" w:cs="Times New Roman"/>
          <w:color w:val="000000" w:themeColor="text1"/>
          <w:sz w:val="23"/>
          <w:szCs w:val="23"/>
        </w:rPr>
        <w:t xml:space="preserve">tangible, </w:t>
      </w:r>
      <w:r w:rsidRPr="000269A8">
        <w:rPr>
          <w:rFonts w:ascii="Times New Roman" w:hAnsi="Times New Roman" w:cs="Times New Roman"/>
          <w:color w:val="000000" w:themeColor="text1"/>
          <w:sz w:val="23"/>
          <w:szCs w:val="23"/>
        </w:rPr>
        <w:t>material results of scientific progress, i.e., medicines, vaccines;</w:t>
      </w:r>
    </w:p>
    <w:p w14:paraId="00D611CC" w14:textId="6E1138D0" w:rsidR="00085331" w:rsidRPr="000269A8" w:rsidRDefault="00085331" w:rsidP="00F20FA8">
      <w:pPr>
        <w:pStyle w:val="ListParagraph"/>
        <w:numPr>
          <w:ilvl w:val="1"/>
          <w:numId w:val="1"/>
        </w:numPr>
        <w:jc w:val="both"/>
        <w:rPr>
          <w:rFonts w:ascii="Times New Roman" w:hAnsi="Times New Roman" w:cs="Times New Roman"/>
          <w:color w:val="000000" w:themeColor="text1"/>
          <w:sz w:val="23"/>
          <w:szCs w:val="23"/>
        </w:rPr>
      </w:pPr>
      <w:r w:rsidRPr="000269A8">
        <w:rPr>
          <w:rFonts w:ascii="Times New Roman" w:hAnsi="Times New Roman" w:cs="Times New Roman"/>
          <w:color w:val="000000" w:themeColor="text1"/>
          <w:sz w:val="23"/>
          <w:szCs w:val="23"/>
        </w:rPr>
        <w:t>and the means, methods, and materials of scientific discovery.</w:t>
      </w:r>
    </w:p>
    <w:p w14:paraId="133127BA" w14:textId="77777777" w:rsidR="00085331" w:rsidRPr="000269A8" w:rsidRDefault="00085331" w:rsidP="00F20FA8">
      <w:pPr>
        <w:pStyle w:val="ListParagraph"/>
        <w:jc w:val="both"/>
        <w:rPr>
          <w:rFonts w:ascii="Times New Roman" w:hAnsi="Times New Roman" w:cs="Times New Roman"/>
          <w:color w:val="000000" w:themeColor="text1"/>
          <w:sz w:val="23"/>
          <w:szCs w:val="23"/>
        </w:rPr>
      </w:pPr>
    </w:p>
    <w:p w14:paraId="20E31958" w14:textId="0B46A697" w:rsidR="00EB4DC7" w:rsidRPr="000269A8" w:rsidRDefault="00E65572" w:rsidP="00F20FA8">
      <w:pPr>
        <w:pStyle w:val="ListParagraph"/>
        <w:numPr>
          <w:ilvl w:val="0"/>
          <w:numId w:val="1"/>
        </w:numPr>
        <w:jc w:val="both"/>
        <w:rPr>
          <w:rFonts w:ascii="Times New Roman" w:hAnsi="Times New Roman" w:cs="Times New Roman"/>
          <w:color w:val="000000" w:themeColor="text1"/>
          <w:sz w:val="23"/>
          <w:szCs w:val="23"/>
        </w:rPr>
      </w:pPr>
      <w:r w:rsidRPr="000269A8">
        <w:rPr>
          <w:rFonts w:ascii="Times New Roman" w:hAnsi="Times New Roman" w:cs="Times New Roman"/>
          <w:color w:val="000000" w:themeColor="text1"/>
          <w:sz w:val="23"/>
          <w:szCs w:val="23"/>
        </w:rPr>
        <w:t>In addition, t</w:t>
      </w:r>
      <w:r w:rsidR="00085331" w:rsidRPr="000269A8">
        <w:rPr>
          <w:rFonts w:ascii="Times New Roman" w:hAnsi="Times New Roman" w:cs="Times New Roman"/>
          <w:color w:val="000000" w:themeColor="text1"/>
          <w:sz w:val="23"/>
          <w:szCs w:val="23"/>
        </w:rPr>
        <w:t xml:space="preserve">he right to science articulates state obligations for </w:t>
      </w:r>
      <w:r w:rsidRPr="000269A8">
        <w:rPr>
          <w:rFonts w:ascii="Times New Roman" w:hAnsi="Times New Roman" w:cs="Times New Roman"/>
          <w:color w:val="000000" w:themeColor="text1"/>
          <w:sz w:val="23"/>
          <w:szCs w:val="23"/>
        </w:rPr>
        <w:t xml:space="preserve">the </w:t>
      </w:r>
      <w:r w:rsidR="00085331" w:rsidRPr="000269A8">
        <w:rPr>
          <w:rFonts w:ascii="Times New Roman" w:hAnsi="Times New Roman" w:cs="Times New Roman"/>
          <w:color w:val="000000" w:themeColor="text1"/>
          <w:sz w:val="23"/>
          <w:szCs w:val="23"/>
        </w:rPr>
        <w:t xml:space="preserve">purposive development of science and technology for public benefit in ways that ensure the </w:t>
      </w:r>
      <w:r w:rsidR="00085331" w:rsidRPr="000269A8">
        <w:rPr>
          <w:rFonts w:ascii="Times New Roman" w:hAnsi="Times New Roman" w:cs="Times New Roman"/>
          <w:sz w:val="23"/>
          <w:szCs w:val="23"/>
        </w:rPr>
        <w:t xml:space="preserve">availability, accessibility, </w:t>
      </w:r>
      <w:r w:rsidR="00085331" w:rsidRPr="000269A8">
        <w:rPr>
          <w:rFonts w:ascii="Times New Roman" w:hAnsi="Times New Roman" w:cs="Times New Roman"/>
          <w:sz w:val="23"/>
          <w:szCs w:val="23"/>
        </w:rPr>
        <w:lastRenderedPageBreak/>
        <w:t>affordability, and quality of scientific goods, e.g., vaccines.</w:t>
      </w:r>
      <w:r w:rsidR="00DB71E8" w:rsidRPr="000269A8">
        <w:rPr>
          <w:rFonts w:ascii="Times New Roman" w:hAnsi="Times New Roman" w:cs="Times New Roman"/>
          <w:sz w:val="23"/>
          <w:szCs w:val="23"/>
        </w:rPr>
        <w:t xml:space="preserve"> This 3AQ standard</w:t>
      </w:r>
      <w:r w:rsidR="00E075FD" w:rsidRPr="000269A8">
        <w:rPr>
          <w:rFonts w:ascii="Times New Roman" w:hAnsi="Times New Roman" w:cs="Times New Roman"/>
          <w:sz w:val="23"/>
          <w:szCs w:val="23"/>
        </w:rPr>
        <w:t xml:space="preserve"> mirrors how </w:t>
      </w:r>
      <w:r w:rsidR="00DB71E8" w:rsidRPr="000269A8">
        <w:rPr>
          <w:rFonts w:ascii="Times New Roman" w:hAnsi="Times New Roman" w:cs="Times New Roman"/>
          <w:sz w:val="23"/>
          <w:szCs w:val="23"/>
        </w:rPr>
        <w:t>the right to health</w:t>
      </w:r>
      <w:r w:rsidR="00E075FD" w:rsidRPr="000269A8">
        <w:rPr>
          <w:rFonts w:ascii="Times New Roman" w:hAnsi="Times New Roman" w:cs="Times New Roman"/>
          <w:sz w:val="23"/>
          <w:szCs w:val="23"/>
        </w:rPr>
        <w:t xml:space="preserve"> defines access as multi-dimensional</w:t>
      </w:r>
      <w:r w:rsidR="00DB71E8" w:rsidRPr="000269A8">
        <w:rPr>
          <w:rFonts w:ascii="Times New Roman" w:hAnsi="Times New Roman" w:cs="Times New Roman"/>
          <w:sz w:val="23"/>
          <w:szCs w:val="23"/>
        </w:rPr>
        <w:t>.</w:t>
      </w:r>
      <w:r w:rsidR="009248FC" w:rsidRPr="000269A8">
        <w:rPr>
          <w:rStyle w:val="FootnoteReference"/>
          <w:rFonts w:ascii="Times New Roman" w:hAnsi="Times New Roman" w:cs="Times New Roman"/>
          <w:sz w:val="23"/>
          <w:szCs w:val="23"/>
        </w:rPr>
        <w:footnoteReference w:id="2"/>
      </w:r>
      <w:r w:rsidR="00DB71E8" w:rsidRPr="000269A8">
        <w:rPr>
          <w:rFonts w:ascii="Times New Roman" w:hAnsi="Times New Roman" w:cs="Times New Roman"/>
          <w:sz w:val="23"/>
          <w:szCs w:val="23"/>
        </w:rPr>
        <w:t xml:space="preserve"> </w:t>
      </w:r>
    </w:p>
    <w:p w14:paraId="70472702" w14:textId="77777777" w:rsidR="00637E39" w:rsidRPr="000269A8" w:rsidRDefault="00637E39" w:rsidP="00F20FA8">
      <w:pPr>
        <w:pStyle w:val="ListParagraph"/>
        <w:jc w:val="both"/>
        <w:rPr>
          <w:rFonts w:ascii="Times New Roman" w:hAnsi="Times New Roman" w:cs="Times New Roman"/>
          <w:sz w:val="23"/>
          <w:szCs w:val="23"/>
        </w:rPr>
      </w:pPr>
    </w:p>
    <w:p w14:paraId="6B31FC87" w14:textId="264D3DE9" w:rsidR="00637E39" w:rsidRPr="000269A8" w:rsidRDefault="00EB4DC7" w:rsidP="00F20FA8">
      <w:pPr>
        <w:pStyle w:val="ListParagraph"/>
        <w:numPr>
          <w:ilvl w:val="0"/>
          <w:numId w:val="1"/>
        </w:numPr>
        <w:jc w:val="both"/>
        <w:rPr>
          <w:rFonts w:ascii="Times New Roman" w:hAnsi="Times New Roman" w:cs="Times New Roman"/>
          <w:sz w:val="23"/>
          <w:szCs w:val="23"/>
        </w:rPr>
      </w:pPr>
      <w:r w:rsidRPr="000269A8">
        <w:rPr>
          <w:rFonts w:ascii="Times New Roman" w:hAnsi="Times New Roman" w:cs="Times New Roman"/>
          <w:color w:val="000000" w:themeColor="text1"/>
          <w:sz w:val="23"/>
          <w:szCs w:val="23"/>
        </w:rPr>
        <w:t xml:space="preserve">In 2020, </w:t>
      </w:r>
      <w:r w:rsidR="00DB71E8" w:rsidRPr="000269A8">
        <w:rPr>
          <w:rFonts w:ascii="Times New Roman" w:hAnsi="Times New Roman" w:cs="Times New Roman"/>
          <w:color w:val="000000" w:themeColor="text1"/>
          <w:sz w:val="23"/>
          <w:szCs w:val="23"/>
        </w:rPr>
        <w:t xml:space="preserve">coinciding with the start of the COVID-19 pandemic, </w:t>
      </w:r>
      <w:r w:rsidR="00245EC2" w:rsidRPr="000269A8">
        <w:rPr>
          <w:rFonts w:ascii="Times New Roman" w:hAnsi="Times New Roman" w:cs="Times New Roman"/>
          <w:color w:val="000000" w:themeColor="text1"/>
          <w:sz w:val="23"/>
          <w:szCs w:val="23"/>
        </w:rPr>
        <w:t xml:space="preserve">CESCR </w:t>
      </w:r>
      <w:r w:rsidRPr="000269A8">
        <w:rPr>
          <w:rFonts w:ascii="Times New Roman" w:hAnsi="Times New Roman" w:cs="Times New Roman"/>
          <w:color w:val="000000" w:themeColor="text1"/>
          <w:sz w:val="23"/>
          <w:szCs w:val="23"/>
        </w:rPr>
        <w:t xml:space="preserve">published </w:t>
      </w:r>
      <w:r w:rsidR="00245EC2" w:rsidRPr="000269A8">
        <w:rPr>
          <w:rFonts w:ascii="Times New Roman" w:hAnsi="Times New Roman" w:cs="Times New Roman"/>
          <w:color w:val="000000" w:themeColor="text1"/>
          <w:sz w:val="23"/>
          <w:szCs w:val="23"/>
        </w:rPr>
        <w:t>General Comment 25</w:t>
      </w:r>
      <w:r w:rsidR="00A5265C" w:rsidRPr="000269A8">
        <w:rPr>
          <w:rFonts w:ascii="Times New Roman" w:hAnsi="Times New Roman" w:cs="Times New Roman"/>
          <w:color w:val="000000" w:themeColor="text1"/>
          <w:sz w:val="23"/>
          <w:szCs w:val="23"/>
        </w:rPr>
        <w:t xml:space="preserve"> on science and economic, social, and cultural rights (hereafter: GC25) </w:t>
      </w:r>
      <w:r w:rsidR="00DB71E8" w:rsidRPr="000269A8">
        <w:rPr>
          <w:rFonts w:ascii="Times New Roman" w:hAnsi="Times New Roman" w:cs="Times New Roman"/>
          <w:color w:val="000000" w:themeColor="text1"/>
          <w:sz w:val="23"/>
          <w:szCs w:val="23"/>
        </w:rPr>
        <w:t>providing the first authoritative</w:t>
      </w:r>
      <w:r w:rsidR="00A5265C" w:rsidRPr="000269A8">
        <w:rPr>
          <w:rFonts w:ascii="Times New Roman" w:hAnsi="Times New Roman" w:cs="Times New Roman"/>
          <w:color w:val="000000" w:themeColor="text1"/>
          <w:sz w:val="23"/>
          <w:szCs w:val="23"/>
        </w:rPr>
        <w:t xml:space="preserve"> analysis of the right to science.</w:t>
      </w:r>
      <w:r w:rsidR="00C110A4" w:rsidRPr="000269A8">
        <w:rPr>
          <w:rStyle w:val="FootnoteReference"/>
          <w:rFonts w:ascii="Times New Roman" w:hAnsi="Times New Roman" w:cs="Times New Roman"/>
          <w:color w:val="000000" w:themeColor="text1"/>
          <w:sz w:val="23"/>
          <w:szCs w:val="23"/>
        </w:rPr>
        <w:footnoteReference w:id="3"/>
      </w:r>
      <w:r w:rsidR="00245EC2" w:rsidRPr="000269A8">
        <w:rPr>
          <w:rFonts w:ascii="Times New Roman" w:hAnsi="Times New Roman" w:cs="Times New Roman"/>
          <w:color w:val="000000" w:themeColor="text1"/>
          <w:sz w:val="23"/>
          <w:szCs w:val="23"/>
        </w:rPr>
        <w:t xml:space="preserve"> </w:t>
      </w:r>
      <w:r w:rsidR="00266291" w:rsidRPr="000269A8">
        <w:rPr>
          <w:rFonts w:ascii="Times New Roman" w:hAnsi="Times New Roman" w:cs="Times New Roman"/>
          <w:color w:val="000000" w:themeColor="text1"/>
          <w:sz w:val="23"/>
          <w:szCs w:val="23"/>
        </w:rPr>
        <w:t xml:space="preserve">GC25 also </w:t>
      </w:r>
      <w:r w:rsidR="00C95D0F" w:rsidRPr="000269A8">
        <w:rPr>
          <w:rFonts w:ascii="Times New Roman" w:hAnsi="Times New Roman" w:cs="Times New Roman"/>
          <w:color w:val="000000" w:themeColor="text1"/>
          <w:sz w:val="23"/>
          <w:szCs w:val="23"/>
        </w:rPr>
        <w:t>analyzes</w:t>
      </w:r>
      <w:r w:rsidR="00245EC2" w:rsidRPr="000269A8">
        <w:rPr>
          <w:rFonts w:ascii="Times New Roman" w:hAnsi="Times New Roman" w:cs="Times New Roman"/>
          <w:color w:val="000000" w:themeColor="text1"/>
          <w:sz w:val="23"/>
          <w:szCs w:val="23"/>
        </w:rPr>
        <w:t xml:space="preserve"> </w:t>
      </w:r>
      <w:r w:rsidR="00266291" w:rsidRPr="000269A8">
        <w:rPr>
          <w:rFonts w:ascii="Times New Roman" w:hAnsi="Times New Roman" w:cs="Times New Roman"/>
          <w:color w:val="000000" w:themeColor="text1"/>
          <w:sz w:val="23"/>
          <w:szCs w:val="23"/>
        </w:rPr>
        <w:t xml:space="preserve">the </w:t>
      </w:r>
      <w:r w:rsidR="00C95D0F" w:rsidRPr="000269A8">
        <w:rPr>
          <w:rFonts w:ascii="Times New Roman" w:hAnsi="Times New Roman" w:cs="Times New Roman"/>
          <w:color w:val="000000" w:themeColor="text1"/>
          <w:sz w:val="23"/>
          <w:szCs w:val="23"/>
        </w:rPr>
        <w:t>inter</w:t>
      </w:r>
      <w:r w:rsidR="00266291" w:rsidRPr="000269A8">
        <w:rPr>
          <w:rFonts w:ascii="Times New Roman" w:hAnsi="Times New Roman" w:cs="Times New Roman"/>
          <w:color w:val="000000" w:themeColor="text1"/>
          <w:sz w:val="23"/>
          <w:szCs w:val="23"/>
        </w:rPr>
        <w:t xml:space="preserve">relation </w:t>
      </w:r>
      <w:r w:rsidR="00C95D0F" w:rsidRPr="000269A8">
        <w:rPr>
          <w:rFonts w:ascii="Times New Roman" w:hAnsi="Times New Roman" w:cs="Times New Roman"/>
          <w:color w:val="000000" w:themeColor="text1"/>
          <w:sz w:val="23"/>
          <w:szCs w:val="23"/>
        </w:rPr>
        <w:t xml:space="preserve">of </w:t>
      </w:r>
      <w:r w:rsidR="00266291" w:rsidRPr="000269A8">
        <w:rPr>
          <w:rFonts w:ascii="Times New Roman" w:hAnsi="Times New Roman" w:cs="Times New Roman"/>
          <w:color w:val="000000" w:themeColor="text1"/>
          <w:sz w:val="23"/>
          <w:szCs w:val="23"/>
        </w:rPr>
        <w:t>the right to science and the right to health.</w:t>
      </w:r>
    </w:p>
    <w:p w14:paraId="2AD676CE" w14:textId="77777777" w:rsidR="00C1501B" w:rsidRPr="000269A8" w:rsidRDefault="00C1501B" w:rsidP="00F20FA8">
      <w:pPr>
        <w:pStyle w:val="ListParagraph"/>
        <w:jc w:val="both"/>
        <w:rPr>
          <w:rFonts w:ascii="Times New Roman" w:hAnsi="Times New Roman" w:cs="Times New Roman"/>
          <w:sz w:val="23"/>
          <w:szCs w:val="23"/>
        </w:rPr>
      </w:pPr>
    </w:p>
    <w:p w14:paraId="133974A9" w14:textId="1B974228" w:rsidR="0016783C" w:rsidRPr="008F41AE" w:rsidRDefault="00085331" w:rsidP="00F20FA8">
      <w:pPr>
        <w:pStyle w:val="ListParagraph"/>
        <w:numPr>
          <w:ilvl w:val="0"/>
          <w:numId w:val="1"/>
        </w:numPr>
        <w:jc w:val="both"/>
        <w:rPr>
          <w:rFonts w:ascii="Times New Roman" w:hAnsi="Times New Roman" w:cs="Times New Roman"/>
          <w:sz w:val="23"/>
          <w:szCs w:val="23"/>
        </w:rPr>
      </w:pPr>
      <w:r w:rsidRPr="000269A8">
        <w:rPr>
          <w:rFonts w:ascii="Times New Roman" w:hAnsi="Times New Roman" w:cs="Times New Roman"/>
          <w:sz w:val="23"/>
          <w:szCs w:val="23"/>
        </w:rPr>
        <w:t>GC25 reiterates the right to health</w:t>
      </w:r>
      <w:r w:rsidR="00E075FD" w:rsidRPr="000269A8">
        <w:rPr>
          <w:rFonts w:ascii="Times New Roman" w:hAnsi="Times New Roman" w:cs="Times New Roman"/>
          <w:sz w:val="23"/>
          <w:szCs w:val="23"/>
        </w:rPr>
        <w:t xml:space="preserve"> definition of access as being comprised </w:t>
      </w:r>
      <w:r w:rsidR="00CF08F7" w:rsidRPr="000269A8">
        <w:rPr>
          <w:rFonts w:ascii="Times New Roman" w:hAnsi="Times New Roman" w:cs="Times New Roman"/>
          <w:sz w:val="23"/>
          <w:szCs w:val="23"/>
        </w:rPr>
        <w:t>of availability, accessibility, acceptability, and quality</w:t>
      </w:r>
      <w:r w:rsidR="00E075FD" w:rsidRPr="000269A8">
        <w:rPr>
          <w:rFonts w:ascii="Times New Roman" w:hAnsi="Times New Roman" w:cs="Times New Roman"/>
          <w:sz w:val="23"/>
          <w:szCs w:val="23"/>
        </w:rPr>
        <w:t xml:space="preserve"> (3AQ)</w:t>
      </w:r>
      <w:r w:rsidR="00CF08F7" w:rsidRPr="000269A8">
        <w:rPr>
          <w:rFonts w:ascii="Times New Roman" w:hAnsi="Times New Roman" w:cs="Times New Roman"/>
          <w:sz w:val="23"/>
          <w:szCs w:val="23"/>
        </w:rPr>
        <w:t xml:space="preserve">. </w:t>
      </w:r>
      <w:r w:rsidR="007F5E83" w:rsidRPr="000269A8">
        <w:rPr>
          <w:rFonts w:ascii="Times New Roman" w:hAnsi="Times New Roman" w:cs="Times New Roman"/>
          <w:sz w:val="23"/>
          <w:szCs w:val="23"/>
        </w:rPr>
        <w:t>With regards to availability, GC25 notes “States parties should direct their own resources and coordinate actions of others to ensure that scientific progress happens and that its applications and benefits are distributed and are available, especially to vulnerable and marginalized groups.”</w:t>
      </w:r>
      <w:r w:rsidR="007F5E83" w:rsidRPr="008F41AE">
        <w:rPr>
          <w:rStyle w:val="FootnoteReference"/>
          <w:rFonts w:ascii="Times New Roman" w:hAnsi="Times New Roman" w:cs="Times New Roman"/>
          <w:sz w:val="23"/>
          <w:szCs w:val="23"/>
        </w:rPr>
        <w:footnoteReference w:id="4"/>
      </w:r>
      <w:r w:rsidR="007F5E83" w:rsidRPr="008F41AE">
        <w:rPr>
          <w:rFonts w:ascii="Times New Roman" w:hAnsi="Times New Roman" w:cs="Times New Roman"/>
          <w:sz w:val="23"/>
          <w:szCs w:val="23"/>
        </w:rPr>
        <w:t xml:space="preserve"> </w:t>
      </w:r>
      <w:r w:rsidR="008F41AE">
        <w:rPr>
          <w:rFonts w:ascii="Times New Roman" w:hAnsi="Times New Roman" w:cs="Times New Roman"/>
          <w:sz w:val="23"/>
          <w:szCs w:val="23"/>
        </w:rPr>
        <w:t>A</w:t>
      </w:r>
      <w:r w:rsidR="00CF08F7" w:rsidRPr="008F41AE">
        <w:rPr>
          <w:rFonts w:ascii="Times New Roman" w:hAnsi="Times New Roman" w:cs="Times New Roman"/>
          <w:sz w:val="23"/>
          <w:szCs w:val="23"/>
        </w:rPr>
        <w:t xml:space="preserve">s </w:t>
      </w:r>
      <w:r w:rsidR="00C95D0F" w:rsidRPr="008F41AE">
        <w:rPr>
          <w:rFonts w:ascii="Times New Roman" w:hAnsi="Times New Roman" w:cs="Times New Roman"/>
          <w:sz w:val="23"/>
          <w:szCs w:val="23"/>
        </w:rPr>
        <w:t xml:space="preserve">a </w:t>
      </w:r>
      <w:r w:rsidR="008F41AE">
        <w:rPr>
          <w:rFonts w:ascii="Times New Roman" w:hAnsi="Times New Roman" w:cs="Times New Roman"/>
          <w:sz w:val="23"/>
          <w:szCs w:val="23"/>
        </w:rPr>
        <w:t>part</w:t>
      </w:r>
      <w:r w:rsidR="00E075FD" w:rsidRPr="008F41AE">
        <w:rPr>
          <w:rFonts w:ascii="Times New Roman" w:hAnsi="Times New Roman" w:cs="Times New Roman"/>
          <w:sz w:val="23"/>
          <w:szCs w:val="23"/>
        </w:rPr>
        <w:t xml:space="preserve"> of accessibility, </w:t>
      </w:r>
      <w:r w:rsidR="008F41AE" w:rsidRPr="001D7F73">
        <w:rPr>
          <w:rFonts w:ascii="Times New Roman" w:hAnsi="Times New Roman" w:cs="Times New Roman"/>
          <w:sz w:val="23"/>
          <w:szCs w:val="23"/>
        </w:rPr>
        <w:t xml:space="preserve">GC25 stresses that </w:t>
      </w:r>
      <w:r w:rsidR="00CF08F7" w:rsidRPr="008F41AE">
        <w:rPr>
          <w:rFonts w:ascii="Times New Roman" w:hAnsi="Times New Roman" w:cs="Times New Roman"/>
          <w:sz w:val="23"/>
          <w:szCs w:val="23"/>
        </w:rPr>
        <w:t>“States parties should ensure that everyone has equal access to the applications of science, particularly when they are instrumental for the enjoyment of other economic, social and cultural rights.”</w:t>
      </w:r>
      <w:r w:rsidR="00CF08F7" w:rsidRPr="008F41AE">
        <w:rPr>
          <w:rStyle w:val="FootnoteReference"/>
          <w:rFonts w:ascii="Times New Roman" w:hAnsi="Times New Roman" w:cs="Times New Roman"/>
          <w:sz w:val="23"/>
          <w:szCs w:val="23"/>
        </w:rPr>
        <w:footnoteReference w:id="5"/>
      </w:r>
      <w:r w:rsidR="00CF08F7" w:rsidRPr="008F41AE">
        <w:rPr>
          <w:rFonts w:ascii="Times New Roman" w:hAnsi="Times New Roman" w:cs="Times New Roman"/>
          <w:sz w:val="23"/>
          <w:szCs w:val="23"/>
        </w:rPr>
        <w:t xml:space="preserve"> </w:t>
      </w:r>
    </w:p>
    <w:p w14:paraId="5942316C" w14:textId="77777777" w:rsidR="0016783C" w:rsidRPr="008F41AE" w:rsidRDefault="0016783C" w:rsidP="00E075FD">
      <w:pPr>
        <w:jc w:val="both"/>
        <w:rPr>
          <w:rFonts w:ascii="Times New Roman" w:hAnsi="Times New Roman" w:cs="Times New Roman"/>
          <w:sz w:val="23"/>
          <w:szCs w:val="23"/>
        </w:rPr>
      </w:pPr>
    </w:p>
    <w:p w14:paraId="10FC7B4B" w14:textId="51AF54E3" w:rsidR="00245EC2" w:rsidRPr="008F41AE" w:rsidRDefault="007F5E83" w:rsidP="00E075FD">
      <w:pPr>
        <w:pStyle w:val="ListParagraph"/>
        <w:numPr>
          <w:ilvl w:val="0"/>
          <w:numId w:val="1"/>
        </w:numPr>
        <w:rPr>
          <w:rFonts w:ascii="Times New Roman" w:hAnsi="Times New Roman" w:cs="Times New Roman"/>
          <w:sz w:val="23"/>
          <w:szCs w:val="23"/>
        </w:rPr>
      </w:pPr>
      <w:r w:rsidRPr="008F41AE">
        <w:rPr>
          <w:rFonts w:ascii="Times New Roman" w:hAnsi="Times New Roman" w:cs="Times New Roman"/>
          <w:sz w:val="23"/>
          <w:szCs w:val="23"/>
        </w:rPr>
        <w:t>Vaccines</w:t>
      </w:r>
      <w:r w:rsidR="00752419" w:rsidRPr="008F41AE">
        <w:rPr>
          <w:rFonts w:ascii="Times New Roman" w:hAnsi="Times New Roman" w:cs="Times New Roman"/>
          <w:sz w:val="23"/>
          <w:szCs w:val="23"/>
        </w:rPr>
        <w:t xml:space="preserve"> are</w:t>
      </w:r>
      <w:r w:rsidRPr="008F41AE">
        <w:rPr>
          <w:rFonts w:ascii="Times New Roman" w:hAnsi="Times New Roman" w:cs="Times New Roman"/>
          <w:sz w:val="23"/>
          <w:szCs w:val="23"/>
        </w:rPr>
        <w:t xml:space="preserve"> one application of scienc</w:t>
      </w:r>
      <w:r w:rsidR="00752419" w:rsidRPr="008F41AE">
        <w:rPr>
          <w:rFonts w:ascii="Times New Roman" w:hAnsi="Times New Roman" w:cs="Times New Roman"/>
          <w:sz w:val="23"/>
          <w:szCs w:val="23"/>
        </w:rPr>
        <w:t>e instrumental for the enjoyment of the right to health. In this sense, vaccines</w:t>
      </w:r>
      <w:r w:rsidR="0016783C" w:rsidRPr="008F41AE">
        <w:rPr>
          <w:rFonts w:ascii="Times New Roman" w:hAnsi="Times New Roman" w:cs="Times New Roman"/>
          <w:sz w:val="23"/>
          <w:szCs w:val="23"/>
        </w:rPr>
        <w:t xml:space="preserve"> as a specific application of science</w:t>
      </w:r>
      <w:r w:rsidR="00752419" w:rsidRPr="008F41AE">
        <w:rPr>
          <w:rFonts w:ascii="Times New Roman" w:hAnsi="Times New Roman" w:cs="Times New Roman"/>
          <w:sz w:val="23"/>
          <w:szCs w:val="23"/>
        </w:rPr>
        <w:t xml:space="preserve"> </w:t>
      </w:r>
      <w:r w:rsidR="008F41AE">
        <w:rPr>
          <w:rFonts w:ascii="Times New Roman" w:hAnsi="Times New Roman" w:cs="Times New Roman"/>
          <w:sz w:val="23"/>
          <w:szCs w:val="23"/>
        </w:rPr>
        <w:t>qualify as</w:t>
      </w:r>
      <w:r w:rsidR="00752419" w:rsidRPr="008F41AE">
        <w:rPr>
          <w:rFonts w:ascii="Times New Roman" w:hAnsi="Times New Roman" w:cs="Times New Roman"/>
          <w:sz w:val="23"/>
          <w:szCs w:val="23"/>
        </w:rPr>
        <w:t xml:space="preserve"> what Farida Shaheed termed “</w:t>
      </w:r>
      <w:r w:rsidR="0016783C" w:rsidRPr="008F41AE">
        <w:rPr>
          <w:rFonts w:ascii="Times New Roman" w:hAnsi="Times New Roman" w:cs="Times New Roman"/>
          <w:sz w:val="23"/>
          <w:szCs w:val="23"/>
        </w:rPr>
        <w:t>innovations essential for a life with dignity</w:t>
      </w:r>
      <w:r w:rsidR="00E075FD" w:rsidRPr="008F41AE">
        <w:rPr>
          <w:rFonts w:ascii="Times New Roman" w:hAnsi="Times New Roman" w:cs="Times New Roman"/>
          <w:sz w:val="23"/>
          <w:szCs w:val="23"/>
        </w:rPr>
        <w:t>.</w:t>
      </w:r>
      <w:r w:rsidR="0016783C" w:rsidRPr="008F41AE">
        <w:rPr>
          <w:rFonts w:ascii="Times New Roman" w:hAnsi="Times New Roman" w:cs="Times New Roman"/>
          <w:sz w:val="23"/>
          <w:szCs w:val="23"/>
        </w:rPr>
        <w:t xml:space="preserve">” </w:t>
      </w:r>
      <w:r w:rsidR="00E075FD" w:rsidRPr="008F41AE">
        <w:rPr>
          <w:rFonts w:ascii="Times New Roman" w:hAnsi="Times New Roman" w:cs="Times New Roman"/>
          <w:sz w:val="23"/>
          <w:szCs w:val="23"/>
        </w:rPr>
        <w:t>T</w:t>
      </w:r>
      <w:r w:rsidR="0016783C" w:rsidRPr="008F41AE">
        <w:rPr>
          <w:rFonts w:ascii="Times New Roman" w:hAnsi="Times New Roman" w:cs="Times New Roman"/>
          <w:sz w:val="23"/>
          <w:szCs w:val="23"/>
        </w:rPr>
        <w:t>herefore</w:t>
      </w:r>
      <w:r w:rsidR="00E075FD" w:rsidRPr="008F41AE">
        <w:rPr>
          <w:rFonts w:ascii="Times New Roman" w:hAnsi="Times New Roman" w:cs="Times New Roman"/>
          <w:sz w:val="23"/>
          <w:szCs w:val="23"/>
        </w:rPr>
        <w:t>,</w:t>
      </w:r>
      <w:r w:rsidR="000079DF" w:rsidRPr="008F41AE">
        <w:rPr>
          <w:rFonts w:ascii="Times New Roman" w:hAnsi="Times New Roman" w:cs="Times New Roman"/>
          <w:sz w:val="23"/>
          <w:szCs w:val="23"/>
        </w:rPr>
        <w:t xml:space="preserve"> vaccines against COVID-19</w:t>
      </w:r>
      <w:r w:rsidR="0016783C" w:rsidRPr="008F41AE">
        <w:rPr>
          <w:rFonts w:ascii="Times New Roman" w:hAnsi="Times New Roman" w:cs="Times New Roman"/>
          <w:sz w:val="23"/>
          <w:szCs w:val="23"/>
        </w:rPr>
        <w:t xml:space="preserve"> “should be accessible to everyone, in particular marginalized populations.”</w:t>
      </w:r>
      <w:r w:rsidR="0016783C" w:rsidRPr="008F41AE">
        <w:rPr>
          <w:rStyle w:val="FootnoteReference"/>
          <w:rFonts w:ascii="Times New Roman" w:hAnsi="Times New Roman" w:cs="Times New Roman"/>
          <w:sz w:val="23"/>
          <w:szCs w:val="23"/>
        </w:rPr>
        <w:footnoteReference w:id="6"/>
      </w:r>
      <w:r w:rsidR="0016783C" w:rsidRPr="008F41AE">
        <w:rPr>
          <w:rFonts w:ascii="Times New Roman" w:hAnsi="Times New Roman" w:cs="Times New Roman"/>
          <w:sz w:val="23"/>
          <w:szCs w:val="23"/>
        </w:rPr>
        <w:t xml:space="preserve"> Analyses of the human rights implications and impacts of COVID-19 vaccine distribution are stronger for recognizing </w:t>
      </w:r>
      <w:r w:rsidR="008F41AE">
        <w:rPr>
          <w:rFonts w:ascii="Times New Roman" w:hAnsi="Times New Roman" w:cs="Times New Roman"/>
          <w:sz w:val="23"/>
          <w:szCs w:val="23"/>
        </w:rPr>
        <w:t>duties</w:t>
      </w:r>
      <w:r w:rsidR="008F41AE" w:rsidRPr="008F41AE">
        <w:rPr>
          <w:rFonts w:ascii="Times New Roman" w:hAnsi="Times New Roman" w:cs="Times New Roman"/>
          <w:sz w:val="23"/>
          <w:szCs w:val="23"/>
        </w:rPr>
        <w:t xml:space="preserve"> </w:t>
      </w:r>
      <w:r w:rsidR="0016783C" w:rsidRPr="008F41AE">
        <w:rPr>
          <w:rFonts w:ascii="Times New Roman" w:hAnsi="Times New Roman" w:cs="Times New Roman"/>
          <w:sz w:val="23"/>
          <w:szCs w:val="23"/>
        </w:rPr>
        <w:t xml:space="preserve">the right to science places on states alongside obligations originating in the right to health. </w:t>
      </w:r>
    </w:p>
    <w:p w14:paraId="2AC5CB3B" w14:textId="77777777" w:rsidR="0016783C" w:rsidRPr="008F41AE" w:rsidRDefault="0016783C" w:rsidP="00CF38C2">
      <w:pPr>
        <w:pStyle w:val="ListParagraph"/>
        <w:ind w:left="360"/>
        <w:jc w:val="both"/>
        <w:rPr>
          <w:rFonts w:ascii="Times New Roman" w:hAnsi="Times New Roman" w:cs="Times New Roman"/>
          <w:sz w:val="23"/>
          <w:szCs w:val="23"/>
        </w:rPr>
      </w:pPr>
    </w:p>
    <w:p w14:paraId="0454CC88" w14:textId="6F6C5A01" w:rsidR="00974CB7" w:rsidRPr="008F41AE" w:rsidRDefault="007F5E83" w:rsidP="00F20FA8">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rPr>
        <w:t xml:space="preserve">GC25 </w:t>
      </w:r>
      <w:r w:rsidR="00C33856" w:rsidRPr="008F41AE">
        <w:rPr>
          <w:rFonts w:ascii="Times New Roman" w:hAnsi="Times New Roman" w:cs="Times New Roman"/>
          <w:sz w:val="23"/>
          <w:szCs w:val="23"/>
        </w:rPr>
        <w:t>makes specific mention of global health emergencies, requiring that “I</w:t>
      </w:r>
      <w:r w:rsidRPr="008F41AE">
        <w:rPr>
          <w:rFonts w:ascii="Times New Roman" w:hAnsi="Times New Roman" w:cs="Times New Roman"/>
          <w:sz w:val="23"/>
          <w:szCs w:val="23"/>
        </w:rPr>
        <w:t xml:space="preserve">f a pandemic develops, sharing the best scientific knowledge and its applications, especially in the medical field, becomes crucial to mitigate the impact of the disease and to expedite the discovery of </w:t>
      </w:r>
      <w:r w:rsidR="00C33856" w:rsidRPr="008F41AE">
        <w:rPr>
          <w:rFonts w:ascii="Times New Roman" w:hAnsi="Times New Roman" w:cs="Times New Roman"/>
          <w:sz w:val="23"/>
          <w:szCs w:val="23"/>
        </w:rPr>
        <w:t>effective treatments and vaccines.”</w:t>
      </w:r>
      <w:r w:rsidR="00C33856" w:rsidRPr="008F41AE">
        <w:rPr>
          <w:rStyle w:val="FootnoteReference"/>
          <w:rFonts w:ascii="Times New Roman" w:hAnsi="Times New Roman" w:cs="Times New Roman"/>
          <w:sz w:val="23"/>
          <w:szCs w:val="23"/>
        </w:rPr>
        <w:footnoteReference w:id="7"/>
      </w:r>
      <w:r w:rsidR="00C33856" w:rsidRPr="008F41AE">
        <w:rPr>
          <w:rFonts w:ascii="Times New Roman" w:hAnsi="Times New Roman" w:cs="Times New Roman"/>
          <w:sz w:val="23"/>
          <w:szCs w:val="23"/>
        </w:rPr>
        <w:t xml:space="preserve"> It also points to extraterritorial obligations of states to realize the right to science.</w:t>
      </w:r>
      <w:r w:rsidR="00C33856" w:rsidRPr="008F41AE">
        <w:rPr>
          <w:rStyle w:val="FootnoteReference"/>
          <w:rFonts w:ascii="Times New Roman" w:hAnsi="Times New Roman" w:cs="Times New Roman"/>
          <w:sz w:val="23"/>
          <w:szCs w:val="23"/>
        </w:rPr>
        <w:footnoteReference w:id="8"/>
      </w:r>
    </w:p>
    <w:p w14:paraId="4D7AE95B" w14:textId="77777777" w:rsidR="00C33856" w:rsidRPr="008F41AE" w:rsidRDefault="00C33856" w:rsidP="00F20FA8">
      <w:pPr>
        <w:jc w:val="both"/>
        <w:rPr>
          <w:rFonts w:ascii="Times New Roman" w:hAnsi="Times New Roman" w:cs="Times New Roman"/>
          <w:sz w:val="23"/>
          <w:szCs w:val="23"/>
          <w:lang w:val="en-GB"/>
        </w:rPr>
      </w:pPr>
    </w:p>
    <w:p w14:paraId="5023136B" w14:textId="1A44AF68" w:rsidR="00637E39" w:rsidRPr="008F41AE" w:rsidRDefault="0016783C" w:rsidP="00AC4B6F">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lang w:val="en-GB"/>
        </w:rPr>
        <w:t>TAG</w:t>
      </w:r>
      <w:r w:rsidR="00974CB7" w:rsidRPr="008F41AE">
        <w:rPr>
          <w:rFonts w:ascii="Times New Roman" w:hAnsi="Times New Roman" w:cs="Times New Roman"/>
          <w:sz w:val="23"/>
          <w:szCs w:val="23"/>
          <w:lang w:val="en-GB"/>
        </w:rPr>
        <w:t xml:space="preserve"> ha</w:t>
      </w:r>
      <w:r w:rsidRPr="008F41AE">
        <w:rPr>
          <w:rFonts w:ascii="Times New Roman" w:hAnsi="Times New Roman" w:cs="Times New Roman"/>
          <w:sz w:val="23"/>
          <w:szCs w:val="23"/>
          <w:lang w:val="en-GB"/>
        </w:rPr>
        <w:t>s</w:t>
      </w:r>
      <w:r w:rsidR="00974CB7" w:rsidRPr="008F41AE">
        <w:rPr>
          <w:rFonts w:ascii="Times New Roman" w:hAnsi="Times New Roman" w:cs="Times New Roman"/>
          <w:sz w:val="23"/>
          <w:szCs w:val="23"/>
          <w:lang w:val="en-GB"/>
        </w:rPr>
        <w:t xml:space="preserve"> </w:t>
      </w:r>
      <w:r w:rsidRPr="008F41AE">
        <w:rPr>
          <w:rFonts w:ascii="Times New Roman" w:hAnsi="Times New Roman" w:cs="Times New Roman"/>
          <w:sz w:val="23"/>
          <w:szCs w:val="23"/>
          <w:lang w:val="en-GB"/>
        </w:rPr>
        <w:t>shown</w:t>
      </w:r>
      <w:r w:rsidR="00974CB7" w:rsidRPr="008F41AE">
        <w:rPr>
          <w:rFonts w:ascii="Times New Roman" w:hAnsi="Times New Roman" w:cs="Times New Roman"/>
          <w:sz w:val="23"/>
          <w:szCs w:val="23"/>
          <w:lang w:val="en-GB"/>
        </w:rPr>
        <w:t xml:space="preserve"> how the </w:t>
      </w:r>
      <w:r w:rsidR="007600D1" w:rsidRPr="008F41AE">
        <w:rPr>
          <w:rFonts w:ascii="Times New Roman" w:hAnsi="Times New Roman" w:cs="Times New Roman"/>
          <w:sz w:val="23"/>
          <w:szCs w:val="23"/>
          <w:lang w:val="en-GB"/>
        </w:rPr>
        <w:t xml:space="preserve">global </w:t>
      </w:r>
      <w:r w:rsidR="00974CB7" w:rsidRPr="008F41AE">
        <w:rPr>
          <w:rFonts w:ascii="Times New Roman" w:hAnsi="Times New Roman" w:cs="Times New Roman"/>
          <w:sz w:val="23"/>
          <w:szCs w:val="23"/>
          <w:lang w:val="en-GB"/>
        </w:rPr>
        <w:t>TB</w:t>
      </w:r>
      <w:r w:rsidR="007600D1" w:rsidRPr="008F41AE">
        <w:rPr>
          <w:rFonts w:ascii="Times New Roman" w:hAnsi="Times New Roman" w:cs="Times New Roman"/>
          <w:sz w:val="23"/>
          <w:szCs w:val="23"/>
          <w:lang w:val="en-GB"/>
        </w:rPr>
        <w:t xml:space="preserve"> epidemic</w:t>
      </w:r>
      <w:r w:rsidR="00974CB7" w:rsidRPr="008F41AE">
        <w:rPr>
          <w:rFonts w:ascii="Times New Roman" w:hAnsi="Times New Roman" w:cs="Times New Roman"/>
          <w:sz w:val="23"/>
          <w:szCs w:val="23"/>
          <w:lang w:val="en-GB"/>
        </w:rPr>
        <w:t xml:space="preserve"> stands as an exemplar of how </w:t>
      </w:r>
      <w:r w:rsidR="008F41AE">
        <w:rPr>
          <w:rFonts w:ascii="Times New Roman" w:hAnsi="Times New Roman" w:cs="Times New Roman"/>
          <w:sz w:val="23"/>
          <w:szCs w:val="23"/>
          <w:lang w:val="en-GB"/>
        </w:rPr>
        <w:t>the</w:t>
      </w:r>
      <w:r w:rsidRPr="008F41AE">
        <w:rPr>
          <w:rFonts w:ascii="Times New Roman" w:hAnsi="Times New Roman" w:cs="Times New Roman"/>
          <w:sz w:val="23"/>
          <w:szCs w:val="23"/>
          <w:lang w:val="en-GB"/>
        </w:rPr>
        <w:t xml:space="preserve"> </w:t>
      </w:r>
      <w:r w:rsidR="00974CB7" w:rsidRPr="008F41AE">
        <w:rPr>
          <w:rFonts w:ascii="Times New Roman" w:hAnsi="Times New Roman" w:cs="Times New Roman"/>
          <w:sz w:val="23"/>
          <w:szCs w:val="23"/>
          <w:lang w:val="en-GB"/>
        </w:rPr>
        <w:t xml:space="preserve">right to science framework allows </w:t>
      </w:r>
      <w:r w:rsidR="007600D1" w:rsidRPr="008F41AE">
        <w:rPr>
          <w:rFonts w:ascii="Times New Roman" w:hAnsi="Times New Roman" w:cs="Times New Roman"/>
          <w:sz w:val="23"/>
          <w:szCs w:val="23"/>
          <w:lang w:val="en-GB"/>
        </w:rPr>
        <w:t xml:space="preserve">states </w:t>
      </w:r>
      <w:r w:rsidR="00974CB7" w:rsidRPr="008F41AE">
        <w:rPr>
          <w:rFonts w:ascii="Times New Roman" w:hAnsi="Times New Roman" w:cs="Times New Roman"/>
          <w:sz w:val="23"/>
          <w:szCs w:val="23"/>
          <w:lang w:val="en-GB"/>
        </w:rPr>
        <w:t xml:space="preserve">to </w:t>
      </w:r>
      <w:r w:rsidR="007600D1" w:rsidRPr="008F41AE">
        <w:rPr>
          <w:rFonts w:ascii="Times New Roman" w:hAnsi="Times New Roman" w:cs="Times New Roman"/>
          <w:sz w:val="23"/>
          <w:szCs w:val="23"/>
          <w:lang w:val="en-GB"/>
        </w:rPr>
        <w:t>make</w:t>
      </w:r>
      <w:r w:rsidR="00974CB7" w:rsidRPr="008F41AE">
        <w:rPr>
          <w:rFonts w:ascii="Times New Roman" w:hAnsi="Times New Roman" w:cs="Times New Roman"/>
          <w:sz w:val="23"/>
          <w:szCs w:val="23"/>
          <w:lang w:val="en-GB"/>
        </w:rPr>
        <w:t xml:space="preserve"> the connections between</w:t>
      </w:r>
      <w:r w:rsidR="007600D1" w:rsidRPr="008F41AE">
        <w:rPr>
          <w:rFonts w:ascii="Times New Roman" w:hAnsi="Times New Roman" w:cs="Times New Roman"/>
          <w:sz w:val="23"/>
          <w:szCs w:val="23"/>
          <w:lang w:val="en-GB"/>
        </w:rPr>
        <w:t xml:space="preserve"> support for</w:t>
      </w:r>
      <w:r w:rsidR="00974CB7" w:rsidRPr="008F41AE">
        <w:rPr>
          <w:rFonts w:ascii="Times New Roman" w:hAnsi="Times New Roman" w:cs="Times New Roman"/>
          <w:sz w:val="23"/>
          <w:szCs w:val="23"/>
          <w:lang w:val="en-GB"/>
        </w:rPr>
        <w:t xml:space="preserve"> research</w:t>
      </w:r>
      <w:r w:rsidR="00C33856" w:rsidRPr="008F41AE">
        <w:rPr>
          <w:rFonts w:ascii="Times New Roman" w:hAnsi="Times New Roman" w:cs="Times New Roman"/>
          <w:sz w:val="23"/>
          <w:szCs w:val="23"/>
          <w:lang w:val="en-GB"/>
        </w:rPr>
        <w:t xml:space="preserve">, i.e., </w:t>
      </w:r>
      <w:r w:rsidR="00974CB7" w:rsidRPr="008F41AE">
        <w:rPr>
          <w:rFonts w:ascii="Times New Roman" w:hAnsi="Times New Roman" w:cs="Times New Roman"/>
          <w:sz w:val="23"/>
          <w:szCs w:val="23"/>
          <w:lang w:val="en-GB"/>
        </w:rPr>
        <w:t>science itsel</w:t>
      </w:r>
      <w:r w:rsidR="00C33856" w:rsidRPr="008F41AE">
        <w:rPr>
          <w:rFonts w:ascii="Times New Roman" w:hAnsi="Times New Roman" w:cs="Times New Roman"/>
          <w:sz w:val="23"/>
          <w:szCs w:val="23"/>
          <w:lang w:val="en-GB"/>
        </w:rPr>
        <w:t xml:space="preserve">f, </w:t>
      </w:r>
      <w:r w:rsidR="00974CB7" w:rsidRPr="008F41AE">
        <w:rPr>
          <w:rFonts w:ascii="Times New Roman" w:hAnsi="Times New Roman" w:cs="Times New Roman"/>
          <w:sz w:val="23"/>
          <w:szCs w:val="23"/>
          <w:lang w:val="en-GB"/>
        </w:rPr>
        <w:t xml:space="preserve">and </w:t>
      </w:r>
      <w:r w:rsidR="007600D1" w:rsidRPr="008F41AE">
        <w:rPr>
          <w:rFonts w:ascii="Times New Roman" w:hAnsi="Times New Roman" w:cs="Times New Roman"/>
          <w:sz w:val="23"/>
          <w:szCs w:val="23"/>
          <w:lang w:val="en-GB"/>
        </w:rPr>
        <w:t xml:space="preserve">commitments to </w:t>
      </w:r>
      <w:r w:rsidR="00974CB7" w:rsidRPr="008F41AE">
        <w:rPr>
          <w:rFonts w:ascii="Times New Roman" w:hAnsi="Times New Roman" w:cs="Times New Roman"/>
          <w:sz w:val="23"/>
          <w:szCs w:val="23"/>
          <w:lang w:val="en-GB"/>
        </w:rPr>
        <w:t>access</w:t>
      </w:r>
      <w:r w:rsidR="00C33856" w:rsidRPr="008F41AE">
        <w:rPr>
          <w:rFonts w:ascii="Times New Roman" w:hAnsi="Times New Roman" w:cs="Times New Roman"/>
          <w:sz w:val="23"/>
          <w:szCs w:val="23"/>
          <w:lang w:val="en-GB"/>
        </w:rPr>
        <w:t xml:space="preserve">, i.e., </w:t>
      </w:r>
      <w:r w:rsidR="00974CB7" w:rsidRPr="008F41AE">
        <w:rPr>
          <w:rFonts w:ascii="Times New Roman" w:hAnsi="Times New Roman" w:cs="Times New Roman"/>
          <w:sz w:val="23"/>
          <w:szCs w:val="23"/>
          <w:lang w:val="en-GB"/>
        </w:rPr>
        <w:t>how the benefits of science are distributed</w:t>
      </w:r>
      <w:r w:rsidR="007600D1" w:rsidRPr="008F41AE">
        <w:rPr>
          <w:rFonts w:ascii="Times New Roman" w:hAnsi="Times New Roman" w:cs="Times New Roman"/>
          <w:sz w:val="23"/>
          <w:szCs w:val="23"/>
          <w:lang w:val="en-GB"/>
        </w:rPr>
        <w:t>.</w:t>
      </w:r>
      <w:r w:rsidRPr="008F41AE">
        <w:rPr>
          <w:rFonts w:ascii="Times New Roman" w:hAnsi="Times New Roman" w:cs="Times New Roman"/>
          <w:sz w:val="23"/>
          <w:szCs w:val="23"/>
          <w:lang w:val="en-GB"/>
        </w:rPr>
        <w:t xml:space="preserve"> </w:t>
      </w:r>
      <w:r w:rsidR="006F4746" w:rsidRPr="008F41AE">
        <w:rPr>
          <w:rFonts w:ascii="Times New Roman" w:hAnsi="Times New Roman" w:cs="Times New Roman"/>
          <w:sz w:val="23"/>
          <w:szCs w:val="23"/>
          <w:lang w:val="en-GB"/>
        </w:rPr>
        <w:t>State support for science (</w:t>
      </w:r>
      <w:r w:rsidR="006F4746" w:rsidRPr="008F41AE">
        <w:rPr>
          <w:rFonts w:ascii="Times New Roman" w:hAnsi="Times New Roman" w:cs="Times New Roman"/>
          <w:sz w:val="23"/>
          <w:szCs w:val="23"/>
          <w:u w:val="single"/>
          <w:lang w:val="en-GB"/>
        </w:rPr>
        <w:t>development</w:t>
      </w:r>
      <w:r w:rsidR="006F4746" w:rsidRPr="008F41AE">
        <w:rPr>
          <w:rFonts w:ascii="Times New Roman" w:hAnsi="Times New Roman" w:cs="Times New Roman"/>
          <w:sz w:val="23"/>
          <w:szCs w:val="23"/>
          <w:lang w:val="en-GB"/>
        </w:rPr>
        <w:t>), equitable distribution of its benefits (</w:t>
      </w:r>
      <w:r w:rsidR="006F4746" w:rsidRPr="008F41AE">
        <w:rPr>
          <w:rFonts w:ascii="Times New Roman" w:hAnsi="Times New Roman" w:cs="Times New Roman"/>
          <w:sz w:val="23"/>
          <w:szCs w:val="23"/>
          <w:u w:val="single"/>
          <w:lang w:val="en-GB"/>
        </w:rPr>
        <w:t>diffusion</w:t>
      </w:r>
      <w:r w:rsidR="006F4746" w:rsidRPr="008F41AE">
        <w:rPr>
          <w:rFonts w:ascii="Times New Roman" w:hAnsi="Times New Roman" w:cs="Times New Roman"/>
          <w:sz w:val="23"/>
          <w:szCs w:val="23"/>
          <w:lang w:val="en-GB"/>
        </w:rPr>
        <w:t>), and efforts to ensure these benefits are lasting (</w:t>
      </w:r>
      <w:r w:rsidR="006F4746" w:rsidRPr="008F41AE">
        <w:rPr>
          <w:rFonts w:ascii="Times New Roman" w:hAnsi="Times New Roman" w:cs="Times New Roman"/>
          <w:sz w:val="23"/>
          <w:szCs w:val="23"/>
          <w:u w:val="single"/>
          <w:lang w:val="en-GB"/>
        </w:rPr>
        <w:t>conservation</w:t>
      </w:r>
      <w:r w:rsidR="006F4746" w:rsidRPr="008F41AE">
        <w:rPr>
          <w:rFonts w:ascii="Times New Roman" w:hAnsi="Times New Roman" w:cs="Times New Roman"/>
          <w:sz w:val="23"/>
          <w:szCs w:val="23"/>
          <w:lang w:val="en-GB"/>
        </w:rPr>
        <w:t xml:space="preserve">) are all necessary to </w:t>
      </w:r>
      <w:r w:rsidR="00DE0E86" w:rsidRPr="008F41AE">
        <w:rPr>
          <w:rFonts w:ascii="Times New Roman" w:hAnsi="Times New Roman" w:cs="Times New Roman"/>
          <w:sz w:val="23"/>
          <w:szCs w:val="23"/>
          <w:lang w:val="en-GB"/>
        </w:rPr>
        <w:t xml:space="preserve">satisfy </w:t>
      </w:r>
      <w:r w:rsidR="006F4746" w:rsidRPr="008F41AE">
        <w:rPr>
          <w:rFonts w:ascii="Times New Roman" w:hAnsi="Times New Roman" w:cs="Times New Roman"/>
          <w:sz w:val="23"/>
          <w:szCs w:val="23"/>
          <w:lang w:val="en-GB"/>
        </w:rPr>
        <w:t>the conditions for access. Thus, “a state that satisfies i</w:t>
      </w:r>
      <w:r w:rsidR="00CF38C2" w:rsidRPr="008F41AE">
        <w:rPr>
          <w:rFonts w:ascii="Times New Roman" w:hAnsi="Times New Roman" w:cs="Times New Roman"/>
          <w:sz w:val="23"/>
          <w:szCs w:val="23"/>
          <w:lang w:val="en-GB"/>
        </w:rPr>
        <w:t>t</w:t>
      </w:r>
      <w:r w:rsidR="006F4746" w:rsidRPr="008F41AE">
        <w:rPr>
          <w:rFonts w:ascii="Times New Roman" w:hAnsi="Times New Roman" w:cs="Times New Roman"/>
          <w:sz w:val="23"/>
          <w:szCs w:val="23"/>
          <w:lang w:val="en-GB"/>
        </w:rPr>
        <w:t>s obligation to develop science without supporting diffusion and conservation has not created the conditions necessary for access.”</w:t>
      </w:r>
      <w:r w:rsidR="00CF38C2" w:rsidRPr="008F41AE">
        <w:rPr>
          <w:rStyle w:val="FootnoteReference"/>
          <w:rFonts w:ascii="Times New Roman" w:hAnsi="Times New Roman" w:cs="Times New Roman"/>
          <w:sz w:val="23"/>
          <w:szCs w:val="23"/>
          <w:lang w:val="en-GB"/>
        </w:rPr>
        <w:footnoteReference w:id="9"/>
      </w:r>
      <w:r w:rsidR="00CF38C2" w:rsidRPr="008F41AE">
        <w:rPr>
          <w:rFonts w:ascii="Times New Roman" w:hAnsi="Times New Roman" w:cs="Times New Roman"/>
          <w:sz w:val="23"/>
          <w:szCs w:val="23"/>
          <w:lang w:val="en-GB"/>
        </w:rPr>
        <w:t xml:space="preserve"> This lesson, drawn from analysing the right to science in the context of TB, is also evident from the experience of COVID-19 vaccines.</w:t>
      </w:r>
      <w:r w:rsidR="00C33856" w:rsidRPr="008F41AE">
        <w:rPr>
          <w:rFonts w:ascii="Times New Roman" w:hAnsi="Times New Roman" w:cs="Times New Roman"/>
          <w:sz w:val="23"/>
          <w:szCs w:val="23"/>
          <w:lang w:val="en-GB"/>
        </w:rPr>
        <w:t xml:space="preserve"> </w:t>
      </w:r>
    </w:p>
    <w:p w14:paraId="1953F203" w14:textId="77777777" w:rsidR="00D76962" w:rsidRPr="008F41AE" w:rsidRDefault="00D76962" w:rsidP="00D76962">
      <w:pPr>
        <w:jc w:val="both"/>
        <w:rPr>
          <w:rFonts w:ascii="Times New Roman" w:hAnsi="Times New Roman" w:cs="Times New Roman"/>
          <w:sz w:val="23"/>
          <w:szCs w:val="23"/>
        </w:rPr>
      </w:pPr>
    </w:p>
    <w:p w14:paraId="399C892C" w14:textId="1CC861AF" w:rsidR="00266291" w:rsidRPr="008F41AE" w:rsidRDefault="00266291" w:rsidP="00F20FA8">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rPr>
        <w:t xml:space="preserve">In short, TAG’s analysis indicates that without </w:t>
      </w:r>
      <w:r w:rsidR="000079DF" w:rsidRPr="008F41AE">
        <w:rPr>
          <w:rFonts w:ascii="Times New Roman" w:hAnsi="Times New Roman" w:cs="Times New Roman"/>
          <w:sz w:val="23"/>
          <w:szCs w:val="23"/>
        </w:rPr>
        <w:t>recognizing</w:t>
      </w:r>
      <w:r w:rsidRPr="008F41AE">
        <w:rPr>
          <w:rFonts w:ascii="Times New Roman" w:hAnsi="Times New Roman" w:cs="Times New Roman"/>
          <w:sz w:val="23"/>
          <w:szCs w:val="23"/>
        </w:rPr>
        <w:t xml:space="preserve"> the right to science</w:t>
      </w:r>
      <w:r w:rsidR="00CF38C2" w:rsidRPr="008F41AE">
        <w:rPr>
          <w:rFonts w:ascii="Times New Roman" w:hAnsi="Times New Roman" w:cs="Times New Roman"/>
          <w:sz w:val="23"/>
          <w:szCs w:val="23"/>
        </w:rPr>
        <w:t xml:space="preserve"> and</w:t>
      </w:r>
      <w:r w:rsidR="00DE0E86" w:rsidRPr="008F41AE">
        <w:rPr>
          <w:rFonts w:ascii="Times New Roman" w:hAnsi="Times New Roman" w:cs="Times New Roman"/>
          <w:sz w:val="23"/>
          <w:szCs w:val="23"/>
        </w:rPr>
        <w:t xml:space="preserve"> acting on</w:t>
      </w:r>
      <w:r w:rsidR="00CF38C2" w:rsidRPr="008F41AE">
        <w:rPr>
          <w:rFonts w:ascii="Times New Roman" w:hAnsi="Times New Roman" w:cs="Times New Roman"/>
          <w:sz w:val="23"/>
          <w:szCs w:val="23"/>
        </w:rPr>
        <w:t xml:space="preserve"> the tripartite obligation to develop, diffuse, and conserve its benefits</w:t>
      </w:r>
      <w:r w:rsidRPr="008F41AE">
        <w:rPr>
          <w:rFonts w:ascii="Times New Roman" w:hAnsi="Times New Roman" w:cs="Times New Roman"/>
          <w:sz w:val="23"/>
          <w:szCs w:val="23"/>
        </w:rPr>
        <w:t>, states will not be able to realize the right to health</w:t>
      </w:r>
      <w:r w:rsidR="00637E39" w:rsidRPr="008F41AE">
        <w:rPr>
          <w:rFonts w:ascii="Times New Roman" w:hAnsi="Times New Roman" w:cs="Times New Roman"/>
          <w:sz w:val="23"/>
          <w:szCs w:val="23"/>
        </w:rPr>
        <w:t xml:space="preserve">, especially with regards to universal access </w:t>
      </w:r>
      <w:r w:rsidR="008F41AE">
        <w:rPr>
          <w:rFonts w:ascii="Times New Roman" w:hAnsi="Times New Roman" w:cs="Times New Roman"/>
          <w:sz w:val="23"/>
          <w:szCs w:val="23"/>
        </w:rPr>
        <w:t>to</w:t>
      </w:r>
      <w:r w:rsidR="00637E39" w:rsidRPr="008F41AE">
        <w:rPr>
          <w:rFonts w:ascii="Times New Roman" w:hAnsi="Times New Roman" w:cs="Times New Roman"/>
          <w:sz w:val="23"/>
          <w:szCs w:val="23"/>
        </w:rPr>
        <w:t xml:space="preserve"> COVID-19 vaccines.</w:t>
      </w:r>
    </w:p>
    <w:p w14:paraId="330082C5" w14:textId="77777777" w:rsidR="007F5E83" w:rsidRPr="008F41AE" w:rsidRDefault="007F5E83" w:rsidP="00F20FA8">
      <w:pPr>
        <w:pStyle w:val="ListParagraph"/>
        <w:jc w:val="both"/>
        <w:rPr>
          <w:rFonts w:ascii="Times New Roman" w:hAnsi="Times New Roman" w:cs="Times New Roman"/>
          <w:sz w:val="23"/>
          <w:szCs w:val="23"/>
        </w:rPr>
      </w:pPr>
    </w:p>
    <w:p w14:paraId="38CC03E1" w14:textId="5F67DE5A" w:rsidR="007F5E83" w:rsidRPr="008F41AE" w:rsidRDefault="00DE0E86" w:rsidP="00F20FA8">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rPr>
        <w:lastRenderedPageBreak/>
        <w:t>D</w:t>
      </w:r>
      <w:r w:rsidR="007600D1" w:rsidRPr="008F41AE">
        <w:rPr>
          <w:rFonts w:ascii="Times New Roman" w:hAnsi="Times New Roman" w:cs="Times New Roman"/>
          <w:sz w:val="23"/>
          <w:szCs w:val="23"/>
        </w:rPr>
        <w:t>espite the interrelation of science and health</w:t>
      </w:r>
      <w:r w:rsidR="007F5E83" w:rsidRPr="008F41AE">
        <w:rPr>
          <w:rFonts w:ascii="Times New Roman" w:hAnsi="Times New Roman" w:cs="Times New Roman"/>
          <w:sz w:val="23"/>
          <w:szCs w:val="23"/>
        </w:rPr>
        <w:t>, the right to science and it</w:t>
      </w:r>
      <w:r w:rsidR="007600D1" w:rsidRPr="008F41AE">
        <w:rPr>
          <w:rFonts w:ascii="Times New Roman" w:hAnsi="Times New Roman" w:cs="Times New Roman"/>
          <w:sz w:val="23"/>
          <w:szCs w:val="23"/>
        </w:rPr>
        <w:t>s</w:t>
      </w:r>
      <w:r w:rsidR="007F5E83" w:rsidRPr="008F41AE">
        <w:rPr>
          <w:rFonts w:ascii="Times New Roman" w:hAnsi="Times New Roman" w:cs="Times New Roman"/>
          <w:sz w:val="23"/>
          <w:szCs w:val="23"/>
        </w:rPr>
        <w:t xml:space="preserve"> interdependence with the right to health is rarely invoked and remains largely unknown even among UN bodies. It is thus imperative that </w:t>
      </w:r>
      <w:r w:rsidR="009248FC" w:rsidRPr="008F41AE">
        <w:rPr>
          <w:rFonts w:ascii="Times New Roman" w:hAnsi="Times New Roman" w:cs="Times New Roman"/>
          <w:sz w:val="23"/>
          <w:szCs w:val="23"/>
        </w:rPr>
        <w:t>OHCHR</w:t>
      </w:r>
      <w:r w:rsidR="007F5E83" w:rsidRPr="008F41AE">
        <w:rPr>
          <w:rFonts w:ascii="Times New Roman" w:hAnsi="Times New Roman" w:cs="Times New Roman"/>
          <w:sz w:val="23"/>
          <w:szCs w:val="23"/>
        </w:rPr>
        <w:t xml:space="preserve">, through </w:t>
      </w:r>
      <w:r w:rsidR="000079DF" w:rsidRPr="008F41AE">
        <w:rPr>
          <w:rFonts w:ascii="Times New Roman" w:hAnsi="Times New Roman" w:cs="Times New Roman"/>
          <w:sz w:val="23"/>
          <w:szCs w:val="23"/>
        </w:rPr>
        <w:t>its</w:t>
      </w:r>
      <w:r w:rsidR="007F5E83" w:rsidRPr="008F41AE">
        <w:rPr>
          <w:rFonts w:ascii="Times New Roman" w:hAnsi="Times New Roman" w:cs="Times New Roman"/>
          <w:sz w:val="23"/>
          <w:szCs w:val="23"/>
        </w:rPr>
        <w:t xml:space="preserve"> oral and written reports to the </w:t>
      </w:r>
      <w:r w:rsidR="009248FC" w:rsidRPr="008F41AE">
        <w:rPr>
          <w:rFonts w:ascii="Times New Roman" w:hAnsi="Times New Roman" w:cs="Times New Roman"/>
          <w:sz w:val="23"/>
          <w:szCs w:val="23"/>
        </w:rPr>
        <w:t>HRC</w:t>
      </w:r>
      <w:r w:rsidR="000079DF" w:rsidRPr="008F41AE">
        <w:rPr>
          <w:rFonts w:ascii="Times New Roman" w:hAnsi="Times New Roman" w:cs="Times New Roman"/>
          <w:sz w:val="23"/>
          <w:szCs w:val="23"/>
        </w:rPr>
        <w:t xml:space="preserve">, </w:t>
      </w:r>
      <w:r w:rsidR="007F5E83" w:rsidRPr="008F41AE">
        <w:rPr>
          <w:rFonts w:ascii="Times New Roman" w:hAnsi="Times New Roman" w:cs="Times New Roman"/>
          <w:sz w:val="23"/>
          <w:szCs w:val="23"/>
        </w:rPr>
        <w:t>explicitly acknowledge the human rights dimensions of science and reaffirm the right of everyone to participate in and enjoy the benefits of scientific progress and its applications.</w:t>
      </w:r>
    </w:p>
    <w:p w14:paraId="05BD8F8E" w14:textId="77777777" w:rsidR="007F5E83" w:rsidRPr="008F41AE" w:rsidRDefault="007F5E83" w:rsidP="00F20FA8">
      <w:pPr>
        <w:pStyle w:val="ListParagraph"/>
        <w:jc w:val="both"/>
        <w:rPr>
          <w:rFonts w:ascii="Times New Roman" w:hAnsi="Times New Roman" w:cs="Times New Roman"/>
          <w:sz w:val="23"/>
          <w:szCs w:val="23"/>
        </w:rPr>
      </w:pPr>
    </w:p>
    <w:p w14:paraId="482B1B88" w14:textId="2B0D8992" w:rsidR="007F5E83" w:rsidRPr="008F41AE" w:rsidRDefault="007F5E83" w:rsidP="00F20FA8">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rPr>
        <w:t>TAG</w:t>
      </w:r>
      <w:r w:rsidR="00CF38C2" w:rsidRPr="008F41AE">
        <w:rPr>
          <w:rFonts w:ascii="Times New Roman" w:hAnsi="Times New Roman" w:cs="Times New Roman"/>
          <w:sz w:val="23"/>
          <w:szCs w:val="23"/>
        </w:rPr>
        <w:t xml:space="preserve"> further</w:t>
      </w:r>
      <w:r w:rsidRPr="008F41AE">
        <w:rPr>
          <w:rFonts w:ascii="Times New Roman" w:hAnsi="Times New Roman" w:cs="Times New Roman"/>
          <w:sz w:val="23"/>
          <w:szCs w:val="23"/>
        </w:rPr>
        <w:t xml:space="preserve"> recommends that OHCHR</w:t>
      </w:r>
      <w:r w:rsidR="000079DF" w:rsidRPr="008F41AE">
        <w:rPr>
          <w:rFonts w:ascii="Times New Roman" w:hAnsi="Times New Roman" w:cs="Times New Roman"/>
          <w:sz w:val="23"/>
          <w:szCs w:val="23"/>
        </w:rPr>
        <w:t>,</w:t>
      </w:r>
      <w:r w:rsidRPr="008F41AE">
        <w:rPr>
          <w:rFonts w:ascii="Times New Roman" w:hAnsi="Times New Roman" w:cs="Times New Roman"/>
          <w:sz w:val="23"/>
          <w:szCs w:val="23"/>
        </w:rPr>
        <w:t xml:space="preserve"> together with CESCR</w:t>
      </w:r>
      <w:r w:rsidR="000079DF" w:rsidRPr="008F41AE">
        <w:rPr>
          <w:rFonts w:ascii="Times New Roman" w:hAnsi="Times New Roman" w:cs="Times New Roman"/>
          <w:sz w:val="23"/>
          <w:szCs w:val="23"/>
        </w:rPr>
        <w:t xml:space="preserve"> and </w:t>
      </w:r>
      <w:r w:rsidR="007B66B1" w:rsidRPr="008F41AE">
        <w:rPr>
          <w:rFonts w:ascii="Times New Roman" w:hAnsi="Times New Roman" w:cs="Times New Roman"/>
          <w:sz w:val="23"/>
          <w:szCs w:val="23"/>
        </w:rPr>
        <w:t xml:space="preserve">the </w:t>
      </w:r>
      <w:r w:rsidR="000079DF" w:rsidRPr="008F41AE">
        <w:rPr>
          <w:rFonts w:ascii="Times New Roman" w:hAnsi="Times New Roman" w:cs="Times New Roman"/>
          <w:sz w:val="23"/>
          <w:szCs w:val="23"/>
        </w:rPr>
        <w:t>special procedures of the HRC,</w:t>
      </w:r>
      <w:r w:rsidRPr="008F41AE">
        <w:rPr>
          <w:rFonts w:ascii="Times New Roman" w:hAnsi="Times New Roman" w:cs="Times New Roman"/>
          <w:sz w:val="23"/>
          <w:szCs w:val="23"/>
        </w:rPr>
        <w:t xml:space="preserve"> consider instituting a dedicated position and/or working group </w:t>
      </w:r>
      <w:r w:rsidR="000079DF" w:rsidRPr="008F41AE">
        <w:rPr>
          <w:rFonts w:ascii="Times New Roman" w:hAnsi="Times New Roman" w:cs="Times New Roman"/>
          <w:sz w:val="23"/>
          <w:szCs w:val="23"/>
        </w:rPr>
        <w:t xml:space="preserve">with a mandate to elucidate </w:t>
      </w:r>
      <w:r w:rsidRPr="008F41AE">
        <w:rPr>
          <w:rFonts w:ascii="Times New Roman" w:hAnsi="Times New Roman" w:cs="Times New Roman"/>
          <w:sz w:val="23"/>
          <w:szCs w:val="23"/>
        </w:rPr>
        <w:t xml:space="preserve">the interrelatedness and interdependence between the right to science and right to health. The implications of scientific discovery for </w:t>
      </w:r>
      <w:r w:rsidR="007B66B1" w:rsidRPr="008F41AE">
        <w:rPr>
          <w:rFonts w:ascii="Times New Roman" w:hAnsi="Times New Roman" w:cs="Times New Roman"/>
          <w:sz w:val="23"/>
          <w:szCs w:val="23"/>
        </w:rPr>
        <w:t xml:space="preserve">equitable </w:t>
      </w:r>
      <w:r w:rsidRPr="008F41AE">
        <w:rPr>
          <w:rFonts w:ascii="Times New Roman" w:hAnsi="Times New Roman" w:cs="Times New Roman"/>
          <w:sz w:val="23"/>
          <w:szCs w:val="23"/>
        </w:rPr>
        <w:t xml:space="preserve">global health outcomes </w:t>
      </w:r>
      <w:r w:rsidR="00F20FA8" w:rsidRPr="008F41AE">
        <w:rPr>
          <w:rFonts w:ascii="Times New Roman" w:hAnsi="Times New Roman" w:cs="Times New Roman"/>
          <w:sz w:val="23"/>
          <w:szCs w:val="23"/>
        </w:rPr>
        <w:t>are</w:t>
      </w:r>
      <w:r w:rsidR="007600D1" w:rsidRPr="008F41AE">
        <w:rPr>
          <w:rFonts w:ascii="Times New Roman" w:hAnsi="Times New Roman" w:cs="Times New Roman"/>
          <w:sz w:val="23"/>
          <w:szCs w:val="23"/>
        </w:rPr>
        <w:t xml:space="preserve"> not limited to COVID-19 and </w:t>
      </w:r>
      <w:r w:rsidRPr="008F41AE">
        <w:rPr>
          <w:rFonts w:ascii="Times New Roman" w:hAnsi="Times New Roman" w:cs="Times New Roman"/>
          <w:sz w:val="23"/>
          <w:szCs w:val="23"/>
        </w:rPr>
        <w:t xml:space="preserve">will </w:t>
      </w:r>
      <w:r w:rsidR="007600D1" w:rsidRPr="008F41AE">
        <w:rPr>
          <w:rFonts w:ascii="Times New Roman" w:hAnsi="Times New Roman" w:cs="Times New Roman"/>
          <w:sz w:val="23"/>
          <w:szCs w:val="23"/>
        </w:rPr>
        <w:t xml:space="preserve">only </w:t>
      </w:r>
      <w:r w:rsidRPr="008F41AE">
        <w:rPr>
          <w:rFonts w:ascii="Times New Roman" w:hAnsi="Times New Roman" w:cs="Times New Roman"/>
          <w:sz w:val="23"/>
          <w:szCs w:val="23"/>
        </w:rPr>
        <w:t>continue to grow</w:t>
      </w:r>
      <w:r w:rsidR="007600D1" w:rsidRPr="008F41AE">
        <w:rPr>
          <w:rFonts w:ascii="Times New Roman" w:hAnsi="Times New Roman" w:cs="Times New Roman"/>
          <w:sz w:val="23"/>
          <w:szCs w:val="23"/>
        </w:rPr>
        <w:t xml:space="preserve"> as new disease threats emerge</w:t>
      </w:r>
      <w:r w:rsidRPr="008F41AE">
        <w:rPr>
          <w:rFonts w:ascii="Times New Roman" w:hAnsi="Times New Roman" w:cs="Times New Roman"/>
          <w:sz w:val="23"/>
          <w:szCs w:val="23"/>
        </w:rPr>
        <w:t>.</w:t>
      </w:r>
      <w:r w:rsidR="007600D1" w:rsidRPr="008F41AE">
        <w:rPr>
          <w:rFonts w:ascii="Times New Roman" w:hAnsi="Times New Roman" w:cs="Times New Roman"/>
          <w:sz w:val="23"/>
          <w:szCs w:val="23"/>
        </w:rPr>
        <w:t xml:space="preserve"> </w:t>
      </w:r>
      <w:r w:rsidR="007B66B1" w:rsidRPr="008F41AE">
        <w:rPr>
          <w:rFonts w:ascii="Times New Roman" w:hAnsi="Times New Roman" w:cs="Times New Roman"/>
          <w:sz w:val="23"/>
          <w:szCs w:val="23"/>
        </w:rPr>
        <w:t xml:space="preserve">States </w:t>
      </w:r>
      <w:r w:rsidR="007600D1" w:rsidRPr="008F41AE">
        <w:rPr>
          <w:rFonts w:ascii="Times New Roman" w:hAnsi="Times New Roman" w:cs="Times New Roman"/>
          <w:sz w:val="23"/>
          <w:szCs w:val="23"/>
        </w:rPr>
        <w:t xml:space="preserve">are already </w:t>
      </w:r>
      <w:r w:rsidR="007B66B1" w:rsidRPr="008F41AE">
        <w:rPr>
          <w:rFonts w:ascii="Times New Roman" w:hAnsi="Times New Roman" w:cs="Times New Roman"/>
          <w:sz w:val="23"/>
          <w:szCs w:val="23"/>
        </w:rPr>
        <w:t xml:space="preserve">confronting </w:t>
      </w:r>
      <w:r w:rsidR="007600D1" w:rsidRPr="008F41AE">
        <w:rPr>
          <w:rFonts w:ascii="Times New Roman" w:hAnsi="Times New Roman" w:cs="Times New Roman"/>
          <w:sz w:val="23"/>
          <w:szCs w:val="23"/>
        </w:rPr>
        <w:t>this</w:t>
      </w:r>
      <w:r w:rsidR="007B66B1" w:rsidRPr="008F41AE">
        <w:rPr>
          <w:rFonts w:ascii="Times New Roman" w:hAnsi="Times New Roman" w:cs="Times New Roman"/>
          <w:sz w:val="23"/>
          <w:szCs w:val="23"/>
        </w:rPr>
        <w:t xml:space="preserve"> reality</w:t>
      </w:r>
      <w:r w:rsidR="007600D1" w:rsidRPr="008F41AE">
        <w:rPr>
          <w:rFonts w:ascii="Times New Roman" w:hAnsi="Times New Roman" w:cs="Times New Roman"/>
          <w:sz w:val="23"/>
          <w:szCs w:val="23"/>
        </w:rPr>
        <w:t xml:space="preserve"> in the </w:t>
      </w:r>
      <w:r w:rsidR="007B66B1" w:rsidRPr="008F41AE">
        <w:rPr>
          <w:rFonts w:ascii="Times New Roman" w:hAnsi="Times New Roman" w:cs="Times New Roman"/>
          <w:sz w:val="23"/>
          <w:szCs w:val="23"/>
        </w:rPr>
        <w:t xml:space="preserve">current </w:t>
      </w:r>
      <w:r w:rsidR="007600D1" w:rsidRPr="008F41AE">
        <w:rPr>
          <w:rFonts w:ascii="Times New Roman" w:hAnsi="Times New Roman" w:cs="Times New Roman"/>
          <w:sz w:val="23"/>
          <w:szCs w:val="23"/>
        </w:rPr>
        <w:t>outbreak of monke</w:t>
      </w:r>
      <w:r w:rsidR="002C369C" w:rsidRPr="008F41AE">
        <w:rPr>
          <w:rFonts w:ascii="Times New Roman" w:hAnsi="Times New Roman" w:cs="Times New Roman"/>
          <w:sz w:val="23"/>
          <w:szCs w:val="23"/>
        </w:rPr>
        <w:t>y</w:t>
      </w:r>
      <w:r w:rsidR="007600D1" w:rsidRPr="008F41AE">
        <w:rPr>
          <w:rFonts w:ascii="Times New Roman" w:hAnsi="Times New Roman" w:cs="Times New Roman"/>
          <w:sz w:val="23"/>
          <w:szCs w:val="23"/>
        </w:rPr>
        <w:t xml:space="preserve">pox and failures to ensure equitable access to vaccines and therapeutics </w:t>
      </w:r>
      <w:r w:rsidR="007B66B1" w:rsidRPr="008F41AE">
        <w:rPr>
          <w:rFonts w:ascii="Times New Roman" w:hAnsi="Times New Roman" w:cs="Times New Roman"/>
          <w:sz w:val="23"/>
          <w:szCs w:val="23"/>
        </w:rPr>
        <w:t>across endemic and formerly non-endemic countries</w:t>
      </w:r>
      <w:r w:rsidR="002C369C" w:rsidRPr="008F41AE">
        <w:rPr>
          <w:rFonts w:ascii="Times New Roman" w:hAnsi="Times New Roman" w:cs="Times New Roman"/>
          <w:sz w:val="23"/>
          <w:szCs w:val="23"/>
        </w:rPr>
        <w:t xml:space="preserve">. </w:t>
      </w:r>
    </w:p>
    <w:p w14:paraId="1433374B" w14:textId="77777777" w:rsidR="00266291" w:rsidRPr="008F41AE" w:rsidRDefault="00266291" w:rsidP="00F20FA8">
      <w:pPr>
        <w:pStyle w:val="ListParagraph"/>
        <w:jc w:val="both"/>
        <w:rPr>
          <w:rFonts w:ascii="Times New Roman" w:hAnsi="Times New Roman" w:cs="Times New Roman"/>
          <w:sz w:val="23"/>
          <w:szCs w:val="23"/>
        </w:rPr>
      </w:pPr>
    </w:p>
    <w:p w14:paraId="51020CE1" w14:textId="556D4B89" w:rsidR="00642A2A" w:rsidRPr="008F41AE" w:rsidRDefault="00642A2A" w:rsidP="00F20FA8">
      <w:pPr>
        <w:jc w:val="both"/>
        <w:rPr>
          <w:rFonts w:ascii="Times New Roman" w:hAnsi="Times New Roman" w:cs="Times New Roman"/>
          <w:sz w:val="23"/>
          <w:szCs w:val="23"/>
          <w:u w:val="single"/>
          <w:lang w:val="en-GB"/>
        </w:rPr>
      </w:pPr>
      <w:r w:rsidRPr="008F41AE">
        <w:rPr>
          <w:rFonts w:ascii="Times New Roman" w:hAnsi="Times New Roman" w:cs="Times New Roman"/>
          <w:sz w:val="23"/>
          <w:szCs w:val="23"/>
          <w:u w:val="single"/>
          <w:lang w:val="en-GB"/>
        </w:rPr>
        <w:t>(b)</w:t>
      </w:r>
      <w:r w:rsidR="00873BDB" w:rsidRPr="008F41AE">
        <w:rPr>
          <w:rFonts w:ascii="Times New Roman" w:hAnsi="Times New Roman" w:cs="Times New Roman"/>
          <w:sz w:val="23"/>
          <w:szCs w:val="23"/>
          <w:u w:val="single"/>
          <w:lang w:val="en-GB"/>
        </w:rPr>
        <w:t xml:space="preserve"> </w:t>
      </w:r>
      <w:r w:rsidRPr="008F41AE">
        <w:rPr>
          <w:rFonts w:ascii="Times New Roman" w:hAnsi="Times New Roman" w:cs="Times New Roman"/>
          <w:sz w:val="23"/>
          <w:szCs w:val="23"/>
          <w:u w:val="single"/>
          <w:lang w:val="en-GB"/>
        </w:rPr>
        <w:t>good practices and key challenges in ensuring affordable, timely, equitable and universal access and distribution of COVID-19 vaccines</w:t>
      </w:r>
      <w:r w:rsidR="00873BDB" w:rsidRPr="008F41AE">
        <w:rPr>
          <w:rFonts w:ascii="Times New Roman" w:hAnsi="Times New Roman" w:cs="Times New Roman"/>
          <w:sz w:val="23"/>
          <w:szCs w:val="23"/>
          <w:u w:val="single"/>
          <w:lang w:val="en-GB"/>
        </w:rPr>
        <w:t>:</w:t>
      </w:r>
    </w:p>
    <w:p w14:paraId="784DBC08" w14:textId="77777777" w:rsidR="006C2E0B" w:rsidRPr="008F41AE" w:rsidRDefault="006C2E0B" w:rsidP="00F20FA8">
      <w:pPr>
        <w:jc w:val="both"/>
        <w:rPr>
          <w:rFonts w:ascii="Times New Roman" w:hAnsi="Times New Roman" w:cs="Times New Roman"/>
          <w:sz w:val="23"/>
          <w:szCs w:val="23"/>
        </w:rPr>
      </w:pPr>
    </w:p>
    <w:p w14:paraId="2781BC21" w14:textId="6541C15F" w:rsidR="009248FC" w:rsidRPr="008F41AE" w:rsidRDefault="00701DAA" w:rsidP="009248FC">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rPr>
        <w:t xml:space="preserve">In analyzing good practices and key challenges regarding COVID-19 vaccine distribution, </w:t>
      </w:r>
      <w:r w:rsidR="009248FC" w:rsidRPr="008F41AE">
        <w:rPr>
          <w:rFonts w:ascii="Times New Roman" w:hAnsi="Times New Roman" w:cs="Times New Roman"/>
          <w:sz w:val="23"/>
          <w:szCs w:val="23"/>
        </w:rPr>
        <w:t xml:space="preserve">TAG urges </w:t>
      </w:r>
      <w:r w:rsidR="007B66B1" w:rsidRPr="008F41AE">
        <w:rPr>
          <w:rFonts w:ascii="Times New Roman" w:hAnsi="Times New Roman" w:cs="Times New Roman"/>
          <w:sz w:val="23"/>
          <w:szCs w:val="23"/>
        </w:rPr>
        <w:t>OHCHR</w:t>
      </w:r>
      <w:r w:rsidR="009248FC" w:rsidRPr="008F41AE">
        <w:rPr>
          <w:rFonts w:ascii="Times New Roman" w:hAnsi="Times New Roman" w:cs="Times New Roman"/>
          <w:sz w:val="23"/>
          <w:szCs w:val="23"/>
        </w:rPr>
        <w:t xml:space="preserve"> to advise </w:t>
      </w:r>
      <w:r w:rsidR="007B66B1" w:rsidRPr="008F41AE">
        <w:rPr>
          <w:rFonts w:ascii="Times New Roman" w:hAnsi="Times New Roman" w:cs="Times New Roman"/>
          <w:sz w:val="23"/>
          <w:szCs w:val="23"/>
        </w:rPr>
        <w:t>s</w:t>
      </w:r>
      <w:r w:rsidR="009248FC" w:rsidRPr="008F41AE">
        <w:rPr>
          <w:rFonts w:ascii="Times New Roman" w:hAnsi="Times New Roman" w:cs="Times New Roman"/>
          <w:sz w:val="23"/>
          <w:szCs w:val="23"/>
        </w:rPr>
        <w:t xml:space="preserve">tates </w:t>
      </w:r>
      <w:r w:rsidR="007B66B1" w:rsidRPr="008F41AE">
        <w:rPr>
          <w:rFonts w:ascii="Times New Roman" w:hAnsi="Times New Roman" w:cs="Times New Roman"/>
          <w:sz w:val="23"/>
          <w:szCs w:val="23"/>
        </w:rPr>
        <w:t xml:space="preserve">to </w:t>
      </w:r>
      <w:r w:rsidR="009248FC" w:rsidRPr="008F41AE">
        <w:rPr>
          <w:rFonts w:ascii="Times New Roman" w:hAnsi="Times New Roman" w:cs="Times New Roman"/>
          <w:sz w:val="23"/>
          <w:szCs w:val="23"/>
        </w:rPr>
        <w:t>keep in sight the considerable body of recommendations</w:t>
      </w:r>
      <w:r w:rsidR="00DE0E86" w:rsidRPr="008F41AE">
        <w:rPr>
          <w:rFonts w:ascii="Times New Roman" w:hAnsi="Times New Roman" w:cs="Times New Roman"/>
          <w:sz w:val="23"/>
          <w:szCs w:val="23"/>
        </w:rPr>
        <w:t xml:space="preserve"> </w:t>
      </w:r>
      <w:r w:rsidR="009248FC" w:rsidRPr="008F41AE">
        <w:rPr>
          <w:rFonts w:ascii="Times New Roman" w:hAnsi="Times New Roman" w:cs="Times New Roman"/>
          <w:sz w:val="23"/>
          <w:szCs w:val="23"/>
        </w:rPr>
        <w:t xml:space="preserve">generated from </w:t>
      </w:r>
      <w:r w:rsidR="007B66B1" w:rsidRPr="008F41AE">
        <w:rPr>
          <w:rFonts w:ascii="Times New Roman" w:hAnsi="Times New Roman" w:cs="Times New Roman"/>
          <w:sz w:val="23"/>
          <w:szCs w:val="23"/>
        </w:rPr>
        <w:t xml:space="preserve">the </w:t>
      </w:r>
      <w:r w:rsidR="009248FC" w:rsidRPr="008F41AE">
        <w:rPr>
          <w:rFonts w:ascii="Times New Roman" w:hAnsi="Times New Roman" w:cs="Times New Roman"/>
          <w:sz w:val="23"/>
          <w:szCs w:val="23"/>
        </w:rPr>
        <w:t>experience</w:t>
      </w:r>
      <w:r w:rsidR="007B66B1" w:rsidRPr="008F41AE">
        <w:rPr>
          <w:rFonts w:ascii="Times New Roman" w:hAnsi="Times New Roman" w:cs="Times New Roman"/>
          <w:sz w:val="23"/>
          <w:szCs w:val="23"/>
        </w:rPr>
        <w:t>s</w:t>
      </w:r>
      <w:r w:rsidR="009248FC" w:rsidRPr="008F41AE">
        <w:rPr>
          <w:rFonts w:ascii="Times New Roman" w:hAnsi="Times New Roman" w:cs="Times New Roman"/>
          <w:sz w:val="23"/>
          <w:szCs w:val="23"/>
        </w:rPr>
        <w:t xml:space="preserve"> </w:t>
      </w:r>
      <w:r w:rsidR="007B66B1" w:rsidRPr="008F41AE">
        <w:rPr>
          <w:rFonts w:ascii="Times New Roman" w:hAnsi="Times New Roman" w:cs="Times New Roman"/>
          <w:sz w:val="23"/>
          <w:szCs w:val="23"/>
        </w:rPr>
        <w:t xml:space="preserve">of </w:t>
      </w:r>
      <w:r w:rsidR="009248FC" w:rsidRPr="008F41AE">
        <w:rPr>
          <w:rFonts w:ascii="Times New Roman" w:hAnsi="Times New Roman" w:cs="Times New Roman"/>
          <w:sz w:val="23"/>
          <w:szCs w:val="23"/>
        </w:rPr>
        <w:t xml:space="preserve">responding to ongoing pandemics such as </w:t>
      </w:r>
      <w:r w:rsidR="00DE0E86" w:rsidRPr="008F41AE">
        <w:rPr>
          <w:rFonts w:ascii="Times New Roman" w:hAnsi="Times New Roman" w:cs="Times New Roman"/>
          <w:sz w:val="23"/>
          <w:szCs w:val="23"/>
        </w:rPr>
        <w:t xml:space="preserve">TB and </w:t>
      </w:r>
      <w:r w:rsidR="009248FC" w:rsidRPr="008F41AE">
        <w:rPr>
          <w:rFonts w:ascii="Times New Roman" w:hAnsi="Times New Roman" w:cs="Times New Roman"/>
          <w:sz w:val="23"/>
          <w:szCs w:val="23"/>
        </w:rPr>
        <w:t xml:space="preserve">HIV. </w:t>
      </w:r>
    </w:p>
    <w:p w14:paraId="3EF76DE4" w14:textId="77777777" w:rsidR="009248FC" w:rsidRPr="008F41AE" w:rsidRDefault="009248FC" w:rsidP="009248FC">
      <w:pPr>
        <w:pStyle w:val="ListParagraph"/>
        <w:ind w:left="360"/>
        <w:jc w:val="both"/>
        <w:rPr>
          <w:rFonts w:ascii="Times New Roman" w:hAnsi="Times New Roman" w:cs="Times New Roman"/>
          <w:sz w:val="23"/>
          <w:szCs w:val="23"/>
        </w:rPr>
      </w:pPr>
    </w:p>
    <w:p w14:paraId="448C5122" w14:textId="08A0FF28" w:rsidR="006A32EA" w:rsidRPr="008F41AE" w:rsidRDefault="006A32EA" w:rsidP="00F20FA8">
      <w:pPr>
        <w:pStyle w:val="ListParagraph"/>
        <w:numPr>
          <w:ilvl w:val="0"/>
          <w:numId w:val="1"/>
        </w:numPr>
        <w:spacing w:after="120"/>
        <w:jc w:val="both"/>
        <w:rPr>
          <w:rFonts w:ascii="Times New Roman" w:hAnsi="Times New Roman" w:cs="Times New Roman"/>
          <w:sz w:val="23"/>
          <w:szCs w:val="23"/>
        </w:rPr>
      </w:pPr>
      <w:r w:rsidRPr="008F41AE">
        <w:rPr>
          <w:rFonts w:ascii="Times New Roman" w:hAnsi="Times New Roman" w:cs="Times New Roman"/>
          <w:sz w:val="23"/>
          <w:szCs w:val="23"/>
        </w:rPr>
        <w:t>The COVID-19 pandemic has shown</w:t>
      </w:r>
      <w:r w:rsidR="000175E5" w:rsidRPr="008F41AE">
        <w:rPr>
          <w:rFonts w:ascii="Times New Roman" w:hAnsi="Times New Roman" w:cs="Times New Roman"/>
          <w:sz w:val="23"/>
          <w:szCs w:val="23"/>
        </w:rPr>
        <w:t>,</w:t>
      </w:r>
      <w:r w:rsidRPr="008F41AE">
        <w:rPr>
          <w:rFonts w:ascii="Times New Roman" w:hAnsi="Times New Roman" w:cs="Times New Roman"/>
          <w:sz w:val="23"/>
          <w:szCs w:val="23"/>
        </w:rPr>
        <w:t xml:space="preserve"> again</w:t>
      </w:r>
      <w:r w:rsidR="000175E5" w:rsidRPr="008F41AE">
        <w:rPr>
          <w:rFonts w:ascii="Times New Roman" w:hAnsi="Times New Roman" w:cs="Times New Roman"/>
          <w:sz w:val="23"/>
          <w:szCs w:val="23"/>
        </w:rPr>
        <w:t>,</w:t>
      </w:r>
      <w:r w:rsidRPr="008F41AE">
        <w:rPr>
          <w:rFonts w:ascii="Times New Roman" w:hAnsi="Times New Roman" w:cs="Times New Roman"/>
          <w:sz w:val="23"/>
          <w:szCs w:val="23"/>
        </w:rPr>
        <w:t xml:space="preserve"> that if </w:t>
      </w:r>
      <w:r w:rsidR="000175E5" w:rsidRPr="008F41AE">
        <w:rPr>
          <w:rFonts w:ascii="Times New Roman" w:hAnsi="Times New Roman" w:cs="Times New Roman"/>
          <w:sz w:val="23"/>
          <w:szCs w:val="23"/>
        </w:rPr>
        <w:t xml:space="preserve">governments </w:t>
      </w:r>
      <w:r w:rsidR="007B66B1" w:rsidRPr="008F41AE">
        <w:rPr>
          <w:rFonts w:ascii="Times New Roman" w:hAnsi="Times New Roman" w:cs="Times New Roman"/>
          <w:sz w:val="23"/>
          <w:szCs w:val="23"/>
        </w:rPr>
        <w:t xml:space="preserve">invoke </w:t>
      </w:r>
      <w:r w:rsidRPr="008F41AE">
        <w:rPr>
          <w:rFonts w:ascii="Times New Roman" w:hAnsi="Times New Roman" w:cs="Times New Roman"/>
          <w:sz w:val="23"/>
          <w:szCs w:val="23"/>
        </w:rPr>
        <w:t>human rights standards as</w:t>
      </w:r>
      <w:r w:rsidR="007B66B1" w:rsidRPr="008F41AE">
        <w:rPr>
          <w:rFonts w:ascii="Times New Roman" w:hAnsi="Times New Roman" w:cs="Times New Roman"/>
          <w:sz w:val="23"/>
          <w:szCs w:val="23"/>
        </w:rPr>
        <w:t xml:space="preserve"> rhetorical</w:t>
      </w:r>
      <w:r w:rsidRPr="008F41AE">
        <w:rPr>
          <w:rFonts w:ascii="Times New Roman" w:hAnsi="Times New Roman" w:cs="Times New Roman"/>
          <w:sz w:val="23"/>
          <w:szCs w:val="23"/>
        </w:rPr>
        <w:t xml:space="preserve"> aspirations</w:t>
      </w:r>
      <w:r w:rsidR="007B66B1" w:rsidRPr="008F41AE">
        <w:rPr>
          <w:rFonts w:ascii="Times New Roman" w:hAnsi="Times New Roman" w:cs="Times New Roman"/>
          <w:sz w:val="23"/>
          <w:szCs w:val="23"/>
        </w:rPr>
        <w:t>,</w:t>
      </w:r>
      <w:r w:rsidRPr="008F41AE">
        <w:rPr>
          <w:rFonts w:ascii="Times New Roman" w:hAnsi="Times New Roman" w:cs="Times New Roman"/>
          <w:sz w:val="23"/>
          <w:szCs w:val="23"/>
        </w:rPr>
        <w:t xml:space="preserve"> rather than </w:t>
      </w:r>
      <w:r w:rsidR="000175E5" w:rsidRPr="008F41AE">
        <w:rPr>
          <w:rFonts w:ascii="Times New Roman" w:hAnsi="Times New Roman" w:cs="Times New Roman"/>
          <w:sz w:val="23"/>
          <w:szCs w:val="23"/>
        </w:rPr>
        <w:t>approach</w:t>
      </w:r>
      <w:r w:rsidR="007B66B1" w:rsidRPr="008F41AE">
        <w:rPr>
          <w:rFonts w:ascii="Times New Roman" w:hAnsi="Times New Roman" w:cs="Times New Roman"/>
          <w:sz w:val="23"/>
          <w:szCs w:val="23"/>
        </w:rPr>
        <w:t xml:space="preserve"> human rights</w:t>
      </w:r>
      <w:r w:rsidR="000175E5" w:rsidRPr="008F41AE">
        <w:rPr>
          <w:rFonts w:ascii="Times New Roman" w:hAnsi="Times New Roman" w:cs="Times New Roman"/>
          <w:sz w:val="23"/>
          <w:szCs w:val="23"/>
        </w:rPr>
        <w:t xml:space="preserve"> as concrete</w:t>
      </w:r>
      <w:r w:rsidRPr="008F41AE">
        <w:rPr>
          <w:rFonts w:ascii="Times New Roman" w:hAnsi="Times New Roman" w:cs="Times New Roman"/>
          <w:sz w:val="23"/>
          <w:szCs w:val="23"/>
        </w:rPr>
        <w:t xml:space="preserve"> </w:t>
      </w:r>
      <w:r w:rsidR="007B66B1" w:rsidRPr="008F41AE">
        <w:rPr>
          <w:rFonts w:ascii="Times New Roman" w:hAnsi="Times New Roman" w:cs="Times New Roman"/>
          <w:sz w:val="23"/>
          <w:szCs w:val="23"/>
        </w:rPr>
        <w:t>legal entitlement</w:t>
      </w:r>
      <w:r w:rsidRPr="008F41AE">
        <w:rPr>
          <w:rFonts w:ascii="Times New Roman" w:hAnsi="Times New Roman" w:cs="Times New Roman"/>
          <w:sz w:val="23"/>
          <w:szCs w:val="23"/>
        </w:rPr>
        <w:t>, states will not be able to manage epidemic</w:t>
      </w:r>
      <w:r w:rsidR="00701DAA" w:rsidRPr="008F41AE">
        <w:rPr>
          <w:rFonts w:ascii="Times New Roman" w:hAnsi="Times New Roman" w:cs="Times New Roman"/>
          <w:sz w:val="23"/>
          <w:szCs w:val="23"/>
        </w:rPr>
        <w:t>s</w:t>
      </w:r>
      <w:r w:rsidRPr="008F41AE">
        <w:rPr>
          <w:rFonts w:ascii="Times New Roman" w:hAnsi="Times New Roman" w:cs="Times New Roman"/>
          <w:sz w:val="23"/>
          <w:szCs w:val="23"/>
        </w:rPr>
        <w:t xml:space="preserve"> within their own borders. Policymakers must use a right to science-based framework, coupled with the obligations under the right to health (including addressing underlying determinants of health such as socio-economic conditions that influence health outcomes), to ensure vaccine equity.</w:t>
      </w:r>
    </w:p>
    <w:p w14:paraId="08C7453C" w14:textId="77777777" w:rsidR="006A32EA" w:rsidRPr="008F41AE" w:rsidRDefault="006A32EA" w:rsidP="00F20FA8">
      <w:pPr>
        <w:pStyle w:val="ListParagraph"/>
        <w:spacing w:after="120"/>
        <w:jc w:val="both"/>
        <w:rPr>
          <w:rFonts w:ascii="Times New Roman" w:hAnsi="Times New Roman" w:cs="Times New Roman"/>
          <w:sz w:val="23"/>
          <w:szCs w:val="23"/>
        </w:rPr>
      </w:pPr>
    </w:p>
    <w:p w14:paraId="24322737" w14:textId="53DFB94D" w:rsidR="006C2E0B" w:rsidRPr="008F41AE" w:rsidRDefault="006C2E0B" w:rsidP="00F20FA8">
      <w:pPr>
        <w:pStyle w:val="ListParagraph"/>
        <w:numPr>
          <w:ilvl w:val="0"/>
          <w:numId w:val="1"/>
        </w:numPr>
        <w:jc w:val="both"/>
        <w:rPr>
          <w:rFonts w:ascii="Times New Roman" w:hAnsi="Times New Roman" w:cs="Times New Roman"/>
          <w:sz w:val="23"/>
          <w:szCs w:val="23"/>
        </w:rPr>
      </w:pPr>
      <w:r w:rsidRPr="008F41AE">
        <w:rPr>
          <w:rFonts w:ascii="Times New Roman" w:hAnsi="Times New Roman" w:cs="Times New Roman"/>
          <w:sz w:val="23"/>
          <w:szCs w:val="23"/>
        </w:rPr>
        <w:t xml:space="preserve">A right to science </w:t>
      </w:r>
      <w:r w:rsidR="00DE0E86" w:rsidRPr="008F41AE">
        <w:rPr>
          <w:rFonts w:ascii="Times New Roman" w:hAnsi="Times New Roman" w:cs="Times New Roman"/>
          <w:sz w:val="23"/>
          <w:szCs w:val="23"/>
        </w:rPr>
        <w:t>analysis frames</w:t>
      </w:r>
      <w:r w:rsidR="001030C4" w:rsidRPr="008F41AE">
        <w:rPr>
          <w:rFonts w:ascii="Times New Roman" w:hAnsi="Times New Roman" w:cs="Times New Roman"/>
          <w:sz w:val="23"/>
          <w:szCs w:val="23"/>
        </w:rPr>
        <w:t xml:space="preserve"> access to COVID-19 vaccines</w:t>
      </w:r>
      <w:r w:rsidR="00701DAA" w:rsidRPr="008F41AE">
        <w:rPr>
          <w:rFonts w:ascii="Times New Roman" w:hAnsi="Times New Roman" w:cs="Times New Roman"/>
          <w:sz w:val="23"/>
          <w:szCs w:val="23"/>
        </w:rPr>
        <w:t xml:space="preserve"> in terms of human rights standards such as</w:t>
      </w:r>
      <w:r w:rsidR="00AE36D0" w:rsidRPr="008F41AE">
        <w:rPr>
          <w:rFonts w:ascii="Times New Roman" w:hAnsi="Times New Roman" w:cs="Times New Roman"/>
          <w:sz w:val="23"/>
          <w:szCs w:val="23"/>
        </w:rPr>
        <w:t xml:space="preserve"> </w:t>
      </w:r>
      <w:r w:rsidR="000175E5" w:rsidRPr="008F41AE">
        <w:rPr>
          <w:rFonts w:ascii="Times New Roman" w:hAnsi="Times New Roman" w:cs="Times New Roman"/>
          <w:sz w:val="23"/>
          <w:szCs w:val="23"/>
        </w:rPr>
        <w:t xml:space="preserve">transparency, </w:t>
      </w:r>
      <w:r w:rsidR="00AE36D0" w:rsidRPr="008F41AE">
        <w:rPr>
          <w:rFonts w:ascii="Times New Roman" w:hAnsi="Times New Roman" w:cs="Times New Roman"/>
          <w:sz w:val="23"/>
          <w:szCs w:val="23"/>
        </w:rPr>
        <w:t>participation, access, non-discrimina</w:t>
      </w:r>
      <w:r w:rsidR="00251587" w:rsidRPr="008F41AE">
        <w:rPr>
          <w:rFonts w:ascii="Times New Roman" w:hAnsi="Times New Roman" w:cs="Times New Roman"/>
          <w:sz w:val="23"/>
          <w:szCs w:val="23"/>
        </w:rPr>
        <w:t>t</w:t>
      </w:r>
      <w:r w:rsidR="00AE36D0" w:rsidRPr="008F41AE">
        <w:rPr>
          <w:rFonts w:ascii="Times New Roman" w:hAnsi="Times New Roman" w:cs="Times New Roman"/>
          <w:sz w:val="23"/>
          <w:szCs w:val="23"/>
        </w:rPr>
        <w:t>ion, and international cooperation</w:t>
      </w:r>
      <w:r w:rsidR="000175E5" w:rsidRPr="008F41AE">
        <w:rPr>
          <w:rFonts w:ascii="Times New Roman" w:hAnsi="Times New Roman" w:cs="Times New Roman"/>
          <w:sz w:val="23"/>
          <w:szCs w:val="23"/>
        </w:rPr>
        <w:t xml:space="preserve">. </w:t>
      </w:r>
    </w:p>
    <w:p w14:paraId="1425427D" w14:textId="77777777" w:rsidR="006C2E0B" w:rsidRPr="008F41AE" w:rsidRDefault="006C2E0B" w:rsidP="00F20FA8">
      <w:pPr>
        <w:pStyle w:val="ListParagraph"/>
        <w:jc w:val="both"/>
        <w:rPr>
          <w:rFonts w:ascii="Times New Roman" w:hAnsi="Times New Roman" w:cs="Times New Roman"/>
          <w:sz w:val="23"/>
          <w:szCs w:val="23"/>
        </w:rPr>
      </w:pPr>
    </w:p>
    <w:p w14:paraId="5F8A133A" w14:textId="10468D93" w:rsidR="00CD424A" w:rsidRPr="00AD60C2" w:rsidRDefault="00701DAA" w:rsidP="00CD424A">
      <w:pPr>
        <w:pStyle w:val="ListParagraph"/>
        <w:numPr>
          <w:ilvl w:val="0"/>
          <w:numId w:val="1"/>
        </w:numPr>
        <w:jc w:val="both"/>
        <w:rPr>
          <w:rFonts w:ascii="Times New Roman" w:hAnsi="Times New Roman" w:cs="Times New Roman"/>
          <w:i/>
          <w:iCs/>
          <w:sz w:val="23"/>
          <w:szCs w:val="23"/>
          <w:lang w:val="en-GB"/>
        </w:rPr>
      </w:pPr>
      <w:r w:rsidRPr="008F41AE">
        <w:rPr>
          <w:rFonts w:ascii="Times New Roman" w:hAnsi="Times New Roman" w:cs="Times New Roman"/>
          <w:color w:val="000000" w:themeColor="text1"/>
          <w:sz w:val="23"/>
          <w:szCs w:val="23"/>
        </w:rPr>
        <w:t>For example, t</w:t>
      </w:r>
      <w:r w:rsidR="006C2E0B" w:rsidRPr="008F41AE">
        <w:rPr>
          <w:rFonts w:ascii="Times New Roman" w:hAnsi="Times New Roman" w:cs="Times New Roman"/>
          <w:color w:val="000000" w:themeColor="text1"/>
          <w:sz w:val="23"/>
          <w:szCs w:val="23"/>
        </w:rPr>
        <w:t xml:space="preserve">he right to science </w:t>
      </w:r>
      <w:r w:rsidR="001030C4" w:rsidRPr="008F41AE">
        <w:rPr>
          <w:rFonts w:ascii="Times New Roman" w:hAnsi="Times New Roman" w:cs="Times New Roman"/>
          <w:color w:val="000000" w:themeColor="text1"/>
          <w:sz w:val="23"/>
          <w:szCs w:val="23"/>
        </w:rPr>
        <w:t xml:space="preserve">requires </w:t>
      </w:r>
      <w:r w:rsidR="006C2E0B" w:rsidRPr="008F41AE">
        <w:rPr>
          <w:rFonts w:ascii="Times New Roman" w:hAnsi="Times New Roman" w:cs="Times New Roman"/>
          <w:color w:val="000000" w:themeColor="text1"/>
          <w:sz w:val="23"/>
          <w:szCs w:val="23"/>
        </w:rPr>
        <w:t xml:space="preserve">transparency in </w:t>
      </w:r>
      <w:r w:rsidR="001030C4" w:rsidRPr="008F41AE">
        <w:rPr>
          <w:rFonts w:ascii="Times New Roman" w:hAnsi="Times New Roman" w:cs="Times New Roman"/>
          <w:color w:val="000000" w:themeColor="text1"/>
          <w:sz w:val="23"/>
          <w:szCs w:val="23"/>
        </w:rPr>
        <w:t xml:space="preserve">any </w:t>
      </w:r>
      <w:r w:rsidR="006C2E0B" w:rsidRPr="008F41AE">
        <w:rPr>
          <w:rFonts w:ascii="Times New Roman" w:hAnsi="Times New Roman" w:cs="Times New Roman"/>
          <w:color w:val="000000" w:themeColor="text1"/>
          <w:sz w:val="23"/>
          <w:szCs w:val="23"/>
        </w:rPr>
        <w:t xml:space="preserve">pandemic response by articulating a right of affected communities to participate at all levels of science, from the design of clinical trials to the creation of evidence-based health policies. </w:t>
      </w:r>
      <w:r w:rsidR="001030C4" w:rsidRPr="008F41AE">
        <w:rPr>
          <w:rFonts w:ascii="Times New Roman" w:hAnsi="Times New Roman" w:cs="Times New Roman"/>
          <w:color w:val="000000" w:themeColor="text1"/>
          <w:sz w:val="23"/>
          <w:szCs w:val="23"/>
        </w:rPr>
        <w:t>Importantly, GC25 does not endorse a rigid distinction between scientists and the general public. This stance validates the rich tradition of community engagement in global health research and policy formulation</w:t>
      </w:r>
      <w:r w:rsidR="00C1501B" w:rsidRPr="008F41AE">
        <w:rPr>
          <w:rFonts w:ascii="Times New Roman" w:hAnsi="Times New Roman" w:cs="Times New Roman"/>
          <w:color w:val="000000" w:themeColor="text1"/>
          <w:sz w:val="23"/>
          <w:szCs w:val="23"/>
        </w:rPr>
        <w:t xml:space="preserve">. </w:t>
      </w:r>
      <w:r w:rsidR="00CD424A" w:rsidRPr="008F41AE">
        <w:rPr>
          <w:rFonts w:ascii="Times New Roman" w:hAnsi="Times New Roman" w:cs="Times New Roman"/>
          <w:sz w:val="23"/>
          <w:szCs w:val="23"/>
        </w:rPr>
        <w:t>Successful examples include community advisory boards for TB and HIV clinical trials, whose responsibility goes beyond finding study participants to bringing community expertise into the design, direction, and dissemination of trials and their results</w:t>
      </w:r>
      <w:r w:rsidR="00737C12" w:rsidRPr="008F41AE">
        <w:rPr>
          <w:rFonts w:ascii="Times New Roman" w:hAnsi="Times New Roman" w:cs="Times New Roman"/>
          <w:sz w:val="23"/>
          <w:szCs w:val="23"/>
        </w:rPr>
        <w:t xml:space="preserve">. Through their participation in HIV and TB research, communities are recognized as </w:t>
      </w:r>
      <w:r w:rsidR="00CD424A" w:rsidRPr="008F41AE">
        <w:rPr>
          <w:rFonts w:ascii="Times New Roman" w:hAnsi="Times New Roman" w:cs="Times New Roman"/>
          <w:sz w:val="23"/>
          <w:szCs w:val="23"/>
        </w:rPr>
        <w:t>innovators for providing access to scientific benefits and knowledge, especially to marginalized populations.</w:t>
      </w:r>
      <w:r w:rsidR="00CD424A" w:rsidRPr="00AD60C2">
        <w:rPr>
          <w:rStyle w:val="FootnoteReference"/>
          <w:rFonts w:ascii="Times New Roman" w:hAnsi="Times New Roman" w:cs="Times New Roman"/>
          <w:sz w:val="23"/>
          <w:szCs w:val="23"/>
        </w:rPr>
        <w:footnoteReference w:id="10"/>
      </w:r>
      <w:r w:rsidR="00CD424A" w:rsidRPr="00AD60C2">
        <w:rPr>
          <w:rFonts w:ascii="Times New Roman" w:hAnsi="Times New Roman" w:cs="Times New Roman"/>
          <w:sz w:val="23"/>
          <w:szCs w:val="23"/>
        </w:rPr>
        <w:t xml:space="preserve"> </w:t>
      </w:r>
    </w:p>
    <w:p w14:paraId="4F1078CD" w14:textId="77777777" w:rsidR="00CD424A" w:rsidRPr="00AD60C2" w:rsidRDefault="00CD424A" w:rsidP="00AD60C2">
      <w:pPr>
        <w:pStyle w:val="ListParagraph"/>
        <w:rPr>
          <w:rFonts w:ascii="Times New Roman" w:hAnsi="Times New Roman" w:cs="Times New Roman"/>
          <w:sz w:val="23"/>
          <w:szCs w:val="23"/>
        </w:rPr>
      </w:pPr>
    </w:p>
    <w:p w14:paraId="40ED7DFB" w14:textId="56953AA5" w:rsidR="00AF4B22" w:rsidRPr="00AD60C2" w:rsidRDefault="00C1501B" w:rsidP="00CD424A">
      <w:pPr>
        <w:pStyle w:val="ListParagraph"/>
        <w:numPr>
          <w:ilvl w:val="0"/>
          <w:numId w:val="1"/>
        </w:numPr>
        <w:jc w:val="both"/>
        <w:rPr>
          <w:rFonts w:ascii="Times New Roman" w:hAnsi="Times New Roman" w:cs="Times New Roman"/>
          <w:i/>
          <w:iCs/>
          <w:sz w:val="23"/>
          <w:szCs w:val="23"/>
          <w:lang w:val="en-GB"/>
        </w:rPr>
      </w:pPr>
      <w:r w:rsidRPr="00AD60C2">
        <w:rPr>
          <w:rFonts w:ascii="Times New Roman" w:hAnsi="Times New Roman" w:cs="Times New Roman"/>
          <w:sz w:val="23"/>
          <w:szCs w:val="23"/>
        </w:rPr>
        <w:t>COVID-19 has s</w:t>
      </w:r>
      <w:r w:rsidR="00737C12" w:rsidRPr="00AD60C2">
        <w:rPr>
          <w:rFonts w:ascii="Times New Roman" w:hAnsi="Times New Roman" w:cs="Times New Roman"/>
          <w:sz w:val="23"/>
          <w:szCs w:val="23"/>
        </w:rPr>
        <w:t>hown</w:t>
      </w:r>
      <w:r w:rsidRPr="00AD60C2">
        <w:rPr>
          <w:rFonts w:ascii="Times New Roman" w:hAnsi="Times New Roman" w:cs="Times New Roman"/>
          <w:sz w:val="23"/>
          <w:szCs w:val="23"/>
        </w:rPr>
        <w:t xml:space="preserve"> that policy makers and governments have not sufficiently taken to heart the lessons learned from the HIV</w:t>
      </w:r>
      <w:r w:rsidR="00CD424A" w:rsidRPr="00AD60C2">
        <w:rPr>
          <w:rFonts w:ascii="Times New Roman" w:hAnsi="Times New Roman" w:cs="Times New Roman"/>
          <w:sz w:val="23"/>
          <w:szCs w:val="23"/>
        </w:rPr>
        <w:t xml:space="preserve"> and TB</w:t>
      </w:r>
      <w:r w:rsidRPr="00AD60C2">
        <w:rPr>
          <w:rFonts w:ascii="Times New Roman" w:hAnsi="Times New Roman" w:cs="Times New Roman"/>
          <w:sz w:val="23"/>
          <w:szCs w:val="23"/>
        </w:rPr>
        <w:t xml:space="preserve"> epidemic</w:t>
      </w:r>
      <w:r w:rsidR="00CD424A" w:rsidRPr="00AD60C2">
        <w:rPr>
          <w:rFonts w:ascii="Times New Roman" w:hAnsi="Times New Roman" w:cs="Times New Roman"/>
          <w:sz w:val="23"/>
          <w:szCs w:val="23"/>
        </w:rPr>
        <w:t>s</w:t>
      </w:r>
      <w:r w:rsidRPr="00AD60C2">
        <w:rPr>
          <w:rFonts w:ascii="Times New Roman" w:hAnsi="Times New Roman" w:cs="Times New Roman"/>
          <w:sz w:val="23"/>
          <w:szCs w:val="23"/>
        </w:rPr>
        <w:t>, i.e., that human rights of all affected communities must be at the center of any public health or policy response.</w:t>
      </w:r>
      <w:r w:rsidR="00CD424A" w:rsidRPr="00AD60C2">
        <w:rPr>
          <w:rFonts w:ascii="Times New Roman" w:hAnsi="Times New Roman" w:cs="Times New Roman"/>
          <w:sz w:val="23"/>
          <w:szCs w:val="23"/>
        </w:rPr>
        <w:t xml:space="preserve"> </w:t>
      </w:r>
      <w:r w:rsidR="00AF4B22" w:rsidRPr="00AD60C2">
        <w:rPr>
          <w:rFonts w:ascii="Times New Roman" w:hAnsi="Times New Roman" w:cs="Times New Roman"/>
          <w:sz w:val="23"/>
          <w:szCs w:val="23"/>
        </w:rPr>
        <w:t xml:space="preserve">Community participation in COVID-19 </w:t>
      </w:r>
      <w:r w:rsidR="00FC2C8E" w:rsidRPr="00AD60C2">
        <w:rPr>
          <w:rFonts w:ascii="Times New Roman" w:hAnsi="Times New Roman" w:cs="Times New Roman"/>
          <w:sz w:val="23"/>
          <w:szCs w:val="23"/>
        </w:rPr>
        <w:t xml:space="preserve">research and </w:t>
      </w:r>
      <w:r w:rsidR="00AF4B22" w:rsidRPr="00AD60C2">
        <w:rPr>
          <w:rFonts w:ascii="Times New Roman" w:hAnsi="Times New Roman" w:cs="Times New Roman"/>
          <w:sz w:val="23"/>
          <w:szCs w:val="23"/>
        </w:rPr>
        <w:t>response has been extremely limited</w:t>
      </w:r>
      <w:r w:rsidR="00753BAA" w:rsidRPr="00AD60C2">
        <w:rPr>
          <w:rFonts w:ascii="Times New Roman" w:hAnsi="Times New Roman" w:cs="Times New Roman"/>
          <w:sz w:val="23"/>
          <w:szCs w:val="23"/>
        </w:rPr>
        <w:t>. S</w:t>
      </w:r>
      <w:r w:rsidR="00AF4B22" w:rsidRPr="00AD60C2">
        <w:rPr>
          <w:rFonts w:ascii="Times New Roman" w:hAnsi="Times New Roman" w:cs="Times New Roman"/>
          <w:sz w:val="23"/>
          <w:szCs w:val="23"/>
        </w:rPr>
        <w:t>tates have neglected one of the strongest</w:t>
      </w:r>
      <w:r w:rsidR="00753BAA" w:rsidRPr="00AD60C2">
        <w:rPr>
          <w:rFonts w:ascii="Times New Roman" w:hAnsi="Times New Roman" w:cs="Times New Roman"/>
          <w:sz w:val="23"/>
          <w:szCs w:val="23"/>
        </w:rPr>
        <w:t xml:space="preserve"> forces for dissemination of adequate information</w:t>
      </w:r>
      <w:r w:rsidR="00251587" w:rsidRPr="00AD60C2">
        <w:rPr>
          <w:rFonts w:ascii="Times New Roman" w:hAnsi="Times New Roman" w:cs="Times New Roman"/>
          <w:sz w:val="23"/>
          <w:szCs w:val="23"/>
        </w:rPr>
        <w:t xml:space="preserve">, </w:t>
      </w:r>
      <w:r w:rsidR="00753BAA" w:rsidRPr="00AD60C2">
        <w:rPr>
          <w:rFonts w:ascii="Times New Roman" w:hAnsi="Times New Roman" w:cs="Times New Roman"/>
          <w:sz w:val="23"/>
          <w:szCs w:val="23"/>
        </w:rPr>
        <w:t xml:space="preserve">building trust in health tools such as vaccines, </w:t>
      </w:r>
      <w:r w:rsidR="00251587" w:rsidRPr="00AD60C2">
        <w:rPr>
          <w:rFonts w:ascii="Times New Roman" w:hAnsi="Times New Roman" w:cs="Times New Roman"/>
          <w:sz w:val="23"/>
          <w:szCs w:val="23"/>
        </w:rPr>
        <w:t xml:space="preserve">and vaccine delivery, thereby </w:t>
      </w:r>
      <w:r w:rsidR="00753BAA" w:rsidRPr="00AD60C2">
        <w:rPr>
          <w:rFonts w:ascii="Times New Roman" w:hAnsi="Times New Roman" w:cs="Times New Roman"/>
          <w:sz w:val="23"/>
          <w:szCs w:val="23"/>
        </w:rPr>
        <w:t>undermining the right to participation, referenced as indispensable by both the right to science and right to heath.</w:t>
      </w:r>
    </w:p>
    <w:p w14:paraId="026A3D56" w14:textId="77777777" w:rsidR="00251587" w:rsidRPr="00AD60C2" w:rsidRDefault="00251587" w:rsidP="00F20FA8">
      <w:pPr>
        <w:pStyle w:val="ListParagraph"/>
        <w:jc w:val="both"/>
        <w:rPr>
          <w:rFonts w:ascii="Times New Roman" w:hAnsi="Times New Roman" w:cs="Times New Roman"/>
          <w:i/>
          <w:iCs/>
          <w:sz w:val="23"/>
          <w:szCs w:val="23"/>
          <w:lang w:val="en-GB"/>
        </w:rPr>
      </w:pPr>
    </w:p>
    <w:p w14:paraId="03D7A1E3" w14:textId="49C21CC3" w:rsidR="00251587" w:rsidRPr="00AD60C2" w:rsidRDefault="00CD424A" w:rsidP="00F20FA8">
      <w:pPr>
        <w:pStyle w:val="ListParagraph"/>
        <w:numPr>
          <w:ilvl w:val="0"/>
          <w:numId w:val="1"/>
        </w:numPr>
        <w:jc w:val="both"/>
        <w:rPr>
          <w:rFonts w:ascii="Times New Roman" w:hAnsi="Times New Roman" w:cs="Times New Roman"/>
          <w:i/>
          <w:iCs/>
          <w:sz w:val="23"/>
          <w:szCs w:val="23"/>
          <w:lang w:val="en-GB"/>
        </w:rPr>
      </w:pPr>
      <w:r w:rsidRPr="00AD60C2">
        <w:rPr>
          <w:rFonts w:ascii="Times New Roman" w:hAnsi="Times New Roman" w:cs="Times New Roman"/>
          <w:sz w:val="23"/>
          <w:szCs w:val="23"/>
          <w:lang w:val="en-GB"/>
        </w:rPr>
        <w:t>Community-led r</w:t>
      </w:r>
      <w:r w:rsidR="00251587" w:rsidRPr="00AD60C2">
        <w:rPr>
          <w:rFonts w:ascii="Times New Roman" w:hAnsi="Times New Roman" w:cs="Times New Roman"/>
          <w:sz w:val="23"/>
          <w:szCs w:val="23"/>
          <w:lang w:val="en-GB"/>
        </w:rPr>
        <w:t xml:space="preserve">esearch has documented that vaccine availability and the ability to </w:t>
      </w:r>
      <w:r w:rsidR="00F97E6D" w:rsidRPr="00AD60C2">
        <w:rPr>
          <w:rFonts w:ascii="Times New Roman" w:hAnsi="Times New Roman" w:cs="Times New Roman"/>
          <w:sz w:val="23"/>
          <w:szCs w:val="23"/>
          <w:lang w:val="en-GB"/>
        </w:rPr>
        <w:t>access vaccines physically and economically</w:t>
      </w:r>
      <w:r w:rsidR="00251587" w:rsidRPr="00AD60C2">
        <w:rPr>
          <w:rFonts w:ascii="Times New Roman" w:hAnsi="Times New Roman" w:cs="Times New Roman"/>
          <w:sz w:val="23"/>
          <w:szCs w:val="23"/>
          <w:lang w:val="en-GB"/>
        </w:rPr>
        <w:t xml:space="preserve"> are the main barriers for communities</w:t>
      </w:r>
      <w:r w:rsidR="007731D1">
        <w:rPr>
          <w:rFonts w:ascii="Times New Roman" w:hAnsi="Times New Roman" w:cs="Times New Roman"/>
          <w:sz w:val="23"/>
          <w:szCs w:val="23"/>
          <w:lang w:val="en-GB"/>
        </w:rPr>
        <w:t>—</w:t>
      </w:r>
      <w:r w:rsidR="00F97E6D" w:rsidRPr="00AD60C2">
        <w:rPr>
          <w:rFonts w:ascii="Times New Roman" w:hAnsi="Times New Roman" w:cs="Times New Roman"/>
          <w:sz w:val="23"/>
          <w:szCs w:val="23"/>
          <w:lang w:val="en-GB"/>
        </w:rPr>
        <w:t>not v</w:t>
      </w:r>
      <w:r w:rsidR="00251587" w:rsidRPr="00AD60C2">
        <w:rPr>
          <w:rFonts w:ascii="Times New Roman" w:hAnsi="Times New Roman" w:cs="Times New Roman"/>
          <w:sz w:val="23"/>
          <w:szCs w:val="23"/>
          <w:lang w:val="en-GB"/>
        </w:rPr>
        <w:t>accine hesitancy</w:t>
      </w:r>
      <w:r w:rsidR="00F97E6D" w:rsidRPr="00AD60C2">
        <w:rPr>
          <w:rFonts w:ascii="Times New Roman" w:hAnsi="Times New Roman" w:cs="Times New Roman"/>
          <w:sz w:val="23"/>
          <w:szCs w:val="23"/>
          <w:lang w:val="en-GB"/>
        </w:rPr>
        <w:t xml:space="preserve">. Early and consistent involvement of community-based organizations representing e.g., </w:t>
      </w:r>
      <w:r w:rsidR="007731D1">
        <w:rPr>
          <w:rFonts w:ascii="Times New Roman" w:hAnsi="Times New Roman" w:cs="Times New Roman"/>
          <w:sz w:val="23"/>
          <w:szCs w:val="23"/>
          <w:lang w:val="en-GB"/>
        </w:rPr>
        <w:t xml:space="preserve">people </w:t>
      </w:r>
      <w:r w:rsidR="00F97E6D" w:rsidRPr="00AD60C2">
        <w:rPr>
          <w:rFonts w:ascii="Times New Roman" w:hAnsi="Times New Roman" w:cs="Times New Roman"/>
          <w:sz w:val="23"/>
          <w:szCs w:val="23"/>
          <w:lang w:val="en-GB"/>
        </w:rPr>
        <w:t xml:space="preserve">affected by TB, people living with HIV, LGBTQIA, people with disabilities, </w:t>
      </w:r>
      <w:r w:rsidR="007731D1">
        <w:rPr>
          <w:rFonts w:ascii="Times New Roman" w:hAnsi="Times New Roman" w:cs="Times New Roman"/>
          <w:sz w:val="23"/>
          <w:szCs w:val="23"/>
          <w:lang w:val="en-GB"/>
        </w:rPr>
        <w:t xml:space="preserve">and </w:t>
      </w:r>
      <w:r w:rsidR="00F97E6D" w:rsidRPr="00AD60C2">
        <w:rPr>
          <w:rFonts w:ascii="Times New Roman" w:hAnsi="Times New Roman" w:cs="Times New Roman"/>
          <w:sz w:val="23"/>
          <w:szCs w:val="23"/>
          <w:lang w:val="en-GB"/>
        </w:rPr>
        <w:t>rural communities could have – and still can – identify and address access barriers for COVID-19 vaccines.</w:t>
      </w:r>
      <w:r w:rsidR="00F97E6D" w:rsidRPr="00AD60C2">
        <w:rPr>
          <w:rStyle w:val="FootnoteReference"/>
          <w:rFonts w:ascii="Times New Roman" w:hAnsi="Times New Roman" w:cs="Times New Roman"/>
          <w:sz w:val="23"/>
          <w:szCs w:val="23"/>
          <w:lang w:val="en-GB"/>
        </w:rPr>
        <w:footnoteReference w:id="11"/>
      </w:r>
    </w:p>
    <w:p w14:paraId="6741BC39" w14:textId="77777777" w:rsidR="00C1501B" w:rsidRPr="00AD60C2" w:rsidRDefault="00C1501B" w:rsidP="00F20FA8">
      <w:pPr>
        <w:jc w:val="both"/>
        <w:rPr>
          <w:rFonts w:ascii="Times New Roman" w:hAnsi="Times New Roman" w:cs="Times New Roman"/>
          <w:color w:val="000000" w:themeColor="text1"/>
          <w:sz w:val="23"/>
          <w:szCs w:val="23"/>
        </w:rPr>
      </w:pPr>
    </w:p>
    <w:p w14:paraId="4E274129" w14:textId="7493768A" w:rsidR="00533FB3" w:rsidRPr="00AD60C2" w:rsidRDefault="00F97E6D" w:rsidP="00F20FA8">
      <w:pPr>
        <w:pStyle w:val="ListParagraph"/>
        <w:numPr>
          <w:ilvl w:val="0"/>
          <w:numId w:val="1"/>
        </w:numPr>
        <w:jc w:val="both"/>
        <w:rPr>
          <w:rFonts w:ascii="Times New Roman" w:hAnsi="Times New Roman" w:cs="Times New Roman"/>
          <w:sz w:val="23"/>
          <w:szCs w:val="23"/>
        </w:rPr>
      </w:pPr>
      <w:r w:rsidRPr="00AD60C2">
        <w:rPr>
          <w:rFonts w:ascii="Times New Roman" w:hAnsi="Times New Roman" w:cs="Times New Roman"/>
          <w:color w:val="000000" w:themeColor="text1"/>
          <w:sz w:val="23"/>
          <w:szCs w:val="23"/>
        </w:rPr>
        <w:t xml:space="preserve">However, </w:t>
      </w:r>
      <w:r w:rsidR="00CD424A" w:rsidRPr="00AD60C2">
        <w:rPr>
          <w:rFonts w:ascii="Times New Roman" w:hAnsi="Times New Roman" w:cs="Times New Roman"/>
          <w:color w:val="000000" w:themeColor="text1"/>
          <w:sz w:val="23"/>
          <w:szCs w:val="23"/>
        </w:rPr>
        <w:t xml:space="preserve">for community participation to </w:t>
      </w:r>
      <w:r w:rsidR="00737C12" w:rsidRPr="00AD60C2">
        <w:rPr>
          <w:rFonts w:ascii="Times New Roman" w:hAnsi="Times New Roman" w:cs="Times New Roman"/>
          <w:color w:val="000000" w:themeColor="text1"/>
          <w:sz w:val="23"/>
          <w:szCs w:val="23"/>
        </w:rPr>
        <w:t>translate into vaccine access</w:t>
      </w:r>
      <w:r w:rsidR="00CD424A" w:rsidRPr="00AD60C2">
        <w:rPr>
          <w:rFonts w:ascii="Times New Roman" w:hAnsi="Times New Roman" w:cs="Times New Roman"/>
          <w:color w:val="000000" w:themeColor="text1"/>
          <w:sz w:val="23"/>
          <w:szCs w:val="23"/>
        </w:rPr>
        <w:t xml:space="preserve"> where it would otherwise not exist, </w:t>
      </w:r>
      <w:r w:rsidRPr="00AD60C2">
        <w:rPr>
          <w:rFonts w:ascii="Times New Roman" w:hAnsi="Times New Roman" w:cs="Times New Roman"/>
          <w:color w:val="000000" w:themeColor="text1"/>
          <w:sz w:val="23"/>
          <w:szCs w:val="23"/>
        </w:rPr>
        <w:t xml:space="preserve">vaccines must </w:t>
      </w:r>
      <w:r w:rsidR="00CD424A" w:rsidRPr="00AD60C2">
        <w:rPr>
          <w:rFonts w:ascii="Times New Roman" w:hAnsi="Times New Roman" w:cs="Times New Roman"/>
          <w:color w:val="000000" w:themeColor="text1"/>
          <w:sz w:val="23"/>
          <w:szCs w:val="23"/>
        </w:rPr>
        <w:t xml:space="preserve">first </w:t>
      </w:r>
      <w:r w:rsidRPr="00AD60C2">
        <w:rPr>
          <w:rFonts w:ascii="Times New Roman" w:hAnsi="Times New Roman" w:cs="Times New Roman"/>
          <w:color w:val="000000" w:themeColor="text1"/>
          <w:sz w:val="23"/>
          <w:szCs w:val="23"/>
        </w:rPr>
        <w:t xml:space="preserve">be made available. </w:t>
      </w:r>
      <w:r w:rsidR="005559E6" w:rsidRPr="00AD60C2">
        <w:rPr>
          <w:rFonts w:ascii="Times New Roman" w:hAnsi="Times New Roman" w:cs="Times New Roman"/>
          <w:color w:val="000000" w:themeColor="text1"/>
          <w:sz w:val="23"/>
          <w:szCs w:val="23"/>
        </w:rPr>
        <w:t>Patent-protected m</w:t>
      </w:r>
      <w:r w:rsidR="00CD424A" w:rsidRPr="00AD60C2">
        <w:rPr>
          <w:rFonts w:ascii="Times New Roman" w:hAnsi="Times New Roman" w:cs="Times New Roman"/>
          <w:color w:val="000000" w:themeColor="text1"/>
          <w:sz w:val="23"/>
          <w:szCs w:val="23"/>
        </w:rPr>
        <w:t>onopolies on COVID-19 vaccine knowledge and know-how ha</w:t>
      </w:r>
      <w:r w:rsidR="005559E6" w:rsidRPr="00AD60C2">
        <w:rPr>
          <w:rFonts w:ascii="Times New Roman" w:hAnsi="Times New Roman" w:cs="Times New Roman"/>
          <w:color w:val="000000" w:themeColor="text1"/>
          <w:sz w:val="23"/>
          <w:szCs w:val="23"/>
        </w:rPr>
        <w:t>ve resulted in deadly disparities in access across countries.</w:t>
      </w:r>
      <w:r w:rsidR="00CD424A" w:rsidRPr="00AD60C2">
        <w:rPr>
          <w:rFonts w:ascii="Times New Roman" w:hAnsi="Times New Roman" w:cs="Times New Roman"/>
          <w:color w:val="000000" w:themeColor="text1"/>
          <w:sz w:val="23"/>
          <w:szCs w:val="23"/>
        </w:rPr>
        <w:t xml:space="preserve"> </w:t>
      </w:r>
      <w:r w:rsidR="006A32EA" w:rsidRPr="00AD60C2">
        <w:rPr>
          <w:rFonts w:ascii="Times New Roman" w:hAnsi="Times New Roman" w:cs="Times New Roman"/>
          <w:color w:val="000000" w:themeColor="text1"/>
          <w:sz w:val="23"/>
          <w:szCs w:val="23"/>
        </w:rPr>
        <w:t xml:space="preserve">The right to science </w:t>
      </w:r>
      <w:r w:rsidR="007731D1">
        <w:rPr>
          <w:rFonts w:ascii="Times New Roman" w:hAnsi="Times New Roman" w:cs="Times New Roman"/>
          <w:color w:val="000000" w:themeColor="text1"/>
          <w:sz w:val="23"/>
          <w:szCs w:val="23"/>
        </w:rPr>
        <w:t xml:space="preserve">confronts </w:t>
      </w:r>
      <w:r w:rsidR="006A32EA" w:rsidRPr="00AD60C2">
        <w:rPr>
          <w:rFonts w:ascii="Times New Roman" w:hAnsi="Times New Roman" w:cs="Times New Roman"/>
          <w:color w:val="000000" w:themeColor="text1"/>
          <w:sz w:val="23"/>
          <w:szCs w:val="23"/>
        </w:rPr>
        <w:t>the tension between intellectual property (IP) rights</w:t>
      </w:r>
      <w:r w:rsidR="005559E6" w:rsidRPr="00AD60C2">
        <w:rPr>
          <w:rFonts w:ascii="Times New Roman" w:hAnsi="Times New Roman" w:cs="Times New Roman"/>
          <w:color w:val="000000" w:themeColor="text1"/>
          <w:sz w:val="23"/>
          <w:szCs w:val="23"/>
        </w:rPr>
        <w:t xml:space="preserve"> and the right to share in the benefits of scientific advancement</w:t>
      </w:r>
      <w:r w:rsidR="006A32EA" w:rsidRPr="00AD60C2">
        <w:rPr>
          <w:rFonts w:ascii="Times New Roman" w:hAnsi="Times New Roman" w:cs="Times New Roman"/>
          <w:color w:val="000000" w:themeColor="text1"/>
          <w:sz w:val="23"/>
          <w:szCs w:val="23"/>
        </w:rPr>
        <w:t xml:space="preserve"> </w:t>
      </w:r>
      <w:r w:rsidR="006A32EA" w:rsidRPr="00AD60C2">
        <w:rPr>
          <w:rFonts w:ascii="Times New Roman" w:hAnsi="Times New Roman" w:cs="Times New Roman"/>
          <w:sz w:val="23"/>
          <w:szCs w:val="23"/>
        </w:rPr>
        <w:t xml:space="preserve">by </w:t>
      </w:r>
      <w:r w:rsidR="0009596F" w:rsidRPr="00AD60C2">
        <w:rPr>
          <w:rFonts w:ascii="Times New Roman" w:hAnsi="Times New Roman" w:cs="Times New Roman"/>
          <w:sz w:val="23"/>
          <w:szCs w:val="23"/>
        </w:rPr>
        <w:t xml:space="preserve">reaffirming </w:t>
      </w:r>
      <w:r w:rsidR="006A32EA" w:rsidRPr="00AD60C2">
        <w:rPr>
          <w:rFonts w:ascii="Times New Roman" w:hAnsi="Times New Roman" w:cs="Times New Roman"/>
          <w:sz w:val="23"/>
          <w:szCs w:val="23"/>
        </w:rPr>
        <w:t>the primacy of human rights over IP protections.</w:t>
      </w:r>
      <w:r w:rsidR="00533FB3" w:rsidRPr="00AD60C2">
        <w:rPr>
          <w:rStyle w:val="FootnoteReference"/>
          <w:rFonts w:ascii="Times New Roman" w:hAnsi="Times New Roman" w:cs="Times New Roman"/>
          <w:sz w:val="23"/>
          <w:szCs w:val="23"/>
        </w:rPr>
        <w:footnoteReference w:id="12"/>
      </w:r>
      <w:r w:rsidR="006A32EA" w:rsidRPr="00AD60C2">
        <w:rPr>
          <w:rFonts w:ascii="Times New Roman" w:hAnsi="Times New Roman" w:cs="Times New Roman"/>
          <w:sz w:val="23"/>
          <w:szCs w:val="23"/>
        </w:rPr>
        <w:t xml:space="preserve"> </w:t>
      </w:r>
    </w:p>
    <w:p w14:paraId="52FBA061" w14:textId="77777777" w:rsidR="00533FB3" w:rsidRPr="00AD60C2" w:rsidRDefault="00533FB3" w:rsidP="00AD60C2">
      <w:pPr>
        <w:pStyle w:val="ListParagraph"/>
        <w:rPr>
          <w:rFonts w:ascii="Times New Roman" w:hAnsi="Times New Roman" w:cs="Times New Roman"/>
          <w:sz w:val="23"/>
          <w:szCs w:val="23"/>
        </w:rPr>
      </w:pPr>
    </w:p>
    <w:p w14:paraId="0629CCB4" w14:textId="28F6CECA" w:rsidR="009B4AF7" w:rsidRPr="00AD60C2" w:rsidRDefault="006A32EA" w:rsidP="00533FB3">
      <w:pPr>
        <w:pStyle w:val="ListParagraph"/>
        <w:numPr>
          <w:ilvl w:val="0"/>
          <w:numId w:val="1"/>
        </w:numPr>
        <w:jc w:val="both"/>
        <w:rPr>
          <w:rFonts w:ascii="Times New Roman" w:hAnsi="Times New Roman" w:cs="Times New Roman"/>
          <w:sz w:val="23"/>
          <w:szCs w:val="23"/>
        </w:rPr>
      </w:pPr>
      <w:r w:rsidRPr="00AD60C2">
        <w:rPr>
          <w:rFonts w:ascii="Times New Roman" w:hAnsi="Times New Roman" w:cs="Times New Roman"/>
          <w:sz w:val="23"/>
          <w:szCs w:val="23"/>
        </w:rPr>
        <w:t>Exercise of IP during pandemics should not undermine the realization of human rights by privatizing public goods.</w:t>
      </w:r>
      <w:r w:rsidR="00533FB3" w:rsidRPr="00AD60C2">
        <w:rPr>
          <w:rFonts w:ascii="Times New Roman" w:hAnsi="Times New Roman" w:cs="Times New Roman"/>
          <w:sz w:val="23"/>
          <w:szCs w:val="23"/>
        </w:rPr>
        <w:t xml:space="preserve"> </w:t>
      </w:r>
      <w:r w:rsidR="00FC2C8E" w:rsidRPr="00AD60C2">
        <w:rPr>
          <w:rFonts w:ascii="Times New Roman" w:hAnsi="Times New Roman" w:cs="Times New Roman"/>
          <w:sz w:val="23"/>
          <w:szCs w:val="23"/>
        </w:rPr>
        <w:t>On th</w:t>
      </w:r>
      <w:r w:rsidR="00533FB3" w:rsidRPr="00AD60C2">
        <w:rPr>
          <w:rFonts w:ascii="Times New Roman" w:hAnsi="Times New Roman" w:cs="Times New Roman"/>
          <w:sz w:val="23"/>
          <w:szCs w:val="23"/>
        </w:rPr>
        <w:t>is</w:t>
      </w:r>
      <w:r w:rsidR="00FC2C8E" w:rsidRPr="00AD60C2">
        <w:rPr>
          <w:rFonts w:ascii="Times New Roman" w:hAnsi="Times New Roman" w:cs="Times New Roman"/>
          <w:sz w:val="23"/>
          <w:szCs w:val="23"/>
        </w:rPr>
        <w:t xml:space="preserve"> </w:t>
      </w:r>
      <w:r w:rsidR="00533FB3" w:rsidRPr="00AD60C2">
        <w:rPr>
          <w:rFonts w:ascii="Times New Roman" w:hAnsi="Times New Roman" w:cs="Times New Roman"/>
          <w:sz w:val="23"/>
          <w:szCs w:val="23"/>
        </w:rPr>
        <w:t>point</w:t>
      </w:r>
      <w:r w:rsidR="00FC2C8E" w:rsidRPr="00AD60C2">
        <w:rPr>
          <w:rFonts w:ascii="Times New Roman" w:hAnsi="Times New Roman" w:cs="Times New Roman"/>
          <w:sz w:val="23"/>
          <w:szCs w:val="23"/>
        </w:rPr>
        <w:t>, TAG encourages OHCHR to revis</w:t>
      </w:r>
      <w:r w:rsidR="00F20FA8" w:rsidRPr="00AD60C2">
        <w:rPr>
          <w:rFonts w:ascii="Times New Roman" w:hAnsi="Times New Roman" w:cs="Times New Roman"/>
          <w:sz w:val="23"/>
          <w:szCs w:val="23"/>
        </w:rPr>
        <w:t>i</w:t>
      </w:r>
      <w:r w:rsidR="00FC2C8E" w:rsidRPr="00AD60C2">
        <w:rPr>
          <w:rFonts w:ascii="Times New Roman" w:hAnsi="Times New Roman" w:cs="Times New Roman"/>
          <w:sz w:val="23"/>
          <w:szCs w:val="23"/>
        </w:rPr>
        <w:t xml:space="preserve">t the recommendations of the final report of </w:t>
      </w:r>
      <w:r w:rsidR="00883304" w:rsidRPr="00AD60C2">
        <w:rPr>
          <w:rFonts w:ascii="Times New Roman" w:hAnsi="Times New Roman" w:cs="Times New Roman"/>
          <w:sz w:val="23"/>
          <w:szCs w:val="23"/>
        </w:rPr>
        <w:t>the UN Secretary-General’s High-Level Panel on Access to Medicines</w:t>
      </w:r>
      <w:r w:rsidR="00FC2C8E" w:rsidRPr="00AD60C2">
        <w:rPr>
          <w:rFonts w:ascii="Times New Roman" w:hAnsi="Times New Roman" w:cs="Times New Roman"/>
          <w:sz w:val="23"/>
          <w:szCs w:val="23"/>
        </w:rPr>
        <w:t>, which examined the right to health and access to</w:t>
      </w:r>
      <w:r w:rsidR="00883304" w:rsidRPr="00AD60C2">
        <w:rPr>
          <w:rFonts w:ascii="Times New Roman" w:hAnsi="Times New Roman" w:cs="Times New Roman"/>
          <w:sz w:val="23"/>
          <w:szCs w:val="23"/>
        </w:rPr>
        <w:t xml:space="preserve"> </w:t>
      </w:r>
      <w:r w:rsidR="00FC2C8E" w:rsidRPr="00AD60C2">
        <w:rPr>
          <w:rFonts w:ascii="Times New Roman" w:hAnsi="Times New Roman" w:cs="Times New Roman"/>
          <w:sz w:val="23"/>
          <w:szCs w:val="23"/>
        </w:rPr>
        <w:t>innovation and health technologies in the context of international trade</w:t>
      </w:r>
      <w:r w:rsidR="00AE36D0" w:rsidRPr="00AD60C2">
        <w:rPr>
          <w:rFonts w:ascii="Times New Roman" w:hAnsi="Times New Roman" w:cs="Times New Roman"/>
          <w:sz w:val="23"/>
          <w:szCs w:val="23"/>
        </w:rPr>
        <w:t>.</w:t>
      </w:r>
      <w:r w:rsidR="009B4AF7" w:rsidRPr="00AD60C2">
        <w:rPr>
          <w:rStyle w:val="FootnoteReference"/>
          <w:rFonts w:ascii="Times New Roman" w:hAnsi="Times New Roman" w:cs="Times New Roman"/>
          <w:sz w:val="23"/>
          <w:szCs w:val="23"/>
        </w:rPr>
        <w:footnoteReference w:id="13"/>
      </w:r>
      <w:r w:rsidR="00883304" w:rsidRPr="00AD60C2">
        <w:rPr>
          <w:rFonts w:ascii="Times New Roman" w:hAnsi="Times New Roman" w:cs="Times New Roman"/>
          <w:sz w:val="23"/>
          <w:szCs w:val="23"/>
        </w:rPr>
        <w:t xml:space="preserve"> </w:t>
      </w:r>
      <w:r w:rsidR="005559E6" w:rsidRPr="00AD60C2">
        <w:rPr>
          <w:rFonts w:ascii="Times New Roman" w:hAnsi="Times New Roman" w:cs="Times New Roman"/>
          <w:sz w:val="23"/>
          <w:szCs w:val="23"/>
        </w:rPr>
        <w:t>E</w:t>
      </w:r>
      <w:r w:rsidR="009B4AF7" w:rsidRPr="00AD60C2">
        <w:rPr>
          <w:rFonts w:ascii="Times New Roman" w:hAnsi="Times New Roman" w:cs="Times New Roman"/>
          <w:sz w:val="23"/>
          <w:szCs w:val="23"/>
        </w:rPr>
        <w:t>xpedient implementation of the</w:t>
      </w:r>
      <w:r w:rsidR="005559E6" w:rsidRPr="00AD60C2">
        <w:rPr>
          <w:rFonts w:ascii="Times New Roman" w:hAnsi="Times New Roman" w:cs="Times New Roman"/>
          <w:sz w:val="23"/>
          <w:szCs w:val="23"/>
        </w:rPr>
        <w:t xml:space="preserve"> </w:t>
      </w:r>
      <w:r w:rsidR="009B4AF7" w:rsidRPr="00AD60C2">
        <w:rPr>
          <w:rFonts w:ascii="Times New Roman" w:hAnsi="Times New Roman" w:cs="Times New Roman"/>
          <w:sz w:val="23"/>
          <w:szCs w:val="23"/>
        </w:rPr>
        <w:t>Report’s</w:t>
      </w:r>
      <w:r w:rsidR="00883304" w:rsidRPr="00AD60C2">
        <w:rPr>
          <w:rFonts w:ascii="Times New Roman" w:hAnsi="Times New Roman" w:cs="Times New Roman"/>
          <w:sz w:val="23"/>
          <w:szCs w:val="23"/>
        </w:rPr>
        <w:t xml:space="preserve"> recommendations </w:t>
      </w:r>
      <w:r w:rsidR="009B4AF7" w:rsidRPr="00AD60C2">
        <w:rPr>
          <w:rFonts w:ascii="Times New Roman" w:hAnsi="Times New Roman" w:cs="Times New Roman"/>
          <w:sz w:val="23"/>
          <w:szCs w:val="23"/>
        </w:rPr>
        <w:t xml:space="preserve">could have avoided </w:t>
      </w:r>
      <w:r w:rsidR="00883304" w:rsidRPr="00AD60C2">
        <w:rPr>
          <w:rFonts w:ascii="Times New Roman" w:hAnsi="Times New Roman" w:cs="Times New Roman"/>
          <w:sz w:val="23"/>
          <w:szCs w:val="23"/>
        </w:rPr>
        <w:t>many of the challenges of COVID-19 vaccine inequity</w:t>
      </w:r>
      <w:r w:rsidR="009B4AF7" w:rsidRPr="00AD60C2">
        <w:rPr>
          <w:rFonts w:ascii="Times New Roman" w:hAnsi="Times New Roman" w:cs="Times New Roman"/>
          <w:sz w:val="23"/>
          <w:szCs w:val="23"/>
        </w:rPr>
        <w:t>. TAG points to the following recommendations</w:t>
      </w:r>
      <w:r w:rsidR="00533FB3" w:rsidRPr="00AD60C2">
        <w:rPr>
          <w:rFonts w:ascii="Times New Roman" w:hAnsi="Times New Roman" w:cs="Times New Roman"/>
          <w:sz w:val="23"/>
          <w:szCs w:val="23"/>
        </w:rPr>
        <w:t xml:space="preserve"> as particularly relevant to HRC resolution 49/25</w:t>
      </w:r>
      <w:r w:rsidR="003970E9" w:rsidRPr="00AD60C2">
        <w:rPr>
          <w:rFonts w:ascii="Times New Roman" w:hAnsi="Times New Roman" w:cs="Times New Roman"/>
          <w:sz w:val="23"/>
          <w:szCs w:val="23"/>
        </w:rPr>
        <w:t>:</w:t>
      </w:r>
    </w:p>
    <w:p w14:paraId="0C9EBFF4" w14:textId="77777777" w:rsidR="009B4AF7" w:rsidRPr="00AD60C2" w:rsidRDefault="009B4AF7" w:rsidP="00F20FA8">
      <w:pPr>
        <w:pStyle w:val="ListParagraph"/>
        <w:jc w:val="both"/>
        <w:rPr>
          <w:rFonts w:ascii="Times New Roman" w:hAnsi="Times New Roman" w:cs="Times New Roman"/>
          <w:sz w:val="23"/>
          <w:szCs w:val="23"/>
        </w:rPr>
      </w:pPr>
    </w:p>
    <w:p w14:paraId="34E33057" w14:textId="559E88A7" w:rsidR="00883304" w:rsidRPr="00AD60C2" w:rsidRDefault="009B4AF7" w:rsidP="00AD60C2">
      <w:pPr>
        <w:pStyle w:val="ListParagraph"/>
        <w:numPr>
          <w:ilvl w:val="0"/>
          <w:numId w:val="1"/>
        </w:numPr>
        <w:jc w:val="both"/>
        <w:rPr>
          <w:rFonts w:ascii="Times New Roman" w:hAnsi="Times New Roman" w:cs="Times New Roman"/>
          <w:sz w:val="23"/>
          <w:szCs w:val="23"/>
        </w:rPr>
      </w:pPr>
      <w:r w:rsidRPr="00AD60C2">
        <w:rPr>
          <w:rFonts w:ascii="Times New Roman" w:hAnsi="Times New Roman" w:cs="Times New Roman"/>
          <w:sz w:val="23"/>
          <w:szCs w:val="23"/>
        </w:rPr>
        <w:t>U</w:t>
      </w:r>
      <w:r w:rsidR="00883304" w:rsidRPr="00AD60C2">
        <w:rPr>
          <w:rFonts w:ascii="Times New Roman" w:hAnsi="Times New Roman" w:cs="Times New Roman"/>
          <w:sz w:val="23"/>
          <w:szCs w:val="23"/>
        </w:rPr>
        <w:t xml:space="preserve">nder the theme of </w:t>
      </w:r>
      <w:r w:rsidR="00883304" w:rsidRPr="00AD60C2">
        <w:rPr>
          <w:rFonts w:ascii="Times New Roman" w:hAnsi="Times New Roman" w:cs="Times New Roman"/>
          <w:i/>
          <w:iCs/>
          <w:sz w:val="23"/>
          <w:szCs w:val="23"/>
        </w:rPr>
        <w:t>Publicly-funded research</w:t>
      </w:r>
      <w:r w:rsidR="00883304" w:rsidRPr="00AD60C2">
        <w:rPr>
          <w:rFonts w:ascii="Times New Roman" w:hAnsi="Times New Roman" w:cs="Times New Roman"/>
          <w:sz w:val="23"/>
          <w:szCs w:val="23"/>
        </w:rPr>
        <w:t xml:space="preserve">, the Report recommended </w:t>
      </w:r>
      <w:r w:rsidR="005559E6" w:rsidRPr="00AD60C2">
        <w:rPr>
          <w:rFonts w:ascii="Times New Roman" w:hAnsi="Times New Roman" w:cs="Times New Roman"/>
          <w:sz w:val="23"/>
          <w:szCs w:val="23"/>
        </w:rPr>
        <w:t>that “</w:t>
      </w:r>
      <w:r w:rsidR="00883304" w:rsidRPr="00AD60C2">
        <w:rPr>
          <w:rFonts w:ascii="Times New Roman" w:hAnsi="Times New Roman" w:cs="Times New Roman"/>
          <w:sz w:val="23"/>
          <w:szCs w:val="23"/>
        </w:rPr>
        <w:t xml:space="preserve">Public funders of research must require that knowledge generated from such research be made freely and widely available;” </w:t>
      </w:r>
      <w:r w:rsidR="005559E6" w:rsidRPr="00AD60C2">
        <w:rPr>
          <w:rFonts w:ascii="Times New Roman" w:hAnsi="Times New Roman" w:cs="Times New Roman"/>
          <w:sz w:val="23"/>
          <w:szCs w:val="23"/>
        </w:rPr>
        <w:t xml:space="preserve">and that </w:t>
      </w:r>
      <w:r w:rsidR="00883304" w:rsidRPr="00AD60C2">
        <w:rPr>
          <w:rFonts w:ascii="Times New Roman" w:hAnsi="Times New Roman" w:cs="Times New Roman"/>
          <w:sz w:val="23"/>
          <w:szCs w:val="23"/>
        </w:rPr>
        <w:t>“Universities and research institutions that receive public funding must prioritize public health objectives over financial returns in their patenting and licensing practices</w:t>
      </w:r>
      <w:r w:rsidR="005559E6" w:rsidRPr="00AD60C2">
        <w:rPr>
          <w:rFonts w:ascii="Times New Roman" w:hAnsi="Times New Roman" w:cs="Times New Roman"/>
          <w:sz w:val="23"/>
          <w:szCs w:val="23"/>
        </w:rPr>
        <w:t>.</w:t>
      </w:r>
      <w:r w:rsidR="00883304" w:rsidRPr="00AD60C2">
        <w:rPr>
          <w:rFonts w:ascii="Times New Roman" w:hAnsi="Times New Roman" w:cs="Times New Roman"/>
          <w:sz w:val="23"/>
          <w:szCs w:val="23"/>
        </w:rPr>
        <w:t xml:space="preserve">” </w:t>
      </w:r>
    </w:p>
    <w:p w14:paraId="1F9486FE" w14:textId="77777777" w:rsidR="003970E9" w:rsidRPr="00AD60C2" w:rsidRDefault="003970E9" w:rsidP="00F20FA8">
      <w:pPr>
        <w:pStyle w:val="ListParagraph"/>
        <w:ind w:left="1440"/>
        <w:jc w:val="both"/>
        <w:rPr>
          <w:rFonts w:ascii="Times New Roman" w:hAnsi="Times New Roman" w:cs="Times New Roman"/>
          <w:sz w:val="23"/>
          <w:szCs w:val="23"/>
        </w:rPr>
      </w:pPr>
    </w:p>
    <w:p w14:paraId="2AF750E1" w14:textId="7D715256" w:rsidR="00AE36D0" w:rsidRPr="00AD60C2" w:rsidRDefault="00883304" w:rsidP="000269A8">
      <w:pPr>
        <w:pStyle w:val="ListParagraph"/>
        <w:numPr>
          <w:ilvl w:val="0"/>
          <w:numId w:val="1"/>
        </w:numPr>
        <w:jc w:val="both"/>
        <w:rPr>
          <w:rFonts w:ascii="Times New Roman" w:hAnsi="Times New Roman" w:cs="Times New Roman"/>
          <w:sz w:val="23"/>
          <w:szCs w:val="23"/>
        </w:rPr>
      </w:pPr>
      <w:r w:rsidRPr="00AD60C2">
        <w:rPr>
          <w:rFonts w:ascii="Times New Roman" w:hAnsi="Times New Roman" w:cs="Times New Roman"/>
          <w:sz w:val="23"/>
          <w:szCs w:val="23"/>
        </w:rPr>
        <w:t xml:space="preserve">Under the theme of </w:t>
      </w:r>
      <w:r w:rsidRPr="00AD60C2">
        <w:rPr>
          <w:rFonts w:ascii="Times New Roman" w:hAnsi="Times New Roman" w:cs="Times New Roman"/>
          <w:i/>
          <w:iCs/>
          <w:sz w:val="23"/>
          <w:szCs w:val="23"/>
        </w:rPr>
        <w:t xml:space="preserve">New incentives for research and development </w:t>
      </w:r>
      <w:r w:rsidR="005559E6" w:rsidRPr="00AD60C2">
        <w:rPr>
          <w:rFonts w:ascii="Times New Roman" w:hAnsi="Times New Roman" w:cs="Times New Roman"/>
          <w:i/>
          <w:iCs/>
          <w:sz w:val="23"/>
          <w:szCs w:val="23"/>
        </w:rPr>
        <w:t xml:space="preserve">of </w:t>
      </w:r>
      <w:r w:rsidRPr="00AD60C2">
        <w:rPr>
          <w:rFonts w:ascii="Times New Roman" w:hAnsi="Times New Roman" w:cs="Times New Roman"/>
          <w:i/>
          <w:iCs/>
          <w:sz w:val="23"/>
          <w:szCs w:val="23"/>
        </w:rPr>
        <w:t>health technologies</w:t>
      </w:r>
      <w:r w:rsidR="005559E6" w:rsidRPr="00AD60C2">
        <w:rPr>
          <w:rFonts w:ascii="Times New Roman" w:hAnsi="Times New Roman" w:cs="Times New Roman"/>
          <w:i/>
          <w:iCs/>
          <w:sz w:val="23"/>
          <w:szCs w:val="23"/>
        </w:rPr>
        <w:t>,</w:t>
      </w:r>
      <w:r w:rsidRPr="00AD60C2">
        <w:rPr>
          <w:rFonts w:ascii="Times New Roman" w:hAnsi="Times New Roman" w:cs="Times New Roman"/>
          <w:sz w:val="23"/>
          <w:szCs w:val="23"/>
        </w:rPr>
        <w:t xml:space="preserve"> the Report called on governments to “form a </w:t>
      </w:r>
      <w:r w:rsidR="005559E6" w:rsidRPr="00AD60C2">
        <w:rPr>
          <w:rFonts w:ascii="Times New Roman" w:hAnsi="Times New Roman" w:cs="Times New Roman"/>
          <w:sz w:val="23"/>
          <w:szCs w:val="23"/>
        </w:rPr>
        <w:t>w</w:t>
      </w:r>
      <w:r w:rsidRPr="00AD60C2">
        <w:rPr>
          <w:rFonts w:ascii="Times New Roman" w:hAnsi="Times New Roman" w:cs="Times New Roman"/>
          <w:sz w:val="23"/>
          <w:szCs w:val="23"/>
        </w:rPr>
        <w:t xml:space="preserve">orking </w:t>
      </w:r>
      <w:r w:rsidR="005559E6" w:rsidRPr="00AD60C2">
        <w:rPr>
          <w:rFonts w:ascii="Times New Roman" w:hAnsi="Times New Roman" w:cs="Times New Roman"/>
          <w:sz w:val="23"/>
          <w:szCs w:val="23"/>
        </w:rPr>
        <w:t>g</w:t>
      </w:r>
      <w:r w:rsidRPr="00AD60C2">
        <w:rPr>
          <w:rFonts w:ascii="Times New Roman" w:hAnsi="Times New Roman" w:cs="Times New Roman"/>
          <w:sz w:val="23"/>
          <w:szCs w:val="23"/>
        </w:rPr>
        <w:t xml:space="preserve">roup to begin negotiating a Code of Principles for Biomedical R&amp;D. These principles would apply to public R&amp;D funds and should also be adopted by private and philanthropic funders.” </w:t>
      </w:r>
      <w:r w:rsidR="000269A8" w:rsidRPr="00AD60C2">
        <w:rPr>
          <w:rFonts w:ascii="Times New Roman" w:hAnsi="Times New Roman" w:cs="Times New Roman"/>
          <w:sz w:val="23"/>
          <w:szCs w:val="23"/>
        </w:rPr>
        <w:t xml:space="preserve">The need for such a Code of Principles has never been more urgent: </w:t>
      </w:r>
      <w:r w:rsidR="005559E6" w:rsidRPr="00AD60C2">
        <w:rPr>
          <w:rFonts w:ascii="Times New Roman" w:hAnsi="Times New Roman" w:cs="Times New Roman"/>
          <w:sz w:val="23"/>
          <w:szCs w:val="23"/>
        </w:rPr>
        <w:t>The inequitable distribution of COVID-19 vaccines makes clear that p</w:t>
      </w:r>
      <w:r w:rsidR="00302AA7" w:rsidRPr="00AD60C2">
        <w:rPr>
          <w:rFonts w:ascii="Times New Roman" w:hAnsi="Times New Roman" w:cs="Times New Roman"/>
          <w:sz w:val="23"/>
          <w:szCs w:val="23"/>
        </w:rPr>
        <w:t>ublic</w:t>
      </w:r>
      <w:r w:rsidR="00753BAA" w:rsidRPr="00AD60C2">
        <w:rPr>
          <w:rFonts w:ascii="Times New Roman" w:hAnsi="Times New Roman" w:cs="Times New Roman"/>
          <w:sz w:val="23"/>
          <w:szCs w:val="23"/>
        </w:rPr>
        <w:t xml:space="preserve"> financ</w:t>
      </w:r>
      <w:r w:rsidR="00FC2C8E" w:rsidRPr="00AD60C2">
        <w:rPr>
          <w:rFonts w:ascii="Times New Roman" w:hAnsi="Times New Roman" w:cs="Times New Roman"/>
          <w:sz w:val="23"/>
          <w:szCs w:val="23"/>
        </w:rPr>
        <w:t>ing agreements for</w:t>
      </w:r>
      <w:r w:rsidR="00753BAA" w:rsidRPr="00AD60C2">
        <w:rPr>
          <w:rFonts w:ascii="Times New Roman" w:hAnsi="Times New Roman" w:cs="Times New Roman"/>
          <w:sz w:val="23"/>
          <w:szCs w:val="23"/>
        </w:rPr>
        <w:t xml:space="preserve"> </w:t>
      </w:r>
      <w:r w:rsidR="00FC2C8E" w:rsidRPr="00AD60C2">
        <w:rPr>
          <w:rFonts w:ascii="Times New Roman" w:hAnsi="Times New Roman" w:cs="Times New Roman"/>
          <w:sz w:val="23"/>
          <w:szCs w:val="23"/>
        </w:rPr>
        <w:t xml:space="preserve">research on </w:t>
      </w:r>
      <w:r w:rsidR="00753BAA" w:rsidRPr="00AD60C2">
        <w:rPr>
          <w:rFonts w:ascii="Times New Roman" w:hAnsi="Times New Roman" w:cs="Times New Roman"/>
          <w:sz w:val="23"/>
          <w:szCs w:val="23"/>
        </w:rPr>
        <w:t xml:space="preserve">COVID-19, </w:t>
      </w:r>
      <w:r w:rsidR="00FC2C8E" w:rsidRPr="00AD60C2">
        <w:rPr>
          <w:rFonts w:ascii="Times New Roman" w:hAnsi="Times New Roman" w:cs="Times New Roman"/>
          <w:sz w:val="23"/>
          <w:szCs w:val="23"/>
        </w:rPr>
        <w:t>HIV,</w:t>
      </w:r>
      <w:r w:rsidR="00753BAA" w:rsidRPr="00AD60C2">
        <w:rPr>
          <w:rFonts w:ascii="Times New Roman" w:hAnsi="Times New Roman" w:cs="Times New Roman"/>
          <w:sz w:val="23"/>
          <w:szCs w:val="23"/>
        </w:rPr>
        <w:t xml:space="preserve"> TB </w:t>
      </w:r>
      <w:r w:rsidR="00FC2C8E" w:rsidRPr="00AD60C2">
        <w:rPr>
          <w:rFonts w:ascii="Times New Roman" w:hAnsi="Times New Roman" w:cs="Times New Roman"/>
          <w:sz w:val="23"/>
          <w:szCs w:val="23"/>
        </w:rPr>
        <w:t xml:space="preserve">and other health conditions </w:t>
      </w:r>
      <w:r w:rsidR="005559E6" w:rsidRPr="00AD60C2">
        <w:rPr>
          <w:rFonts w:ascii="Times New Roman" w:hAnsi="Times New Roman" w:cs="Times New Roman"/>
          <w:sz w:val="23"/>
          <w:szCs w:val="23"/>
        </w:rPr>
        <w:t>must include strong</w:t>
      </w:r>
      <w:r w:rsidR="00753BAA" w:rsidRPr="00AD60C2">
        <w:rPr>
          <w:rFonts w:ascii="Times New Roman" w:hAnsi="Times New Roman" w:cs="Times New Roman"/>
          <w:sz w:val="23"/>
          <w:szCs w:val="23"/>
        </w:rPr>
        <w:t xml:space="preserve"> access conditionalities</w:t>
      </w:r>
      <w:r w:rsidR="005559E6" w:rsidRPr="00AD60C2">
        <w:rPr>
          <w:rFonts w:ascii="Times New Roman" w:hAnsi="Times New Roman" w:cs="Times New Roman"/>
          <w:sz w:val="23"/>
          <w:szCs w:val="23"/>
        </w:rPr>
        <w:t xml:space="preserve"> and safeguards</w:t>
      </w:r>
      <w:r w:rsidR="00753BAA" w:rsidRPr="00AD60C2">
        <w:rPr>
          <w:rFonts w:ascii="Times New Roman" w:hAnsi="Times New Roman" w:cs="Times New Roman"/>
          <w:sz w:val="23"/>
          <w:szCs w:val="23"/>
        </w:rPr>
        <w:t xml:space="preserve">. </w:t>
      </w:r>
    </w:p>
    <w:p w14:paraId="68400220" w14:textId="77777777" w:rsidR="000269A8" w:rsidRPr="00AD60C2" w:rsidRDefault="000269A8" w:rsidP="00AD60C2">
      <w:pPr>
        <w:pStyle w:val="ListParagraph"/>
        <w:rPr>
          <w:rFonts w:ascii="Times New Roman" w:hAnsi="Times New Roman" w:cs="Times New Roman"/>
          <w:sz w:val="23"/>
          <w:szCs w:val="23"/>
        </w:rPr>
      </w:pPr>
    </w:p>
    <w:p w14:paraId="080A9EC5" w14:textId="3E892234" w:rsidR="000269A8" w:rsidRPr="00AD60C2" w:rsidRDefault="00AD60C2" w:rsidP="00AD60C2">
      <w:pPr>
        <w:pStyle w:val="ListParagraph"/>
        <w:numPr>
          <w:ilvl w:val="0"/>
          <w:numId w:val="1"/>
        </w:numPr>
        <w:spacing w:after="120"/>
        <w:jc w:val="both"/>
        <w:rPr>
          <w:rFonts w:ascii="Times New Roman" w:hAnsi="Times New Roman" w:cs="Times New Roman"/>
          <w:sz w:val="23"/>
          <w:szCs w:val="23"/>
        </w:rPr>
      </w:pPr>
      <w:r>
        <w:rPr>
          <w:rFonts w:ascii="Times New Roman" w:hAnsi="Times New Roman" w:cs="Times New Roman"/>
          <w:sz w:val="23"/>
          <w:szCs w:val="23"/>
        </w:rPr>
        <w:t>In conclusion, a</w:t>
      </w:r>
      <w:r w:rsidR="000269A8" w:rsidRPr="00AD60C2">
        <w:rPr>
          <w:rFonts w:ascii="Times New Roman" w:hAnsi="Times New Roman" w:cs="Times New Roman"/>
          <w:sz w:val="23"/>
          <w:szCs w:val="23"/>
        </w:rPr>
        <w:t xml:space="preserve">s the High Commissioner for Human Rights prepares a report </w:t>
      </w:r>
      <w:r>
        <w:rPr>
          <w:rFonts w:ascii="Times New Roman" w:hAnsi="Times New Roman" w:cs="Times New Roman"/>
          <w:sz w:val="23"/>
          <w:szCs w:val="23"/>
        </w:rPr>
        <w:t>under HRC resolution 49/25, TAG encourages OHCHR to draw on the right to science in its analysis of the</w:t>
      </w:r>
      <w:r w:rsidR="000269A8" w:rsidRPr="00AD60C2">
        <w:rPr>
          <w:rFonts w:ascii="Times New Roman" w:hAnsi="Times New Roman" w:cs="Times New Roman"/>
          <w:sz w:val="23"/>
          <w:szCs w:val="23"/>
        </w:rPr>
        <w:t xml:space="preserve"> human rights implications of affordable, timely, equitable and universal access to and distribution of quality, safe, efficacious and affordable COVID-19 vaccines</w:t>
      </w:r>
      <w:r>
        <w:rPr>
          <w:rFonts w:ascii="Times New Roman" w:hAnsi="Times New Roman" w:cs="Times New Roman"/>
          <w:sz w:val="23"/>
          <w:szCs w:val="23"/>
        </w:rPr>
        <w:t xml:space="preserve">. </w:t>
      </w:r>
    </w:p>
    <w:p w14:paraId="0F434910" w14:textId="77777777" w:rsidR="000269A8" w:rsidRPr="00AD60C2" w:rsidRDefault="000269A8" w:rsidP="00F20FA8">
      <w:pPr>
        <w:jc w:val="both"/>
        <w:rPr>
          <w:rFonts w:ascii="Times New Roman" w:hAnsi="Times New Roman" w:cs="Times New Roman"/>
          <w:sz w:val="23"/>
          <w:szCs w:val="23"/>
          <w:lang w:val="en-GB"/>
        </w:rPr>
      </w:pPr>
    </w:p>
    <w:sectPr w:rsidR="000269A8" w:rsidRPr="00AD60C2" w:rsidSect="00AD60C2">
      <w:headerReference w:type="default" r:id="rId11"/>
      <w:footerReference w:type="even" r:id="rId12"/>
      <w:footerReference w:type="default" r:id="rId13"/>
      <w:headerReference w:type="first" r:id="rId14"/>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DF0D" w14:textId="77777777" w:rsidR="00CA46DB" w:rsidRDefault="00CA46DB" w:rsidP="00642A2A">
      <w:r>
        <w:separator/>
      </w:r>
    </w:p>
  </w:endnote>
  <w:endnote w:type="continuationSeparator" w:id="0">
    <w:p w14:paraId="40C27815" w14:textId="77777777" w:rsidR="00CA46DB" w:rsidRDefault="00CA46DB" w:rsidP="0064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258357"/>
      <w:docPartObj>
        <w:docPartGallery w:val="Page Numbers (Bottom of Page)"/>
        <w:docPartUnique/>
      </w:docPartObj>
    </w:sdtPr>
    <w:sdtEndPr>
      <w:rPr>
        <w:rStyle w:val="PageNumber"/>
      </w:rPr>
    </w:sdtEndPr>
    <w:sdtContent>
      <w:p w14:paraId="66826FF0" w14:textId="5884602A" w:rsidR="00642A2A" w:rsidRDefault="00642A2A" w:rsidP="00B47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809F2" w14:textId="77777777" w:rsidR="00642A2A" w:rsidRDefault="00642A2A" w:rsidP="00642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1313"/>
      <w:docPartObj>
        <w:docPartGallery w:val="Page Numbers (Bottom of Page)"/>
        <w:docPartUnique/>
      </w:docPartObj>
    </w:sdtPr>
    <w:sdtEndPr>
      <w:rPr>
        <w:rStyle w:val="PageNumber"/>
      </w:rPr>
    </w:sdtEndPr>
    <w:sdtContent>
      <w:p w14:paraId="12FB0C6C" w14:textId="21A6FD15" w:rsidR="00642A2A" w:rsidRDefault="00642A2A" w:rsidP="00B47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3BECA" w14:textId="77777777" w:rsidR="00642A2A" w:rsidRDefault="00642A2A" w:rsidP="00642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9F64" w14:textId="77777777" w:rsidR="00CA46DB" w:rsidRDefault="00CA46DB" w:rsidP="00642A2A">
      <w:r>
        <w:separator/>
      </w:r>
    </w:p>
  </w:footnote>
  <w:footnote w:type="continuationSeparator" w:id="0">
    <w:p w14:paraId="7127ED2C" w14:textId="77777777" w:rsidR="00CA46DB" w:rsidRDefault="00CA46DB" w:rsidP="00642A2A">
      <w:r>
        <w:continuationSeparator/>
      </w:r>
    </w:p>
  </w:footnote>
  <w:footnote w:id="1">
    <w:p w14:paraId="19AC9B79" w14:textId="33968839" w:rsidR="00E65572" w:rsidRDefault="00E65572">
      <w:pPr>
        <w:pStyle w:val="FootnoteText"/>
      </w:pPr>
      <w:r>
        <w:rPr>
          <w:rStyle w:val="FootnoteReference"/>
        </w:rPr>
        <w:footnoteRef/>
      </w:r>
      <w:r>
        <w:t xml:space="preserve"> </w:t>
      </w:r>
      <w:r w:rsidRPr="00AD60C2">
        <w:rPr>
          <w:rFonts w:ascii="Times New Roman" w:hAnsi="Times New Roman" w:cs="Times New Roman"/>
          <w:sz w:val="16"/>
          <w:szCs w:val="16"/>
        </w:rPr>
        <w:t>A/HRC/20/26, para. 26.</w:t>
      </w:r>
      <w:r>
        <w:t xml:space="preserve"> </w:t>
      </w:r>
    </w:p>
  </w:footnote>
  <w:footnote w:id="2">
    <w:p w14:paraId="1EC7605C" w14:textId="5A21C47E" w:rsidR="009248FC" w:rsidRPr="009248FC" w:rsidRDefault="009248FC">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E/C.12/2000/4</w:t>
      </w:r>
      <w:r w:rsidR="0016783C">
        <w:rPr>
          <w:rFonts w:ascii="Times New Roman" w:hAnsi="Times New Roman" w:cs="Times New Roman"/>
          <w:sz w:val="16"/>
          <w:szCs w:val="16"/>
        </w:rPr>
        <w:t>.</w:t>
      </w:r>
    </w:p>
  </w:footnote>
  <w:footnote w:id="3">
    <w:p w14:paraId="49651B0F" w14:textId="30ED4E47" w:rsidR="00C110A4" w:rsidRPr="009248FC" w:rsidRDefault="00C110A4">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E/C.12/GC/25</w:t>
      </w:r>
      <w:r w:rsidR="0016783C">
        <w:rPr>
          <w:rFonts w:ascii="Times New Roman" w:hAnsi="Times New Roman" w:cs="Times New Roman"/>
          <w:sz w:val="16"/>
          <w:szCs w:val="16"/>
        </w:rPr>
        <w:t>.</w:t>
      </w:r>
    </w:p>
  </w:footnote>
  <w:footnote w:id="4">
    <w:p w14:paraId="0AA49227" w14:textId="4834CE20" w:rsidR="007F5E83" w:rsidRPr="009248FC" w:rsidRDefault="007F5E83">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E/C.12/GC/25 para. 16</w:t>
      </w:r>
      <w:r w:rsidR="0016783C">
        <w:rPr>
          <w:rFonts w:ascii="Times New Roman" w:hAnsi="Times New Roman" w:cs="Times New Roman"/>
          <w:sz w:val="16"/>
          <w:szCs w:val="16"/>
        </w:rPr>
        <w:t>.</w:t>
      </w:r>
    </w:p>
  </w:footnote>
  <w:footnote w:id="5">
    <w:p w14:paraId="7CE2CB76" w14:textId="434AC046" w:rsidR="00CF08F7" w:rsidRPr="009248FC" w:rsidRDefault="00CF08F7">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E/C.12/GC/25 para. 17</w:t>
      </w:r>
      <w:r w:rsidR="0016783C">
        <w:rPr>
          <w:rFonts w:ascii="Times New Roman" w:hAnsi="Times New Roman" w:cs="Times New Roman"/>
          <w:sz w:val="16"/>
          <w:szCs w:val="16"/>
        </w:rPr>
        <w:t>.</w:t>
      </w:r>
    </w:p>
  </w:footnote>
  <w:footnote w:id="6">
    <w:p w14:paraId="4F7EC835" w14:textId="2EBD8F32" w:rsidR="0016783C" w:rsidRDefault="0016783C">
      <w:pPr>
        <w:pStyle w:val="FootnoteText"/>
      </w:pPr>
      <w:r>
        <w:rPr>
          <w:rStyle w:val="FootnoteReference"/>
        </w:rPr>
        <w:footnoteRef/>
      </w:r>
      <w:r>
        <w:t xml:space="preserve"> </w:t>
      </w:r>
      <w:r w:rsidRPr="001D7F73">
        <w:rPr>
          <w:rFonts w:ascii="Times New Roman" w:hAnsi="Times New Roman" w:cs="Times New Roman"/>
          <w:sz w:val="16"/>
          <w:szCs w:val="16"/>
        </w:rPr>
        <w:t xml:space="preserve">A/HRC/20/26, para. </w:t>
      </w:r>
      <w:r>
        <w:rPr>
          <w:rFonts w:ascii="Times New Roman" w:hAnsi="Times New Roman" w:cs="Times New Roman"/>
          <w:sz w:val="16"/>
          <w:szCs w:val="16"/>
        </w:rPr>
        <w:t>29.</w:t>
      </w:r>
    </w:p>
  </w:footnote>
  <w:footnote w:id="7">
    <w:p w14:paraId="75006A02" w14:textId="5193423A" w:rsidR="00C33856" w:rsidRPr="009248FC" w:rsidRDefault="00C33856">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E/C.12/GC/25 para. 82</w:t>
      </w:r>
      <w:r w:rsidR="0016783C">
        <w:rPr>
          <w:rFonts w:ascii="Times New Roman" w:hAnsi="Times New Roman" w:cs="Times New Roman"/>
          <w:sz w:val="16"/>
          <w:szCs w:val="16"/>
        </w:rPr>
        <w:t>.</w:t>
      </w:r>
    </w:p>
  </w:footnote>
  <w:footnote w:id="8">
    <w:p w14:paraId="290BBEFD" w14:textId="41FEFC02" w:rsidR="00C33856" w:rsidRDefault="00C33856">
      <w:pPr>
        <w:pStyle w:val="FootnoteText"/>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w:t>
      </w:r>
      <w:r w:rsidR="00005694" w:rsidRPr="009248FC">
        <w:rPr>
          <w:rFonts w:ascii="Times New Roman" w:hAnsi="Times New Roman" w:cs="Times New Roman"/>
          <w:sz w:val="16"/>
          <w:szCs w:val="16"/>
        </w:rPr>
        <w:t xml:space="preserve">E/C.12/GC/25 </w:t>
      </w:r>
      <w:r w:rsidRPr="009248FC">
        <w:rPr>
          <w:rFonts w:ascii="Times New Roman" w:hAnsi="Times New Roman" w:cs="Times New Roman"/>
          <w:sz w:val="16"/>
          <w:szCs w:val="16"/>
        </w:rPr>
        <w:t xml:space="preserve"> para 83</w:t>
      </w:r>
      <w:r w:rsidR="0016783C">
        <w:rPr>
          <w:rFonts w:ascii="Times New Roman" w:hAnsi="Times New Roman" w:cs="Times New Roman"/>
          <w:sz w:val="16"/>
          <w:szCs w:val="16"/>
        </w:rPr>
        <w:t>.</w:t>
      </w:r>
    </w:p>
  </w:footnote>
  <w:footnote w:id="9">
    <w:p w14:paraId="77BD52AE" w14:textId="77777777" w:rsidR="00CF38C2" w:rsidRDefault="00CF38C2" w:rsidP="00CF38C2">
      <w:pPr>
        <w:pStyle w:val="FootnoteText"/>
      </w:pPr>
      <w:r>
        <w:rPr>
          <w:rStyle w:val="FootnoteReference"/>
        </w:rPr>
        <w:footnoteRef/>
      </w:r>
      <w:r>
        <w:t xml:space="preserve"> </w:t>
      </w:r>
      <w:r w:rsidRPr="00D76962">
        <w:rPr>
          <w:rFonts w:ascii="Times New Roman" w:hAnsi="Times New Roman" w:cs="Times New Roman"/>
          <w:sz w:val="16"/>
          <w:szCs w:val="16"/>
        </w:rPr>
        <w:t>Frick, M., &amp; Dang, G. (2021). The Right to Science: A Practical Tool for Advancing Global Health Equity and Promoting the Human Rights of People with Tuberculosis. In H. Porsdam &amp; S. Porsdam Mann (Eds.), </w:t>
      </w:r>
      <w:r w:rsidRPr="00D76962">
        <w:rPr>
          <w:rFonts w:ascii="Times New Roman" w:hAnsi="Times New Roman" w:cs="Times New Roman"/>
          <w:i/>
          <w:iCs/>
          <w:sz w:val="16"/>
          <w:szCs w:val="16"/>
        </w:rPr>
        <w:t>The Right to Science: Then and Now</w:t>
      </w:r>
      <w:r w:rsidRPr="00D76962">
        <w:rPr>
          <w:rFonts w:ascii="Times New Roman" w:hAnsi="Times New Roman" w:cs="Times New Roman"/>
          <w:sz w:val="16"/>
          <w:szCs w:val="16"/>
        </w:rPr>
        <w:t> (pp. 246-267). Cambridge: Cambridge University Press. doi:10.1017/9781108776301.016</w:t>
      </w:r>
    </w:p>
  </w:footnote>
  <w:footnote w:id="10">
    <w:p w14:paraId="6B0AC8C9" w14:textId="0AA48F38" w:rsidR="00CD424A" w:rsidRPr="009248FC" w:rsidRDefault="00CD424A" w:rsidP="00CD424A">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w:t>
      </w:r>
      <w:r w:rsidR="00533FB3">
        <w:rPr>
          <w:rFonts w:ascii="Times New Roman" w:hAnsi="Times New Roman" w:cs="Times New Roman"/>
          <w:sz w:val="16"/>
          <w:szCs w:val="16"/>
        </w:rPr>
        <w:t>See, for example,</w:t>
      </w:r>
      <w:r>
        <w:rPr>
          <w:rFonts w:ascii="Times New Roman" w:hAnsi="Times New Roman" w:cs="Times New Roman"/>
          <w:sz w:val="16"/>
          <w:szCs w:val="16"/>
        </w:rPr>
        <w:t xml:space="preserve"> Global TB Advisory Board, Treatment Action Group (2022). 10-Year Anniversary Evaluation Report 2011-2021. </w:t>
      </w:r>
      <w:hyperlink r:id="rId1" w:history="1">
        <w:r w:rsidRPr="00980AFB">
          <w:rPr>
            <w:rStyle w:val="Hyperlink"/>
            <w:rFonts w:ascii="Times New Roman" w:hAnsi="Times New Roman" w:cs="Times New Roman"/>
            <w:sz w:val="16"/>
            <w:szCs w:val="16"/>
          </w:rPr>
          <w:t>https://www.treatmentactiongroup.org/publication/tb-cab-10-year-anniversary-evaluation-report-2011-2021-and-podcast/</w:t>
        </w:r>
      </w:hyperlink>
      <w:r>
        <w:rPr>
          <w:rFonts w:ascii="Times New Roman" w:hAnsi="Times New Roman" w:cs="Times New Roman"/>
          <w:sz w:val="16"/>
          <w:szCs w:val="16"/>
        </w:rPr>
        <w:t xml:space="preserve"> &lt;accessed 3 October 2022&gt;</w:t>
      </w:r>
    </w:p>
  </w:footnote>
  <w:footnote w:id="11">
    <w:p w14:paraId="01634BAD" w14:textId="66D3AE9F" w:rsidR="00F97E6D" w:rsidRPr="009248FC" w:rsidRDefault="00F97E6D">
      <w:pPr>
        <w:pStyle w:val="FootnoteText"/>
        <w:rPr>
          <w:rFonts w:ascii="Times New Roman" w:hAnsi="Times New Roman" w:cs="Times New Roman"/>
          <w:sz w:val="16"/>
          <w:szCs w:val="16"/>
        </w:rPr>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w:t>
      </w:r>
      <w:r w:rsidR="00005694" w:rsidRPr="00005694">
        <w:rPr>
          <w:rFonts w:ascii="Times New Roman" w:hAnsi="Times New Roman" w:cs="Times New Roman"/>
          <w:sz w:val="16"/>
          <w:szCs w:val="16"/>
        </w:rPr>
        <w:t>Matahari Global Solutions</w:t>
      </w:r>
      <w:r w:rsidR="00005694">
        <w:rPr>
          <w:rFonts w:ascii="Times New Roman" w:hAnsi="Times New Roman" w:cs="Times New Roman"/>
          <w:sz w:val="16"/>
          <w:szCs w:val="16"/>
        </w:rPr>
        <w:t xml:space="preserve"> (2022). </w:t>
      </w:r>
      <w:r w:rsidR="00005694" w:rsidRPr="00005694">
        <w:rPr>
          <w:rFonts w:ascii="Times New Roman" w:hAnsi="Times New Roman" w:cs="Times New Roman"/>
          <w:sz w:val="16"/>
          <w:szCs w:val="16"/>
        </w:rPr>
        <w:t>Mapping Access Gaps in COVID-19: Results from 14 Countries and Territories</w:t>
      </w:r>
      <w:r w:rsidR="00005694">
        <w:rPr>
          <w:rFonts w:ascii="Times New Roman" w:hAnsi="Times New Roman" w:cs="Times New Roman"/>
          <w:sz w:val="16"/>
          <w:szCs w:val="16"/>
        </w:rPr>
        <w:t>.</w:t>
      </w:r>
      <w:r w:rsidR="00005694" w:rsidRPr="00005694">
        <w:rPr>
          <w:rFonts w:ascii="Times New Roman" w:hAnsi="Times New Roman" w:cs="Times New Roman"/>
          <w:sz w:val="16"/>
          <w:szCs w:val="16"/>
        </w:rPr>
        <w:t xml:space="preserve"> </w:t>
      </w:r>
      <w:hyperlink r:id="rId2" w:history="1">
        <w:r w:rsidR="00005694" w:rsidRPr="00980AFB">
          <w:rPr>
            <w:rStyle w:val="Hyperlink"/>
            <w:rFonts w:ascii="Times New Roman" w:hAnsi="Times New Roman" w:cs="Times New Roman"/>
            <w:sz w:val="16"/>
            <w:szCs w:val="16"/>
          </w:rPr>
          <w:t>https://itpcglobal.org/blog/resource/mapping-covid-19-access-gaps-results-from-14-countries-and-territories/</w:t>
        </w:r>
      </w:hyperlink>
      <w:r w:rsidR="00005694">
        <w:rPr>
          <w:rFonts w:ascii="Times New Roman" w:hAnsi="Times New Roman" w:cs="Times New Roman"/>
          <w:sz w:val="16"/>
          <w:szCs w:val="16"/>
        </w:rPr>
        <w:t xml:space="preserve"> &lt;accessed 3 October 2022&gt;</w:t>
      </w:r>
    </w:p>
  </w:footnote>
  <w:footnote w:id="12">
    <w:p w14:paraId="5EEAE87F" w14:textId="33BE1E75" w:rsidR="00533FB3" w:rsidRDefault="00533FB3">
      <w:pPr>
        <w:pStyle w:val="FootnoteText"/>
      </w:pPr>
      <w:r>
        <w:rPr>
          <w:rStyle w:val="FootnoteReference"/>
        </w:rPr>
        <w:footnoteRef/>
      </w:r>
      <w:r>
        <w:t xml:space="preserve"> </w:t>
      </w:r>
      <w:r w:rsidRPr="009248FC">
        <w:rPr>
          <w:rFonts w:ascii="Times New Roman" w:hAnsi="Times New Roman" w:cs="Times New Roman"/>
          <w:sz w:val="16"/>
          <w:szCs w:val="16"/>
        </w:rPr>
        <w:t>E/C.12/GC/25 para</w:t>
      </w:r>
      <w:r>
        <w:rPr>
          <w:rFonts w:ascii="Times New Roman" w:hAnsi="Times New Roman" w:cs="Times New Roman"/>
          <w:sz w:val="16"/>
          <w:szCs w:val="16"/>
        </w:rPr>
        <w:t xml:space="preserve">s. 58–62. </w:t>
      </w:r>
    </w:p>
  </w:footnote>
  <w:footnote w:id="13">
    <w:p w14:paraId="5B595485" w14:textId="672CF658" w:rsidR="009B4AF7" w:rsidRDefault="009B4AF7">
      <w:pPr>
        <w:pStyle w:val="FootnoteText"/>
      </w:pPr>
      <w:r w:rsidRPr="009248FC">
        <w:rPr>
          <w:rStyle w:val="FootnoteReference"/>
          <w:rFonts w:ascii="Times New Roman" w:hAnsi="Times New Roman" w:cs="Times New Roman"/>
          <w:sz w:val="16"/>
          <w:szCs w:val="16"/>
        </w:rPr>
        <w:footnoteRef/>
      </w:r>
      <w:r w:rsidRPr="009248FC">
        <w:rPr>
          <w:rFonts w:ascii="Times New Roman" w:hAnsi="Times New Roman" w:cs="Times New Roman"/>
          <w:sz w:val="16"/>
          <w:szCs w:val="16"/>
        </w:rPr>
        <w:t xml:space="preserve"> </w:t>
      </w:r>
      <w:r w:rsidR="00005694">
        <w:rPr>
          <w:rFonts w:ascii="Times New Roman" w:hAnsi="Times New Roman" w:cs="Times New Roman"/>
          <w:sz w:val="16"/>
          <w:szCs w:val="16"/>
        </w:rPr>
        <w:t>Report of the United Nations Secretary-General’s High</w:t>
      </w:r>
      <w:r w:rsidR="00533FB3">
        <w:rPr>
          <w:rFonts w:ascii="Times New Roman" w:hAnsi="Times New Roman" w:cs="Times New Roman"/>
          <w:sz w:val="16"/>
          <w:szCs w:val="16"/>
        </w:rPr>
        <w:t>-</w:t>
      </w:r>
      <w:r w:rsidR="00005694">
        <w:rPr>
          <w:rFonts w:ascii="Times New Roman" w:hAnsi="Times New Roman" w:cs="Times New Roman"/>
          <w:sz w:val="16"/>
          <w:szCs w:val="16"/>
        </w:rPr>
        <w:t>Level Panel on Access to Medicines. Promoting innovation and access to health technologies (2016) &lt;.</w:t>
      </w:r>
      <w:r w:rsidRPr="009248FC">
        <w:rPr>
          <w:rFonts w:ascii="Times New Roman" w:hAnsi="Times New Roman" w:cs="Times New Roman"/>
          <w:sz w:val="16"/>
          <w:szCs w:val="16"/>
        </w:rPr>
        <w:t>http://www.unsgaccessmeds.org/final-report</w:t>
      </w:r>
      <w:r w:rsidR="00005694">
        <w:rPr>
          <w:rFonts w:ascii="Times New Roman" w:hAnsi="Times New Roman" w:cs="Times New Roman"/>
          <w:sz w:val="16"/>
          <w:szCs w:val="16"/>
        </w:rPr>
        <w:t>&gt; (accessed 3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957" w14:textId="02A84919" w:rsidR="006D2EDE" w:rsidRDefault="006D2EDE" w:rsidP="00AD60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AFD" w14:textId="2E793BC5" w:rsidR="006D2EDE" w:rsidRDefault="006D2EDE" w:rsidP="00AD60C2">
    <w:pPr>
      <w:pStyle w:val="Header"/>
      <w:jc w:val="center"/>
    </w:pPr>
    <w:r w:rsidRPr="006D2EDE">
      <w:rPr>
        <w:noProof/>
      </w:rPr>
      <w:drawing>
        <wp:inline distT="0" distB="0" distL="0" distR="0" wp14:anchorId="7BF6B7A0" wp14:editId="2102DA97">
          <wp:extent cx="1718733" cy="608167"/>
          <wp:effectExtent l="0" t="0" r="0" b="1905"/>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stretch>
                    <a:fillRect/>
                  </a:stretch>
                </pic:blipFill>
                <pic:spPr>
                  <a:xfrm>
                    <a:off x="0" y="0"/>
                    <a:ext cx="1747287" cy="618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1EF3"/>
    <w:multiLevelType w:val="hybridMultilevel"/>
    <w:tmpl w:val="F80E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93779"/>
    <w:multiLevelType w:val="hybridMultilevel"/>
    <w:tmpl w:val="C746451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8DF7385"/>
    <w:multiLevelType w:val="hybridMultilevel"/>
    <w:tmpl w:val="4A366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25042"/>
    <w:multiLevelType w:val="multilevel"/>
    <w:tmpl w:val="0409001F"/>
    <w:styleLink w:val="CurrentList1"/>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33DF9"/>
    <w:multiLevelType w:val="hybridMultilevel"/>
    <w:tmpl w:val="DE90F8C0"/>
    <w:lvl w:ilvl="0" w:tplc="8898D9B8">
      <w:start w:val="1"/>
      <w:numFmt w:val="decimal"/>
      <w:lvlText w:val="%1."/>
      <w:lvlJc w:val="left"/>
      <w:pPr>
        <w:ind w:left="360" w:hanging="360"/>
      </w:pPr>
      <w:rPr>
        <w:rFonts w:hint="default"/>
        <w:b w:val="0"/>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77363"/>
    <w:multiLevelType w:val="hybridMultilevel"/>
    <w:tmpl w:val="AD144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11FD2"/>
    <w:multiLevelType w:val="hybridMultilevel"/>
    <w:tmpl w:val="07D8354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DF5789"/>
    <w:multiLevelType w:val="multilevel"/>
    <w:tmpl w:val="0409001F"/>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B6369E"/>
    <w:multiLevelType w:val="hybridMultilevel"/>
    <w:tmpl w:val="CC3CAC5E"/>
    <w:lvl w:ilvl="0" w:tplc="D1E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77E9A"/>
    <w:multiLevelType w:val="hybridMultilevel"/>
    <w:tmpl w:val="5258930C"/>
    <w:lvl w:ilvl="0" w:tplc="A0488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8"/>
  </w:num>
  <w:num w:numId="6">
    <w:abstractNumId w:val="5"/>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2A"/>
    <w:rsid w:val="00005694"/>
    <w:rsid w:val="000079DF"/>
    <w:rsid w:val="000175E5"/>
    <w:rsid w:val="000269A8"/>
    <w:rsid w:val="00085331"/>
    <w:rsid w:val="0009596F"/>
    <w:rsid w:val="001030C4"/>
    <w:rsid w:val="0016783C"/>
    <w:rsid w:val="001D6D35"/>
    <w:rsid w:val="00245EC2"/>
    <w:rsid w:val="00251587"/>
    <w:rsid w:val="00266291"/>
    <w:rsid w:val="002C01A7"/>
    <w:rsid w:val="002C369C"/>
    <w:rsid w:val="00302AA7"/>
    <w:rsid w:val="0030563D"/>
    <w:rsid w:val="00384AD2"/>
    <w:rsid w:val="003970E9"/>
    <w:rsid w:val="0047158A"/>
    <w:rsid w:val="004D4A44"/>
    <w:rsid w:val="00533FB3"/>
    <w:rsid w:val="005559E6"/>
    <w:rsid w:val="005B3201"/>
    <w:rsid w:val="00607659"/>
    <w:rsid w:val="00637E39"/>
    <w:rsid w:val="00642A2A"/>
    <w:rsid w:val="006A32EA"/>
    <w:rsid w:val="006C2E0B"/>
    <w:rsid w:val="006D2EDE"/>
    <w:rsid w:val="006F4746"/>
    <w:rsid w:val="00701DAA"/>
    <w:rsid w:val="007307C3"/>
    <w:rsid w:val="00737C12"/>
    <w:rsid w:val="0075137E"/>
    <w:rsid w:val="00752419"/>
    <w:rsid w:val="00753BAA"/>
    <w:rsid w:val="007600D1"/>
    <w:rsid w:val="007731D1"/>
    <w:rsid w:val="007A6FF6"/>
    <w:rsid w:val="007B66B1"/>
    <w:rsid w:val="007C4904"/>
    <w:rsid w:val="007F5E83"/>
    <w:rsid w:val="00873BDB"/>
    <w:rsid w:val="00883304"/>
    <w:rsid w:val="008E1923"/>
    <w:rsid w:val="008F41AE"/>
    <w:rsid w:val="00923542"/>
    <w:rsid w:val="009248FC"/>
    <w:rsid w:val="00974CB7"/>
    <w:rsid w:val="00975060"/>
    <w:rsid w:val="009B4AF7"/>
    <w:rsid w:val="00A329A2"/>
    <w:rsid w:val="00A5265C"/>
    <w:rsid w:val="00A76ADD"/>
    <w:rsid w:val="00AD60C2"/>
    <w:rsid w:val="00AE36D0"/>
    <w:rsid w:val="00AF15CB"/>
    <w:rsid w:val="00AF4B22"/>
    <w:rsid w:val="00BA0210"/>
    <w:rsid w:val="00BA268E"/>
    <w:rsid w:val="00C110A4"/>
    <w:rsid w:val="00C1501B"/>
    <w:rsid w:val="00C33856"/>
    <w:rsid w:val="00C602CB"/>
    <w:rsid w:val="00C95D0F"/>
    <w:rsid w:val="00CA46DB"/>
    <w:rsid w:val="00CD301D"/>
    <w:rsid w:val="00CD424A"/>
    <w:rsid w:val="00CF08F7"/>
    <w:rsid w:val="00CF38C2"/>
    <w:rsid w:val="00D76962"/>
    <w:rsid w:val="00DB71E8"/>
    <w:rsid w:val="00DD0A90"/>
    <w:rsid w:val="00DE0E86"/>
    <w:rsid w:val="00DE1CD6"/>
    <w:rsid w:val="00E075FD"/>
    <w:rsid w:val="00E65572"/>
    <w:rsid w:val="00EB3EC0"/>
    <w:rsid w:val="00EB4DC7"/>
    <w:rsid w:val="00F20FA8"/>
    <w:rsid w:val="00F97E6D"/>
    <w:rsid w:val="00FC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1B52"/>
  <w15:chartTrackingRefBased/>
  <w15:docId w15:val="{C4BC5985-FF70-A942-9732-ED33E2D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2A"/>
    <w:rPr>
      <w:rFonts w:ascii="Times New Roman" w:hAnsi="Times New Roman" w:cs="Times New Roman"/>
    </w:rPr>
  </w:style>
  <w:style w:type="paragraph" w:styleId="Footer">
    <w:name w:val="footer"/>
    <w:basedOn w:val="Normal"/>
    <w:link w:val="FooterChar"/>
    <w:uiPriority w:val="99"/>
    <w:unhideWhenUsed/>
    <w:rsid w:val="00642A2A"/>
    <w:pPr>
      <w:tabs>
        <w:tab w:val="center" w:pos="4680"/>
        <w:tab w:val="right" w:pos="9360"/>
      </w:tabs>
    </w:pPr>
  </w:style>
  <w:style w:type="character" w:customStyle="1" w:styleId="FooterChar">
    <w:name w:val="Footer Char"/>
    <w:basedOn w:val="DefaultParagraphFont"/>
    <w:link w:val="Footer"/>
    <w:uiPriority w:val="99"/>
    <w:rsid w:val="00642A2A"/>
  </w:style>
  <w:style w:type="character" w:styleId="PageNumber">
    <w:name w:val="page number"/>
    <w:basedOn w:val="DefaultParagraphFont"/>
    <w:uiPriority w:val="99"/>
    <w:semiHidden/>
    <w:unhideWhenUsed/>
    <w:rsid w:val="00642A2A"/>
  </w:style>
  <w:style w:type="paragraph" w:styleId="ListParagraph">
    <w:name w:val="List Paragraph"/>
    <w:basedOn w:val="Normal"/>
    <w:uiPriority w:val="34"/>
    <w:qFormat/>
    <w:rsid w:val="00642A2A"/>
    <w:pPr>
      <w:ind w:left="720"/>
      <w:contextualSpacing/>
    </w:pPr>
  </w:style>
  <w:style w:type="paragraph" w:styleId="FootnoteText">
    <w:name w:val="footnote text"/>
    <w:basedOn w:val="Normal"/>
    <w:link w:val="FootnoteTextChar"/>
    <w:uiPriority w:val="99"/>
    <w:semiHidden/>
    <w:unhideWhenUsed/>
    <w:rsid w:val="00C110A4"/>
    <w:rPr>
      <w:sz w:val="20"/>
      <w:szCs w:val="20"/>
    </w:rPr>
  </w:style>
  <w:style w:type="character" w:customStyle="1" w:styleId="FootnoteTextChar">
    <w:name w:val="Footnote Text Char"/>
    <w:basedOn w:val="DefaultParagraphFont"/>
    <w:link w:val="FootnoteText"/>
    <w:uiPriority w:val="99"/>
    <w:semiHidden/>
    <w:rsid w:val="00C110A4"/>
    <w:rPr>
      <w:sz w:val="20"/>
      <w:szCs w:val="20"/>
    </w:rPr>
  </w:style>
  <w:style w:type="character" w:styleId="FootnoteReference">
    <w:name w:val="footnote reference"/>
    <w:basedOn w:val="DefaultParagraphFont"/>
    <w:uiPriority w:val="99"/>
    <w:semiHidden/>
    <w:unhideWhenUsed/>
    <w:rsid w:val="00C110A4"/>
    <w:rPr>
      <w:vertAlign w:val="superscript"/>
    </w:rPr>
  </w:style>
  <w:style w:type="character" w:styleId="Hyperlink">
    <w:name w:val="Hyperlink"/>
    <w:basedOn w:val="DefaultParagraphFont"/>
    <w:uiPriority w:val="99"/>
    <w:unhideWhenUsed/>
    <w:rsid w:val="00883304"/>
    <w:rPr>
      <w:color w:val="0563C1" w:themeColor="hyperlink"/>
      <w:u w:val="single"/>
    </w:rPr>
  </w:style>
  <w:style w:type="character" w:styleId="UnresolvedMention">
    <w:name w:val="Unresolved Mention"/>
    <w:basedOn w:val="DefaultParagraphFont"/>
    <w:uiPriority w:val="99"/>
    <w:semiHidden/>
    <w:unhideWhenUsed/>
    <w:rsid w:val="00883304"/>
    <w:rPr>
      <w:color w:val="605E5C"/>
      <w:shd w:val="clear" w:color="auto" w:fill="E1DFDD"/>
    </w:rPr>
  </w:style>
  <w:style w:type="character" w:styleId="FollowedHyperlink">
    <w:name w:val="FollowedHyperlink"/>
    <w:basedOn w:val="DefaultParagraphFont"/>
    <w:uiPriority w:val="99"/>
    <w:semiHidden/>
    <w:unhideWhenUsed/>
    <w:rsid w:val="00753BAA"/>
    <w:rPr>
      <w:color w:val="954F72" w:themeColor="followedHyperlink"/>
      <w:u w:val="single"/>
    </w:rPr>
  </w:style>
  <w:style w:type="paragraph" w:styleId="Revision">
    <w:name w:val="Revision"/>
    <w:hidden/>
    <w:uiPriority w:val="99"/>
    <w:semiHidden/>
    <w:rsid w:val="0030563D"/>
  </w:style>
  <w:style w:type="character" w:styleId="CommentReference">
    <w:name w:val="annotation reference"/>
    <w:basedOn w:val="DefaultParagraphFont"/>
    <w:uiPriority w:val="99"/>
    <w:semiHidden/>
    <w:unhideWhenUsed/>
    <w:rsid w:val="0030563D"/>
    <w:rPr>
      <w:sz w:val="16"/>
      <w:szCs w:val="16"/>
    </w:rPr>
  </w:style>
  <w:style w:type="paragraph" w:styleId="CommentText">
    <w:name w:val="annotation text"/>
    <w:basedOn w:val="Normal"/>
    <w:link w:val="CommentTextChar"/>
    <w:uiPriority w:val="99"/>
    <w:semiHidden/>
    <w:unhideWhenUsed/>
    <w:rsid w:val="0030563D"/>
    <w:rPr>
      <w:sz w:val="20"/>
      <w:szCs w:val="20"/>
    </w:rPr>
  </w:style>
  <w:style w:type="character" w:customStyle="1" w:styleId="CommentTextChar">
    <w:name w:val="Comment Text Char"/>
    <w:basedOn w:val="DefaultParagraphFont"/>
    <w:link w:val="CommentText"/>
    <w:uiPriority w:val="99"/>
    <w:semiHidden/>
    <w:rsid w:val="0030563D"/>
    <w:rPr>
      <w:sz w:val="20"/>
      <w:szCs w:val="20"/>
    </w:rPr>
  </w:style>
  <w:style w:type="paragraph" w:styleId="CommentSubject">
    <w:name w:val="annotation subject"/>
    <w:basedOn w:val="CommentText"/>
    <w:next w:val="CommentText"/>
    <w:link w:val="CommentSubjectChar"/>
    <w:uiPriority w:val="99"/>
    <w:semiHidden/>
    <w:unhideWhenUsed/>
    <w:rsid w:val="0030563D"/>
    <w:rPr>
      <w:b/>
      <w:bCs/>
    </w:rPr>
  </w:style>
  <w:style w:type="character" w:customStyle="1" w:styleId="CommentSubjectChar">
    <w:name w:val="Comment Subject Char"/>
    <w:basedOn w:val="CommentTextChar"/>
    <w:link w:val="CommentSubject"/>
    <w:uiPriority w:val="99"/>
    <w:semiHidden/>
    <w:rsid w:val="0030563D"/>
    <w:rPr>
      <w:b/>
      <w:bCs/>
      <w:sz w:val="20"/>
      <w:szCs w:val="20"/>
    </w:rPr>
  </w:style>
  <w:style w:type="numbering" w:customStyle="1" w:styleId="CurrentList1">
    <w:name w:val="Current List1"/>
    <w:uiPriority w:val="99"/>
    <w:rsid w:val="009248FC"/>
    <w:pPr>
      <w:numPr>
        <w:numId w:val="10"/>
      </w:numPr>
    </w:pPr>
  </w:style>
  <w:style w:type="paragraph" w:styleId="Header">
    <w:name w:val="header"/>
    <w:basedOn w:val="Normal"/>
    <w:link w:val="HeaderChar"/>
    <w:uiPriority w:val="99"/>
    <w:unhideWhenUsed/>
    <w:rsid w:val="006D2EDE"/>
    <w:pPr>
      <w:tabs>
        <w:tab w:val="center" w:pos="4680"/>
        <w:tab w:val="right" w:pos="9360"/>
      </w:tabs>
    </w:pPr>
  </w:style>
  <w:style w:type="character" w:customStyle="1" w:styleId="HeaderChar">
    <w:name w:val="Header Char"/>
    <w:basedOn w:val="DefaultParagraphFont"/>
    <w:link w:val="Header"/>
    <w:uiPriority w:val="99"/>
    <w:rsid w:val="006D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4077">
      <w:bodyDiv w:val="1"/>
      <w:marLeft w:val="0"/>
      <w:marRight w:val="0"/>
      <w:marTop w:val="0"/>
      <w:marBottom w:val="0"/>
      <w:divBdr>
        <w:top w:val="none" w:sz="0" w:space="0" w:color="auto"/>
        <w:left w:val="none" w:sz="0" w:space="0" w:color="auto"/>
        <w:bottom w:val="none" w:sz="0" w:space="0" w:color="auto"/>
        <w:right w:val="none" w:sz="0" w:space="0" w:color="auto"/>
      </w:divBdr>
    </w:div>
    <w:div w:id="13376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itpcglobal.org/blog/resource/mapping-covid-19-access-gaps-results-from-14-countries-and-territories/" TargetMode="External"/><Relationship Id="rId1" Type="http://schemas.openxmlformats.org/officeDocument/2006/relationships/hyperlink" Target="https://www.treatmentactiongroup.org/publication/tb-cab-10-year-anniversary-evaluation-report-2011-2021-and-podca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B8BE0-D554-7D41-8A97-6D6B61E17955}">
  <ds:schemaRefs>
    <ds:schemaRef ds:uri="http://schemas.openxmlformats.org/officeDocument/2006/bibliography"/>
  </ds:schemaRefs>
</ds:datastoreItem>
</file>

<file path=customXml/itemProps2.xml><?xml version="1.0" encoding="utf-8"?>
<ds:datastoreItem xmlns:ds="http://schemas.openxmlformats.org/officeDocument/2006/customXml" ds:itemID="{C239602E-1565-4B0D-9D10-6B88A6236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290AC-440E-4648-B4AD-450EA82522ED}">
  <ds:schemaRefs>
    <ds:schemaRef ds:uri="http://schemas.microsoft.com/sharepoint/v3/contenttype/forms"/>
  </ds:schemaRefs>
</ds:datastoreItem>
</file>

<file path=customXml/itemProps4.xml><?xml version="1.0" encoding="utf-8"?>
<ds:datastoreItem xmlns:ds="http://schemas.openxmlformats.org/officeDocument/2006/customXml" ds:itemID="{992941ED-7AE4-4711-A78B-2DF34E07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1890</Words>
  <Characters>10775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 Dang</dc:creator>
  <cp:keywords/>
  <dc:description/>
  <cp:lastModifiedBy>Sheena Neogi</cp:lastModifiedBy>
  <cp:revision>2</cp:revision>
  <dcterms:created xsi:type="dcterms:W3CDTF">2022-12-21T11:00:00Z</dcterms:created>
  <dcterms:modified xsi:type="dcterms:W3CDTF">2022-12-21T11:00:00Z</dcterms:modified>
</cp:coreProperties>
</file>