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F0" w:rsidRPr="00A64BA7" w:rsidRDefault="00745EF0" w:rsidP="00745EF0">
      <w:pPr>
        <w:spacing w:line="240" w:lineRule="auto"/>
        <w:jc w:val="center"/>
        <w:rPr>
          <w:rFonts w:ascii="Times New Roman" w:eastAsiaTheme="minorHAnsi" w:hAnsi="Times New Roman" w:cs="Times New Roman"/>
          <w:b/>
          <w:bCs/>
          <w:sz w:val="20"/>
          <w:szCs w:val="20"/>
          <w:lang w:val="fr-FR" w:eastAsia="en-US"/>
        </w:rPr>
      </w:pPr>
      <w:r w:rsidRPr="00A64BA7">
        <w:rPr>
          <w:rFonts w:ascii="Times New Roman" w:eastAsiaTheme="minorHAnsi" w:hAnsi="Times New Roman" w:cs="Times New Roman"/>
          <w:b/>
          <w:bCs/>
          <w:sz w:val="20"/>
          <w:szCs w:val="20"/>
          <w:lang w:val="fr-FR" w:eastAsia="en-US"/>
        </w:rPr>
        <w:t>Mandat de l'experte indépendante sur les effets de la dette extérieure et des autres obligations financières internationales connexes des États sur la pleine jouissance de tous les droits de l'homme, en particulier des droits économiques, sociaux et culturels</w:t>
      </w:r>
    </w:p>
    <w:p w:rsidR="00745EF0" w:rsidRPr="00A64BA7" w:rsidRDefault="00745EF0" w:rsidP="00745EF0">
      <w:pPr>
        <w:spacing w:line="240" w:lineRule="auto"/>
        <w:jc w:val="center"/>
        <w:rPr>
          <w:rFonts w:ascii="Times New Roman" w:eastAsiaTheme="minorHAnsi" w:hAnsi="Times New Roman" w:cs="Times New Roman"/>
          <w:b/>
          <w:bCs/>
          <w:sz w:val="20"/>
          <w:szCs w:val="20"/>
          <w:lang w:val="fr-FR" w:eastAsia="en-US"/>
        </w:rPr>
      </w:pPr>
    </w:p>
    <w:p w:rsidR="004E3052" w:rsidRPr="00DA16B4" w:rsidRDefault="00745EF0" w:rsidP="00745EF0">
      <w:pPr>
        <w:spacing w:line="240" w:lineRule="auto"/>
        <w:jc w:val="center"/>
        <w:rPr>
          <w:rFonts w:ascii="Times New Roman" w:eastAsia="Times New Roman" w:hAnsi="Times New Roman" w:cs="Times New Roman"/>
          <w:b/>
          <w:sz w:val="36"/>
          <w:szCs w:val="20"/>
          <w:lang w:val="fr-FR" w:eastAsia="en-US"/>
        </w:rPr>
      </w:pPr>
      <w:r w:rsidRPr="00CF09D9">
        <w:rPr>
          <w:rFonts w:ascii="Times New Roman" w:eastAsia="Times New Roman" w:hAnsi="Times New Roman" w:cs="Times New Roman"/>
          <w:b/>
          <w:sz w:val="36"/>
          <w:szCs w:val="20"/>
          <w:lang w:val="fr-FR" w:eastAsia="en-US"/>
        </w:rPr>
        <w:t>Appel à contributions</w:t>
      </w:r>
      <w:r w:rsidR="00B03DEF" w:rsidRPr="00DA16B4">
        <w:rPr>
          <w:rFonts w:ascii="Times New Roman" w:eastAsia="Times New Roman" w:hAnsi="Times New Roman" w:cs="Times New Roman"/>
          <w:b/>
          <w:sz w:val="36"/>
          <w:szCs w:val="20"/>
          <w:lang w:val="fr-FR" w:eastAsia="en-US"/>
        </w:rPr>
        <w:t xml:space="preserve"> </w:t>
      </w:r>
    </w:p>
    <w:p w:rsidR="00452B45" w:rsidRPr="00DA16B4" w:rsidRDefault="00452B45" w:rsidP="00DC10ED">
      <w:pPr>
        <w:spacing w:line="240" w:lineRule="auto"/>
        <w:jc w:val="center"/>
        <w:rPr>
          <w:rFonts w:ascii="Times New Roman" w:eastAsia="Times New Roman" w:hAnsi="Times New Roman" w:cs="Times New Roman"/>
          <w:b/>
          <w:sz w:val="24"/>
          <w:szCs w:val="14"/>
          <w:lang w:val="fr-FR" w:eastAsia="en-US"/>
        </w:rPr>
      </w:pPr>
    </w:p>
    <w:p w:rsidR="00552154" w:rsidRPr="00DA16B4" w:rsidRDefault="00DA16B4" w:rsidP="00DC10ED">
      <w:pPr>
        <w:spacing w:line="240" w:lineRule="auto"/>
        <w:jc w:val="center"/>
        <w:rPr>
          <w:rFonts w:ascii="Times New Roman" w:eastAsia="Times New Roman" w:hAnsi="Times New Roman" w:cs="Times New Roman"/>
          <w:b/>
          <w:color w:val="4F81BD" w:themeColor="accent1"/>
          <w:sz w:val="32"/>
          <w:szCs w:val="32"/>
          <w:lang w:val="fr-FR" w:eastAsia="en-US"/>
        </w:rPr>
      </w:pPr>
      <w:r w:rsidRPr="00DA16B4">
        <w:rPr>
          <w:rFonts w:ascii="Times New Roman" w:eastAsia="Times New Roman" w:hAnsi="Times New Roman" w:cs="Times New Roman"/>
          <w:b/>
          <w:bCs/>
          <w:color w:val="4F81BD" w:themeColor="accent1"/>
          <w:sz w:val="32"/>
          <w:szCs w:val="32"/>
          <w:lang w:val="fr-FR" w:eastAsia="en-US"/>
        </w:rPr>
        <w:t>Obligations financières internationales, systèmes numériques et droits de l'homme</w:t>
      </w:r>
    </w:p>
    <w:p w:rsidR="00552154" w:rsidRPr="00DA16B4" w:rsidRDefault="00552154" w:rsidP="00DC10ED">
      <w:pPr>
        <w:spacing w:line="240" w:lineRule="auto"/>
        <w:jc w:val="both"/>
        <w:rPr>
          <w:rFonts w:ascii="Times New Roman" w:eastAsia="Roboto" w:hAnsi="Times New Roman" w:cs="Times New Roman"/>
          <w:color w:val="3C4043"/>
          <w:sz w:val="24"/>
          <w:szCs w:val="24"/>
          <w:highlight w:val="white"/>
          <w:lang w:val="fr-FR"/>
        </w:rPr>
      </w:pPr>
    </w:p>
    <w:p w:rsidR="00290C80" w:rsidRPr="00DA16B4" w:rsidRDefault="00290C80" w:rsidP="00DC10ED">
      <w:pPr>
        <w:spacing w:line="240" w:lineRule="auto"/>
        <w:jc w:val="both"/>
        <w:rPr>
          <w:rFonts w:ascii="Times New Roman" w:hAnsi="Times New Roman" w:cs="Times New Roman"/>
          <w:sz w:val="24"/>
          <w:szCs w:val="24"/>
          <w:lang w:val="fr-FR"/>
        </w:rPr>
      </w:pPr>
    </w:p>
    <w:p w:rsidR="00E542FF" w:rsidRPr="00187FC8" w:rsidRDefault="005E28FA" w:rsidP="00075D38">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r w:rsidRPr="005E28FA">
        <w:rPr>
          <w:rFonts w:ascii="Times New Roman" w:hAnsi="Times New Roman" w:cs="Times New Roman"/>
          <w:b/>
          <w:bCs/>
          <w:color w:val="548DD4" w:themeColor="text2" w:themeTint="99"/>
          <w:sz w:val="28"/>
          <w:szCs w:val="28"/>
          <w:lang w:val="fr-FR"/>
        </w:rPr>
        <w:t>Contexte et objectifs</w:t>
      </w:r>
    </w:p>
    <w:p w:rsidR="00187FC8" w:rsidRPr="003E095C" w:rsidRDefault="00681B65" w:rsidP="00187FC8">
      <w:pPr>
        <w:jc w:val="both"/>
        <w:rPr>
          <w:rFonts w:ascii="Times New Roman" w:hAnsi="Times New Roman" w:cs="Times New Roman"/>
          <w:sz w:val="24"/>
          <w:szCs w:val="24"/>
          <w:lang w:val="fr-FR"/>
        </w:rPr>
      </w:pPr>
      <w:r w:rsidRPr="00681B65">
        <w:rPr>
          <w:rFonts w:ascii="Times New Roman" w:hAnsi="Times New Roman" w:cs="Times New Roman"/>
          <w:color w:val="141414"/>
          <w:sz w:val="24"/>
          <w:szCs w:val="24"/>
          <w:lang w:val="fr-FR"/>
        </w:rPr>
        <w:t>L'épine dorsale de l'économie numérique est l'hyper connectivité, c'est-à-dire l'interconnexion croissante des personnes, des organisations et des machines qui émerge de l'internet, de la technologie mobile et de l'internet des objets. La rapide croissance de l'économie numérique a des répercussions sur les droits de l'homme, l'architecture financière internationale et la manière dont elle est réglementée dans le contexte des inégalités multidimensionnelles qui prévalent. L'économie numérique représente 11 500 milliards de dollars américains dans le monde, soit 15,5 % du PIB mondial, et a connu une croissance deux fois et demie plus rapide que le PIB mondial au cours des 15 dernières années, doublant presque de taille depuis l'an 2000.</w:t>
      </w:r>
      <w:r w:rsidR="00187FC8" w:rsidRPr="00187FC8">
        <w:rPr>
          <w:rStyle w:val="FootnoteReference"/>
          <w:rFonts w:ascii="Times New Roman" w:hAnsi="Times New Roman" w:cs="Times New Roman"/>
          <w:sz w:val="24"/>
          <w:szCs w:val="24"/>
        </w:rPr>
        <w:footnoteReference w:id="1"/>
      </w:r>
      <w:r w:rsidR="00187FC8" w:rsidRPr="00681B65">
        <w:rPr>
          <w:rFonts w:ascii="Times New Roman" w:hAnsi="Times New Roman" w:cs="Times New Roman"/>
          <w:sz w:val="24"/>
          <w:szCs w:val="24"/>
          <w:lang w:val="fr-FR"/>
        </w:rPr>
        <w:t xml:space="preserve"> </w:t>
      </w:r>
      <w:r w:rsidR="00391DBC" w:rsidRPr="00391DBC">
        <w:rPr>
          <w:rFonts w:ascii="Times New Roman" w:hAnsi="Times New Roman" w:cs="Times New Roman"/>
          <w:sz w:val="24"/>
          <w:szCs w:val="24"/>
          <w:lang w:val="fr-FR"/>
        </w:rPr>
        <w:t>Selon les estimations, 70 % de la nouvelle valeur créée dans l'économie au cours de la prochaine décennie reposera sur des modèles d'entreprise fondés sur des plateformes numériques. Si l'on donne un visage humain à ce phénomène, on constate qu'à l'échelle mondiale, 62 % des hommes sont connectés, contre seulement 57 % des femmes.</w:t>
      </w:r>
      <w:r w:rsidR="00187FC8" w:rsidRPr="00187FC8">
        <w:rPr>
          <w:rStyle w:val="FootnoteReference"/>
          <w:rFonts w:ascii="Times New Roman" w:hAnsi="Times New Roman" w:cs="Times New Roman"/>
          <w:sz w:val="24"/>
          <w:szCs w:val="24"/>
        </w:rPr>
        <w:footnoteReference w:id="2"/>
      </w:r>
      <w:r w:rsidR="00187FC8" w:rsidRPr="00391DBC">
        <w:rPr>
          <w:rFonts w:ascii="Times New Roman" w:hAnsi="Times New Roman" w:cs="Times New Roman"/>
          <w:sz w:val="24"/>
          <w:szCs w:val="24"/>
          <w:lang w:val="fr-FR"/>
        </w:rPr>
        <w:t xml:space="preserve"> </w:t>
      </w:r>
      <w:r w:rsidR="003E095C" w:rsidRPr="003E095C">
        <w:rPr>
          <w:rFonts w:ascii="Times New Roman" w:hAnsi="Times New Roman" w:cs="Times New Roman"/>
          <w:sz w:val="24"/>
          <w:szCs w:val="24"/>
          <w:lang w:val="fr-FR"/>
        </w:rPr>
        <w:t>La proportion d'utilisateurs d’internet est deux fois plus élevée dans les zones urbaines que dans les zones rurales. 71 % de la jeune population mondiale âgée de 15 à 24 ans utilise l'internet, contre 57 % pour toutes les autres tranches d'âge. Même si les nouvelles technologies se répandent rapidement dans le monde, on estime que 37% de la population - soit 2,9 milliards de personnes - n'ont encore jamais utilisé l'internet.</w:t>
      </w:r>
      <w:r w:rsidR="00187FC8" w:rsidRPr="00187FC8">
        <w:rPr>
          <w:rStyle w:val="FootnoteReference"/>
          <w:rFonts w:ascii="Times New Roman" w:hAnsi="Times New Roman" w:cs="Times New Roman"/>
          <w:sz w:val="24"/>
          <w:szCs w:val="24"/>
        </w:rPr>
        <w:footnoteReference w:id="3"/>
      </w:r>
    </w:p>
    <w:p w:rsidR="000116F2" w:rsidRPr="003E095C" w:rsidRDefault="000116F2" w:rsidP="00187FC8">
      <w:pPr>
        <w:jc w:val="both"/>
        <w:rPr>
          <w:rFonts w:ascii="Times New Roman" w:hAnsi="Times New Roman" w:cs="Times New Roman"/>
          <w:sz w:val="24"/>
          <w:szCs w:val="24"/>
          <w:lang w:val="fr-FR"/>
        </w:rPr>
      </w:pPr>
    </w:p>
    <w:p w:rsidR="00187FC8" w:rsidRPr="0084126C" w:rsidRDefault="0084126C" w:rsidP="00187FC8">
      <w:pPr>
        <w:jc w:val="both"/>
        <w:rPr>
          <w:rFonts w:ascii="Times New Roman" w:hAnsi="Times New Roman" w:cs="Times New Roman"/>
          <w:sz w:val="24"/>
          <w:szCs w:val="24"/>
          <w:lang w:val="fr-FR"/>
        </w:rPr>
      </w:pPr>
      <w:r w:rsidRPr="0084126C">
        <w:rPr>
          <w:rFonts w:ascii="Times New Roman" w:hAnsi="Times New Roman" w:cs="Times New Roman"/>
          <w:sz w:val="24"/>
          <w:szCs w:val="24"/>
          <w:lang w:val="fr-FR"/>
        </w:rPr>
        <w:t>La proportion d'utilisateurs d’internet est deux fois plus élevée dans les zones urbaines que dans les zones rurales. 71 % de la jeune population mondiale âgée de 15 à 24 ans utilise l'internet, contre 57 % pour toutes les autres tranches d'âge. Même si les nouvelles technologies se répandent rapidement dans le monde, on estime que 37% de la population - soit 2,9 milliards de personnes - n'ont encore jamais utilisé l'internet.</w:t>
      </w:r>
    </w:p>
    <w:p w:rsidR="00020F2F" w:rsidRPr="0084126C" w:rsidRDefault="00020F2F" w:rsidP="00187FC8">
      <w:pPr>
        <w:jc w:val="both"/>
        <w:rPr>
          <w:rFonts w:ascii="Times New Roman" w:hAnsi="Times New Roman" w:cs="Times New Roman"/>
          <w:sz w:val="24"/>
          <w:szCs w:val="24"/>
          <w:lang w:val="fr-FR"/>
        </w:rPr>
      </w:pPr>
    </w:p>
    <w:p w:rsidR="00187FC8" w:rsidRPr="00F43508" w:rsidRDefault="00F9082D" w:rsidP="00187FC8">
      <w:pPr>
        <w:jc w:val="both"/>
        <w:rPr>
          <w:rFonts w:ascii="Times New Roman" w:hAnsi="Times New Roman" w:cs="Times New Roman"/>
          <w:sz w:val="24"/>
          <w:szCs w:val="24"/>
          <w:lang w:val="fr-FR"/>
        </w:rPr>
      </w:pPr>
      <w:r w:rsidRPr="00F9082D">
        <w:rPr>
          <w:rFonts w:ascii="Times New Roman" w:hAnsi="Times New Roman" w:cs="Times New Roman"/>
          <w:sz w:val="24"/>
          <w:szCs w:val="24"/>
          <w:lang w:val="fr-FR"/>
        </w:rPr>
        <w:t>Dans le contexte de la dette extérieure et des obligations financières internationales, ainsi que de leur impact sur les droits de l'homme, cette question revêt une multitude de dimensions et de préoccupations spécifiques. Les envois de fonds, par exemple, qui constituent la source de d’opération de change la plus importante et la plus stable, constituent, avec les progrès du numérique, une source croissante de revenus dans de nombreux pays du monde.</w:t>
      </w:r>
      <w:r w:rsidR="00187FC8" w:rsidRPr="00187FC8">
        <w:rPr>
          <w:rStyle w:val="FootnoteReference"/>
          <w:rFonts w:ascii="Times New Roman" w:hAnsi="Times New Roman" w:cs="Times New Roman"/>
          <w:sz w:val="24"/>
          <w:szCs w:val="24"/>
        </w:rPr>
        <w:footnoteReference w:id="4"/>
      </w:r>
      <w:r w:rsidR="00187FC8" w:rsidRPr="00F9082D">
        <w:rPr>
          <w:rFonts w:ascii="Times New Roman" w:hAnsi="Times New Roman" w:cs="Times New Roman"/>
          <w:sz w:val="24"/>
          <w:szCs w:val="24"/>
          <w:lang w:val="fr-FR"/>
        </w:rPr>
        <w:t xml:space="preserve"> </w:t>
      </w:r>
      <w:r w:rsidR="001F3A3F" w:rsidRPr="001F3A3F">
        <w:rPr>
          <w:rFonts w:ascii="Times New Roman" w:hAnsi="Times New Roman" w:cs="Times New Roman"/>
          <w:sz w:val="24"/>
          <w:szCs w:val="24"/>
          <w:lang w:val="fr-FR"/>
        </w:rPr>
        <w:t>Les fournisseurs d'argent mobile, par le biais de leurs transactions quotidiennes, tirent parti du système, comme le font tous les autres acteurs économiques qui s'engagent dans des transactions transfrontalières, ce qui était auparavant presque impossible.</w:t>
      </w:r>
      <w:r w:rsidR="00187FC8" w:rsidRPr="00187FC8">
        <w:rPr>
          <w:rStyle w:val="FootnoteReference"/>
          <w:rFonts w:ascii="Times New Roman" w:hAnsi="Times New Roman" w:cs="Times New Roman"/>
          <w:sz w:val="24"/>
          <w:szCs w:val="24"/>
        </w:rPr>
        <w:footnoteReference w:id="5"/>
      </w:r>
      <w:r w:rsidR="00187FC8" w:rsidRPr="001F3A3F">
        <w:rPr>
          <w:rFonts w:ascii="Times New Roman" w:hAnsi="Times New Roman" w:cs="Times New Roman"/>
          <w:sz w:val="24"/>
          <w:szCs w:val="24"/>
          <w:lang w:val="fr-FR"/>
        </w:rPr>
        <w:t xml:space="preserve"> </w:t>
      </w:r>
      <w:r w:rsidR="00F43508" w:rsidRPr="00F43508">
        <w:rPr>
          <w:rFonts w:ascii="Times New Roman" w:hAnsi="Times New Roman" w:cs="Times New Roman"/>
          <w:sz w:val="24"/>
          <w:szCs w:val="24"/>
          <w:lang w:val="fr-FR"/>
        </w:rPr>
        <w:t>La question des transferts de fonds, lorsqu'elle est liée à d'autres problèmes de financement du développement, tels que le manque d'accès à des liquidités suffisantes, liquidité sans dette, le manque chronique d'aide publique au développement et la volatilité des flux de capitaux privés, dans un monde numérique, lorsque tous ces éléments sont mis en commun, ils forment un système financier dont les flux d'informations peuvent à la fois favoriser ou entraver la réalisation des droits de l'homme.</w:t>
      </w:r>
      <w:r w:rsidR="00187FC8" w:rsidRPr="00187FC8">
        <w:rPr>
          <w:rStyle w:val="FootnoteReference"/>
          <w:rFonts w:ascii="Times New Roman" w:hAnsi="Times New Roman" w:cs="Times New Roman"/>
          <w:sz w:val="24"/>
          <w:szCs w:val="24"/>
        </w:rPr>
        <w:footnoteReference w:id="6"/>
      </w:r>
    </w:p>
    <w:p w:rsidR="00020F2F" w:rsidRPr="00F43508" w:rsidRDefault="00020F2F" w:rsidP="00187FC8">
      <w:pPr>
        <w:jc w:val="both"/>
        <w:rPr>
          <w:rFonts w:ascii="Times New Roman" w:hAnsi="Times New Roman" w:cs="Times New Roman"/>
          <w:sz w:val="24"/>
          <w:szCs w:val="24"/>
          <w:lang w:val="fr-FR"/>
        </w:rPr>
      </w:pPr>
    </w:p>
    <w:p w:rsidR="00187FC8" w:rsidRPr="00D62E65" w:rsidRDefault="001A644E" w:rsidP="00187FC8">
      <w:pPr>
        <w:jc w:val="both"/>
        <w:rPr>
          <w:rFonts w:ascii="Times New Roman" w:hAnsi="Times New Roman" w:cs="Times New Roman"/>
          <w:color w:val="141414"/>
          <w:sz w:val="24"/>
          <w:szCs w:val="24"/>
          <w:lang w:val="fr-FR"/>
        </w:rPr>
      </w:pPr>
      <w:r w:rsidRPr="001A644E">
        <w:rPr>
          <w:rFonts w:ascii="Times New Roman" w:hAnsi="Times New Roman" w:cs="Times New Roman"/>
          <w:sz w:val="24"/>
          <w:szCs w:val="24"/>
          <w:lang w:val="fr-FR"/>
        </w:rPr>
        <w:t>Dans les espaces plus avancés sur le plan technologique, l'utilisation des données et leur analyse par l'intelligence artificielle dans l'économie numérique transforment les modèles d'entreprise, facilitent la création de nouveaux produits et services, créent de nouveaux processus, génèrent une plus grande utilité et conduit à une nouvelle culture de gestion.</w:t>
      </w:r>
      <w:r w:rsidR="00187FC8" w:rsidRPr="00187FC8">
        <w:rPr>
          <w:rStyle w:val="FootnoteReference"/>
          <w:rFonts w:ascii="Times New Roman" w:hAnsi="Times New Roman" w:cs="Times New Roman"/>
          <w:sz w:val="24"/>
          <w:szCs w:val="24"/>
        </w:rPr>
        <w:footnoteReference w:id="7"/>
      </w:r>
      <w:r w:rsidR="00187FC8" w:rsidRPr="001A644E">
        <w:rPr>
          <w:rFonts w:ascii="Times New Roman" w:hAnsi="Times New Roman" w:cs="Times New Roman"/>
          <w:sz w:val="24"/>
          <w:szCs w:val="24"/>
          <w:lang w:val="fr-FR"/>
        </w:rPr>
        <w:t xml:space="preserve"> </w:t>
      </w:r>
      <w:r w:rsidR="00D62E65" w:rsidRPr="00D62E65">
        <w:rPr>
          <w:rFonts w:ascii="Times New Roman" w:hAnsi="Times New Roman" w:cs="Times New Roman"/>
          <w:sz w:val="24"/>
          <w:szCs w:val="24"/>
          <w:lang w:val="fr-FR"/>
        </w:rPr>
        <w:t>Cependant, les processus étatiques ne suivent pas le rythme de ces évolutions. Toutefois, les États s'allient également avec les mêmes systèmes numériques pour évaluer les services publics et garantir qu’ils soient fournis à ceux qui en ont le plus besoin de manière efficace et efficiente.</w:t>
      </w:r>
    </w:p>
    <w:p w:rsidR="00020F2F" w:rsidRPr="00D62E65" w:rsidRDefault="00020F2F" w:rsidP="00187FC8">
      <w:pPr>
        <w:jc w:val="both"/>
        <w:rPr>
          <w:rFonts w:ascii="Times New Roman" w:hAnsi="Times New Roman" w:cs="Times New Roman"/>
          <w:sz w:val="24"/>
          <w:szCs w:val="24"/>
          <w:lang w:val="fr-FR"/>
        </w:rPr>
      </w:pPr>
    </w:p>
    <w:p w:rsidR="00187FC8" w:rsidRPr="00CC3F58" w:rsidRDefault="00056484" w:rsidP="00187FC8">
      <w:pPr>
        <w:jc w:val="both"/>
        <w:rPr>
          <w:rFonts w:ascii="Times New Roman" w:hAnsi="Times New Roman" w:cs="Times New Roman"/>
          <w:sz w:val="24"/>
          <w:szCs w:val="24"/>
          <w:lang w:val="fr-FR"/>
        </w:rPr>
      </w:pPr>
      <w:r w:rsidRPr="00056484">
        <w:rPr>
          <w:rFonts w:ascii="Times New Roman" w:hAnsi="Times New Roman" w:cs="Times New Roman"/>
          <w:sz w:val="24"/>
          <w:szCs w:val="24"/>
          <w:lang w:val="fr-FR"/>
        </w:rPr>
        <w:t>Une plus grande transparence pour guider les transactions financières est communément acceptée comme un élément positif. Pourtant, trop souvent, d'une part l'accès du public aux contrats de financement public est minimal et les accords bilatéraux restent inaccessibles, et d'autre part, l'accès de l'État aux transactions financières afin d'évaluer les flux financiers à des fins de</w:t>
      </w:r>
      <w:r w:rsidR="00187FC8" w:rsidRPr="00056484">
        <w:rPr>
          <w:rFonts w:ascii="Times New Roman" w:hAnsi="Times New Roman" w:cs="Times New Roman"/>
          <w:sz w:val="24"/>
          <w:szCs w:val="24"/>
          <w:lang w:val="fr-FR"/>
        </w:rPr>
        <w:t xml:space="preserve"> </w:t>
      </w:r>
      <w:r w:rsidR="00C93165" w:rsidRPr="00C93165">
        <w:rPr>
          <w:rFonts w:ascii="Times New Roman" w:hAnsi="Times New Roman" w:cs="Times New Roman"/>
          <w:sz w:val="24"/>
          <w:szCs w:val="24"/>
          <w:lang w:val="fr-FR"/>
        </w:rPr>
        <w:t>régulations est également inaccessible</w:t>
      </w:r>
      <w:r w:rsidR="00187FC8" w:rsidRPr="00056484">
        <w:rPr>
          <w:rFonts w:ascii="Times New Roman" w:hAnsi="Times New Roman" w:cs="Times New Roman"/>
          <w:sz w:val="24"/>
          <w:szCs w:val="24"/>
          <w:lang w:val="fr-FR"/>
        </w:rPr>
        <w:t>.</w:t>
      </w:r>
      <w:r w:rsidR="00187FC8" w:rsidRPr="00187FC8">
        <w:rPr>
          <w:rFonts w:ascii="Times New Roman" w:hAnsi="Times New Roman" w:cs="Times New Roman"/>
          <w:sz w:val="24"/>
          <w:szCs w:val="24"/>
          <w:vertAlign w:val="superscript"/>
        </w:rPr>
        <w:footnoteReference w:id="8"/>
      </w:r>
      <w:r w:rsidR="00187FC8" w:rsidRPr="00056484">
        <w:rPr>
          <w:rFonts w:ascii="Times New Roman" w:hAnsi="Times New Roman" w:cs="Times New Roman"/>
          <w:sz w:val="24"/>
          <w:szCs w:val="24"/>
          <w:lang w:val="fr-FR"/>
        </w:rPr>
        <w:t xml:space="preserve"> </w:t>
      </w:r>
      <w:r w:rsidR="00CC3F58" w:rsidRPr="00CC3F58">
        <w:rPr>
          <w:rFonts w:ascii="Times New Roman" w:hAnsi="Times New Roman" w:cs="Times New Roman"/>
          <w:sz w:val="24"/>
          <w:szCs w:val="24"/>
          <w:lang w:val="fr-FR"/>
        </w:rPr>
        <w:t xml:space="preserve">L'inégalité d'accès à l'information et l'opacité générale constituent un problème particulièrement difficile à résoudre lorsque des systèmes numériques sont utilisés. Trois éléments de la légitimité fiscale - la responsabilité, la transparence et l'obligation de rendre des comptes - seront au centre de la recherche de l'expert indépendant sur les limites des données d'information financière auxquelles les pays et le public peuvent accéder afin de générer des revenus susceptibles de promouvoir la réalisation des droits de l'homme. </w:t>
      </w:r>
      <w:r w:rsidR="00187FC8" w:rsidRPr="00187FC8">
        <w:rPr>
          <w:rStyle w:val="FootnoteReference"/>
          <w:rFonts w:ascii="Times New Roman" w:hAnsi="Times New Roman" w:cs="Times New Roman"/>
          <w:sz w:val="24"/>
          <w:szCs w:val="24"/>
        </w:rPr>
        <w:footnoteReference w:id="9"/>
      </w:r>
      <w:r w:rsidR="00187FC8" w:rsidRPr="00CC3F58">
        <w:rPr>
          <w:rFonts w:ascii="Times New Roman" w:hAnsi="Times New Roman" w:cs="Times New Roman"/>
          <w:sz w:val="24"/>
          <w:szCs w:val="24"/>
          <w:lang w:val="fr-FR"/>
        </w:rPr>
        <w:t xml:space="preserve"> </w:t>
      </w:r>
    </w:p>
    <w:p w:rsidR="00016DC8" w:rsidRPr="00CC3F58" w:rsidRDefault="00016DC8" w:rsidP="00187FC8">
      <w:pPr>
        <w:jc w:val="both"/>
        <w:rPr>
          <w:rFonts w:ascii="Times New Roman" w:hAnsi="Times New Roman" w:cs="Times New Roman"/>
          <w:sz w:val="24"/>
          <w:szCs w:val="24"/>
          <w:lang w:val="fr-FR"/>
        </w:rPr>
      </w:pPr>
    </w:p>
    <w:p w:rsidR="00187FC8" w:rsidRPr="00D43CD2" w:rsidRDefault="00902ABD" w:rsidP="00187FC8">
      <w:pPr>
        <w:jc w:val="both"/>
        <w:rPr>
          <w:rFonts w:ascii="Times New Roman" w:hAnsi="Times New Roman" w:cs="Times New Roman"/>
          <w:sz w:val="24"/>
          <w:szCs w:val="24"/>
          <w:lang w:val="fr-FR"/>
        </w:rPr>
      </w:pPr>
      <w:r w:rsidRPr="00902ABD">
        <w:rPr>
          <w:rFonts w:ascii="Times New Roman" w:hAnsi="Times New Roman" w:cs="Times New Roman"/>
          <w:sz w:val="24"/>
          <w:szCs w:val="24"/>
          <w:lang w:val="fr-FR"/>
        </w:rPr>
        <w:t xml:space="preserve">L'accès aux données reste un obstacle au suivi et au contrôle de ces transferts qui, s'ils étaient contrôlés, entraîneraient dans tous les pays deux résultats sur le plan financièr : a) davantage d'argent resterait dans une économie et continuerait donc à y circuler, ce qui entraînerait une baisse des prix des biens et des services et pourrait créer davantage d'emplois, favorisant ainsi la réalisation progressive des droits de l'homme ; et b) l'État serait mieux à même de réguler et de collecter des recettes fiscales, finançant ainsi ses activités, y compris celles liées aux droits de l'homme, ce qui entraînerait leur réalisation progressive, y compris une compréhension des défis, des opportunités et des risques pertinents. </w:t>
      </w:r>
      <w:r w:rsidR="00187FC8" w:rsidRPr="00187FC8">
        <w:rPr>
          <w:rStyle w:val="FootnoteReference"/>
          <w:rFonts w:ascii="Times New Roman" w:hAnsi="Times New Roman" w:cs="Times New Roman"/>
          <w:sz w:val="24"/>
          <w:szCs w:val="24"/>
        </w:rPr>
        <w:footnoteReference w:id="10"/>
      </w:r>
      <w:r w:rsidR="00187FC8" w:rsidRPr="00902ABD">
        <w:rPr>
          <w:rFonts w:ascii="Times New Roman" w:hAnsi="Times New Roman" w:cs="Times New Roman"/>
          <w:sz w:val="24"/>
          <w:szCs w:val="24"/>
          <w:lang w:val="fr-FR"/>
        </w:rPr>
        <w:t xml:space="preserve"> </w:t>
      </w:r>
      <w:r w:rsidR="00D43CD2" w:rsidRPr="00D43CD2">
        <w:rPr>
          <w:rFonts w:ascii="Times New Roman" w:hAnsi="Times New Roman" w:cs="Times New Roman"/>
          <w:sz w:val="24"/>
          <w:szCs w:val="24"/>
          <w:lang w:val="fr-FR"/>
        </w:rPr>
        <w:t>Toutefois, cela devrait se faire dans un écosystème fiscalement légitime qui permet aux parties prenantes d'accéder à l'information dans un espace respectueux de la liberté d'expression.</w:t>
      </w:r>
    </w:p>
    <w:p w:rsidR="00016DC8" w:rsidRPr="00D43CD2" w:rsidRDefault="00016DC8" w:rsidP="00187FC8">
      <w:pPr>
        <w:jc w:val="both"/>
        <w:rPr>
          <w:rFonts w:ascii="Times New Roman" w:hAnsi="Times New Roman" w:cs="Times New Roman"/>
          <w:sz w:val="24"/>
          <w:szCs w:val="24"/>
          <w:lang w:val="fr-FR"/>
        </w:rPr>
      </w:pPr>
    </w:p>
    <w:p w:rsidR="00187FC8" w:rsidRPr="008645A1" w:rsidRDefault="00A806D7" w:rsidP="00187FC8">
      <w:pPr>
        <w:jc w:val="both"/>
        <w:rPr>
          <w:rFonts w:ascii="Times New Roman" w:hAnsi="Times New Roman" w:cs="Times New Roman"/>
          <w:sz w:val="24"/>
          <w:szCs w:val="24"/>
          <w:lang w:val="fr-FR"/>
        </w:rPr>
      </w:pPr>
      <w:r w:rsidRPr="00A806D7">
        <w:rPr>
          <w:rFonts w:ascii="Times New Roman" w:hAnsi="Times New Roman" w:cs="Times New Roman"/>
          <w:sz w:val="24"/>
          <w:szCs w:val="24"/>
          <w:lang w:val="fr-FR"/>
        </w:rPr>
        <w:t>En mesurant les divers éléments des économies mondiales, continentales, régionales, nationales et infranationales, qu'ils soient formels ou informels, l'Expert indépendant, par le biais de consultations et de l'engagement des parties prenantes, définira les domaines dans lesquels les États pourraient choisir de s'engager et ceux qu'ils pourraient vouloir mieux réglementer afin d'améliorer les protections de leurs populations et de relever les niveaux de vie.</w:t>
      </w:r>
      <w:r w:rsidR="00187FC8" w:rsidRPr="00187FC8">
        <w:rPr>
          <w:rStyle w:val="FootnoteReference"/>
          <w:rFonts w:ascii="Times New Roman" w:hAnsi="Times New Roman" w:cs="Times New Roman"/>
          <w:sz w:val="24"/>
          <w:szCs w:val="24"/>
        </w:rPr>
        <w:footnoteReference w:id="11"/>
      </w:r>
      <w:r w:rsidR="00187FC8" w:rsidRPr="00A806D7">
        <w:rPr>
          <w:rFonts w:ascii="Times New Roman" w:hAnsi="Times New Roman" w:cs="Times New Roman"/>
          <w:sz w:val="24"/>
          <w:szCs w:val="24"/>
          <w:lang w:val="fr-FR"/>
        </w:rPr>
        <w:t xml:space="preserve"> </w:t>
      </w:r>
      <w:r w:rsidR="008645A1" w:rsidRPr="008645A1">
        <w:rPr>
          <w:rFonts w:ascii="Times New Roman" w:hAnsi="Times New Roman" w:cs="Times New Roman"/>
          <w:sz w:val="24"/>
          <w:szCs w:val="24"/>
          <w:lang w:val="fr-FR"/>
        </w:rPr>
        <w:t>Cette discussion inclura entre autres les cryptomonnaies, les actifs virtuels, les monnaies numériques, le métavers et les parties prenantes actives dans la fourniture numérique de services financiers, souvent au-delà des frontières.</w:t>
      </w:r>
      <w:r w:rsidR="00187FC8" w:rsidRPr="00187FC8">
        <w:rPr>
          <w:rStyle w:val="FootnoteReference"/>
          <w:rFonts w:ascii="Times New Roman" w:hAnsi="Times New Roman" w:cs="Times New Roman"/>
          <w:sz w:val="24"/>
          <w:szCs w:val="24"/>
        </w:rPr>
        <w:footnoteReference w:id="12"/>
      </w:r>
    </w:p>
    <w:p w:rsidR="00936E66" w:rsidRPr="008645A1" w:rsidRDefault="00936E66" w:rsidP="00187FC8">
      <w:pPr>
        <w:spacing w:line="240" w:lineRule="auto"/>
        <w:jc w:val="both"/>
        <w:rPr>
          <w:rFonts w:ascii="Times New Roman" w:hAnsi="Times New Roman" w:cs="Times New Roman"/>
          <w:sz w:val="24"/>
          <w:szCs w:val="24"/>
          <w:lang w:val="fr-FR"/>
        </w:rPr>
      </w:pPr>
    </w:p>
    <w:p w:rsidR="00DC10ED" w:rsidRPr="00246C85" w:rsidRDefault="00246C85" w:rsidP="00187FC8">
      <w:pPr>
        <w:spacing w:line="240" w:lineRule="auto"/>
        <w:jc w:val="both"/>
        <w:rPr>
          <w:rFonts w:ascii="Times New Roman" w:hAnsi="Times New Roman" w:cs="Times New Roman"/>
          <w:sz w:val="24"/>
          <w:szCs w:val="24"/>
          <w:lang w:val="fr-FR"/>
        </w:rPr>
      </w:pPr>
      <w:r w:rsidRPr="00246C85">
        <w:rPr>
          <w:rFonts w:ascii="Times New Roman" w:hAnsi="Times New Roman" w:cs="Times New Roman"/>
          <w:sz w:val="24"/>
          <w:szCs w:val="24"/>
          <w:lang w:val="fr-FR"/>
        </w:rPr>
        <w:t xml:space="preserve">Dans son rapport annuel au Conseil des droits de l'homme en mars 2023, l'experte indépendante sur la dette, les autres obligations financières internationales et les droits de l'homme, Mme Attiya Waris, abordera les liens entre les </w:t>
      </w:r>
      <w:r w:rsidR="00167CCB" w:rsidRPr="00167CCB">
        <w:rPr>
          <w:rFonts w:ascii="Times New Roman" w:hAnsi="Times New Roman" w:cs="Times New Roman"/>
          <w:b/>
          <w:bCs/>
          <w:sz w:val="24"/>
          <w:szCs w:val="24"/>
          <w:lang w:val="fr-FR"/>
        </w:rPr>
        <w:t>obligations financières internationales, les systèmes numériques et les droits de l'homme.</w:t>
      </w:r>
    </w:p>
    <w:p w:rsidR="00D406CD" w:rsidRPr="00246C85" w:rsidRDefault="00D406CD" w:rsidP="00DC10ED">
      <w:pPr>
        <w:spacing w:line="240" w:lineRule="auto"/>
        <w:jc w:val="both"/>
        <w:rPr>
          <w:rFonts w:ascii="Times New Roman" w:hAnsi="Times New Roman" w:cs="Times New Roman"/>
          <w:sz w:val="24"/>
          <w:szCs w:val="24"/>
          <w:lang w:val="fr-FR"/>
        </w:rPr>
      </w:pPr>
    </w:p>
    <w:p w:rsidR="007A197B" w:rsidRPr="00762BE8" w:rsidRDefault="007A197B" w:rsidP="00DC10ED">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r w:rsidRPr="00762BE8">
        <w:rPr>
          <w:rFonts w:ascii="Times New Roman" w:hAnsi="Times New Roman" w:cs="Times New Roman"/>
          <w:b/>
          <w:color w:val="548DD4" w:themeColor="text2" w:themeTint="99"/>
          <w:sz w:val="28"/>
          <w:szCs w:val="28"/>
        </w:rPr>
        <w:t>Questionnaire</w:t>
      </w:r>
    </w:p>
    <w:p w:rsidR="008C02E8" w:rsidRPr="00686CD7" w:rsidRDefault="008C02E8" w:rsidP="00686CD7">
      <w:pPr>
        <w:rPr>
          <w:rFonts w:ascii="Times New Roman" w:hAnsi="Times New Roman" w:cs="Times New Roman"/>
          <w:sz w:val="24"/>
          <w:szCs w:val="24"/>
          <w:lang w:val="fr-FR"/>
        </w:rPr>
      </w:pPr>
      <w:r w:rsidRPr="00686CD7">
        <w:rPr>
          <w:rFonts w:ascii="Times New Roman" w:hAnsi="Times New Roman" w:cs="Times New Roman"/>
          <w:sz w:val="24"/>
          <w:szCs w:val="24"/>
          <w:lang w:val="fr-FR"/>
        </w:rPr>
        <w:t xml:space="preserve">L'Expert indépendant invite et accueille favorablement toutes les contributions des États, des institutions financières internationales, des organisations et réseaux de la société civile, des syndicats, des agences et entités des Nations Unies, des acteurs privés, des universités, des groupes de réflexion et de toute autre partie prenante pertinente. </w:t>
      </w:r>
    </w:p>
    <w:p w:rsidR="00686CD7" w:rsidRDefault="00686CD7" w:rsidP="00686CD7">
      <w:pPr>
        <w:spacing w:line="240" w:lineRule="auto"/>
        <w:jc w:val="both"/>
        <w:rPr>
          <w:sz w:val="23"/>
          <w:szCs w:val="23"/>
          <w:lang w:val="fr-FR"/>
        </w:rPr>
      </w:pPr>
    </w:p>
    <w:p w:rsidR="00B113A5" w:rsidRPr="00E5455C" w:rsidRDefault="008C02E8" w:rsidP="00DC10ED">
      <w:pPr>
        <w:spacing w:line="240" w:lineRule="auto"/>
        <w:jc w:val="both"/>
        <w:rPr>
          <w:rFonts w:ascii="Times New Roman" w:hAnsi="Times New Roman" w:cs="Times New Roman"/>
          <w:sz w:val="24"/>
          <w:szCs w:val="24"/>
          <w:lang w:val="fr-FR"/>
        </w:rPr>
      </w:pPr>
      <w:r w:rsidRPr="00686CD7">
        <w:rPr>
          <w:rFonts w:ascii="Times New Roman" w:hAnsi="Times New Roman" w:cs="Times New Roman"/>
          <w:sz w:val="24"/>
          <w:szCs w:val="24"/>
          <w:lang w:val="fr-FR"/>
        </w:rPr>
        <w:t>Elle invite tout le monde à partager des informations, des documents, des déclarations ou des analyses pour aborder de manière générale, les liens entre les</w:t>
      </w:r>
      <w:r w:rsidR="00686CD7">
        <w:rPr>
          <w:rFonts w:ascii="Times New Roman" w:hAnsi="Times New Roman" w:cs="Times New Roman"/>
          <w:sz w:val="24"/>
          <w:szCs w:val="24"/>
          <w:lang w:val="fr-FR"/>
        </w:rPr>
        <w:t xml:space="preserve"> </w:t>
      </w:r>
      <w:r w:rsidR="00E5455C" w:rsidRPr="00E5455C">
        <w:rPr>
          <w:rFonts w:ascii="Times New Roman" w:hAnsi="Times New Roman" w:cs="Times New Roman"/>
          <w:b/>
          <w:bCs/>
          <w:sz w:val="24"/>
          <w:szCs w:val="24"/>
          <w:lang w:val="fr-FR"/>
        </w:rPr>
        <w:t>obligations financières internationales, les systèmes numériques et les droits de l'homme</w:t>
      </w:r>
      <w:r w:rsidR="00E5455C" w:rsidRPr="00E5455C">
        <w:rPr>
          <w:rFonts w:ascii="Times New Roman" w:hAnsi="Times New Roman" w:cs="Times New Roman"/>
          <w:sz w:val="24"/>
          <w:szCs w:val="24"/>
          <w:lang w:val="fr-FR"/>
        </w:rPr>
        <w:t>. L'Experte Indépendante souhaite en particulier obtenir des réponses aux questions suivantes :</w:t>
      </w:r>
    </w:p>
    <w:p w:rsidR="00552154" w:rsidRPr="00DC10ED" w:rsidRDefault="00552154" w:rsidP="00DC10ED">
      <w:pPr>
        <w:spacing w:line="240" w:lineRule="auto"/>
        <w:jc w:val="both"/>
        <w:rPr>
          <w:rFonts w:ascii="Times New Roman" w:eastAsia="SimSun" w:hAnsi="Times New Roman" w:cs="Times New Roman"/>
          <w:color w:val="000000"/>
          <w:sz w:val="24"/>
          <w:szCs w:val="24"/>
          <w:lang w:val="en-GB"/>
        </w:rPr>
      </w:pPr>
    </w:p>
    <w:p w:rsidR="00713CD3" w:rsidRPr="00C24CA8" w:rsidRDefault="00851E73" w:rsidP="00C24CA8">
      <w:pPr>
        <w:pStyle w:val="ListParagraph"/>
        <w:numPr>
          <w:ilvl w:val="0"/>
          <w:numId w:val="1"/>
        </w:numPr>
        <w:spacing w:after="160" w:line="259" w:lineRule="auto"/>
        <w:jc w:val="both"/>
        <w:rPr>
          <w:rFonts w:ascii="Times New Roman" w:hAnsi="Times New Roman" w:cs="Times New Roman"/>
          <w:sz w:val="24"/>
          <w:szCs w:val="24"/>
          <w:lang w:val="fr-FR"/>
        </w:rPr>
      </w:pPr>
      <w:r w:rsidRPr="00851E73">
        <w:rPr>
          <w:rFonts w:ascii="Times New Roman" w:hAnsi="Times New Roman" w:cs="Times New Roman"/>
          <w:sz w:val="24"/>
          <w:szCs w:val="24"/>
          <w:lang w:val="fr-FR"/>
        </w:rPr>
        <w:t>Quels sont les défis à relever en matière de réglementation des transactions financières au sein de l'économie numérique aux niveaux national, régional, continental et international ?</w:t>
      </w:r>
    </w:p>
    <w:p w:rsidR="00713CD3" w:rsidRPr="00C24CA8" w:rsidRDefault="00851E73" w:rsidP="00713CD3">
      <w:pPr>
        <w:pStyle w:val="ListParagraph"/>
        <w:numPr>
          <w:ilvl w:val="0"/>
          <w:numId w:val="1"/>
        </w:numPr>
        <w:spacing w:after="160" w:line="259" w:lineRule="auto"/>
        <w:jc w:val="both"/>
        <w:rPr>
          <w:rFonts w:ascii="Times New Roman" w:hAnsi="Times New Roman" w:cs="Times New Roman"/>
          <w:sz w:val="24"/>
          <w:szCs w:val="24"/>
          <w:lang w:val="fr-FR"/>
        </w:rPr>
      </w:pPr>
      <w:r w:rsidRPr="00851E73">
        <w:rPr>
          <w:rFonts w:ascii="Times New Roman" w:hAnsi="Times New Roman" w:cs="Times New Roman"/>
          <w:sz w:val="24"/>
          <w:szCs w:val="24"/>
          <w:lang w:val="fr-FR"/>
        </w:rPr>
        <w:t>Quelle est la nature, la portée et l'objectif d'un consensus international sur la taxation de l'économie numérique qui soutienne les droits de l'homme ?</w:t>
      </w:r>
    </w:p>
    <w:p w:rsidR="00713CD3" w:rsidRPr="00C24CA8" w:rsidRDefault="00851E73" w:rsidP="00713CD3">
      <w:pPr>
        <w:pStyle w:val="ListParagraph"/>
        <w:numPr>
          <w:ilvl w:val="0"/>
          <w:numId w:val="1"/>
        </w:numPr>
        <w:spacing w:after="160" w:line="259" w:lineRule="auto"/>
        <w:jc w:val="both"/>
        <w:rPr>
          <w:rFonts w:ascii="Times New Roman" w:hAnsi="Times New Roman" w:cs="Times New Roman"/>
          <w:sz w:val="24"/>
          <w:szCs w:val="24"/>
          <w:lang w:val="fr-FR"/>
        </w:rPr>
      </w:pPr>
      <w:r w:rsidRPr="00851E73">
        <w:rPr>
          <w:rFonts w:ascii="Times New Roman" w:hAnsi="Times New Roman" w:cs="Times New Roman"/>
          <w:sz w:val="24"/>
          <w:szCs w:val="24"/>
          <w:lang w:val="fr-FR"/>
        </w:rPr>
        <w:t>Quels sont les avantages/inconvénients de la réglementation des éléments financiers de l'économie numérique et de la réglementation des systèmes numériques qui soutiennent les transactions pour les pays les moins avancés ?</w:t>
      </w:r>
    </w:p>
    <w:p w:rsidR="00713CD3" w:rsidRPr="00C24CA8" w:rsidRDefault="00851E73" w:rsidP="00713CD3">
      <w:pPr>
        <w:pStyle w:val="ListParagraph"/>
        <w:numPr>
          <w:ilvl w:val="0"/>
          <w:numId w:val="1"/>
        </w:numPr>
        <w:spacing w:after="160" w:line="259" w:lineRule="auto"/>
        <w:jc w:val="both"/>
        <w:rPr>
          <w:rFonts w:ascii="Times New Roman" w:hAnsi="Times New Roman" w:cs="Times New Roman"/>
          <w:sz w:val="24"/>
          <w:szCs w:val="24"/>
          <w:lang w:val="fr-FR"/>
        </w:rPr>
      </w:pPr>
      <w:r w:rsidRPr="00851E73">
        <w:rPr>
          <w:rFonts w:ascii="Times New Roman" w:hAnsi="Times New Roman" w:cs="Times New Roman"/>
          <w:sz w:val="24"/>
          <w:szCs w:val="24"/>
          <w:lang w:val="fr-FR"/>
        </w:rPr>
        <w:t>Quelles mesures et quels mécanismes devraient être mis en place pour garantir qu'une taxe numérique mondiale intègre les principes des droits de l'homme, tant dans la manière dont elle est perçue que dans l'utilisation des recettes fiscales générées ?</w:t>
      </w:r>
    </w:p>
    <w:p w:rsidR="00713CD3" w:rsidRPr="00C24CA8" w:rsidRDefault="00851E73" w:rsidP="00713CD3">
      <w:pPr>
        <w:pStyle w:val="ListParagraph"/>
        <w:numPr>
          <w:ilvl w:val="0"/>
          <w:numId w:val="1"/>
        </w:numPr>
        <w:spacing w:before="240" w:after="160" w:line="259" w:lineRule="auto"/>
        <w:jc w:val="both"/>
        <w:rPr>
          <w:rFonts w:ascii="Times New Roman" w:hAnsi="Times New Roman" w:cs="Times New Roman"/>
          <w:sz w:val="24"/>
          <w:szCs w:val="24"/>
          <w:lang w:val="fr-FR"/>
        </w:rPr>
      </w:pPr>
      <w:r w:rsidRPr="00851E73">
        <w:rPr>
          <w:rFonts w:ascii="Times New Roman" w:hAnsi="Times New Roman" w:cs="Times New Roman"/>
          <w:sz w:val="24"/>
          <w:szCs w:val="24"/>
          <w:lang w:val="fr-FR"/>
        </w:rPr>
        <w:t>Existe-t-il des pratiques, des législations ou des politiques au niveau national ou régional qui pourraient servir de bons exemples ? Existe-t-il des études de cas qui pourraient être envisagées pour ce rapport, avec une référence spécifique, si possible, aux transferts de fonds, aux crypto-monnaies et aux places de marché du commerce électronique, ainsi qu'à la fiscalité des entreprises impliquées dans les systèmes numériques ?</w:t>
      </w:r>
    </w:p>
    <w:p w:rsidR="00A66E34" w:rsidRDefault="00CF7632" w:rsidP="00A66E34">
      <w:pPr>
        <w:pStyle w:val="ListParagraph"/>
        <w:numPr>
          <w:ilvl w:val="0"/>
          <w:numId w:val="1"/>
        </w:numPr>
        <w:spacing w:after="160" w:line="259" w:lineRule="auto"/>
        <w:jc w:val="both"/>
        <w:rPr>
          <w:rFonts w:ascii="Times New Roman" w:hAnsi="Times New Roman" w:cs="Times New Roman"/>
          <w:sz w:val="24"/>
          <w:szCs w:val="24"/>
          <w:lang w:val="fr-FR"/>
        </w:rPr>
      </w:pPr>
      <w:r w:rsidRPr="00CF7632">
        <w:rPr>
          <w:rFonts w:ascii="Times New Roman" w:hAnsi="Times New Roman" w:cs="Times New Roman"/>
          <w:sz w:val="24"/>
          <w:szCs w:val="24"/>
          <w:lang w:val="fr-FR"/>
        </w:rPr>
        <w:t>Comment les États doivent-ils traiter les interactions entre les transactions fiscales et le métaverse</w:t>
      </w:r>
      <w:r w:rsidRPr="00CF7632">
        <w:rPr>
          <w:rFonts w:ascii="Times New Roman" w:hAnsi="Times New Roman" w:cs="Times New Roman"/>
          <w:sz w:val="24"/>
          <w:szCs w:val="24"/>
          <w:vertAlign w:val="superscript"/>
          <w:lang w:val="fr-FR"/>
        </w:rPr>
        <w:t xml:space="preserve"> </w:t>
      </w:r>
      <w:r w:rsidR="00116423">
        <w:rPr>
          <w:rStyle w:val="FootnoteReference"/>
          <w:rFonts w:ascii="Times New Roman" w:hAnsi="Times New Roman" w:cs="Times New Roman"/>
          <w:sz w:val="24"/>
          <w:szCs w:val="24"/>
        </w:rPr>
        <w:footnoteReference w:id="13"/>
      </w:r>
      <w:r w:rsidR="00A66E34" w:rsidRPr="00CF7632">
        <w:rPr>
          <w:rFonts w:ascii="Times New Roman" w:hAnsi="Times New Roman" w:cs="Times New Roman"/>
          <w:sz w:val="24"/>
          <w:szCs w:val="24"/>
          <w:lang w:val="fr-FR"/>
        </w:rPr>
        <w:t xml:space="preserve"> - </w:t>
      </w:r>
      <w:r w:rsidR="00BC1041" w:rsidRPr="00BC1041">
        <w:rPr>
          <w:rFonts w:ascii="Times New Roman" w:hAnsi="Times New Roman" w:cs="Times New Roman"/>
          <w:sz w:val="24"/>
          <w:szCs w:val="24"/>
          <w:lang w:val="fr-FR"/>
        </w:rPr>
        <w:t>du point de vue des droits de l'homme ?</w:t>
      </w:r>
    </w:p>
    <w:p w:rsidR="00214F15" w:rsidRPr="00C24CA8" w:rsidRDefault="00C24CA8" w:rsidP="00C24CA8">
      <w:pPr>
        <w:pStyle w:val="ListParagraph"/>
        <w:numPr>
          <w:ilvl w:val="0"/>
          <w:numId w:val="1"/>
        </w:numPr>
        <w:spacing w:after="160" w:line="259" w:lineRule="auto"/>
        <w:jc w:val="both"/>
        <w:rPr>
          <w:rFonts w:ascii="Times New Roman" w:hAnsi="Times New Roman" w:cs="Times New Roman"/>
          <w:sz w:val="24"/>
          <w:szCs w:val="24"/>
          <w:lang w:val="fr-FR"/>
        </w:rPr>
      </w:pPr>
      <w:r w:rsidRPr="00713CD3">
        <w:rPr>
          <w:rFonts w:ascii="Times New Roman" w:hAnsi="Times New Roman" w:cs="Times New Roman"/>
          <w:sz w:val="24"/>
          <w:szCs w:val="24"/>
          <w:lang w:val="fr-FR"/>
        </w:rPr>
        <w:t>Quelles autres questions devraient être abordées par l'Experte indépendante dans ce domaine, tant pour son rapport aux Conseils des droits de l'homme, 52eme session, que pour les autres activités et initiatives qu'elle pourrait entreprendre dans le cadre de son mandat ?</w:t>
      </w:r>
    </w:p>
    <w:p w:rsidR="00E17F04" w:rsidRPr="00713CD3" w:rsidRDefault="00E17F04" w:rsidP="00DC10ED">
      <w:pPr>
        <w:spacing w:line="240" w:lineRule="auto"/>
        <w:jc w:val="both"/>
        <w:rPr>
          <w:rFonts w:ascii="Times New Roman" w:hAnsi="Times New Roman" w:cs="Times New Roman"/>
          <w:sz w:val="24"/>
          <w:szCs w:val="24"/>
          <w:lang w:val="fr-FR"/>
        </w:rPr>
      </w:pPr>
    </w:p>
    <w:p w:rsidR="00552154" w:rsidRPr="00762BE8" w:rsidRDefault="002D420B" w:rsidP="00DC10ED">
      <w:pPr>
        <w:pStyle w:val="ListParagraph"/>
        <w:numPr>
          <w:ilvl w:val="0"/>
          <w:numId w:val="3"/>
        </w:numPr>
        <w:spacing w:after="240" w:line="240" w:lineRule="auto"/>
        <w:jc w:val="both"/>
        <w:rPr>
          <w:rFonts w:ascii="Times New Roman" w:hAnsi="Times New Roman" w:cs="Times New Roman"/>
          <w:b/>
          <w:color w:val="548DD4" w:themeColor="text2" w:themeTint="99"/>
          <w:sz w:val="28"/>
          <w:szCs w:val="28"/>
        </w:rPr>
      </w:pPr>
      <w:r w:rsidRPr="002D420B">
        <w:rPr>
          <w:rFonts w:ascii="Times New Roman" w:hAnsi="Times New Roman" w:cs="Times New Roman"/>
          <w:b/>
          <w:bCs/>
          <w:color w:val="548DD4" w:themeColor="text2" w:themeTint="99"/>
          <w:sz w:val="28"/>
          <w:szCs w:val="28"/>
          <w:lang w:val="fr-FR"/>
        </w:rPr>
        <w:t>Soumission d'informations</w:t>
      </w:r>
    </w:p>
    <w:p w:rsidR="00552154" w:rsidRPr="00333E24" w:rsidRDefault="00333E24" w:rsidP="00DC10ED">
      <w:pPr>
        <w:spacing w:line="240" w:lineRule="auto"/>
        <w:jc w:val="both"/>
        <w:rPr>
          <w:rFonts w:ascii="Times New Roman" w:hAnsi="Times New Roman" w:cs="Times New Roman"/>
          <w:sz w:val="24"/>
          <w:szCs w:val="24"/>
          <w:lang w:val="fr-FR"/>
        </w:rPr>
      </w:pPr>
      <w:r w:rsidRPr="00236216">
        <w:rPr>
          <w:rFonts w:ascii="Times New Roman" w:hAnsi="Times New Roman" w:cs="Times New Roman"/>
          <w:sz w:val="24"/>
          <w:szCs w:val="24"/>
          <w:lang w:val="fr-FR"/>
        </w:rPr>
        <w:t xml:space="preserve">En raison de la capacité limitée de traduction, nous demandons que les réponses soient soumises de préférence en anglais </w:t>
      </w:r>
      <w:r w:rsidRPr="00236216">
        <w:rPr>
          <w:rFonts w:ascii="Times New Roman" w:hAnsi="Times New Roman" w:cs="Times New Roman"/>
          <w:b/>
          <w:bCs/>
          <w:sz w:val="24"/>
          <w:szCs w:val="24"/>
          <w:lang w:val="fr-FR"/>
        </w:rPr>
        <w:t>au plus tard le 30 septembre 2022</w:t>
      </w:r>
      <w:r w:rsidRPr="00236216">
        <w:rPr>
          <w:rFonts w:ascii="Times New Roman" w:hAnsi="Times New Roman" w:cs="Times New Roman"/>
          <w:sz w:val="24"/>
          <w:szCs w:val="24"/>
          <w:lang w:val="fr-FR"/>
        </w:rPr>
        <w:t>. Toutes les réponses seront publiées sur la page web officielle de l'Expert indépendant, ci-</w:t>
      </w:r>
      <w:r w:rsidR="00A95FB9" w:rsidRPr="00236216">
        <w:rPr>
          <w:rFonts w:ascii="Times New Roman" w:hAnsi="Times New Roman" w:cs="Times New Roman"/>
          <w:sz w:val="24"/>
          <w:szCs w:val="24"/>
          <w:lang w:val="fr-FR"/>
        </w:rPr>
        <w:t>dessous</w:t>
      </w:r>
      <w:r w:rsidR="00A95FB9" w:rsidRPr="00333E24">
        <w:rPr>
          <w:rFonts w:ascii="Times New Roman" w:hAnsi="Times New Roman" w:cs="Times New Roman"/>
          <w:sz w:val="24"/>
          <w:szCs w:val="24"/>
          <w:lang w:val="fr-FR"/>
        </w:rPr>
        <w:t xml:space="preserve"> :</w:t>
      </w:r>
    </w:p>
    <w:p w:rsidR="00AE43A5" w:rsidRPr="00333E24" w:rsidRDefault="00AE43A5" w:rsidP="00DC10ED">
      <w:pPr>
        <w:spacing w:line="240" w:lineRule="auto"/>
        <w:jc w:val="both"/>
        <w:rPr>
          <w:rFonts w:ascii="Times New Roman" w:hAnsi="Times New Roman" w:cs="Times New Roman"/>
          <w:sz w:val="24"/>
          <w:szCs w:val="24"/>
          <w:lang w:val="fr-FR"/>
        </w:rPr>
      </w:pPr>
    </w:p>
    <w:p w:rsidR="0019070C" w:rsidRPr="0015460A" w:rsidRDefault="007A5CD1" w:rsidP="00DC10ED">
      <w:pPr>
        <w:pStyle w:val="ListParagraph"/>
        <w:numPr>
          <w:ilvl w:val="0"/>
          <w:numId w:val="2"/>
        </w:numPr>
        <w:spacing w:line="240" w:lineRule="auto"/>
        <w:jc w:val="both"/>
        <w:rPr>
          <w:rFonts w:ascii="Times New Roman" w:hAnsi="Times New Roman" w:cs="Times New Roman"/>
          <w:sz w:val="24"/>
          <w:szCs w:val="24"/>
        </w:rPr>
      </w:pPr>
      <w:hyperlink r:id="rId11" w:history="1">
        <w:r w:rsidR="0019070C" w:rsidRPr="0015460A">
          <w:rPr>
            <w:rStyle w:val="Hyperlink"/>
            <w:rFonts w:ascii="Times New Roman" w:hAnsi="Times New Roman" w:cs="Times New Roman"/>
            <w:sz w:val="24"/>
            <w:szCs w:val="24"/>
          </w:rPr>
          <w:t>https://www.ohchr.org/en/special-procedures/ie-foreign-debt</w:t>
        </w:r>
      </w:hyperlink>
    </w:p>
    <w:p w:rsidR="00214F15" w:rsidRPr="0015460A" w:rsidRDefault="00214F15" w:rsidP="00DC10ED">
      <w:pPr>
        <w:spacing w:line="240" w:lineRule="auto"/>
        <w:jc w:val="both"/>
        <w:rPr>
          <w:rFonts w:ascii="Times New Roman" w:hAnsi="Times New Roman" w:cs="Times New Roman"/>
          <w:sz w:val="24"/>
          <w:szCs w:val="24"/>
        </w:rPr>
      </w:pPr>
    </w:p>
    <w:p w:rsidR="006A0033" w:rsidRPr="006A0033" w:rsidRDefault="006A0033" w:rsidP="006A0033">
      <w:pPr>
        <w:spacing w:line="240" w:lineRule="auto"/>
        <w:jc w:val="both"/>
        <w:rPr>
          <w:rFonts w:ascii="Times New Roman" w:hAnsi="Times New Roman" w:cs="Times New Roman"/>
          <w:sz w:val="24"/>
          <w:szCs w:val="24"/>
          <w:lang w:val="fr-FR"/>
        </w:rPr>
      </w:pPr>
      <w:r w:rsidRPr="006A0033">
        <w:rPr>
          <w:rFonts w:ascii="Times New Roman" w:hAnsi="Times New Roman" w:cs="Times New Roman"/>
          <w:sz w:val="24"/>
          <w:szCs w:val="24"/>
          <w:lang w:val="fr-FR"/>
        </w:rPr>
        <w:t xml:space="preserve">Veuillez limiter vos réponses à un maximum de 3 000 mots et fournir des liens vers des informations ou des documents lorsqu'ils sont disponibles. </w:t>
      </w:r>
    </w:p>
    <w:p w:rsidR="006A0033" w:rsidRPr="006A0033" w:rsidRDefault="006A0033" w:rsidP="006A0033">
      <w:pPr>
        <w:spacing w:line="240" w:lineRule="auto"/>
        <w:jc w:val="both"/>
        <w:rPr>
          <w:rFonts w:ascii="Times New Roman" w:hAnsi="Times New Roman" w:cs="Times New Roman"/>
          <w:sz w:val="24"/>
          <w:szCs w:val="24"/>
          <w:lang w:val="fr-FR"/>
        </w:rPr>
      </w:pPr>
    </w:p>
    <w:p w:rsidR="00DC10ED" w:rsidRPr="006A0033" w:rsidRDefault="006A0033" w:rsidP="00DC10ED">
      <w:pPr>
        <w:spacing w:line="240" w:lineRule="auto"/>
        <w:jc w:val="both"/>
        <w:rPr>
          <w:rFonts w:ascii="Times New Roman" w:hAnsi="Times New Roman" w:cs="Times New Roman"/>
          <w:sz w:val="24"/>
          <w:szCs w:val="24"/>
          <w:lang w:val="fr-FR"/>
        </w:rPr>
      </w:pPr>
      <w:r w:rsidRPr="006A0033">
        <w:rPr>
          <w:rFonts w:ascii="Times New Roman" w:hAnsi="Times New Roman" w:cs="Times New Roman"/>
          <w:sz w:val="24"/>
          <w:szCs w:val="24"/>
          <w:lang w:val="fr-FR"/>
        </w:rPr>
        <w:t>Veuillez envoyer vos contributions à</w:t>
      </w:r>
      <w:r w:rsidR="00B03DEF" w:rsidRPr="006A0033">
        <w:rPr>
          <w:rFonts w:ascii="Times New Roman" w:hAnsi="Times New Roman" w:cs="Times New Roman"/>
          <w:sz w:val="24"/>
          <w:szCs w:val="24"/>
          <w:lang w:val="fr-FR"/>
        </w:rPr>
        <w:t xml:space="preserve"> </w:t>
      </w:r>
      <w:hyperlink r:id="rId12" w:history="1">
        <w:r w:rsidR="007D24A9" w:rsidRPr="006A0033">
          <w:rPr>
            <w:rStyle w:val="Hyperlink"/>
            <w:rFonts w:ascii="Times New Roman" w:hAnsi="Times New Roman" w:cs="Times New Roman"/>
            <w:sz w:val="24"/>
            <w:szCs w:val="24"/>
            <w:lang w:val="fr-FR"/>
          </w:rPr>
          <w:t>hrc-ie-foreigndebt@un.org</w:t>
        </w:r>
      </w:hyperlink>
      <w:r w:rsidR="004C415A" w:rsidRPr="006A0033">
        <w:rPr>
          <w:rFonts w:ascii="Times New Roman" w:hAnsi="Times New Roman" w:cs="Times New Roman"/>
          <w:sz w:val="24"/>
          <w:szCs w:val="24"/>
          <w:lang w:val="fr-FR"/>
        </w:rPr>
        <w:t xml:space="preserve">, </w:t>
      </w:r>
      <w:r w:rsidR="00B51B1B" w:rsidRPr="00B51B1B">
        <w:rPr>
          <w:rFonts w:ascii="Times New Roman" w:hAnsi="Times New Roman" w:cs="Times New Roman"/>
          <w:sz w:val="24"/>
          <w:szCs w:val="24"/>
          <w:lang w:val="fr-FR"/>
        </w:rPr>
        <w:t>avec copie à</w:t>
      </w:r>
      <w:r w:rsidR="007D24A9" w:rsidRPr="006A0033">
        <w:rPr>
          <w:rFonts w:ascii="Times New Roman" w:hAnsi="Times New Roman" w:cs="Times New Roman"/>
          <w:sz w:val="24"/>
          <w:szCs w:val="24"/>
          <w:lang w:val="fr-FR"/>
        </w:rPr>
        <w:t xml:space="preserve"> </w:t>
      </w:r>
      <w:hyperlink r:id="rId13" w:history="1">
        <w:r w:rsidR="007D24A9" w:rsidRPr="006A0033">
          <w:rPr>
            <w:rStyle w:val="Hyperlink"/>
            <w:rFonts w:ascii="Times New Roman" w:hAnsi="Times New Roman" w:cs="Times New Roman"/>
            <w:sz w:val="24"/>
            <w:szCs w:val="24"/>
            <w:lang w:val="fr-FR"/>
          </w:rPr>
          <w:t>ohchr-registry@un.org</w:t>
        </w:r>
      </w:hyperlink>
      <w:r w:rsidR="007D24A9" w:rsidRPr="006A0033">
        <w:rPr>
          <w:rFonts w:ascii="Times New Roman" w:hAnsi="Times New Roman" w:cs="Times New Roman"/>
          <w:sz w:val="24"/>
          <w:szCs w:val="24"/>
          <w:lang w:val="fr-FR"/>
        </w:rPr>
        <w:t>.</w:t>
      </w:r>
    </w:p>
    <w:p w:rsidR="00A11597" w:rsidRPr="006A0033" w:rsidRDefault="00A11597" w:rsidP="00DC10ED">
      <w:pPr>
        <w:spacing w:line="240" w:lineRule="auto"/>
        <w:jc w:val="both"/>
        <w:rPr>
          <w:rFonts w:ascii="Times New Roman" w:hAnsi="Times New Roman" w:cs="Times New Roman"/>
          <w:sz w:val="24"/>
          <w:szCs w:val="24"/>
          <w:lang w:val="fr-FR"/>
        </w:rPr>
      </w:pPr>
    </w:p>
    <w:sectPr w:rsidR="00A11597" w:rsidRPr="006A0033" w:rsidSect="00013C11">
      <w:headerReference w:type="default" r:id="rId14"/>
      <w:footerReference w:type="default" r:id="rId15"/>
      <w:headerReference w:type="first" r:id="rId16"/>
      <w:pgSz w:w="12240" w:h="15840"/>
      <w:pgMar w:top="1134" w:right="170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CD1" w:rsidRDefault="007A5CD1">
      <w:pPr>
        <w:spacing w:line="240" w:lineRule="auto"/>
      </w:pPr>
      <w:r>
        <w:separator/>
      </w:r>
    </w:p>
  </w:endnote>
  <w:endnote w:type="continuationSeparator" w:id="0">
    <w:p w:rsidR="007A5CD1" w:rsidRDefault="007A5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30643"/>
      <w:docPartObj>
        <w:docPartGallery w:val="Page Numbers (Bottom of Page)"/>
        <w:docPartUnique/>
      </w:docPartObj>
    </w:sdtPr>
    <w:sdtEndPr>
      <w:rPr>
        <w:rFonts w:ascii="Times New Roman" w:hAnsi="Times New Roman" w:cs="Times New Roman"/>
        <w:noProof/>
        <w:sz w:val="20"/>
        <w:szCs w:val="20"/>
      </w:rPr>
    </w:sdtEndPr>
    <w:sdtContent>
      <w:p w:rsidR="00BF2716" w:rsidRPr="00BF2716" w:rsidRDefault="00BF2716">
        <w:pPr>
          <w:pStyle w:val="Footer"/>
          <w:jc w:val="right"/>
          <w:rPr>
            <w:rFonts w:ascii="Times New Roman" w:hAnsi="Times New Roman" w:cs="Times New Roman"/>
            <w:sz w:val="20"/>
            <w:szCs w:val="20"/>
          </w:rPr>
        </w:pPr>
        <w:r w:rsidRPr="00BF2716">
          <w:rPr>
            <w:rFonts w:ascii="Times New Roman" w:hAnsi="Times New Roman" w:cs="Times New Roman"/>
            <w:sz w:val="20"/>
            <w:szCs w:val="20"/>
          </w:rPr>
          <w:fldChar w:fldCharType="begin"/>
        </w:r>
        <w:r w:rsidRPr="00BF2716">
          <w:rPr>
            <w:rFonts w:ascii="Times New Roman" w:hAnsi="Times New Roman" w:cs="Times New Roman"/>
            <w:sz w:val="20"/>
            <w:szCs w:val="20"/>
          </w:rPr>
          <w:instrText xml:space="preserve"> PAGE   \* MERGEFORMAT </w:instrText>
        </w:r>
        <w:r w:rsidRPr="00BF2716">
          <w:rPr>
            <w:rFonts w:ascii="Times New Roman" w:hAnsi="Times New Roman" w:cs="Times New Roman"/>
            <w:sz w:val="20"/>
            <w:szCs w:val="20"/>
          </w:rPr>
          <w:fldChar w:fldCharType="separate"/>
        </w:r>
        <w:r w:rsidR="002F7DD8">
          <w:rPr>
            <w:rFonts w:ascii="Times New Roman" w:hAnsi="Times New Roman" w:cs="Times New Roman"/>
            <w:noProof/>
            <w:sz w:val="20"/>
            <w:szCs w:val="20"/>
          </w:rPr>
          <w:t>4</w:t>
        </w:r>
        <w:r w:rsidRPr="00BF2716">
          <w:rPr>
            <w:rFonts w:ascii="Times New Roman" w:hAnsi="Times New Roman" w:cs="Times New Roman"/>
            <w:noProof/>
            <w:sz w:val="20"/>
            <w:szCs w:val="20"/>
          </w:rPr>
          <w:fldChar w:fldCharType="end"/>
        </w:r>
      </w:p>
    </w:sdtContent>
  </w:sdt>
  <w:p w:rsidR="00BF2716" w:rsidRDefault="00BF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CD1" w:rsidRDefault="007A5CD1">
      <w:pPr>
        <w:spacing w:line="240" w:lineRule="auto"/>
      </w:pPr>
      <w:r>
        <w:separator/>
      </w:r>
    </w:p>
  </w:footnote>
  <w:footnote w:type="continuationSeparator" w:id="0">
    <w:p w:rsidR="007A5CD1" w:rsidRDefault="007A5CD1">
      <w:pPr>
        <w:spacing w:line="240" w:lineRule="auto"/>
      </w:pPr>
      <w:r>
        <w:continuationSeparator/>
      </w:r>
    </w:p>
  </w:footnote>
  <w:footnote w:id="1">
    <w:p w:rsidR="00187FC8" w:rsidRPr="00DA1D0B" w:rsidRDefault="00187FC8" w:rsidP="00187FC8">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{"citationID":"gKBLljqr","properties":{"formattedCitation":"\\uc0\\u8216{}Digital_spillover.Pdf\\uc0\\u8217{} &lt;https://www.huawei.com/minisite/gci/en/digital-spillover/files/gci_digital_spillover.pdf&gt; accessed 10 August 2022.","plainCitation":"‘Digital_spillover.Pdf’ &lt;https://www.huawei.com/minisite/gci/en/digital-spillover/files/gci_digital_spillover.pdf&gt; accessed 10 August 2022.","noteIndex":11},"citationItems":[{"id":698,"uris":["http://zotero.org/users/local/Xiqgy1SU/items/YKTJMFCI"],"itemData":{"id":698,"type":"document","title":"Digital_spillover.pdf","URL":"https://www.huawei.com/minisite/gci/en/digital-spillover/files/gci_digital_spillover.pdf","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szCs w:val="24"/>
        </w:rPr>
        <w:t>Digital</w:t>
      </w:r>
      <w:r w:rsidR="00562702">
        <w:rPr>
          <w:rFonts w:ascii="Times New Roman" w:hAnsi="Times New Roman" w:cs="Times New Roman"/>
          <w:szCs w:val="24"/>
        </w:rPr>
        <w:t xml:space="preserve"> </w:t>
      </w:r>
      <w:r w:rsidRPr="00DA1D0B">
        <w:rPr>
          <w:rFonts w:ascii="Times New Roman" w:hAnsi="Times New Roman" w:cs="Times New Roman"/>
          <w:szCs w:val="24"/>
        </w:rPr>
        <w:t>spillover</w:t>
      </w:r>
      <w:r w:rsidR="00562702">
        <w:rPr>
          <w:rFonts w:ascii="Times New Roman" w:hAnsi="Times New Roman" w:cs="Times New Roman"/>
          <w:szCs w:val="24"/>
        </w:rPr>
        <w:t>:</w:t>
      </w:r>
      <w:r w:rsidR="005E4888">
        <w:rPr>
          <w:rFonts w:ascii="Times New Roman" w:hAnsi="Times New Roman" w:cs="Times New Roman"/>
          <w:szCs w:val="24"/>
        </w:rPr>
        <w:t xml:space="preserve"> </w:t>
      </w:r>
      <w:hyperlink r:id="rId1" w:history="1">
        <w:r w:rsidR="00562702" w:rsidRPr="00562702">
          <w:rPr>
            <w:rStyle w:val="Hyperlink"/>
            <w:rFonts w:ascii="Times New Roman" w:hAnsi="Times New Roman" w:cs="Times New Roman"/>
            <w:szCs w:val="24"/>
          </w:rPr>
          <w:t>https://www.huawei.com/minisite/gci/en/digital-spillover/files/gci_digital_spillover.pdf</w:t>
        </w:r>
      </w:hyperlink>
      <w:r w:rsidR="00562702">
        <w:rPr>
          <w:rFonts w:ascii="Times New Roman" w:hAnsi="Times New Roman" w:cs="Times New Roman"/>
          <w:szCs w:val="24"/>
        </w:rPr>
        <w:t xml:space="preserve"> </w:t>
      </w:r>
      <w:r w:rsidRPr="00DA1D0B">
        <w:rPr>
          <w:rFonts w:ascii="Times New Roman" w:hAnsi="Times New Roman" w:cs="Times New Roman"/>
          <w:szCs w:val="24"/>
        </w:rPr>
        <w:t>accessed 10 August 2022.</w:t>
      </w:r>
      <w:r w:rsidRPr="00DA1D0B">
        <w:rPr>
          <w:rFonts w:ascii="Times New Roman" w:hAnsi="Times New Roman" w:cs="Times New Roman"/>
        </w:rPr>
        <w:fldChar w:fldCharType="end"/>
      </w:r>
    </w:p>
  </w:footnote>
  <w:footnote w:id="2">
    <w:p w:rsidR="00187FC8" w:rsidRPr="00DA1D0B" w:rsidRDefault="00187FC8" w:rsidP="00187FC8">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{"citationID":"D6sKBrkD","properties":{"formattedCitation":"\\uc0\\u8216{}Overview on Digital Development\\uc0\\u8217{} ({\\i{}World Bank}) &lt;https://www.worldbank.org/en/topic/digitaldevelopment/overview&gt; accessed 10 August 2022.","plainCitation":"‘Overview on Digital Development’ (World Bank) &lt;https://www.worldbank.org/en/topic/digitaldevelopment/overview&gt; accessed 10 August 2022.","noteIndex":13},"citationItems":[{"id":696,"uris":["http://zotero.org/users/local/Xiqgy1SU/items/QWJ87VHT"],"itemData":{"id":696,"type":"webpage","abstract":"Short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5F50CC">
        <w:rPr>
          <w:rFonts w:ascii="Times New Roman" w:hAnsi="Times New Roman" w:cs="Times New Roman"/>
          <w:szCs w:val="24"/>
        </w:rPr>
        <w:t>‘Overview on Digital Development’ (</w:t>
      </w:r>
      <w:r w:rsidRPr="005F50CC">
        <w:rPr>
          <w:rFonts w:ascii="Times New Roman" w:hAnsi="Times New Roman" w:cs="Times New Roman"/>
          <w:i/>
          <w:iCs/>
          <w:szCs w:val="24"/>
        </w:rPr>
        <w:t>World Bank</w:t>
      </w:r>
      <w:r w:rsidRPr="005F50CC">
        <w:rPr>
          <w:rFonts w:ascii="Times New Roman" w:hAnsi="Times New Roman" w:cs="Times New Roman"/>
          <w:szCs w:val="24"/>
        </w:rPr>
        <w:t xml:space="preserve">) </w:t>
      </w:r>
      <w:hyperlink r:id="rId2" w:history="1">
        <w:r w:rsidR="005F50CC" w:rsidRPr="005F50CC">
          <w:rPr>
            <w:rStyle w:val="Hyperlink"/>
            <w:rFonts w:ascii="Times New Roman" w:hAnsi="Times New Roman" w:cs="Times New Roman"/>
          </w:rPr>
          <w:t>Digital Development Overview: Development news, research, data | World Bank</w:t>
        </w:r>
      </w:hyperlink>
      <w:r w:rsidR="005F50CC">
        <w:t xml:space="preserve"> </w:t>
      </w:r>
      <w:r w:rsidRPr="00DA1D0B">
        <w:rPr>
          <w:rFonts w:ascii="Times New Roman" w:hAnsi="Times New Roman" w:cs="Times New Roman"/>
          <w:szCs w:val="24"/>
        </w:rPr>
        <w:t xml:space="preserve"> accessed 10 August 2022.</w:t>
      </w:r>
      <w:r w:rsidRPr="00DA1D0B">
        <w:rPr>
          <w:rFonts w:ascii="Times New Roman" w:hAnsi="Times New Roman" w:cs="Times New Roman"/>
        </w:rPr>
        <w:fldChar w:fldCharType="end"/>
      </w:r>
    </w:p>
  </w:footnote>
  <w:footnote w:id="3">
    <w:p w:rsidR="00187FC8" w:rsidRPr="00DA1D0B" w:rsidRDefault="00187FC8" w:rsidP="00187FC8">
      <w:pPr>
        <w:pStyle w:val="FootnoteText"/>
        <w:rPr>
          <w:rFonts w:ascii="Times New Roman" w:hAnsi="Times New Roman" w:cs="Times New Roman"/>
        </w:rPr>
      </w:pPr>
      <w:r w:rsidRPr="00DA1D0B">
        <w:rPr>
          <w:rStyle w:val="FootnoteReferenc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{"citationID":"0aTImtLi","properties":{"formattedCitation":"ibid.","plainCitation":"ibid.","noteIndex":14},"citationItems":[{"id":696,"uris":["http://zotero.org/users/local/Xiqgy1SU/items/QWJ87VHT"],"itemData":{"id":696,"type":"webpage","abstract":"Short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rPr>
        <w:t>ibid.</w:t>
      </w:r>
      <w:r w:rsidRPr="00DA1D0B">
        <w:rPr>
          <w:rFonts w:ascii="Times New Roman" w:hAnsi="Times New Roman" w:cs="Times New Roman"/>
        </w:rPr>
        <w:fldChar w:fldCharType="end"/>
      </w:r>
    </w:p>
  </w:footnote>
  <w:footnote w:id="4">
    <w:p w:rsidR="00187FC8" w:rsidRPr="005F50CC" w:rsidRDefault="00187FC8" w:rsidP="005F50CC">
      <w:pPr>
        <w:pStyle w:val="FootnoteText"/>
        <w:rPr>
          <w:rFonts w:ascii="Times New Roman" w:hAnsi="Times New Roman" w:cs="Times New Roman"/>
        </w:rPr>
      </w:pPr>
      <w:r>
        <w:rPr>
          <w:rStyle w:val="FootnoteReference"/>
        </w:rPr>
        <w:footnoteRef/>
      </w:r>
      <w: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{"citationID":"71baQafA","properties":{"formattedCitation":"ibid.","plainCitation":"ibid.","noteIndex":4},"citationItems":[{"id":648,"uris":["http://zotero.org/users/local/Xiqgy1SU/items/SPX2F88M"],"itemData":{"id":648,"type":"report","abstract":"The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5">
    <w:p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{"citationID":"xOltJIdg","properties":{"formattedCitation":"ibid.","plainCitation":"ibid.","noteIndex":2},"citationItems":[{"id":648,"uris":["http://zotero.org/users/local/Xiqgy1SU/items/SPX2F88M"],"itemData":{"id":648,"type":"report","abstract":"The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6">
    <w:p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{"citationID":"6KFKdg86","properties":{"formattedCitation":"ibid.","plainCitation":"ibid.","noteIndex":5},"citationItems":[{"id":648,"uris":["http://zotero.org/users/local/Xiqgy1SU/items/SPX2F88M"],"itemData":{"id":648,"type":"report","abstract":"The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7">
    <w:p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{"citationID":"i3GiOhYn","properties":{"formattedCitation":"\\uc0\\u8216{}What Is Digital Economy? | Deloitte Malta | Technology\\uc0\\u8217{} ({\\i{}Deloitte Malta}) &lt;https://www2.deloitte.com/mt/en/pages/technology/articles/mt-what-is-digital-economy.html&gt; accessed 10 August 2022.","plainCitation":"‘What Is Digital Economy? | Deloitte Malta | Technology’ (Deloitte Malta) &lt;https://www2.deloitte.com/mt/en/pages/technology/articles/mt-what-is-digital-economy.html&gt; accessed 10 August 2022.","noteIndex":9},"citationItems":[{"id":693,"uris":["http://zotero.org/users/local/Xiqgy1SU/items/VAKCXBMQ"],"itemData":{"id":693,"type":"webpage","abstract":"The world as we know it is continually changing, and one of the fundamental drivers is digital transformation. At its core, digital transformation isn’t about Internet “unicorns.” It’s about using the latest technology to do what you already do – but better.","container-title":"Deloitte Malta","language":"en","title":"What is digital economy? | Deloitte Malta | Technology","title-short":"What is digital economy?","URL":"https://www2.deloitte.com/mt/en/pages/technology/articles/mt-what-is-digital-economy.html","accessed":{"date-parts":[["2022",8,10]]}}}],"schema":"https://github.com/citation-style-language/schema/raw/master/csl-citation.json"}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‘What Is Digital Economy? | Deloitte Malta | Technology’ (</w:t>
      </w:r>
      <w:r w:rsidRPr="005F50CC">
        <w:rPr>
          <w:rFonts w:ascii="Times New Roman" w:hAnsi="Times New Roman" w:cs="Times New Roman"/>
          <w:i/>
          <w:iCs/>
          <w:szCs w:val="24"/>
        </w:rPr>
        <w:t>Deloitte Malta</w:t>
      </w:r>
      <w:r w:rsidRPr="005F50CC">
        <w:rPr>
          <w:rFonts w:ascii="Times New Roman" w:hAnsi="Times New Roman" w:cs="Times New Roman"/>
          <w:szCs w:val="24"/>
        </w:rPr>
        <w:t xml:space="preserve">) </w:t>
      </w:r>
      <w:hyperlink r:id="rId3" w:history="1">
        <w:r w:rsidR="00551D14" w:rsidRPr="00551D14">
          <w:rPr>
            <w:rStyle w:val="Hyperlink"/>
            <w:rFonts w:ascii="Times New Roman" w:hAnsi="Times New Roman" w:cs="Times New Roman"/>
          </w:rPr>
          <w:t>https://www2.deloitte.com/mt/en/pages/technology/articles/mt-what-is-digital-economy.html</w:t>
        </w:r>
      </w:hyperlink>
      <w:r w:rsidRPr="00ED4EAE">
        <w:rPr>
          <w:rFonts w:ascii="Times New Roman" w:hAnsi="Times New Roman" w:cs="Times New Roman"/>
          <w:szCs w:val="24"/>
        </w:rPr>
        <w:t xml:space="preserve"> </w:t>
      </w:r>
      <w:r w:rsidRPr="005F50CC">
        <w:rPr>
          <w:rFonts w:ascii="Times New Roman" w:hAnsi="Times New Roman" w:cs="Times New Roman"/>
          <w:szCs w:val="24"/>
        </w:rPr>
        <w:t>accessed 10 August 2022.</w:t>
      </w:r>
      <w:r w:rsidRPr="005F50CC">
        <w:rPr>
          <w:rFonts w:ascii="Times New Roman" w:hAnsi="Times New Roman" w:cs="Times New Roman"/>
        </w:rPr>
        <w:fldChar w:fldCharType="end"/>
      </w:r>
    </w:p>
  </w:footnote>
  <w:footnote w:id="8">
    <w:p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{"citationID":"gyptJMCz","properties":{"formattedCitation":"\\uc0\\u8216{}Taking Stock and Identifying Priority Areas: A Vision for the Future Work of the Mandate Holder\\uc0\\u8217{} &lt;https://primarysources.brillonline.com/browse/human-rights-documents-online/promotion-and-protection-of-all-human-rights-civil-political-economic-social-and-cultural-rights-including-the-right-to-development;hrdhrd99702016149&gt; accessed 18 July 2022.","plainCitation":"‘Taking Stock and Identifying Priority Areas: A Vision for the Future Work of the Mandate Holder’ &lt;https://primarysources.brillonline.com/browse/human-rights-documents-online/promotion-and-protection-of-all-human-rights-civil-political-economic-social-and-cultural-rights-including-the-right-to-development;hrdhrd99702016149&gt; accessed 18 July 2022.","noteIndex":1},"citationItems":[{"id":648,"uris":["http://zotero.org/users/local/Xiqgy1SU/items/SPX2F88M"],"itemData":{"id":648,"type":"report","abstract":"The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 xml:space="preserve">‘Taking Stock and Identifying Priority Areas: A Vision for the Future Work of the Mandate Holder’ </w:t>
      </w:r>
      <w:hyperlink r:id="rId4" w:history="1">
        <w:r w:rsidRPr="00551D14">
          <w:rPr>
            <w:rStyle w:val="Hyperlink"/>
            <w:rFonts w:ascii="Times New Roman" w:hAnsi="Times New Roman" w:cs="Times New Roman"/>
            <w:szCs w:val="24"/>
          </w:rPr>
          <w:t>https://primarysources.brillonline.com/browse/human-rights-documents-online/promotion-and-protection-of-all-human-rights-civil-political-economic-social-and-cultural-rights-including-the-right-to-development;hrdhrd99702016149</w:t>
        </w:r>
      </w:hyperlink>
      <w:r w:rsidRPr="005F50CC">
        <w:rPr>
          <w:rFonts w:ascii="Times New Roman" w:hAnsi="Times New Roman" w:cs="Times New Roman"/>
          <w:szCs w:val="24"/>
        </w:rPr>
        <w:t xml:space="preserve"> accessed 18 July 2022.</w:t>
      </w:r>
      <w:r w:rsidRPr="005F50CC">
        <w:rPr>
          <w:rFonts w:ascii="Times New Roman" w:hAnsi="Times New Roman" w:cs="Times New Roman"/>
        </w:rPr>
        <w:fldChar w:fldCharType="end"/>
      </w:r>
    </w:p>
  </w:footnote>
  <w:footnote w:id="9">
    <w:p w:rsidR="00187FC8" w:rsidRPr="005F50CC" w:rsidRDefault="00187FC8" w:rsidP="005F50CC">
      <w:pPr>
        <w:pStyle w:val="FootnoteText"/>
        <w:rPr>
          <w:rFonts w:ascii="Times New Roman" w:hAnsi="Times New Roman" w:cs="Times New Roman"/>
        </w:rPr>
      </w:pPr>
      <w:r w:rsidRPr="005F50CC">
        <w:rPr>
          <w:rStyle w:val="FootnoteReferenc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{"citationID":"zcBXc008","properties":{"formattedCitation":"ibid.","plainCitation":"ibid.","noteIndex":3},"citationItems":[{"id":648,"uris":["http://zotero.org/users/local/Xiqgy1SU/items/SPX2F88M"],"itemData":{"id":648,"type":"report","abstract":"The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10">
    <w:p w:rsidR="00187FC8" w:rsidRDefault="00187FC8" w:rsidP="00187FC8">
      <w:pPr>
        <w:pStyle w:val="FootnoteText"/>
      </w:pPr>
      <w:r>
        <w:rPr>
          <w:rStyle w:val="FootnoteReference"/>
        </w:rPr>
        <w:footnoteRef/>
      </w:r>
      <w:r>
        <w:t xml:space="preserve"> </w:t>
      </w:r>
      <w:r>
        <w:fldChar w:fldCharType="begin"/>
      </w:r>
      <w:r>
        <w:instrText xml:space="preserve"> ADDIN ZOTERO_ITEM CSL_CITATION {"citationID":"KUM5O5NT","properties":{"formattedCitation":"\\uc0\\u8216{}Taking Stock and Identifying Priority Areas: A Vision for the Future Work of the Mandate Holder\\uc0\\u8217{} (n 1).","plainCitation":"‘Taking Stock and Identifying Priority Areas: A Vision for the Future Work of the Mandate Holder’ (n 1).","noteIndex":14},"citationItems":[{"id":648,"uris":["http://zotero.org/users/local/Xiqgy1SU/items/SPX2F88M"],"itemData":{"id":648,"type":"report","abstract":"The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A81216">
        <w:rPr>
          <w:rFonts w:ascii="Georgia" w:hAnsi="Georgia" w:cs="Times New Roman"/>
          <w:szCs w:val="24"/>
        </w:rPr>
        <w:t>‘Taking Stock and Identifying Priority Areas: A Vision for the Future Work of the Mandate Holder’ (n 1).</w:t>
      </w:r>
      <w:r>
        <w:fldChar w:fldCharType="end"/>
      </w:r>
    </w:p>
  </w:footnote>
  <w:footnote w:id="11">
    <w:p w:rsidR="00187FC8" w:rsidRDefault="00187FC8" w:rsidP="00187FC8">
      <w:pPr>
        <w:pStyle w:val="FootnoteText"/>
      </w:pPr>
      <w:r>
        <w:rPr>
          <w:rStyle w:val="FootnoteReference"/>
        </w:rPr>
        <w:footnoteRef/>
      </w:r>
      <w:r>
        <w:t xml:space="preserve"> </w:t>
      </w:r>
      <w:r>
        <w:fldChar w:fldCharType="begin"/>
      </w:r>
      <w:r>
        <w:instrText xml:space="preserve"> ADDIN ZOTERO_ITEM CSL_CITATION {"citationID":"YoH3zumV","properties":{"formattedCitation":"ibid.","plainCitation":"ibid.","noteIndex":6},"citationItems":[{"id":648,"uris":["http://zotero.org/users/local/Xiqgy1SU/items/SPX2F88M"],"itemData":{"id":648,"type":"report","abstract":"The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160394">
        <w:rPr>
          <w:rFonts w:ascii="Georgia" w:hAnsi="Georgia"/>
        </w:rPr>
        <w:t>ibid.</w:t>
      </w:r>
      <w:r>
        <w:fldChar w:fldCharType="end"/>
      </w:r>
    </w:p>
  </w:footnote>
  <w:footnote w:id="12">
    <w:p w:rsidR="00187FC8" w:rsidRDefault="00187FC8" w:rsidP="00187FC8">
      <w:pPr>
        <w:pStyle w:val="FootnoteText"/>
      </w:pPr>
      <w:r>
        <w:rPr>
          <w:rStyle w:val="FootnoteReference"/>
        </w:rPr>
        <w:footnoteRef/>
      </w:r>
      <w:r>
        <w:t xml:space="preserve"> </w:t>
      </w:r>
      <w:r>
        <w:fldChar w:fldCharType="begin"/>
      </w:r>
      <w:r>
        <w:instrText xml:space="preserve"> ADDIN ZOTERO_ITEM CSL_CITATION {"citationID":"rnzN9DY5","properties":{"formattedCitation":"ibid.","plainCitation":"ibid.","noteIndex":7},"citationItems":[{"id":648,"uris":["http://zotero.org/users/local/Xiqgy1SU/items/SPX2F88M"],"itemData":{"id":648,"type":"report","abstract":"The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160394">
        <w:rPr>
          <w:rFonts w:ascii="Georgia" w:hAnsi="Georgia"/>
        </w:rPr>
        <w:t>ibid.</w:t>
      </w:r>
      <w:r>
        <w:fldChar w:fldCharType="end"/>
      </w:r>
    </w:p>
  </w:footnote>
  <w:footnote w:id="13">
    <w:p w:rsidR="00116423" w:rsidRPr="005D41B3" w:rsidRDefault="00116423">
      <w:pPr>
        <w:pStyle w:val="FootnoteText"/>
        <w:rPr>
          <w:rFonts w:ascii="Times New Roman" w:hAnsi="Times New Roman" w:cs="Times New Roman"/>
          <w:lang w:val="fr-FR"/>
        </w:rPr>
      </w:pPr>
      <w:r>
        <w:rPr>
          <w:rStyle w:val="FootnoteReference"/>
        </w:rPr>
        <w:footnoteRef/>
      </w:r>
      <w:r w:rsidRPr="005D41B3">
        <w:rPr>
          <w:lang w:val="fr-FR"/>
        </w:rPr>
        <w:t xml:space="preserve"> </w:t>
      </w:r>
      <w:r w:rsidR="005D41B3" w:rsidRPr="005D41B3">
        <w:rPr>
          <w:rFonts w:ascii="Times New Roman" w:hAnsi="Times New Roman" w:cs="Times New Roman"/>
          <w:lang w:val="fr-FR"/>
        </w:rPr>
        <w:t>En informatique, il s'agit d'un espace de réalité virtuelle dans lequel les utilisateurs peuvent interagir avec un environnement généré par ordinateur et d'autres utilisateurs.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7E" w:rsidRDefault="00625F7E" w:rsidP="00625F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C3" w:rsidRDefault="00593FC3" w:rsidP="00593FC3">
    <w:pPr>
      <w:pStyle w:val="Header"/>
      <w:tabs>
        <w:tab w:val="right" w:pos="3686"/>
        <w:tab w:val="left" w:pos="5812"/>
      </w:tabs>
      <w:jc w:val="center"/>
      <w:rPr>
        <w:sz w:val="14"/>
        <w:szCs w:val="14"/>
        <w:lang w:val="fr-CH"/>
      </w:rPr>
    </w:pPr>
    <w:r>
      <w:rPr>
        <w:noProof/>
        <w:sz w:val="14"/>
        <w:szCs w:val="14"/>
        <w:lang w:val="en-GB"/>
      </w:rPr>
      <w:drawing>
        <wp:inline distT="0" distB="0" distL="0" distR="0" wp14:anchorId="2458A984" wp14:editId="786BE452">
          <wp:extent cx="2838450" cy="1219200"/>
          <wp:effectExtent l="0" t="0" r="0" b="0"/>
          <wp:docPr id="4" name="Picture 4"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rsidR="00593FC3" w:rsidRPr="0020035C" w:rsidRDefault="00593FC3" w:rsidP="00593FC3">
    <w:pPr>
      <w:pStyle w:val="Header"/>
      <w:tabs>
        <w:tab w:val="right" w:pos="3686"/>
        <w:tab w:val="left" w:pos="5812"/>
      </w:tabs>
      <w:jc w:val="center"/>
      <w:rPr>
        <w:rFonts w:ascii="Times New Roman" w:hAnsi="Times New Roman" w:cs="Times New Roman"/>
        <w:sz w:val="14"/>
        <w:szCs w:val="14"/>
        <w:lang w:val="fr-CH"/>
      </w:rPr>
    </w:pPr>
    <w:r w:rsidRPr="0020035C">
      <w:rPr>
        <w:rFonts w:ascii="Times New Roman" w:hAnsi="Times New Roman" w:cs="Times New Roman"/>
        <w:sz w:val="14"/>
        <w:szCs w:val="14"/>
        <w:lang w:val="fr-CH"/>
      </w:rPr>
      <w:t>PALAIS DES NATIONS • 1211 GENEVA 10, SWITZERLAND</w:t>
    </w:r>
  </w:p>
  <w:p w:rsidR="00013C11" w:rsidRPr="00013C11" w:rsidRDefault="00593FC3" w:rsidP="00593FC3">
    <w:pPr>
      <w:pStyle w:val="Header"/>
      <w:tabs>
        <w:tab w:val="right" w:pos="3686"/>
        <w:tab w:val="left" w:pos="5812"/>
      </w:tabs>
      <w:spacing w:before="80" w:after="360"/>
      <w:jc w:val="center"/>
      <w:rPr>
        <w:sz w:val="14"/>
        <w:szCs w:val="14"/>
        <w:lang w:val="fr-CH"/>
      </w:rPr>
    </w:pPr>
    <w:r w:rsidRPr="0020035C">
      <w:rPr>
        <w:rFonts w:ascii="Times New Roman" w:hAnsi="Times New Roman" w:cs="Times New Roman"/>
        <w:sz w:val="14"/>
        <w:szCs w:val="14"/>
        <w:lang w:val="fr-CH"/>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3CAB"/>
    <w:multiLevelType w:val="hybridMultilevel"/>
    <w:tmpl w:val="374E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500C6"/>
    <w:multiLevelType w:val="hybridMultilevel"/>
    <w:tmpl w:val="8026B1A4"/>
    <w:lvl w:ilvl="0" w:tplc="8B408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63D9E"/>
    <w:multiLevelType w:val="multilevel"/>
    <w:tmpl w:val="1374C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DA57F9"/>
    <w:multiLevelType w:val="hybridMultilevel"/>
    <w:tmpl w:val="2AA2D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E0NDUwtLAwMDM2NjVR0lEKTi0uzszPAykwrAUAg+20miwAAAA="/>
  </w:docVars>
  <w:rsids>
    <w:rsidRoot w:val="00552154"/>
    <w:rsid w:val="00001229"/>
    <w:rsid w:val="000116F2"/>
    <w:rsid w:val="00013C11"/>
    <w:rsid w:val="00016DC8"/>
    <w:rsid w:val="00020F2F"/>
    <w:rsid w:val="00056484"/>
    <w:rsid w:val="00065323"/>
    <w:rsid w:val="0007104B"/>
    <w:rsid w:val="00075D38"/>
    <w:rsid w:val="00094CEE"/>
    <w:rsid w:val="000C4160"/>
    <w:rsid w:val="000D0061"/>
    <w:rsid w:val="000E4841"/>
    <w:rsid w:val="00116423"/>
    <w:rsid w:val="0015460A"/>
    <w:rsid w:val="001602A2"/>
    <w:rsid w:val="00161B83"/>
    <w:rsid w:val="00167CCB"/>
    <w:rsid w:val="001836F4"/>
    <w:rsid w:val="00187FC8"/>
    <w:rsid w:val="0019070C"/>
    <w:rsid w:val="001A2242"/>
    <w:rsid w:val="001A3611"/>
    <w:rsid w:val="001A644E"/>
    <w:rsid w:val="001D5AB6"/>
    <w:rsid w:val="001F3A3F"/>
    <w:rsid w:val="001F77D1"/>
    <w:rsid w:val="00214F15"/>
    <w:rsid w:val="00236216"/>
    <w:rsid w:val="00246C85"/>
    <w:rsid w:val="00290C80"/>
    <w:rsid w:val="00292DFB"/>
    <w:rsid w:val="002C7850"/>
    <w:rsid w:val="002D1871"/>
    <w:rsid w:val="002D420B"/>
    <w:rsid w:val="002F5424"/>
    <w:rsid w:val="002F7DD8"/>
    <w:rsid w:val="00311F10"/>
    <w:rsid w:val="00315C6B"/>
    <w:rsid w:val="0032442A"/>
    <w:rsid w:val="00333E24"/>
    <w:rsid w:val="00351EDE"/>
    <w:rsid w:val="00352D4C"/>
    <w:rsid w:val="00360211"/>
    <w:rsid w:val="00366B05"/>
    <w:rsid w:val="003733E2"/>
    <w:rsid w:val="00383AC7"/>
    <w:rsid w:val="00386660"/>
    <w:rsid w:val="00391DBC"/>
    <w:rsid w:val="00395CC5"/>
    <w:rsid w:val="003B3733"/>
    <w:rsid w:val="003C791E"/>
    <w:rsid w:val="003E0923"/>
    <w:rsid w:val="003E095C"/>
    <w:rsid w:val="003F3E35"/>
    <w:rsid w:val="00410A02"/>
    <w:rsid w:val="00410F9D"/>
    <w:rsid w:val="00443FC4"/>
    <w:rsid w:val="00452B45"/>
    <w:rsid w:val="0048711F"/>
    <w:rsid w:val="004C415A"/>
    <w:rsid w:val="004D3A5E"/>
    <w:rsid w:val="004E3052"/>
    <w:rsid w:val="004F5546"/>
    <w:rsid w:val="00514B62"/>
    <w:rsid w:val="005314A8"/>
    <w:rsid w:val="00535156"/>
    <w:rsid w:val="005378A8"/>
    <w:rsid w:val="00551D14"/>
    <w:rsid w:val="00552154"/>
    <w:rsid w:val="00553A6E"/>
    <w:rsid w:val="00562702"/>
    <w:rsid w:val="00564AB6"/>
    <w:rsid w:val="005657A1"/>
    <w:rsid w:val="00593FC3"/>
    <w:rsid w:val="005A10D1"/>
    <w:rsid w:val="005B0D70"/>
    <w:rsid w:val="005D41B3"/>
    <w:rsid w:val="005E28FA"/>
    <w:rsid w:val="005E4888"/>
    <w:rsid w:val="005F50CC"/>
    <w:rsid w:val="00610DD9"/>
    <w:rsid w:val="00612782"/>
    <w:rsid w:val="00622940"/>
    <w:rsid w:val="00622B40"/>
    <w:rsid w:val="00625F7E"/>
    <w:rsid w:val="00627F92"/>
    <w:rsid w:val="00681B65"/>
    <w:rsid w:val="00686CD7"/>
    <w:rsid w:val="006A0033"/>
    <w:rsid w:val="006A2C3C"/>
    <w:rsid w:val="006D3724"/>
    <w:rsid w:val="006E27F8"/>
    <w:rsid w:val="007009F9"/>
    <w:rsid w:val="00713CD3"/>
    <w:rsid w:val="0072038E"/>
    <w:rsid w:val="00745EF0"/>
    <w:rsid w:val="00762BE8"/>
    <w:rsid w:val="007740C5"/>
    <w:rsid w:val="00777E29"/>
    <w:rsid w:val="00791211"/>
    <w:rsid w:val="007A197B"/>
    <w:rsid w:val="007A5CD1"/>
    <w:rsid w:val="007B3B12"/>
    <w:rsid w:val="007D24A9"/>
    <w:rsid w:val="007D4157"/>
    <w:rsid w:val="007E755C"/>
    <w:rsid w:val="00820B3C"/>
    <w:rsid w:val="00832F85"/>
    <w:rsid w:val="0084126C"/>
    <w:rsid w:val="00844F15"/>
    <w:rsid w:val="00851E73"/>
    <w:rsid w:val="00862CAE"/>
    <w:rsid w:val="00864499"/>
    <w:rsid w:val="008645A1"/>
    <w:rsid w:val="008C02E8"/>
    <w:rsid w:val="00902ABD"/>
    <w:rsid w:val="00936E66"/>
    <w:rsid w:val="00946860"/>
    <w:rsid w:val="009A459C"/>
    <w:rsid w:val="009A6A7E"/>
    <w:rsid w:val="009E66F7"/>
    <w:rsid w:val="009F5CE0"/>
    <w:rsid w:val="00A11597"/>
    <w:rsid w:val="00A23BB7"/>
    <w:rsid w:val="00A646B1"/>
    <w:rsid w:val="00A66E34"/>
    <w:rsid w:val="00A806D7"/>
    <w:rsid w:val="00A82690"/>
    <w:rsid w:val="00A95FB9"/>
    <w:rsid w:val="00AD0F67"/>
    <w:rsid w:val="00AD32ED"/>
    <w:rsid w:val="00AE0D07"/>
    <w:rsid w:val="00AE43A5"/>
    <w:rsid w:val="00B03DEF"/>
    <w:rsid w:val="00B06FF3"/>
    <w:rsid w:val="00B113A5"/>
    <w:rsid w:val="00B1511B"/>
    <w:rsid w:val="00B1759F"/>
    <w:rsid w:val="00B3361B"/>
    <w:rsid w:val="00B51B1B"/>
    <w:rsid w:val="00B7199A"/>
    <w:rsid w:val="00B96FD0"/>
    <w:rsid w:val="00BA0AF1"/>
    <w:rsid w:val="00BC1041"/>
    <w:rsid w:val="00BD4EC7"/>
    <w:rsid w:val="00BF2716"/>
    <w:rsid w:val="00BF3D75"/>
    <w:rsid w:val="00C0020C"/>
    <w:rsid w:val="00C145BD"/>
    <w:rsid w:val="00C24CA8"/>
    <w:rsid w:val="00C64022"/>
    <w:rsid w:val="00C84D76"/>
    <w:rsid w:val="00C93165"/>
    <w:rsid w:val="00CA34B0"/>
    <w:rsid w:val="00CB4649"/>
    <w:rsid w:val="00CC3F58"/>
    <w:rsid w:val="00CF5793"/>
    <w:rsid w:val="00CF7632"/>
    <w:rsid w:val="00D21EFD"/>
    <w:rsid w:val="00D27CE3"/>
    <w:rsid w:val="00D406CD"/>
    <w:rsid w:val="00D43CD2"/>
    <w:rsid w:val="00D441C4"/>
    <w:rsid w:val="00D62E65"/>
    <w:rsid w:val="00D75BF8"/>
    <w:rsid w:val="00D8446A"/>
    <w:rsid w:val="00D86C23"/>
    <w:rsid w:val="00D9610E"/>
    <w:rsid w:val="00DA16B4"/>
    <w:rsid w:val="00DA1D0B"/>
    <w:rsid w:val="00DC10ED"/>
    <w:rsid w:val="00DC3AF4"/>
    <w:rsid w:val="00DC609D"/>
    <w:rsid w:val="00DF40AF"/>
    <w:rsid w:val="00DF53A1"/>
    <w:rsid w:val="00E0012E"/>
    <w:rsid w:val="00E129E4"/>
    <w:rsid w:val="00E17F04"/>
    <w:rsid w:val="00E44DEF"/>
    <w:rsid w:val="00E542FF"/>
    <w:rsid w:val="00E5455C"/>
    <w:rsid w:val="00E66097"/>
    <w:rsid w:val="00E71C52"/>
    <w:rsid w:val="00E75A4B"/>
    <w:rsid w:val="00EA5098"/>
    <w:rsid w:val="00EC489B"/>
    <w:rsid w:val="00EC4AFA"/>
    <w:rsid w:val="00ED4EAE"/>
    <w:rsid w:val="00EE1161"/>
    <w:rsid w:val="00EF1122"/>
    <w:rsid w:val="00EF4FE7"/>
    <w:rsid w:val="00F021A1"/>
    <w:rsid w:val="00F10ABE"/>
    <w:rsid w:val="00F43508"/>
    <w:rsid w:val="00F9082D"/>
    <w:rsid w:val="00F9313A"/>
    <w:rsid w:val="00FA405F"/>
    <w:rsid w:val="00FA440C"/>
    <w:rsid w:val="00FC1417"/>
    <w:rsid w:val="00FC2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94AB"/>
  <w15:docId w15:val="{F1B8116E-962E-41EF-9D45-7560DB4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1C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1C52"/>
    <w:rPr>
      <w:b/>
      <w:bCs/>
    </w:rPr>
  </w:style>
  <w:style w:type="character" w:customStyle="1" w:styleId="CommentSubjectChar">
    <w:name w:val="Comment Subject Char"/>
    <w:basedOn w:val="CommentTextChar"/>
    <w:link w:val="CommentSubject"/>
    <w:uiPriority w:val="99"/>
    <w:semiHidden/>
    <w:rsid w:val="00E71C52"/>
    <w:rPr>
      <w:b/>
      <w:bCs/>
      <w:sz w:val="20"/>
      <w:szCs w:val="20"/>
    </w:rPr>
  </w:style>
  <w:style w:type="paragraph" w:styleId="NormalWeb">
    <w:name w:val="Normal (Web)"/>
    <w:basedOn w:val="Normal"/>
    <w:uiPriority w:val="99"/>
    <w:semiHidden/>
    <w:unhideWhenUsed/>
    <w:rsid w:val="009F5CE0"/>
    <w:rPr>
      <w:rFonts w:ascii="Times New Roman" w:hAnsi="Times New Roman" w:cs="Times New Roman"/>
      <w:sz w:val="24"/>
      <w:szCs w:val="24"/>
    </w:rPr>
  </w:style>
  <w:style w:type="paragraph" w:styleId="ListParagraph">
    <w:name w:val="List Paragraph"/>
    <w:basedOn w:val="Normal"/>
    <w:uiPriority w:val="34"/>
    <w:qFormat/>
    <w:rsid w:val="00DC609D"/>
    <w:pPr>
      <w:ind w:left="720"/>
      <w:contextualSpacing/>
    </w:pPr>
  </w:style>
  <w:style w:type="paragraph" w:styleId="FootnoteText">
    <w:name w:val="footnote text"/>
    <w:basedOn w:val="Normal"/>
    <w:link w:val="FootnoteTextChar"/>
    <w:uiPriority w:val="99"/>
    <w:semiHidden/>
    <w:unhideWhenUsed/>
    <w:rsid w:val="00292DFB"/>
    <w:pPr>
      <w:spacing w:line="240" w:lineRule="auto"/>
    </w:pPr>
    <w:rPr>
      <w:sz w:val="20"/>
      <w:szCs w:val="20"/>
    </w:rPr>
  </w:style>
  <w:style w:type="character" w:customStyle="1" w:styleId="FootnoteTextChar">
    <w:name w:val="Footnote Text Char"/>
    <w:basedOn w:val="DefaultParagraphFont"/>
    <w:link w:val="FootnoteText"/>
    <w:uiPriority w:val="99"/>
    <w:semiHidden/>
    <w:rsid w:val="00292DFB"/>
    <w:rPr>
      <w:sz w:val="20"/>
      <w:szCs w:val="20"/>
    </w:rPr>
  </w:style>
  <w:style w:type="character" w:styleId="FootnoteReference">
    <w:name w:val="footnote reference"/>
    <w:basedOn w:val="DefaultParagraphFont"/>
    <w:uiPriority w:val="99"/>
    <w:semiHidden/>
    <w:unhideWhenUsed/>
    <w:rsid w:val="00292DFB"/>
    <w:rPr>
      <w:vertAlign w:val="superscript"/>
    </w:rPr>
  </w:style>
  <w:style w:type="character" w:styleId="Hyperlink">
    <w:name w:val="Hyperlink"/>
    <w:basedOn w:val="DefaultParagraphFont"/>
    <w:uiPriority w:val="99"/>
    <w:unhideWhenUsed/>
    <w:rsid w:val="00214F15"/>
    <w:rPr>
      <w:color w:val="0000FF" w:themeColor="hyperlink"/>
      <w:u w:val="single"/>
    </w:rPr>
  </w:style>
  <w:style w:type="paragraph" w:styleId="Revision">
    <w:name w:val="Revision"/>
    <w:hidden/>
    <w:uiPriority w:val="99"/>
    <w:semiHidden/>
    <w:rsid w:val="00BA0AF1"/>
    <w:pPr>
      <w:spacing w:line="240" w:lineRule="auto"/>
    </w:pPr>
  </w:style>
  <w:style w:type="paragraph" w:styleId="Header">
    <w:name w:val="header"/>
    <w:basedOn w:val="Normal"/>
    <w:link w:val="HeaderChar"/>
    <w:uiPriority w:val="99"/>
    <w:unhideWhenUsed/>
    <w:rsid w:val="00BF2716"/>
    <w:pPr>
      <w:tabs>
        <w:tab w:val="center" w:pos="4513"/>
        <w:tab w:val="right" w:pos="9026"/>
      </w:tabs>
      <w:spacing w:line="240" w:lineRule="auto"/>
    </w:pPr>
  </w:style>
  <w:style w:type="character" w:customStyle="1" w:styleId="HeaderChar">
    <w:name w:val="Header Char"/>
    <w:basedOn w:val="DefaultParagraphFont"/>
    <w:link w:val="Header"/>
    <w:uiPriority w:val="99"/>
    <w:rsid w:val="00BF2716"/>
  </w:style>
  <w:style w:type="paragraph" w:styleId="Footer">
    <w:name w:val="footer"/>
    <w:basedOn w:val="Normal"/>
    <w:link w:val="FooterChar"/>
    <w:uiPriority w:val="99"/>
    <w:unhideWhenUsed/>
    <w:rsid w:val="00BF2716"/>
    <w:pPr>
      <w:tabs>
        <w:tab w:val="center" w:pos="4513"/>
        <w:tab w:val="right" w:pos="9026"/>
      </w:tabs>
      <w:spacing w:line="240" w:lineRule="auto"/>
    </w:pPr>
  </w:style>
  <w:style w:type="character" w:customStyle="1" w:styleId="FooterChar">
    <w:name w:val="Footer Char"/>
    <w:basedOn w:val="DefaultParagraphFont"/>
    <w:link w:val="Footer"/>
    <w:uiPriority w:val="99"/>
    <w:rsid w:val="00BF2716"/>
  </w:style>
  <w:style w:type="character" w:customStyle="1" w:styleId="UnresolvedMention1">
    <w:name w:val="Unresolved Mention1"/>
    <w:basedOn w:val="DefaultParagraphFont"/>
    <w:uiPriority w:val="99"/>
    <w:semiHidden/>
    <w:unhideWhenUsed/>
    <w:rsid w:val="002F5424"/>
    <w:rPr>
      <w:color w:val="605E5C"/>
      <w:shd w:val="clear" w:color="auto" w:fill="E1DFDD"/>
    </w:rPr>
  </w:style>
  <w:style w:type="character" w:customStyle="1" w:styleId="UnresolvedMention2">
    <w:name w:val="Unresolved Mention2"/>
    <w:basedOn w:val="DefaultParagraphFont"/>
    <w:uiPriority w:val="99"/>
    <w:semiHidden/>
    <w:unhideWhenUsed/>
    <w:rsid w:val="007D24A9"/>
    <w:rPr>
      <w:color w:val="605E5C"/>
      <w:shd w:val="clear" w:color="auto" w:fill="E1DFDD"/>
    </w:rPr>
  </w:style>
  <w:style w:type="table" w:styleId="TableGrid">
    <w:name w:val="Table Grid"/>
    <w:basedOn w:val="TableNormal"/>
    <w:uiPriority w:val="59"/>
    <w:rsid w:val="00593FC3"/>
    <w:pPr>
      <w:spacing w:line="240" w:lineRule="auto"/>
    </w:pPr>
    <w:rPr>
      <w:rFonts w:ascii="Helvetica Neue" w:eastAsia="Helvetica Neue" w:hAnsi="Helvetica Neue" w:cs="Helvetica Neue"/>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02E8"/>
    <w:pPr>
      <w:autoSpaceDE w:val="0"/>
      <w:autoSpaceDN w:val="0"/>
      <w:adjustRightInd w:val="0"/>
      <w:spacing w:line="240" w:lineRule="auto"/>
    </w:pPr>
    <w:rPr>
      <w:rFonts w:ascii="Times New Roman" w:eastAsiaTheme="minorHAnsi" w:hAnsi="Times New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7846">
      <w:bodyDiv w:val="1"/>
      <w:marLeft w:val="0"/>
      <w:marRight w:val="0"/>
      <w:marTop w:val="0"/>
      <w:marBottom w:val="0"/>
      <w:divBdr>
        <w:top w:val="none" w:sz="0" w:space="0" w:color="auto"/>
        <w:left w:val="none" w:sz="0" w:space="0" w:color="auto"/>
        <w:bottom w:val="none" w:sz="0" w:space="0" w:color="auto"/>
        <w:right w:val="none" w:sz="0" w:space="0" w:color="auto"/>
      </w:divBdr>
      <w:divsChild>
        <w:div w:id="228535743">
          <w:marLeft w:val="0"/>
          <w:marRight w:val="0"/>
          <w:marTop w:val="0"/>
          <w:marBottom w:val="0"/>
          <w:divBdr>
            <w:top w:val="none" w:sz="0" w:space="0" w:color="auto"/>
            <w:left w:val="none" w:sz="0" w:space="0" w:color="auto"/>
            <w:bottom w:val="none" w:sz="0" w:space="0" w:color="auto"/>
            <w:right w:val="none" w:sz="0" w:space="0" w:color="auto"/>
          </w:divBdr>
          <w:divsChild>
            <w:div w:id="1431778718">
              <w:marLeft w:val="0"/>
              <w:marRight w:val="0"/>
              <w:marTop w:val="0"/>
              <w:marBottom w:val="0"/>
              <w:divBdr>
                <w:top w:val="none" w:sz="0" w:space="0" w:color="auto"/>
                <w:left w:val="none" w:sz="0" w:space="0" w:color="auto"/>
                <w:bottom w:val="none" w:sz="0" w:space="0" w:color="auto"/>
                <w:right w:val="none" w:sz="0" w:space="0" w:color="auto"/>
              </w:divBdr>
              <w:divsChild>
                <w:div w:id="2617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46854">
      <w:bodyDiv w:val="1"/>
      <w:marLeft w:val="0"/>
      <w:marRight w:val="0"/>
      <w:marTop w:val="0"/>
      <w:marBottom w:val="0"/>
      <w:divBdr>
        <w:top w:val="none" w:sz="0" w:space="0" w:color="auto"/>
        <w:left w:val="none" w:sz="0" w:space="0" w:color="auto"/>
        <w:bottom w:val="none" w:sz="0" w:space="0" w:color="auto"/>
        <w:right w:val="none" w:sz="0" w:space="0" w:color="auto"/>
      </w:divBdr>
    </w:div>
    <w:div w:id="2117291382">
      <w:bodyDiv w:val="1"/>
      <w:marLeft w:val="0"/>
      <w:marRight w:val="0"/>
      <w:marTop w:val="0"/>
      <w:marBottom w:val="0"/>
      <w:divBdr>
        <w:top w:val="none" w:sz="0" w:space="0" w:color="auto"/>
        <w:left w:val="none" w:sz="0" w:space="0" w:color="auto"/>
        <w:bottom w:val="none" w:sz="0" w:space="0" w:color="auto"/>
        <w:right w:val="none" w:sz="0" w:space="0" w:color="auto"/>
      </w:divBdr>
      <w:divsChild>
        <w:div w:id="763963491">
          <w:marLeft w:val="0"/>
          <w:marRight w:val="0"/>
          <w:marTop w:val="0"/>
          <w:marBottom w:val="0"/>
          <w:divBdr>
            <w:top w:val="none" w:sz="0" w:space="0" w:color="auto"/>
            <w:left w:val="none" w:sz="0" w:space="0" w:color="auto"/>
            <w:bottom w:val="none" w:sz="0" w:space="0" w:color="auto"/>
            <w:right w:val="none" w:sz="0" w:space="0" w:color="auto"/>
          </w:divBdr>
          <w:divsChild>
            <w:div w:id="936979363">
              <w:marLeft w:val="0"/>
              <w:marRight w:val="0"/>
              <w:marTop w:val="0"/>
              <w:marBottom w:val="0"/>
              <w:divBdr>
                <w:top w:val="none" w:sz="0" w:space="0" w:color="auto"/>
                <w:left w:val="none" w:sz="0" w:space="0" w:color="auto"/>
                <w:bottom w:val="none" w:sz="0" w:space="0" w:color="auto"/>
                <w:right w:val="none" w:sz="0" w:space="0" w:color="auto"/>
              </w:divBdr>
              <w:divsChild>
                <w:div w:id="2126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registry@u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ie-foreigndebt@u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special-procedures/ie-foreign-deb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2.deloitte.com/mt/en/pages/technology/articles/mt-what-is-digital-economy.html" TargetMode="External"/><Relationship Id="rId2" Type="http://schemas.openxmlformats.org/officeDocument/2006/relationships/hyperlink" Target="https://www.worldbank.org/en/topic/digitaldevelopment/overview" TargetMode="External"/><Relationship Id="rId1" Type="http://schemas.openxmlformats.org/officeDocument/2006/relationships/hyperlink" Target="https://www.huawei.com/minisite/gci/en/digital-spillover/files/gci_digital_spillover.pdf" TargetMode="External"/><Relationship Id="rId4" Type="http://schemas.openxmlformats.org/officeDocument/2006/relationships/hyperlink" Target="https://primarysources.brillonline.com/browse/human-rights-documents-online/promotion-and-protection-of-all-human-rights-civil-political-economic-social-and-cultural-rights-including-the-right-to-development;hrdhrd997020161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9AEDF-7567-4ADA-9A05-D16C88D962BB}">
  <ds:schemaRefs>
    <ds:schemaRef ds:uri="http://schemas.microsoft.com/sharepoint/v3/contenttype/forms"/>
  </ds:schemaRefs>
</ds:datastoreItem>
</file>

<file path=customXml/itemProps2.xml><?xml version="1.0" encoding="utf-8"?>
<ds:datastoreItem xmlns:ds="http://schemas.openxmlformats.org/officeDocument/2006/customXml" ds:itemID="{2D8A2514-B910-46C2-8291-E75CC7A0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079C6-22DC-41DC-87F2-9C4CD77CE0B7}">
  <ds:schemaRefs>
    <ds:schemaRef ds:uri="http://schemas.microsoft.com/office/2006/metadata/properties"/>
    <ds:schemaRef ds:uri="http://schemas.microsoft.com/office/infopath/2007/PartnerControls"/>
    <ds:schemaRef ds:uri="f62cadcd-e163-4118-ac05-a32b5a627a72"/>
  </ds:schemaRefs>
</ds:datastoreItem>
</file>

<file path=customXml/itemProps4.xml><?xml version="1.0" encoding="utf-8"?>
<ds:datastoreItem xmlns:ds="http://schemas.openxmlformats.org/officeDocument/2006/customXml" ds:itemID="{6FC1613E-2EBA-462C-BB5B-60F63C6E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SOTOMAYOR Juana</dc:creator>
  <cp:lastModifiedBy>PALAZZO Cristina Maria Carmela</cp:lastModifiedBy>
  <cp:revision>41</cp:revision>
  <dcterms:created xsi:type="dcterms:W3CDTF">2022-08-22T11:02:00Z</dcterms:created>
  <dcterms:modified xsi:type="dcterms:W3CDTF">2022-08-22T11:21:00Z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