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C29" w:rsidRPr="00575665" w:rsidRDefault="008F3BEA" w:rsidP="009C5CCD">
      <w:pPr>
        <w:jc w:val="center"/>
        <w:rPr>
          <w:b/>
          <w:lang w:val="es-ES_tradnl"/>
        </w:rPr>
      </w:pPr>
      <w:r>
        <w:rPr>
          <w:b/>
          <w:lang w:val="es-ES_tradnl"/>
        </w:rPr>
        <w:t>RESPUESTA</w:t>
      </w:r>
      <w:r w:rsidR="00B62C29" w:rsidRPr="003474E3">
        <w:rPr>
          <w:b/>
          <w:lang w:val="es-ES_tradnl"/>
        </w:rPr>
        <w:t xml:space="preserve"> DE ESPAÑA A LA SOLICITUD DE CONTRIBUCIONES DEL RELATOR ESPECIAL SOBRE EL DERECHO A LA ALIMENTACIÓN SOBRE </w:t>
      </w:r>
      <w:r w:rsidR="00D778C2">
        <w:rPr>
          <w:b/>
          <w:lang w:val="es-ES_tradnl"/>
        </w:rPr>
        <w:t>“</w:t>
      </w:r>
      <w:r w:rsidR="00B62C29" w:rsidRPr="003474E3">
        <w:rPr>
          <w:b/>
          <w:lang w:val="es-ES_tradnl"/>
        </w:rPr>
        <w:t xml:space="preserve">LA HAMBRUNA DESDE LA PERSPECTIVA DE LOS DERECHOS HUMANOS Y CON ÉNFASIS EN LA SOBERANÍA ALIMENTARIA DEL PUEBLO </w:t>
      </w:r>
      <w:r w:rsidR="00B62C29" w:rsidRPr="00575665">
        <w:rPr>
          <w:b/>
          <w:lang w:val="es-ES_tradnl"/>
        </w:rPr>
        <w:t>PALESTINO</w:t>
      </w:r>
      <w:r w:rsidR="00D778C2" w:rsidRPr="00575665">
        <w:rPr>
          <w:b/>
          <w:lang w:val="es-ES_tradnl"/>
        </w:rPr>
        <w:t>”</w:t>
      </w:r>
    </w:p>
    <w:p w:rsidR="00B62C29" w:rsidRPr="00575665" w:rsidRDefault="00B62C29" w:rsidP="00B62C29">
      <w:pPr>
        <w:autoSpaceDE w:val="0"/>
        <w:autoSpaceDN w:val="0"/>
        <w:adjustRightInd w:val="0"/>
        <w:spacing w:before="240" w:line="276" w:lineRule="auto"/>
        <w:ind w:firstLine="709"/>
        <w:jc w:val="both"/>
        <w:rPr>
          <w:rFonts w:eastAsia="Calibri" w:cstheme="minorHAnsi"/>
        </w:rPr>
      </w:pPr>
      <w:r w:rsidRPr="00575665">
        <w:rPr>
          <w:rFonts w:eastAsia="Calibri" w:cstheme="minorHAnsi"/>
        </w:rPr>
        <w:t>Atendiendo a la solicitud de información</w:t>
      </w:r>
      <w:r w:rsidR="00D778C2" w:rsidRPr="00575665">
        <w:rPr>
          <w:rFonts w:eastAsia="Calibri" w:cstheme="minorHAnsi"/>
        </w:rPr>
        <w:t>,</w:t>
      </w:r>
      <w:r w:rsidRPr="00575665">
        <w:rPr>
          <w:rFonts w:eastAsia="Calibri" w:cstheme="minorHAnsi"/>
        </w:rPr>
        <w:t xml:space="preserve"> enviada por la Oficina del Alto Comisionado de las Naciones Unidas para los Derechos Humanos</w:t>
      </w:r>
      <w:r w:rsidR="00D778C2" w:rsidRPr="00575665">
        <w:rPr>
          <w:rFonts w:eastAsia="Calibri" w:cstheme="minorHAnsi"/>
        </w:rPr>
        <w:t>,</w:t>
      </w:r>
      <w:r w:rsidRPr="00575665">
        <w:rPr>
          <w:rFonts w:eastAsia="Calibri" w:cstheme="minorHAnsi"/>
        </w:rPr>
        <w:t xml:space="preserve"> del Relator Especial sobre el derecho a la alimentación para la elaboración de un informe temático sobre “la hambruna desde la perspectiva de los derechos humanos y con énfasis en la soberanía alimentaria del pueblo palestino”, que será presentado en la 79ª sesión de la Asamblea General de Naciones Unidas, España traslada las siguientes aportaciones:</w:t>
      </w:r>
    </w:p>
    <w:p w:rsidR="006656FF" w:rsidRPr="00575665" w:rsidRDefault="006656FF" w:rsidP="006656FF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240" w:line="276" w:lineRule="auto"/>
        <w:jc w:val="both"/>
        <w:rPr>
          <w:b/>
        </w:rPr>
      </w:pPr>
      <w:r w:rsidRPr="00575665">
        <w:rPr>
          <w:b/>
        </w:rPr>
        <w:t>¿Cómo pueden los derechos humanos generar una “alerta precoz” para prevenir la hambruna?</w:t>
      </w:r>
    </w:p>
    <w:p w:rsidR="00910B86" w:rsidRPr="00575665" w:rsidRDefault="00AA44D4" w:rsidP="00910B86">
      <w:pPr>
        <w:autoSpaceDE w:val="0"/>
        <w:autoSpaceDN w:val="0"/>
        <w:adjustRightInd w:val="0"/>
        <w:spacing w:before="240" w:line="276" w:lineRule="auto"/>
        <w:ind w:firstLine="709"/>
        <w:jc w:val="both"/>
        <w:rPr>
          <w:rFonts w:eastAsia="Calibri" w:cstheme="minorHAnsi"/>
        </w:rPr>
      </w:pPr>
      <w:r w:rsidRPr="00575665">
        <w:rPr>
          <w:rFonts w:eastAsia="Calibri" w:cstheme="minorHAnsi"/>
        </w:rPr>
        <w:t>Los</w:t>
      </w:r>
      <w:r w:rsidR="006656FF" w:rsidRPr="00575665">
        <w:rPr>
          <w:rFonts w:eastAsia="Calibri" w:cstheme="minorHAnsi"/>
        </w:rPr>
        <w:t xml:space="preserve"> conflictos armados interrumpen el acceso de las poblaciones a alimentos, tierras, mercados y medios de vida, bien por la destrucción de infraestructura civil, por las restricciones materiales o legales de movimiento, por el desplazamiento forzado o por otras vías aprovechadas por las partes en conflicto para convertir la hambruna en arma de guerra</w:t>
      </w:r>
      <w:r w:rsidRPr="00575665">
        <w:rPr>
          <w:rStyle w:val="Refdenotaalpie"/>
          <w:rFonts w:eastAsia="Calibri" w:cstheme="minorHAnsi"/>
        </w:rPr>
        <w:footnoteReference w:id="1"/>
      </w:r>
      <w:r w:rsidR="006656FF" w:rsidRPr="00575665">
        <w:rPr>
          <w:rFonts w:eastAsia="Calibri" w:cstheme="minorHAnsi"/>
        </w:rPr>
        <w:t>.</w:t>
      </w:r>
      <w:r w:rsidR="004C1CDF" w:rsidRPr="00575665">
        <w:rPr>
          <w:rFonts w:eastAsia="Calibri" w:cstheme="minorHAnsi"/>
        </w:rPr>
        <w:t xml:space="preserve"> </w:t>
      </w:r>
      <w:r w:rsidR="004A19A4" w:rsidRPr="00575665">
        <w:rPr>
          <w:rFonts w:eastAsia="Calibri" w:cstheme="minorHAnsi"/>
        </w:rPr>
        <w:t>E</w:t>
      </w:r>
      <w:r w:rsidR="006656FF" w:rsidRPr="00575665">
        <w:rPr>
          <w:rFonts w:eastAsia="Calibri" w:cstheme="minorHAnsi"/>
        </w:rPr>
        <w:t>n estas situaciones son frecuentes las vulneraciones de los derechos humanos. Por ello, establecer un sistema de correlación entre la vulneración de derechos y el riesgo de hambruna, con indicadores medibles y comparables y respuestas adecuadas a cada nivel, puede constituir un sistema de alerta sobre la vulnerabilidad de las poblaciones civiles de esos contextos a sufrir hambruna.</w:t>
      </w:r>
    </w:p>
    <w:p w:rsidR="000478C5" w:rsidRPr="00575665" w:rsidRDefault="000478C5" w:rsidP="00910B86">
      <w:pPr>
        <w:autoSpaceDE w:val="0"/>
        <w:autoSpaceDN w:val="0"/>
        <w:adjustRightInd w:val="0"/>
        <w:spacing w:before="240" w:line="276" w:lineRule="auto"/>
        <w:ind w:firstLine="709"/>
        <w:jc w:val="both"/>
        <w:rPr>
          <w:rFonts w:eastAsia="Calibri" w:cstheme="minorHAnsi"/>
        </w:rPr>
      </w:pPr>
      <w:r w:rsidRPr="00575665">
        <w:rPr>
          <w:rFonts w:eastAsia="Calibri" w:cstheme="minorHAnsi"/>
        </w:rPr>
        <w:t>La acción humanitaria española otorga especial importancia al impacto diferenciado –</w:t>
      </w:r>
      <w:r w:rsidR="00E16B38">
        <w:rPr>
          <w:rFonts w:eastAsia="Calibri" w:cstheme="minorHAnsi"/>
        </w:rPr>
        <w:t xml:space="preserve"> </w:t>
      </w:r>
      <w:r w:rsidRPr="00575665">
        <w:rPr>
          <w:rFonts w:eastAsia="Calibri" w:cstheme="minorHAnsi"/>
        </w:rPr>
        <w:t>y exacerbado</w:t>
      </w:r>
      <w:r w:rsidR="00E16B38">
        <w:rPr>
          <w:rFonts w:eastAsia="Calibri" w:cstheme="minorHAnsi"/>
        </w:rPr>
        <w:t xml:space="preserve"> </w:t>
      </w:r>
      <w:r w:rsidRPr="00575665">
        <w:rPr>
          <w:rFonts w:eastAsia="Calibri" w:cstheme="minorHAnsi"/>
        </w:rPr>
        <w:t>– del hambre como arma de guerra en mujeres, niñas y adolescentes. Por ello, resulta esencial incorporar efectivamente el enfoque de género a cualquier sistema de alerta precoz para prevenir la hambruna.</w:t>
      </w:r>
    </w:p>
    <w:p w:rsidR="003C4B4D" w:rsidRPr="00575665" w:rsidRDefault="003C4B4D" w:rsidP="003C4B4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240" w:line="276" w:lineRule="auto"/>
        <w:jc w:val="both"/>
        <w:rPr>
          <w:b/>
        </w:rPr>
      </w:pPr>
      <w:r w:rsidRPr="00575665">
        <w:rPr>
          <w:b/>
        </w:rPr>
        <w:lastRenderedPageBreak/>
        <w:t>¿Qué ha hecho su Gobierno u organización para prevenir la hambruna en distintas zonas del mundo, como Sudán, Gaza y otros lugares?</w:t>
      </w:r>
    </w:p>
    <w:p w:rsidR="006F37C8" w:rsidRPr="00575665" w:rsidRDefault="006F37C8" w:rsidP="005928A8">
      <w:pPr>
        <w:autoSpaceDE w:val="0"/>
        <w:autoSpaceDN w:val="0"/>
        <w:adjustRightInd w:val="0"/>
        <w:spacing w:before="240" w:line="276" w:lineRule="auto"/>
        <w:ind w:firstLine="709"/>
        <w:jc w:val="both"/>
        <w:rPr>
          <w:rFonts w:eastAsia="Calibri" w:cstheme="minorHAnsi"/>
        </w:rPr>
      </w:pPr>
      <w:r w:rsidRPr="00575665">
        <w:rPr>
          <w:rFonts w:eastAsia="Calibri" w:cstheme="minorHAnsi"/>
        </w:rPr>
        <w:t xml:space="preserve">Para hacer frente a </w:t>
      </w:r>
      <w:r w:rsidR="005928A8" w:rsidRPr="00575665">
        <w:rPr>
          <w:rFonts w:eastAsia="Calibri" w:cstheme="minorHAnsi"/>
        </w:rPr>
        <w:t>la situación de inseguridad alimentaria global, fruto de la crisis climática, los efectos de la pandemia y los conflictos, especialmente el de Ucrania</w:t>
      </w:r>
      <w:r w:rsidR="005928A8" w:rsidRPr="00575665">
        <w:rPr>
          <w:rStyle w:val="Refdenotaalpie"/>
          <w:rFonts w:eastAsia="Calibri" w:cstheme="minorHAnsi"/>
        </w:rPr>
        <w:footnoteReference w:id="2"/>
      </w:r>
      <w:r w:rsidR="005928A8" w:rsidRPr="00575665">
        <w:rPr>
          <w:rFonts w:eastAsia="Calibri" w:cstheme="minorHAnsi"/>
        </w:rPr>
        <w:t xml:space="preserve">, </w:t>
      </w:r>
      <w:r w:rsidRPr="00575665">
        <w:rPr>
          <w:rFonts w:eastAsia="Calibri" w:cstheme="minorHAnsi"/>
        </w:rPr>
        <w:t>en septiembre de 2022, el Presidente del Gobierno anunció el compromiso de España de dedicar 236,5M€ para seguridad alimenta</w:t>
      </w:r>
      <w:r w:rsidR="00C87C3C" w:rsidRPr="00575665">
        <w:rPr>
          <w:rFonts w:eastAsia="Calibri" w:cstheme="minorHAnsi"/>
        </w:rPr>
        <w:t xml:space="preserve">ria en los siguientes tres años. </w:t>
      </w:r>
    </w:p>
    <w:p w:rsidR="003C4B4D" w:rsidRPr="00575665" w:rsidRDefault="00BE6BBE" w:rsidP="006F37C8">
      <w:pPr>
        <w:autoSpaceDE w:val="0"/>
        <w:autoSpaceDN w:val="0"/>
        <w:adjustRightInd w:val="0"/>
        <w:spacing w:before="240" w:line="276" w:lineRule="auto"/>
        <w:ind w:firstLine="709"/>
        <w:jc w:val="both"/>
        <w:rPr>
          <w:rFonts w:eastAsia="Calibri" w:cstheme="minorHAnsi"/>
        </w:rPr>
      </w:pPr>
      <w:r w:rsidRPr="00575665">
        <w:rPr>
          <w:rFonts w:eastAsia="Calibri" w:cstheme="minorHAnsi"/>
        </w:rPr>
        <w:t>Además, se</w:t>
      </w:r>
      <w:r w:rsidR="00121FCC" w:rsidRPr="00575665">
        <w:rPr>
          <w:rFonts w:eastAsia="Calibri" w:cstheme="minorHAnsi"/>
        </w:rPr>
        <w:t xml:space="preserve"> ha puesto en marcha un plan de choque contra la inseguridad alimentaria </w:t>
      </w:r>
      <w:r w:rsidR="003139D3" w:rsidRPr="00575665">
        <w:rPr>
          <w:rFonts w:eastAsia="Calibri" w:cstheme="minorHAnsi"/>
        </w:rPr>
        <w:t xml:space="preserve">canalizado a través de las principales entidades destinadas a la </w:t>
      </w:r>
      <w:r w:rsidR="00692395" w:rsidRPr="00575665">
        <w:rPr>
          <w:rFonts w:eastAsia="Calibri" w:cstheme="minorHAnsi"/>
        </w:rPr>
        <w:t>lucha contra el hambre. Así, España anunció en</w:t>
      </w:r>
      <w:r w:rsidR="003139D3" w:rsidRPr="00575665">
        <w:rPr>
          <w:rFonts w:eastAsia="Calibri" w:cstheme="minorHAnsi"/>
        </w:rPr>
        <w:t xml:space="preserve"> enero de 2023, en colaboración con el Programa Mundial de Alimentos</w:t>
      </w:r>
      <w:r w:rsidR="005F7E5A" w:rsidRPr="00575665">
        <w:rPr>
          <w:rFonts w:eastAsia="Calibri" w:cstheme="minorHAnsi"/>
        </w:rPr>
        <w:t xml:space="preserve"> (PMA)</w:t>
      </w:r>
      <w:r w:rsidR="003139D3" w:rsidRPr="00575665">
        <w:rPr>
          <w:rFonts w:eastAsia="Calibri" w:cstheme="minorHAnsi"/>
        </w:rPr>
        <w:t>, un Plan de Choque contra la Emergencia Alimentaria dotado con 14,4M€ mediante contribuciones (adicionales al apoyo previsto en otros contextos humanitarios) al PMA. Estas se han concretado en operaciones del PMA en Níger, Mali, Mauritania, Etiopía, Somalia, Sudán, Sudán del Sur y Yemen.</w:t>
      </w:r>
    </w:p>
    <w:p w:rsidR="00B62C29" w:rsidRPr="00575665" w:rsidRDefault="00B62C29" w:rsidP="00B62C29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240" w:line="276" w:lineRule="auto"/>
        <w:jc w:val="both"/>
        <w:rPr>
          <w:rFonts w:eastAsia="Calibri" w:cstheme="minorHAnsi"/>
          <w:b/>
        </w:rPr>
      </w:pPr>
      <w:r w:rsidRPr="00575665">
        <w:rPr>
          <w:b/>
        </w:rPr>
        <w:t>¿Qué acciones de solidaridad y atención su Gobierno u organización está proporcionando al pueblo palestino? ¿En qué manera estas acciones favorecen la soberanía alimentaria del pueblo palestino?</w:t>
      </w:r>
    </w:p>
    <w:p w:rsidR="00AD6EE1" w:rsidRPr="00575665" w:rsidRDefault="000A4C23" w:rsidP="004609A1">
      <w:pPr>
        <w:autoSpaceDE w:val="0"/>
        <w:autoSpaceDN w:val="0"/>
        <w:adjustRightInd w:val="0"/>
        <w:spacing w:before="240" w:line="276" w:lineRule="auto"/>
        <w:ind w:firstLine="709"/>
        <w:jc w:val="both"/>
      </w:pPr>
      <w:r w:rsidRPr="00575665">
        <w:t xml:space="preserve">Palestina es el principal beneficiario de la Cooperación Española en la región de Oriente Medio. </w:t>
      </w:r>
      <w:r w:rsidR="009B3D0A" w:rsidRPr="00575665">
        <w:t xml:space="preserve">En lo que va de año, España ha aprobado en total contribuciones para Palestina por valor de 26,75M€, de los cuales 23,5M€ se destinan a </w:t>
      </w:r>
      <w:proofErr w:type="spellStart"/>
      <w:r w:rsidR="00D66789" w:rsidRPr="00575665">
        <w:rPr>
          <w:rFonts w:eastAsia="Calibri" w:cstheme="minorHAnsi"/>
          <w:i/>
        </w:rPr>
        <w:t>Nations</w:t>
      </w:r>
      <w:proofErr w:type="spellEnd"/>
      <w:r w:rsidR="00D66789" w:rsidRPr="00575665">
        <w:rPr>
          <w:rFonts w:eastAsia="Calibri" w:cstheme="minorHAnsi"/>
          <w:i/>
        </w:rPr>
        <w:t xml:space="preserve"> </w:t>
      </w:r>
      <w:proofErr w:type="spellStart"/>
      <w:r w:rsidR="00D66789" w:rsidRPr="00575665">
        <w:rPr>
          <w:rFonts w:eastAsia="Calibri" w:cstheme="minorHAnsi"/>
          <w:i/>
        </w:rPr>
        <w:t>Relief</w:t>
      </w:r>
      <w:proofErr w:type="spellEnd"/>
      <w:r w:rsidR="00D66789" w:rsidRPr="00575665">
        <w:rPr>
          <w:rFonts w:eastAsia="Calibri" w:cstheme="minorHAnsi"/>
          <w:i/>
        </w:rPr>
        <w:t xml:space="preserve"> and Works Agency </w:t>
      </w:r>
      <w:proofErr w:type="spellStart"/>
      <w:r w:rsidR="00D66789" w:rsidRPr="00575665">
        <w:rPr>
          <w:rFonts w:eastAsia="Calibri" w:cstheme="minorHAnsi"/>
          <w:i/>
        </w:rPr>
        <w:t>for</w:t>
      </w:r>
      <w:proofErr w:type="spellEnd"/>
      <w:r w:rsidR="00D66789" w:rsidRPr="00575665">
        <w:rPr>
          <w:rFonts w:eastAsia="Calibri" w:cstheme="minorHAnsi"/>
          <w:i/>
        </w:rPr>
        <w:t xml:space="preserve"> </w:t>
      </w:r>
      <w:proofErr w:type="spellStart"/>
      <w:r w:rsidR="00D66789" w:rsidRPr="00575665">
        <w:rPr>
          <w:rFonts w:eastAsia="Calibri" w:cstheme="minorHAnsi"/>
          <w:i/>
        </w:rPr>
        <w:t>Palestine</w:t>
      </w:r>
      <w:proofErr w:type="spellEnd"/>
      <w:r w:rsidR="00D66789" w:rsidRPr="00575665">
        <w:rPr>
          <w:rFonts w:eastAsia="Calibri" w:cstheme="minorHAnsi"/>
          <w:i/>
        </w:rPr>
        <w:t xml:space="preserve"> </w:t>
      </w:r>
      <w:proofErr w:type="spellStart"/>
      <w:r w:rsidR="00D66789" w:rsidRPr="00575665">
        <w:rPr>
          <w:rFonts w:eastAsia="Calibri" w:cstheme="minorHAnsi"/>
          <w:i/>
        </w:rPr>
        <w:t>Refugees</w:t>
      </w:r>
      <w:proofErr w:type="spellEnd"/>
      <w:r w:rsidR="00D66789" w:rsidRPr="00575665">
        <w:rPr>
          <w:rFonts w:eastAsia="Calibri" w:cstheme="minorHAnsi"/>
        </w:rPr>
        <w:t xml:space="preserve"> (</w:t>
      </w:r>
      <w:r w:rsidR="009B3D0A" w:rsidRPr="00575665">
        <w:t>UNRWA</w:t>
      </w:r>
      <w:r w:rsidR="00D66789" w:rsidRPr="00575665">
        <w:t>)</w:t>
      </w:r>
      <w:r w:rsidR="004609A1" w:rsidRPr="00575665">
        <w:t>, y</w:t>
      </w:r>
      <w:r w:rsidR="009B3D0A" w:rsidRPr="00575665">
        <w:t xml:space="preserve"> 0,650M€ al Programa Mundial de Alimentos</w:t>
      </w:r>
      <w:r w:rsidR="00462CC5" w:rsidRPr="00575665">
        <w:t xml:space="preserve">. </w:t>
      </w:r>
      <w:r w:rsidR="009B3D0A" w:rsidRPr="00575665">
        <w:t xml:space="preserve">A esto hay que sumarle el </w:t>
      </w:r>
      <w:r w:rsidR="00D66789" w:rsidRPr="00575665">
        <w:t>anuncio</w:t>
      </w:r>
      <w:r w:rsidR="009B3D0A" w:rsidRPr="00575665">
        <w:t xml:space="preserve"> del Presidente del Gobierno </w:t>
      </w:r>
      <w:r w:rsidR="00D66789" w:rsidRPr="00575665">
        <w:t>d</w:t>
      </w:r>
      <w:r w:rsidR="009B3D0A" w:rsidRPr="00575665">
        <w:t>el 11 de junio de 2024 de nuevas contribuciones por valor de 16M€.</w:t>
      </w:r>
    </w:p>
    <w:p w:rsidR="001F0C0B" w:rsidRPr="00575665" w:rsidRDefault="009B3D0A" w:rsidP="00D66789">
      <w:pPr>
        <w:autoSpaceDE w:val="0"/>
        <w:autoSpaceDN w:val="0"/>
        <w:adjustRightInd w:val="0"/>
        <w:spacing w:before="240" w:line="276" w:lineRule="auto"/>
        <w:ind w:firstLine="709"/>
        <w:jc w:val="both"/>
      </w:pPr>
      <w:r w:rsidRPr="00575665">
        <w:lastRenderedPageBreak/>
        <w:t>España ha llamado de forma reiterada a un alto al fuego, así como al incremento de la entrada de ayuda humanitaria en Gaza.</w:t>
      </w:r>
      <w:r w:rsidR="00D66789" w:rsidRPr="00575665">
        <w:t xml:space="preserve"> En esta línea, l</w:t>
      </w:r>
      <w:r w:rsidRPr="00575665">
        <w:t xml:space="preserve">a </w:t>
      </w:r>
      <w:r w:rsidR="009558DD" w:rsidRPr="00575665">
        <w:t>Agencia Española de Cooperación Internacional para el Desarrollo (AECID) coordinó el 27 de marzo de 2024</w:t>
      </w:r>
      <w:r w:rsidR="00B41718" w:rsidRPr="00575665">
        <w:t>,</w:t>
      </w:r>
      <w:r w:rsidR="009558DD" w:rsidRPr="00575665">
        <w:t xml:space="preserve"> jun</w:t>
      </w:r>
      <w:r w:rsidR="00B41718" w:rsidRPr="00575665">
        <w:t xml:space="preserve">to con el Ministerio de Defensa, </w:t>
      </w:r>
      <w:r w:rsidR="009558DD" w:rsidRPr="00575665">
        <w:t>el lanzamiento de 26 toneladas de carga aérea humanitaria en Gaza, compuestas por 11.000 raciones de alimentos.</w:t>
      </w:r>
    </w:p>
    <w:p w:rsidR="008F3BEA" w:rsidRPr="00575665" w:rsidRDefault="002E23FC" w:rsidP="0010296B">
      <w:pPr>
        <w:autoSpaceDE w:val="0"/>
        <w:autoSpaceDN w:val="0"/>
        <w:adjustRightInd w:val="0"/>
        <w:spacing w:before="240" w:line="276" w:lineRule="auto"/>
        <w:ind w:firstLine="709"/>
        <w:jc w:val="both"/>
      </w:pPr>
      <w:r w:rsidRPr="00575665">
        <w:t xml:space="preserve">Asimismo, </w:t>
      </w:r>
      <w:r w:rsidR="002756FE" w:rsidRPr="00575665">
        <w:t xml:space="preserve">con el fin de favorecer la soberanía alimentaria del pueblo palestino, </w:t>
      </w:r>
      <w:r w:rsidR="00BF4826">
        <w:t>la Cooperación E</w:t>
      </w:r>
      <w:bookmarkStart w:id="0" w:name="_GoBack"/>
      <w:bookmarkEnd w:id="0"/>
      <w:r w:rsidR="00E8722A" w:rsidRPr="00575665">
        <w:t>spañola</w:t>
      </w:r>
      <w:r w:rsidR="002756FE" w:rsidRPr="00575665">
        <w:t xml:space="preserve"> ha respaldado</w:t>
      </w:r>
      <w:r w:rsidR="00D66789" w:rsidRPr="00575665">
        <w:t xml:space="preserve"> fuertemente el sector agrícola </w:t>
      </w:r>
      <w:r w:rsidR="00707347" w:rsidRPr="00575665">
        <w:rPr>
          <w:rFonts w:eastAsia="Calibri" w:cstheme="minorHAnsi"/>
        </w:rPr>
        <w:t>que</w:t>
      </w:r>
      <w:r w:rsidR="00C53AA5" w:rsidRPr="00575665">
        <w:rPr>
          <w:rFonts w:eastAsia="Calibri" w:cstheme="minorHAnsi"/>
        </w:rPr>
        <w:t>, históricamente,</w:t>
      </w:r>
      <w:r w:rsidR="008E0A61" w:rsidRPr="00575665">
        <w:rPr>
          <w:rFonts w:eastAsia="Calibri" w:cstheme="minorHAnsi"/>
        </w:rPr>
        <w:t xml:space="preserve"> </w:t>
      </w:r>
      <w:r w:rsidR="008F3BEA" w:rsidRPr="00575665">
        <w:rPr>
          <w:rFonts w:eastAsia="Calibri" w:cstheme="minorHAnsi"/>
        </w:rPr>
        <w:t xml:space="preserve">ha sido </w:t>
      </w:r>
      <w:r w:rsidR="00707347" w:rsidRPr="00575665">
        <w:rPr>
          <w:rFonts w:eastAsia="Calibri" w:cstheme="minorHAnsi"/>
        </w:rPr>
        <w:t xml:space="preserve">pilar de la economía palestina como fuente de empleo </w:t>
      </w:r>
      <w:r w:rsidR="008F3BEA" w:rsidRPr="00575665">
        <w:rPr>
          <w:rFonts w:eastAsia="Calibri" w:cstheme="minorHAnsi"/>
        </w:rPr>
        <w:t>y protección frente a la confiscación de tierras. En</w:t>
      </w:r>
      <w:r w:rsidR="00822BE7" w:rsidRPr="00575665">
        <w:rPr>
          <w:rFonts w:eastAsia="Calibri" w:cstheme="minorHAnsi"/>
        </w:rPr>
        <w:t xml:space="preserve"> esta </w:t>
      </w:r>
      <w:r w:rsidR="00EC469D" w:rsidRPr="00575665">
        <w:rPr>
          <w:rFonts w:eastAsia="Calibri" w:cstheme="minorHAnsi"/>
        </w:rPr>
        <w:t xml:space="preserve">línea, </w:t>
      </w:r>
      <w:r w:rsidR="00EA1DA1" w:rsidRPr="00575665">
        <w:rPr>
          <w:rFonts w:eastAsia="Calibri" w:cstheme="minorHAnsi"/>
        </w:rPr>
        <w:t xml:space="preserve">cabe </w:t>
      </w:r>
      <w:r w:rsidR="00EC469D" w:rsidRPr="00575665">
        <w:rPr>
          <w:rFonts w:eastAsia="Calibri" w:cstheme="minorHAnsi"/>
        </w:rPr>
        <w:t xml:space="preserve">destacar el apoyo de la Cooperación Española a </w:t>
      </w:r>
      <w:r w:rsidR="008F3BEA" w:rsidRPr="00575665">
        <w:rPr>
          <w:rFonts w:eastAsia="Calibri" w:cstheme="minorHAnsi"/>
        </w:rPr>
        <w:t>las siguientes intervenciones:</w:t>
      </w:r>
    </w:p>
    <w:p w:rsidR="008F3BEA" w:rsidRPr="00575665" w:rsidRDefault="00EC469D" w:rsidP="008219C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jc w:val="both"/>
        <w:rPr>
          <w:rFonts w:eastAsia="Calibri" w:cstheme="minorHAnsi"/>
        </w:rPr>
      </w:pPr>
      <w:r w:rsidRPr="00575665">
        <w:rPr>
          <w:rFonts w:eastAsia="Calibri" w:cstheme="minorHAnsi"/>
        </w:rPr>
        <w:t>El</w:t>
      </w:r>
      <w:r w:rsidRPr="00575665">
        <w:rPr>
          <w:rFonts w:eastAsia="Calibri" w:cstheme="minorHAnsi"/>
          <w:b/>
        </w:rPr>
        <w:t xml:space="preserve"> </w:t>
      </w:r>
      <w:r w:rsidRPr="00575665">
        <w:rPr>
          <w:rFonts w:eastAsia="Calibri" w:cstheme="minorHAnsi"/>
        </w:rPr>
        <w:t>p</w:t>
      </w:r>
      <w:r w:rsidR="008F3BEA" w:rsidRPr="00575665">
        <w:rPr>
          <w:rFonts w:eastAsia="Calibri" w:cstheme="minorHAnsi"/>
        </w:rPr>
        <w:t>royecto de cooperación delegada en materia de desarrollo económico</w:t>
      </w:r>
      <w:r w:rsidR="008F3BEA" w:rsidRPr="00575665">
        <w:rPr>
          <w:rFonts w:eastAsia="Calibri" w:cstheme="minorHAnsi"/>
          <w:b/>
        </w:rPr>
        <w:t xml:space="preserve"> “Resiliencia y Crecimiento Económico a través de la agricultura en Gaza</w:t>
      </w:r>
      <w:r w:rsidR="008F3BEA" w:rsidRPr="00575665">
        <w:rPr>
          <w:rFonts w:eastAsia="Calibri" w:cstheme="minorHAnsi"/>
        </w:rPr>
        <w:t>” (2020-2024</w:t>
      </w:r>
      <w:r w:rsidR="00C45F88" w:rsidRPr="00575665">
        <w:rPr>
          <w:rFonts w:eastAsia="Calibri" w:cstheme="minorHAnsi"/>
        </w:rPr>
        <w:t>.</w:t>
      </w:r>
    </w:p>
    <w:p w:rsidR="008F3BEA" w:rsidRPr="00575665" w:rsidRDefault="00EC469D" w:rsidP="00774AFF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jc w:val="both"/>
        <w:rPr>
          <w:rFonts w:eastAsia="Calibri" w:cstheme="minorHAnsi"/>
        </w:rPr>
      </w:pPr>
      <w:r w:rsidRPr="00575665">
        <w:rPr>
          <w:rFonts w:eastAsia="Calibri" w:cstheme="minorHAnsi"/>
        </w:rPr>
        <w:t>E</w:t>
      </w:r>
      <w:r w:rsidR="008F3BEA" w:rsidRPr="00575665">
        <w:rPr>
          <w:rFonts w:eastAsia="Calibri" w:cstheme="minorHAnsi"/>
        </w:rPr>
        <w:t>l programa de</w:t>
      </w:r>
      <w:r w:rsidR="008F3BEA" w:rsidRPr="00575665">
        <w:rPr>
          <w:rFonts w:eastAsia="Calibri" w:cstheme="minorHAnsi"/>
          <w:b/>
        </w:rPr>
        <w:t xml:space="preserve"> “Promoción de inversiones e innovaciones impulsadas por el mercado para el desarrollo de sistemas agroalimentarios sostenibles”</w:t>
      </w:r>
      <w:r w:rsidR="008F3BEA" w:rsidRPr="00575665">
        <w:rPr>
          <w:rFonts w:eastAsia="Calibri" w:cstheme="minorHAnsi"/>
        </w:rPr>
        <w:t xml:space="preserve"> </w:t>
      </w:r>
      <w:r w:rsidR="008B70BA" w:rsidRPr="00575665">
        <w:rPr>
          <w:rFonts w:eastAsia="Calibri" w:cstheme="minorHAnsi"/>
        </w:rPr>
        <w:t>(</w:t>
      </w:r>
      <w:r w:rsidR="008F3BEA" w:rsidRPr="00575665">
        <w:rPr>
          <w:rFonts w:eastAsia="Calibri" w:cstheme="minorHAnsi"/>
        </w:rPr>
        <w:t>2022-2026</w:t>
      </w:r>
      <w:r w:rsidR="008B70BA" w:rsidRPr="00575665">
        <w:rPr>
          <w:rFonts w:eastAsia="Calibri" w:cstheme="minorHAnsi"/>
        </w:rPr>
        <w:t>)</w:t>
      </w:r>
      <w:r w:rsidR="00707347" w:rsidRPr="00575665">
        <w:rPr>
          <w:rFonts w:eastAsia="Calibri" w:cstheme="minorHAnsi"/>
        </w:rPr>
        <w:t xml:space="preserve"> </w:t>
      </w:r>
      <w:r w:rsidR="008B70BA" w:rsidRPr="00575665">
        <w:rPr>
          <w:rFonts w:eastAsia="Calibri" w:cstheme="minorHAnsi"/>
        </w:rPr>
        <w:t xml:space="preserve">de la </w:t>
      </w:r>
      <w:r w:rsidR="00707347" w:rsidRPr="00575665">
        <w:rPr>
          <w:rFonts w:eastAsia="Calibri" w:cstheme="minorHAnsi"/>
        </w:rPr>
        <w:t>FAO (Organización de Naciones Unidas para la Alimentación y la Agricultura</w:t>
      </w:r>
      <w:r w:rsidR="00C45F88" w:rsidRPr="00575665">
        <w:rPr>
          <w:rFonts w:eastAsia="Calibri" w:cstheme="minorHAnsi"/>
        </w:rPr>
        <w:t>).</w:t>
      </w:r>
    </w:p>
    <w:p w:rsidR="008F3BEA" w:rsidRPr="00575665" w:rsidRDefault="00707347" w:rsidP="008F3BE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jc w:val="both"/>
        <w:rPr>
          <w:rFonts w:eastAsia="Calibri" w:cstheme="minorHAnsi"/>
        </w:rPr>
      </w:pPr>
      <w:r w:rsidRPr="00575665">
        <w:rPr>
          <w:rFonts w:eastAsia="Calibri" w:cstheme="minorHAnsi"/>
        </w:rPr>
        <w:t>El</w:t>
      </w:r>
      <w:r w:rsidR="008B70BA" w:rsidRPr="00575665">
        <w:rPr>
          <w:rFonts w:eastAsia="Calibri" w:cstheme="minorHAnsi"/>
        </w:rPr>
        <w:t xml:space="preserve"> proyecto</w:t>
      </w:r>
      <w:r w:rsidRPr="00575665">
        <w:rPr>
          <w:rFonts w:eastAsia="Calibri" w:cstheme="minorHAnsi"/>
        </w:rPr>
        <w:t xml:space="preserve"> </w:t>
      </w:r>
      <w:r w:rsidR="008F3BEA" w:rsidRPr="00575665">
        <w:rPr>
          <w:rFonts w:eastAsia="Calibri" w:cstheme="minorHAnsi"/>
          <w:b/>
        </w:rPr>
        <w:t xml:space="preserve">“Inclusión financiera rural en Palestina” </w:t>
      </w:r>
      <w:r w:rsidR="008B70BA" w:rsidRPr="00575665">
        <w:rPr>
          <w:rFonts w:eastAsia="Calibri" w:cstheme="minorHAnsi"/>
        </w:rPr>
        <w:t>(</w:t>
      </w:r>
      <w:r w:rsidR="008F3BEA" w:rsidRPr="00575665">
        <w:rPr>
          <w:rFonts w:eastAsia="Calibri" w:cstheme="minorHAnsi"/>
        </w:rPr>
        <w:t>2023-2028</w:t>
      </w:r>
      <w:r w:rsidR="008B70BA" w:rsidRPr="00575665">
        <w:rPr>
          <w:rFonts w:eastAsia="Calibri" w:cstheme="minorHAnsi"/>
        </w:rPr>
        <w:t>) de FIDA (Fondo Internacional para del Desarrollo Agrícola</w:t>
      </w:r>
      <w:r w:rsidR="00C45F88" w:rsidRPr="00575665">
        <w:rPr>
          <w:rFonts w:eastAsia="Calibri" w:cstheme="minorHAnsi"/>
        </w:rPr>
        <w:t>).</w:t>
      </w:r>
    </w:p>
    <w:p w:rsidR="008F3BEA" w:rsidRPr="00575665" w:rsidRDefault="008F3BEA" w:rsidP="008F3BEA">
      <w:pPr>
        <w:pStyle w:val="Prrafodelista"/>
        <w:rPr>
          <w:rFonts w:eastAsia="Calibri" w:cstheme="minorHAnsi"/>
        </w:rPr>
      </w:pPr>
    </w:p>
    <w:p w:rsidR="008F3BEA" w:rsidRPr="00575665" w:rsidRDefault="008B70BA" w:rsidP="008F3BE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jc w:val="both"/>
        <w:rPr>
          <w:rFonts w:eastAsia="Calibri" w:cstheme="minorHAnsi"/>
        </w:rPr>
      </w:pPr>
      <w:r w:rsidRPr="00575665">
        <w:rPr>
          <w:rFonts w:eastAsia="Calibri" w:cstheme="minorHAnsi"/>
        </w:rPr>
        <w:t xml:space="preserve">La intervención </w:t>
      </w:r>
      <w:r w:rsidRPr="00575665">
        <w:rPr>
          <w:rFonts w:eastAsia="Calibri" w:cstheme="minorHAnsi"/>
          <w:b/>
        </w:rPr>
        <w:t>“Aumento de los ingresos de las agricultoras y los agricultores en el área sur de la Franja de Gaza mediante el uso de energía solar</w:t>
      </w:r>
      <w:r w:rsidRPr="00575665">
        <w:rPr>
          <w:rFonts w:eastAsia="Calibri" w:cstheme="minorHAnsi"/>
        </w:rPr>
        <w:t>”</w:t>
      </w:r>
      <w:r w:rsidR="008F3BEA" w:rsidRPr="00575665">
        <w:rPr>
          <w:rFonts w:eastAsia="Calibri" w:cstheme="minorHAnsi"/>
        </w:rPr>
        <w:t xml:space="preserve"> </w:t>
      </w:r>
      <w:r w:rsidRPr="00575665">
        <w:rPr>
          <w:rFonts w:eastAsia="Calibri" w:cstheme="minorHAnsi"/>
        </w:rPr>
        <w:t>del</w:t>
      </w:r>
      <w:r w:rsidR="008F3BEA" w:rsidRPr="00575665">
        <w:rPr>
          <w:rFonts w:eastAsia="Calibri" w:cstheme="minorHAnsi"/>
        </w:rPr>
        <w:t xml:space="preserve"> NDC (</w:t>
      </w:r>
      <w:r w:rsidR="008F3BEA" w:rsidRPr="00575665">
        <w:rPr>
          <w:rFonts w:eastAsia="Calibri" w:cstheme="minorHAnsi"/>
          <w:i/>
        </w:rPr>
        <w:t xml:space="preserve">NGO </w:t>
      </w:r>
      <w:proofErr w:type="spellStart"/>
      <w:r w:rsidR="008F3BEA" w:rsidRPr="00575665">
        <w:rPr>
          <w:rFonts w:eastAsia="Calibri" w:cstheme="minorHAnsi"/>
          <w:i/>
        </w:rPr>
        <w:t>Development</w:t>
      </w:r>
      <w:proofErr w:type="spellEnd"/>
      <w:r w:rsidR="008F3BEA" w:rsidRPr="00575665">
        <w:rPr>
          <w:rFonts w:eastAsia="Calibri" w:cstheme="minorHAnsi"/>
          <w:i/>
        </w:rPr>
        <w:t xml:space="preserve"> Center</w:t>
      </w:r>
      <w:r w:rsidR="00822BE7" w:rsidRPr="00575665">
        <w:rPr>
          <w:rFonts w:eastAsia="Calibri" w:cstheme="minorHAnsi"/>
        </w:rPr>
        <w:t>) en 2023</w:t>
      </w:r>
      <w:r w:rsidR="008F3BEA" w:rsidRPr="00575665">
        <w:rPr>
          <w:rFonts w:eastAsia="Calibri" w:cstheme="minorHAnsi"/>
        </w:rPr>
        <w:t>.</w:t>
      </w:r>
    </w:p>
    <w:p w:rsidR="008F3BEA" w:rsidRPr="00575665" w:rsidRDefault="008F3BEA" w:rsidP="008F3BEA">
      <w:pPr>
        <w:pStyle w:val="Prrafodelista"/>
        <w:rPr>
          <w:rFonts w:eastAsia="Calibri" w:cstheme="minorHAnsi"/>
        </w:rPr>
      </w:pPr>
    </w:p>
    <w:p w:rsidR="000A5F75" w:rsidRPr="00575665" w:rsidRDefault="008B70BA" w:rsidP="000A5F7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jc w:val="both"/>
        <w:rPr>
          <w:rFonts w:eastAsia="Calibri" w:cstheme="minorHAnsi"/>
        </w:rPr>
      </w:pPr>
      <w:r w:rsidRPr="00575665">
        <w:rPr>
          <w:rFonts w:eastAsia="Calibri" w:cstheme="minorHAnsi"/>
        </w:rPr>
        <w:t>L</w:t>
      </w:r>
      <w:r w:rsidR="008F3BEA" w:rsidRPr="00575665">
        <w:rPr>
          <w:rFonts w:eastAsia="Calibri" w:cstheme="minorHAnsi"/>
        </w:rPr>
        <w:t>a intervención</w:t>
      </w:r>
      <w:r w:rsidR="008F3BEA" w:rsidRPr="00575665">
        <w:rPr>
          <w:rFonts w:eastAsia="Calibri" w:cstheme="minorHAnsi"/>
          <w:b/>
        </w:rPr>
        <w:t xml:space="preserve"> “Recuperación de aguas residuales tratadas para irrigación en el marco de las operaciones de la Planta de Tratamiento de Aguas Residuales del Norte de Gaza (NGEST)- Fase II</w:t>
      </w:r>
      <w:r w:rsidR="008F3BEA" w:rsidRPr="00575665">
        <w:rPr>
          <w:rFonts w:eastAsia="Calibri" w:cstheme="minorHAnsi"/>
        </w:rPr>
        <w:t>”</w:t>
      </w:r>
      <w:r w:rsidRPr="00575665">
        <w:rPr>
          <w:rFonts w:eastAsia="Calibri" w:cstheme="minorHAnsi"/>
        </w:rPr>
        <w:t xml:space="preserve"> del “Job </w:t>
      </w:r>
      <w:proofErr w:type="spellStart"/>
      <w:r w:rsidRPr="00575665">
        <w:rPr>
          <w:rFonts w:eastAsia="Calibri" w:cstheme="minorHAnsi"/>
        </w:rPr>
        <w:t>Creation</w:t>
      </w:r>
      <w:proofErr w:type="spellEnd"/>
      <w:r w:rsidRPr="00575665">
        <w:rPr>
          <w:rFonts w:eastAsia="Calibri" w:cstheme="minorHAnsi"/>
        </w:rPr>
        <w:t xml:space="preserve"> </w:t>
      </w:r>
      <w:proofErr w:type="spellStart"/>
      <w:r w:rsidRPr="00575665">
        <w:rPr>
          <w:rFonts w:eastAsia="Calibri" w:cstheme="minorHAnsi"/>
        </w:rPr>
        <w:t>Program</w:t>
      </w:r>
      <w:proofErr w:type="spellEnd"/>
      <w:r w:rsidRPr="00575665">
        <w:rPr>
          <w:rFonts w:eastAsia="Calibri" w:cstheme="minorHAnsi"/>
        </w:rPr>
        <w:t>” (JCP</w:t>
      </w:r>
      <w:r w:rsidR="00C45F88" w:rsidRPr="00575665">
        <w:rPr>
          <w:rFonts w:eastAsia="Calibri" w:cstheme="minorHAnsi"/>
        </w:rPr>
        <w:t>).</w:t>
      </w:r>
    </w:p>
    <w:p w:rsidR="000A5F75" w:rsidRPr="00575665" w:rsidRDefault="000A5F75" w:rsidP="0017034D">
      <w:pPr>
        <w:autoSpaceDE w:val="0"/>
        <w:autoSpaceDN w:val="0"/>
        <w:adjustRightInd w:val="0"/>
        <w:spacing w:before="240" w:line="276" w:lineRule="auto"/>
        <w:ind w:firstLine="709"/>
        <w:jc w:val="both"/>
      </w:pPr>
      <w:r w:rsidRPr="00575665">
        <w:t xml:space="preserve">Además, la AECID apoya a las familias palestinas más vulnerables a través de sus contribuciones al </w:t>
      </w:r>
      <w:r w:rsidRPr="00575665">
        <w:rPr>
          <w:b/>
        </w:rPr>
        <w:t xml:space="preserve">Mecanismo Europeo-Palestino de Gestión de la Ayuda Socioeconómica (PEGASE) de </w:t>
      </w:r>
      <w:r w:rsidRPr="00575665">
        <w:rPr>
          <w:b/>
        </w:rPr>
        <w:lastRenderedPageBreak/>
        <w:t>la Comisión Europea</w:t>
      </w:r>
      <w:r w:rsidRPr="00575665">
        <w:t>. La contribución de España al mecanismo PEGASE se ha venido destinando desde el año 2013 exclusivamente al componente 3 del programa, dirigido a apoyar a familias palestinas vulnerables, consistente en el pago de un subsidio. La contribución española desde 2008 al mecanismo PEGASE asciende a 106,8M€, siendo la contribución prevista para 2024 de 2M€ (igual que en 2023).</w:t>
      </w:r>
    </w:p>
    <w:sectPr w:rsidR="000A5F75" w:rsidRPr="00575665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82D" w:rsidRDefault="0040782D" w:rsidP="00C4325A">
      <w:pPr>
        <w:spacing w:after="0" w:line="240" w:lineRule="auto"/>
      </w:pPr>
      <w:r>
        <w:separator/>
      </w:r>
    </w:p>
  </w:endnote>
  <w:endnote w:type="continuationSeparator" w:id="0">
    <w:p w:rsidR="0040782D" w:rsidRDefault="0040782D" w:rsidP="00C43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4417816"/>
      <w:docPartObj>
        <w:docPartGallery w:val="Page Numbers (Bottom of Page)"/>
        <w:docPartUnique/>
      </w:docPartObj>
    </w:sdtPr>
    <w:sdtEndPr/>
    <w:sdtContent>
      <w:p w:rsidR="00C4325A" w:rsidRDefault="00C4325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826">
          <w:rPr>
            <w:noProof/>
          </w:rPr>
          <w:t>3</w:t>
        </w:r>
        <w:r>
          <w:fldChar w:fldCharType="end"/>
        </w:r>
      </w:p>
    </w:sdtContent>
  </w:sdt>
  <w:p w:rsidR="00C4325A" w:rsidRDefault="00C432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82D" w:rsidRDefault="0040782D" w:rsidP="00C4325A">
      <w:pPr>
        <w:spacing w:after="0" w:line="240" w:lineRule="auto"/>
      </w:pPr>
      <w:r>
        <w:separator/>
      </w:r>
    </w:p>
  </w:footnote>
  <w:footnote w:type="continuationSeparator" w:id="0">
    <w:p w:rsidR="0040782D" w:rsidRDefault="0040782D" w:rsidP="00C4325A">
      <w:pPr>
        <w:spacing w:after="0" w:line="240" w:lineRule="auto"/>
      </w:pPr>
      <w:r>
        <w:continuationSeparator/>
      </w:r>
    </w:p>
  </w:footnote>
  <w:footnote w:id="1">
    <w:p w:rsidR="00AA44D4" w:rsidRPr="00AA44D4" w:rsidRDefault="00AA44D4" w:rsidP="00616754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>
        <w:rPr>
          <w:rFonts w:eastAsia="Calibri" w:cstheme="minorHAnsi"/>
        </w:rPr>
        <w:t>Resolución del Consejo de Seguridad de N</w:t>
      </w:r>
      <w:r w:rsidR="00691D8E">
        <w:rPr>
          <w:rFonts w:eastAsia="Calibri" w:cstheme="minorHAnsi"/>
        </w:rPr>
        <w:t>aciones Unidas (CSNU) 2417/2018.</w:t>
      </w:r>
    </w:p>
  </w:footnote>
  <w:footnote w:id="2">
    <w:p w:rsidR="005928A8" w:rsidRPr="000B5DB1" w:rsidRDefault="005928A8" w:rsidP="00616754">
      <w:pPr>
        <w:pStyle w:val="Textonotapie"/>
        <w:jc w:val="both"/>
        <w:rPr>
          <w:rFonts w:ascii="Calibri" w:hAnsi="Calibri" w:cs="Calibri"/>
          <w:lang w:val="es-ES_tradnl"/>
        </w:rPr>
      </w:pPr>
      <w:r w:rsidRPr="000B5DB1">
        <w:rPr>
          <w:rStyle w:val="Refdenotaalpie"/>
          <w:rFonts w:ascii="Calibri" w:hAnsi="Calibri" w:cs="Calibri"/>
        </w:rPr>
        <w:footnoteRef/>
      </w:r>
      <w:r w:rsidRPr="000B5DB1">
        <w:rPr>
          <w:rFonts w:ascii="Calibri" w:hAnsi="Calibri" w:cs="Calibri"/>
        </w:rPr>
        <w:t xml:space="preserve"> </w:t>
      </w:r>
      <w:r w:rsidRPr="000B5DB1">
        <w:rPr>
          <w:rFonts w:ascii="Calibri" w:hAnsi="Calibri" w:cs="Calibri"/>
          <w:lang w:val="es-ES_tradnl"/>
        </w:rPr>
        <w:t>Entre las grave</w:t>
      </w:r>
      <w:r>
        <w:rPr>
          <w:rFonts w:ascii="Calibri" w:hAnsi="Calibri" w:cs="Calibri"/>
          <w:lang w:val="es-ES_tradnl"/>
        </w:rPr>
        <w:t>s consecuencias del conflicto en Ucrania destaca la crisis FFF (</w:t>
      </w:r>
      <w:proofErr w:type="spellStart"/>
      <w:r w:rsidRPr="000B5DB1">
        <w:rPr>
          <w:rFonts w:ascii="Calibri" w:hAnsi="Calibri" w:cs="Calibri"/>
          <w:i/>
          <w:lang w:val="es-ES_tradnl"/>
        </w:rPr>
        <w:t>food</w:t>
      </w:r>
      <w:proofErr w:type="spellEnd"/>
      <w:r w:rsidRPr="000B5DB1">
        <w:rPr>
          <w:rFonts w:ascii="Calibri" w:hAnsi="Calibri" w:cs="Calibri"/>
          <w:i/>
          <w:lang w:val="es-ES_tradnl"/>
        </w:rPr>
        <w:t xml:space="preserve">, fuel and </w:t>
      </w:r>
      <w:proofErr w:type="spellStart"/>
      <w:r w:rsidRPr="000B5DB1">
        <w:rPr>
          <w:rFonts w:ascii="Calibri" w:hAnsi="Calibri" w:cs="Calibri"/>
          <w:i/>
          <w:lang w:val="es-ES_tradnl"/>
        </w:rPr>
        <w:t>fertilizers</w:t>
      </w:r>
      <w:proofErr w:type="spellEnd"/>
      <w:r w:rsidR="000478C5">
        <w:rPr>
          <w:rFonts w:ascii="Calibri" w:hAnsi="Calibri" w:cs="Calibri"/>
          <w:lang w:val="es-ES_tradnl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51B19"/>
    <w:multiLevelType w:val="hybridMultilevel"/>
    <w:tmpl w:val="18086F0E"/>
    <w:lvl w:ilvl="0" w:tplc="E6E6AEA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692282"/>
    <w:multiLevelType w:val="hybridMultilevel"/>
    <w:tmpl w:val="2F92655E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02C2852"/>
    <w:multiLevelType w:val="hybridMultilevel"/>
    <w:tmpl w:val="2414A09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38"/>
    <w:rsid w:val="0001716A"/>
    <w:rsid w:val="0002652B"/>
    <w:rsid w:val="000478C5"/>
    <w:rsid w:val="000A4C23"/>
    <w:rsid w:val="000A5F75"/>
    <w:rsid w:val="000B5DB1"/>
    <w:rsid w:val="000C4340"/>
    <w:rsid w:val="000C5EF3"/>
    <w:rsid w:val="000D07C8"/>
    <w:rsid w:val="0010296B"/>
    <w:rsid w:val="00117B6F"/>
    <w:rsid w:val="00121FCC"/>
    <w:rsid w:val="00123B95"/>
    <w:rsid w:val="00124CD7"/>
    <w:rsid w:val="0017034D"/>
    <w:rsid w:val="00187839"/>
    <w:rsid w:val="001C5DD1"/>
    <w:rsid w:val="001F0C0B"/>
    <w:rsid w:val="0022615C"/>
    <w:rsid w:val="0027433C"/>
    <w:rsid w:val="002756FE"/>
    <w:rsid w:val="002E23FC"/>
    <w:rsid w:val="002F7958"/>
    <w:rsid w:val="00301E96"/>
    <w:rsid w:val="003139D3"/>
    <w:rsid w:val="00350B3D"/>
    <w:rsid w:val="00365119"/>
    <w:rsid w:val="003C4B4D"/>
    <w:rsid w:val="0040782D"/>
    <w:rsid w:val="004609A1"/>
    <w:rsid w:val="00460F56"/>
    <w:rsid w:val="00462CC5"/>
    <w:rsid w:val="004A19A4"/>
    <w:rsid w:val="004A1ED2"/>
    <w:rsid w:val="004C052D"/>
    <w:rsid w:val="004C1CDF"/>
    <w:rsid w:val="00540923"/>
    <w:rsid w:val="00547D7B"/>
    <w:rsid w:val="00556CE3"/>
    <w:rsid w:val="00575665"/>
    <w:rsid w:val="005928A8"/>
    <w:rsid w:val="005F7E5A"/>
    <w:rsid w:val="0061235D"/>
    <w:rsid w:val="00616754"/>
    <w:rsid w:val="00661CFF"/>
    <w:rsid w:val="006656FF"/>
    <w:rsid w:val="00691D8E"/>
    <w:rsid w:val="00692395"/>
    <w:rsid w:val="006A52AC"/>
    <w:rsid w:val="006D428D"/>
    <w:rsid w:val="006D76D6"/>
    <w:rsid w:val="006F37C8"/>
    <w:rsid w:val="00707347"/>
    <w:rsid w:val="0073150E"/>
    <w:rsid w:val="00760986"/>
    <w:rsid w:val="00761D44"/>
    <w:rsid w:val="00762ED4"/>
    <w:rsid w:val="00772EB1"/>
    <w:rsid w:val="0079759F"/>
    <w:rsid w:val="007B54B8"/>
    <w:rsid w:val="007F1E95"/>
    <w:rsid w:val="00801C57"/>
    <w:rsid w:val="00822BE7"/>
    <w:rsid w:val="008B09EC"/>
    <w:rsid w:val="008B70BA"/>
    <w:rsid w:val="008D0CB4"/>
    <w:rsid w:val="008E0A61"/>
    <w:rsid w:val="008F3BEA"/>
    <w:rsid w:val="008F5BDA"/>
    <w:rsid w:val="00910B86"/>
    <w:rsid w:val="009558DD"/>
    <w:rsid w:val="00966A4B"/>
    <w:rsid w:val="00967DF9"/>
    <w:rsid w:val="009B3D0A"/>
    <w:rsid w:val="009C5CCD"/>
    <w:rsid w:val="00A71EAF"/>
    <w:rsid w:val="00AA44D4"/>
    <w:rsid w:val="00AA65D0"/>
    <w:rsid w:val="00AC5869"/>
    <w:rsid w:val="00AD22FD"/>
    <w:rsid w:val="00AD6EE1"/>
    <w:rsid w:val="00AF1A72"/>
    <w:rsid w:val="00B00E4D"/>
    <w:rsid w:val="00B3258F"/>
    <w:rsid w:val="00B41718"/>
    <w:rsid w:val="00B452B4"/>
    <w:rsid w:val="00B62C29"/>
    <w:rsid w:val="00B80A3F"/>
    <w:rsid w:val="00BD1697"/>
    <w:rsid w:val="00BE6BBE"/>
    <w:rsid w:val="00BF4826"/>
    <w:rsid w:val="00C32811"/>
    <w:rsid w:val="00C4325A"/>
    <w:rsid w:val="00C45F88"/>
    <w:rsid w:val="00C53AA5"/>
    <w:rsid w:val="00C87C3C"/>
    <w:rsid w:val="00CF5AD9"/>
    <w:rsid w:val="00D11E38"/>
    <w:rsid w:val="00D3271C"/>
    <w:rsid w:val="00D66789"/>
    <w:rsid w:val="00D778C2"/>
    <w:rsid w:val="00E16B38"/>
    <w:rsid w:val="00E34C69"/>
    <w:rsid w:val="00E44B3D"/>
    <w:rsid w:val="00E73E06"/>
    <w:rsid w:val="00E8722A"/>
    <w:rsid w:val="00EA1DA1"/>
    <w:rsid w:val="00EC469D"/>
    <w:rsid w:val="00F42F0E"/>
    <w:rsid w:val="00F7291B"/>
    <w:rsid w:val="00FD0527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76627"/>
  <w15:chartTrackingRefBased/>
  <w15:docId w15:val="{4E4D44E0-3671-488F-87EE-F4186347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E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1E3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432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325A"/>
  </w:style>
  <w:style w:type="paragraph" w:styleId="Piedepgina">
    <w:name w:val="footer"/>
    <w:basedOn w:val="Normal"/>
    <w:link w:val="PiedepginaCar"/>
    <w:uiPriority w:val="99"/>
    <w:unhideWhenUsed/>
    <w:rsid w:val="00C432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325A"/>
  </w:style>
  <w:style w:type="paragraph" w:styleId="Textonotapie">
    <w:name w:val="footnote text"/>
    <w:basedOn w:val="Normal"/>
    <w:link w:val="TextonotapieCar"/>
    <w:uiPriority w:val="99"/>
    <w:semiHidden/>
    <w:unhideWhenUsed/>
    <w:rsid w:val="000B5DB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B5DB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B5D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1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7" ma:contentTypeDescription="Create a new document." ma:contentTypeScope="" ma:versionID="3a93362ae5153839a482c03eebe82efb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314bc35027b727c24f7540f27e850e4b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Private sector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lename" ma:index="17" nillable="true" ma:displayName="File name" ma:format="Dropdown" ma:internalName="File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States</Category>
    <Filename xmlns="d42e65b2-cf21-49c1-b27d-d23f90380c0e" xsi:nil="true"/>
    <Doctype xmlns="d42e65b2-cf21-49c1-b27d-d23f90380c0e">input</Doctype>
    <Contributor xmlns="d42e65b2-cf21-49c1-b27d-d23f90380c0e">Spain</Contributor>
  </documentManagement>
</p:properties>
</file>

<file path=customXml/itemProps1.xml><?xml version="1.0" encoding="utf-8"?>
<ds:datastoreItem xmlns:ds="http://schemas.openxmlformats.org/officeDocument/2006/customXml" ds:itemID="{9595C13B-46CE-421B-9CA4-A78E795A1A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DBBE4B-8150-4C4E-A5AB-5969BAB72CA0}"/>
</file>

<file path=customXml/itemProps3.xml><?xml version="1.0" encoding="utf-8"?>
<ds:datastoreItem xmlns:ds="http://schemas.openxmlformats.org/officeDocument/2006/customXml" ds:itemID="{56BCB239-171B-4D4C-AB55-3FAC5F7B4FF5}"/>
</file>

<file path=customXml/itemProps4.xml><?xml version="1.0" encoding="utf-8"?>
<ds:datastoreItem xmlns:ds="http://schemas.openxmlformats.org/officeDocument/2006/customXml" ds:itemID="{2E5D90B2-1B3E-4DA5-9612-5C066D3C29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896</Words>
  <Characters>4932</Characters>
  <Application>Microsoft Office Word</Application>
  <DocSecurity>4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MAEC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Torresano Emperador, María</dc:creator>
  <cp:keywords/>
  <dc:description/>
  <cp:lastModifiedBy>Franco Alonso, Sonia</cp:lastModifiedBy>
  <cp:revision>2</cp:revision>
  <dcterms:created xsi:type="dcterms:W3CDTF">2024-06-19T07:45:00Z</dcterms:created>
  <dcterms:modified xsi:type="dcterms:W3CDTF">2024-06-19T07:45:00Z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</Properties>
</file>