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hanging="357"/>
        <w:jc w:val="center"/>
        <w:spacing w:before="120" w:after="0" w:line="360" w:lineRule="auto"/>
        <w:rPr>
          <w:rFonts w:ascii="Times New Roman" w:hAnsi="Times New Roman" w:eastAsia="Calibri" w:cs="Times New Roman"/>
          <w:smallCaps/>
          <w:sz w:val="24"/>
          <w:szCs w:val="24"/>
          <w:lang w:eastAsia="en-US"/>
        </w:rPr>
      </w:pPr>
      <w:r>
        <w:rPr>
          <w:rFonts w:ascii="Times New Roman" w:hAnsi="Times New Roman" w:eastAsia="Calibri" w:cs="Times New Roman"/>
          <w:sz w:val="24"/>
          <w:lang w:eastAsia="es-MX"/>
        </w:rPr>
        <mc:AlternateContent>
          <mc:Choice Requires="wpg">
            <w:drawing>
              <wp:inline xmlns:wp="http://schemas.openxmlformats.org/drawingml/2006/wordprocessingDrawing" distT="0" distB="0" distL="0" distR="0">
                <wp:extent cx="2626290" cy="877618"/>
                <wp:effectExtent l="0" t="0" r="3175" b="0"/>
                <wp:docPr id="1"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pic:cNvPicPr>
                        <pic:nvPr/>
                      </pic:nvPicPr>
                      <pic:blipFill>
                        <a:blip r:embed="rId11"/>
                        <a:stretch/>
                      </pic:blipFill>
                      <pic:spPr bwMode="auto">
                        <a:xfrm>
                          <a:off x="0" y="0"/>
                          <a:ext cx="2664418" cy="89035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06.8pt;height:69.1pt;mso-wrap-distance-left:0.0pt;mso-wrap-distance-top:0.0pt;mso-wrap-distance-right:0.0pt;mso-wrap-distance-bottom:0.0pt;" stroked="f">
                <v:path textboxrect="0,0,0,0"/>
                <v:imagedata r:id="rId11" o:title=""/>
              </v:shape>
            </w:pict>
          </mc:Fallback>
        </mc:AlternateContent>
      </w:r>
      <w:r/>
    </w:p>
    <w:p>
      <w:pPr>
        <w:ind w:hanging="357"/>
        <w:jc w:val="center"/>
        <w:spacing w:before="120" w:after="0" w:line="360" w:lineRule="auto"/>
        <w:rPr>
          <w:rFonts w:ascii="Montserrat" w:hAnsi="Montserrat" w:eastAsia="Calibri" w:cs="Times New Roman"/>
          <w:b/>
          <w:smallCaps/>
          <w:sz w:val="32"/>
          <w:szCs w:val="32"/>
          <w:lang w:eastAsia="en-US"/>
        </w:rPr>
        <w:pBdr>
          <w:bottom w:val="single" w:color="auto" w:sz="12" w:space="1"/>
        </w:pBdr>
      </w:pPr>
      <w:r>
        <w:rPr>
          <w:rFonts w:ascii="Montserrat" w:hAnsi="Montserrat" w:eastAsia="Calibri" w:cs="Times New Roman"/>
          <w:b/>
          <w:smallCaps/>
          <w:sz w:val="32"/>
          <w:szCs w:val="32"/>
          <w:lang w:eastAsia="en-US"/>
        </w:rPr>
        <w:t xml:space="preserve">Estados Unidos Mexicanos</w:t>
      </w:r>
      <w:r/>
    </w:p>
    <w:p>
      <w:pPr>
        <w:ind w:hanging="357"/>
        <w:jc w:val="both"/>
        <w:spacing w:before="120" w:after="0" w:line="360" w:lineRule="auto"/>
        <w:rPr>
          <w:rFonts w:ascii="Montserrat" w:hAnsi="Montserrat" w:eastAsia="Calibri" w:cs="Times New Roman"/>
          <w:b/>
          <w:sz w:val="24"/>
          <w:szCs w:val="24"/>
          <w:lang w:eastAsia="en-US"/>
        </w:rPr>
        <w:pBdr>
          <w:bottom w:val="single" w:color="auto" w:sz="12" w:space="1"/>
        </w:pBdr>
      </w:pPr>
      <w:r>
        <w:rPr>
          <w:rFonts w:ascii="Montserrat" w:hAnsi="Montserrat" w:eastAsia="Calibri" w:cs="Times New Roman"/>
          <w:b/>
          <w:sz w:val="24"/>
          <w:szCs w:val="24"/>
          <w:lang w:eastAsia="en-US"/>
        </w:rPr>
      </w:r>
      <w:r/>
    </w:p>
    <w:p>
      <w:pPr>
        <w:ind w:hanging="357"/>
        <w:jc w:val="center"/>
        <w:spacing w:before="120" w:after="0" w:line="360" w:lineRule="auto"/>
        <w:rPr>
          <w:rFonts w:ascii="Montserrat" w:hAnsi="Montserrat" w:eastAsia="Calibri" w:cs="Times New Roman"/>
          <w:b/>
          <w:sz w:val="24"/>
          <w:szCs w:val="24"/>
          <w:lang w:eastAsia="en-US"/>
        </w:rPr>
        <w:pBdr>
          <w:bottom w:val="single" w:color="auto" w:sz="12" w:space="1"/>
        </w:pBdr>
      </w:pPr>
      <w:r>
        <w:rPr>
          <w:rFonts w:ascii="Montserrat" w:hAnsi="Montserrat" w:eastAsia="Calibri" w:cs="Times New Roman"/>
          <w:b/>
          <w:sz w:val="24"/>
          <w:szCs w:val="24"/>
          <w:lang w:eastAsia="en-US"/>
        </w:rPr>
      </w:r>
      <w:r/>
    </w:p>
    <w:p>
      <w:pPr>
        <w:ind w:hanging="357"/>
        <w:jc w:val="both"/>
        <w:spacing w:before="120" w:after="0" w:line="360" w:lineRule="auto"/>
        <w:rPr>
          <w:rFonts w:ascii="Montserrat" w:hAnsi="Montserrat" w:eastAsia="Calibri" w:cs="Times New Roman"/>
          <w:b/>
          <w:sz w:val="24"/>
          <w:szCs w:val="24"/>
          <w:lang w:eastAsia="en-US"/>
        </w:rPr>
        <w:pBdr>
          <w:bottom w:val="single" w:color="auto" w:sz="12" w:space="1"/>
        </w:pBdr>
      </w:pPr>
      <w:r>
        <w:rPr>
          <w:rFonts w:ascii="Montserrat" w:hAnsi="Montserrat" w:eastAsia="Calibri" w:cs="Times New Roman"/>
          <w:b/>
          <w:sz w:val="24"/>
          <w:szCs w:val="24"/>
          <w:lang w:eastAsia="en-US"/>
        </w:rPr>
      </w:r>
      <w:r/>
    </w:p>
    <w:p>
      <w:pPr>
        <w:ind w:hanging="357"/>
        <w:jc w:val="both"/>
        <w:spacing w:before="120" w:after="0" w:line="360" w:lineRule="auto"/>
        <w:rPr>
          <w:rFonts w:ascii="Montserrat" w:hAnsi="Montserrat" w:eastAsia="Calibri" w:cs="Times New Roman"/>
          <w:b/>
          <w:sz w:val="24"/>
          <w:szCs w:val="24"/>
          <w:lang w:eastAsia="en-US"/>
        </w:rPr>
        <w:pBdr>
          <w:bottom w:val="single" w:color="auto" w:sz="12" w:space="1"/>
        </w:pBdr>
      </w:pPr>
      <w:r>
        <w:rPr>
          <w:rFonts w:ascii="Montserrat" w:hAnsi="Montserrat" w:eastAsia="Calibri" w:cs="Times New Roman"/>
          <w:b/>
          <w:sz w:val="24"/>
          <w:szCs w:val="24"/>
          <w:lang w:eastAsia="en-US"/>
        </w:rPr>
      </w:r>
      <w:r/>
    </w:p>
    <w:p>
      <w:pPr>
        <w:ind w:hanging="357"/>
        <w:jc w:val="center"/>
        <w:spacing w:before="120" w:after="0" w:line="360" w:lineRule="auto"/>
        <w:rPr>
          <w:rFonts w:ascii="Montserrat" w:hAnsi="Montserrat" w:eastAsia="Calibri" w:cs="Times New Roman"/>
          <w:b/>
          <w:sz w:val="24"/>
          <w:szCs w:val="24"/>
          <w:lang w:eastAsia="en-US"/>
        </w:rPr>
        <w:pBdr>
          <w:bottom w:val="single" w:color="auto" w:sz="12" w:space="1"/>
        </w:pBdr>
      </w:pPr>
      <w:r>
        <w:rPr>
          <w:rFonts w:ascii="Montserrat" w:hAnsi="Montserrat" w:eastAsia="Calibri" w:cs="Times New Roman"/>
          <w:smallCaps/>
          <w:sz w:val="24"/>
          <w:szCs w:val="24"/>
          <w:lang w:eastAsia="en-US"/>
        </w:rPr>
        <w:t xml:space="preserve">Respuesta del estado mexicano al cuestionario </w:t>
      </w:r>
      <w:r>
        <w:rPr>
          <w:rFonts w:ascii="Montserrat" w:hAnsi="Montserrat" w:eastAsia="Calibri" w:cs="Times New Roman"/>
          <w:smallCaps/>
          <w:sz w:val="24"/>
          <w:szCs w:val="24"/>
          <w:lang w:eastAsia="en-US"/>
        </w:rPr>
        <w:t xml:space="preserve">de la relatora especial sobre la </w:t>
      </w:r>
      <w:r>
        <w:rPr>
          <w:rFonts w:ascii="Montserrat" w:hAnsi="Montserrat" w:eastAsia="Calibri" w:cs="Times New Roman"/>
          <w:smallCaps/>
          <w:sz w:val="24"/>
          <w:szCs w:val="24"/>
          <w:lang w:eastAsia="en-US"/>
        </w:rPr>
        <w:t xml:space="preserve">promoción y protección del derecho a la libertad de opinión y expresión</w:t>
      </w:r>
      <w:r/>
    </w:p>
    <w:p>
      <w:pPr>
        <w:ind w:hanging="357"/>
        <w:jc w:val="center"/>
        <w:spacing w:before="120" w:after="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p>
    <w:p>
      <w:pPr>
        <w:jc w:val="center"/>
        <w:spacing w:before="120" w:after="0" w:line="360" w:lineRule="auto"/>
        <w:rPr>
          <w:rFonts w:ascii="Montserrat" w:hAnsi="Montserrat" w:eastAsia="Calibri" w:cs="Times New Roman"/>
          <w:b/>
          <w:sz w:val="24"/>
          <w:szCs w:val="24"/>
          <w:lang w:eastAsia="en-US"/>
        </w:rPr>
        <w:pBdr>
          <w:bottom w:val="single" w:color="auto" w:sz="12" w:space="1"/>
        </w:pBdr>
      </w:pPr>
      <w:r>
        <w:rPr>
          <w:rFonts w:ascii="Montserrat" w:hAnsi="Montserrat" w:eastAsia="Calibri" w:cs="Times New Roman"/>
          <w:b/>
          <w:smallCaps/>
          <w:sz w:val="24"/>
          <w:szCs w:val="24"/>
          <w:lang w:eastAsia="es-MX"/>
        </w:rPr>
        <w:t xml:space="preserve">La libertad de expresión y la desinformación de género</w:t>
      </w:r>
      <w:r/>
    </w:p>
    <w:p>
      <w:pPr>
        <w:ind w:hanging="357"/>
        <w:jc w:val="both"/>
        <w:spacing w:before="120" w:after="0" w:line="36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36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36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jc w:val="both"/>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mallCaps/>
          <w:sz w:val="24"/>
          <w:szCs w:val="24"/>
          <w:lang w:eastAsia="en-US"/>
        </w:rPr>
      </w:r>
      <w:r/>
    </w:p>
    <w:p>
      <w:pPr>
        <w:ind w:hanging="357"/>
        <w:jc w:val="center"/>
        <w:spacing w:before="120" w:after="0" w:line="240" w:lineRule="auto"/>
        <w:rPr>
          <w:rFonts w:ascii="Montserrat" w:hAnsi="Montserrat" w:eastAsia="Calibri" w:cs="Times New Roman"/>
          <w:smallCaps/>
          <w:sz w:val="24"/>
          <w:szCs w:val="24"/>
          <w:lang w:eastAsia="en-US"/>
        </w:rPr>
      </w:pPr>
      <w:r>
        <w:rPr>
          <w:rFonts w:ascii="Montserrat" w:hAnsi="Montserrat" w:eastAsia="Calibri" w:cs="Times New Roman"/>
          <w:sz w:val="24"/>
          <w:szCs w:val="24"/>
          <w:lang w:eastAsia="en-US"/>
        </w:rPr>
        <w:t xml:space="preserve">Ciudad de México, a </w:t>
      </w:r>
      <w:r>
        <w:rPr>
          <w:rFonts w:ascii="Montserrat" w:hAnsi="Montserrat" w:eastAsia="Calibri" w:cs="Times New Roman"/>
          <w:sz w:val="24"/>
          <w:szCs w:val="24"/>
          <w:lang w:eastAsia="en-US"/>
        </w:rPr>
        <w:t xml:space="preserve">04 de julio</w:t>
      </w:r>
      <w:r>
        <w:rPr>
          <w:rFonts w:ascii="Montserrat" w:hAnsi="Montserrat" w:eastAsia="Calibri" w:cs="Times New Roman"/>
          <w:sz w:val="24"/>
          <w:szCs w:val="24"/>
          <w:lang w:eastAsia="en-US"/>
        </w:rPr>
        <w:t xml:space="preserve"> de 202</w:t>
      </w:r>
      <w:r>
        <w:rPr>
          <w:rFonts w:ascii="Montserrat" w:hAnsi="Montserrat" w:eastAsia="Calibri" w:cs="Times New Roman"/>
          <w:sz w:val="24"/>
          <w:szCs w:val="24"/>
          <w:lang w:eastAsia="en-US"/>
        </w:rPr>
        <w:t xml:space="preserve">3</w:t>
      </w:r>
      <w:r/>
    </w:p>
    <w:p>
      <w:pPr>
        <w:spacing w:before="120" w:after="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p>
    <w:p>
      <w:pPr>
        <w:spacing w:before="120" w:after="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p>
    <w:p>
      <w:pPr>
        <w:ind w:hanging="357"/>
        <w:jc w:val="center"/>
        <w:spacing w:before="120" w:after="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ÍNDICE</w:t>
      </w:r>
      <w:r/>
    </w:p>
    <w:sdt>
      <w:sdtPr>
        <w15:appearance w15:val="boundingBox"/>
        <w:id w:val="955447137"/>
        <w:docPartObj>
          <w:docPartGallery w:val="Table of Contents"/>
          <w:docPartUnique w:val="true"/>
        </w:docPartObj>
        <w:rPr>
          <w:rFonts w:ascii="Montserrat" w:hAnsi="Montserrat" w:eastAsia="Calibri" w:cs="Times New Roman"/>
          <w:sz w:val="24"/>
          <w:szCs w:val="24"/>
          <w:lang w:val="es-ES" w:eastAsia="en-US"/>
        </w:rPr>
      </w:sdtPr>
      <w:sdtContent>
        <w:p>
          <w:pPr>
            <w:keepLines/>
            <w:keepNext/>
            <w:spacing w:before="480" w:after="0" w:line="276" w:lineRule="auto"/>
            <w:rPr>
              <w:rFonts w:ascii="Montserrat" w:hAnsi="Montserrat" w:eastAsia="Malgun Gothic" w:cs="Times New Roman"/>
              <w:b/>
              <w:bCs/>
              <w:sz w:val="24"/>
              <w:szCs w:val="24"/>
              <w:lang w:eastAsia="es-MX"/>
            </w:rPr>
          </w:pPr>
          <w:r>
            <w:rPr>
              <w:rFonts w:ascii="Montserrat" w:hAnsi="Montserrat" w:eastAsia="Malgun Gothic" w:cs="Times New Roman"/>
              <w:b/>
              <w:bCs/>
              <w:sz w:val="24"/>
              <w:szCs w:val="24"/>
              <w:lang w:eastAsia="es-MX"/>
            </w:rPr>
          </w:r>
          <w:r/>
        </w:p>
        <w:p>
          <w:pPr>
            <w:pStyle w:val="721"/>
            <w:tabs>
              <w:tab w:val="left" w:pos="440" w:leader="none"/>
              <w:tab w:val="right" w:pos="8828" w:leader="dot"/>
            </w:tabs>
            <w:rPr>
              <w:lang w:eastAsia="es-MX"/>
            </w:rPr>
          </w:pPr>
          <w:r>
            <w:rPr>
              <w:rFonts w:ascii="Montserrat" w:hAnsi="Montserrat" w:eastAsia="Calibri" w:cs="Times New Roman"/>
              <w:b/>
              <w:smallCaps/>
              <w:sz w:val="24"/>
              <w:szCs w:val="24"/>
              <w:lang w:eastAsia="en-US"/>
            </w:rPr>
            <w:fldChar w:fldCharType="begin"/>
          </w:r>
          <w:r>
            <w:rPr>
              <w:rFonts w:ascii="Montserrat" w:hAnsi="Montserrat" w:eastAsia="Calibri" w:cs="Times New Roman"/>
              <w:b/>
              <w:smallCaps/>
              <w:sz w:val="24"/>
              <w:szCs w:val="24"/>
              <w:lang w:eastAsia="en-US"/>
            </w:rPr>
            <w:instrText xml:space="preserve"> TOC \o "1-3" \h \z \u </w:instrText>
          </w:r>
          <w:r>
            <w:rPr>
              <w:rFonts w:ascii="Montserrat" w:hAnsi="Montserrat" w:eastAsia="Calibri" w:cs="Times New Roman"/>
              <w:b/>
              <w:smallCaps/>
              <w:sz w:val="24"/>
              <w:szCs w:val="24"/>
              <w:lang w:eastAsia="en-US"/>
            </w:rPr>
            <w:fldChar w:fldCharType="separate"/>
          </w:r>
          <w:hyperlink w:tooltip="#_Toc139369274" w:anchor="_Toc139369274" w:history="1">
            <w:r>
              <w:rPr>
                <w:rStyle w:val="722"/>
                <w:rFonts w:ascii="Montserrat" w:hAnsi="Montserrat" w:eastAsia="Calibri" w:cs="Times New Roman"/>
                <w:b/>
                <w:smallCaps/>
                <w:lang w:eastAsia="en-US"/>
              </w:rPr>
              <w:t xml:space="preserve">I.</w:t>
            </w:r>
            <w:r>
              <w:rPr>
                <w:lang w:eastAsia="es-MX"/>
              </w:rPr>
              <w:tab/>
            </w:r>
            <w:r>
              <w:rPr>
                <w:rStyle w:val="722"/>
                <w:rFonts w:ascii="Montserrat" w:hAnsi="Montserrat" w:eastAsia="Calibri" w:cs="Times New Roman"/>
                <w:b/>
                <w:smallCaps/>
                <w:lang w:eastAsia="en-US"/>
              </w:rPr>
              <w:t xml:space="preserve">Cuestiones conceptuales.</w:t>
            </w:r>
            <w:r>
              <w:tab/>
            </w:r>
            <w:r>
              <w:fldChar w:fldCharType="begin"/>
            </w:r>
            <w:r>
              <w:instrText xml:space="preserve"> PAGEREF _Toc139369274 \h </w:instrText>
            </w:r>
            <w:r/>
            <w:r>
              <w:fldChar w:fldCharType="separate"/>
            </w:r>
            <w:r>
              <w:t xml:space="preserve">2</w:t>
            </w:r>
            <w:r>
              <w:fldChar w:fldCharType="end"/>
            </w:r>
          </w:hyperlink>
          <w:r/>
          <w:r/>
        </w:p>
        <w:p>
          <w:pPr>
            <w:pStyle w:val="721"/>
            <w:tabs>
              <w:tab w:val="left" w:pos="440" w:leader="none"/>
              <w:tab w:val="right" w:pos="8828" w:leader="dot"/>
            </w:tabs>
            <w:rPr>
              <w:lang w:eastAsia="es-MX"/>
            </w:rPr>
          </w:pPr>
          <w:r/>
          <w:hyperlink w:tooltip="#_Toc139369275" w:anchor="_Toc139369275" w:history="1">
            <w:r>
              <w:rPr>
                <w:rStyle w:val="722"/>
                <w:rFonts w:ascii="Montserrat" w:hAnsi="Montserrat" w:eastAsia="Calibri" w:cs="Times New Roman"/>
                <w:b/>
                <w:lang w:eastAsia="en-US"/>
              </w:rPr>
              <w:t xml:space="preserve">II.</w:t>
            </w:r>
            <w:r>
              <w:rPr>
                <w:lang w:eastAsia="es-MX"/>
              </w:rPr>
              <w:tab/>
            </w:r>
            <w:r>
              <w:rPr>
                <w:rStyle w:val="722"/>
                <w:rFonts w:ascii="Montserrat" w:hAnsi="Montserrat" w:eastAsia="Calibri" w:cs="Times New Roman"/>
                <w:b/>
                <w:smallCaps/>
                <w:lang w:eastAsia="en-US"/>
              </w:rPr>
              <w:t xml:space="preserve">Respuestas de Estados, empresas y organizaciones</w:t>
            </w:r>
            <w:r>
              <w:tab/>
            </w:r>
            <w:r>
              <w:fldChar w:fldCharType="begin"/>
            </w:r>
            <w:r>
              <w:instrText xml:space="preserve"> PAGEREF _Toc139369275 \h </w:instrText>
            </w:r>
            <w:r/>
            <w:r>
              <w:fldChar w:fldCharType="separate"/>
            </w:r>
            <w:r>
              <w:t xml:space="preserve">6</w:t>
            </w:r>
            <w:r>
              <w:fldChar w:fldCharType="end"/>
            </w:r>
          </w:hyperlink>
          <w:r/>
          <w:r/>
        </w:p>
        <w:p>
          <w:pPr>
            <w:pStyle w:val="721"/>
            <w:tabs>
              <w:tab w:val="left" w:pos="660" w:leader="none"/>
              <w:tab w:val="right" w:pos="8828" w:leader="dot"/>
            </w:tabs>
            <w:rPr>
              <w:lang w:eastAsia="es-MX"/>
            </w:rPr>
          </w:pPr>
          <w:r/>
          <w:hyperlink w:tooltip="#_Toc139369276" w:anchor="_Toc139369276" w:history="1">
            <w:r>
              <w:rPr>
                <w:rStyle w:val="722"/>
                <w:rFonts w:ascii="Montserrat" w:hAnsi="Montserrat" w:eastAsia="Calibri" w:cs="Times New Roman"/>
                <w:b/>
                <w:smallCaps/>
                <w:lang w:eastAsia="en-US"/>
              </w:rPr>
              <w:t xml:space="preserve">III.</w:t>
            </w:r>
            <w:r>
              <w:rPr>
                <w:lang w:eastAsia="es-MX"/>
              </w:rPr>
              <w:tab/>
            </w:r>
            <w:r>
              <w:rPr>
                <w:rStyle w:val="722"/>
                <w:rFonts w:ascii="Montserrat" w:hAnsi="Montserrat" w:eastAsia="Calibri" w:cs="Times New Roman"/>
                <w:b/>
                <w:smallCaps/>
                <w:lang w:eastAsia="en-US"/>
              </w:rPr>
              <w:t xml:space="preserve">Encontrar soluciones</w:t>
            </w:r>
            <w:r>
              <w:tab/>
            </w:r>
            <w:r>
              <w:fldChar w:fldCharType="begin"/>
            </w:r>
            <w:r>
              <w:instrText xml:space="preserve"> PAGEREF _Toc139369276 \h </w:instrText>
            </w:r>
            <w:r/>
            <w:r>
              <w:fldChar w:fldCharType="separate"/>
            </w:r>
            <w:r>
              <w:t xml:space="preserve">14</w:t>
            </w:r>
            <w:r>
              <w:fldChar w:fldCharType="end"/>
            </w:r>
          </w:hyperlink>
          <w:r/>
          <w:r/>
        </w:p>
        <w:p>
          <w:pPr>
            <w:jc w:val="both"/>
            <w:spacing w:before="120" w:after="0" w:line="360" w:lineRule="auto"/>
            <w:rPr>
              <w:rFonts w:ascii="Montserrat" w:hAnsi="Montserrat" w:eastAsia="Calibri" w:cs="Times New Roman"/>
              <w:sz w:val="24"/>
              <w:szCs w:val="24"/>
              <w:lang w:eastAsia="en-US"/>
            </w:rPr>
          </w:pPr>
          <w:r>
            <w:rPr>
              <w:rFonts w:ascii="Montserrat" w:hAnsi="Montserrat" w:eastAsia="Calibri" w:cs="Times New Roman"/>
              <w:b/>
              <w:bCs/>
              <w:sz w:val="24"/>
              <w:szCs w:val="24"/>
              <w:lang w:val="es-ES" w:eastAsia="en-US"/>
            </w:rPr>
            <w:fldChar w:fldCharType="end"/>
          </w:r>
          <w:r/>
        </w:p>
      </w:sdtContent>
    </w:sdt>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ind w:hanging="357"/>
        <w:jc w:val="cente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spacing w:before="120" w:after="0" w:line="360" w:lineRule="auto"/>
        <w:rPr>
          <w:rFonts w:ascii="Montserrat" w:hAnsi="Montserrat" w:eastAsia="Calibri" w:cs="Times New Roman"/>
          <w:b/>
          <w:smallCaps/>
          <w:sz w:val="24"/>
          <w:szCs w:val="24"/>
          <w:lang w:val="es-ES" w:eastAsia="es-MX"/>
        </w:rPr>
      </w:pPr>
      <w:r>
        <w:rPr>
          <w:rFonts w:ascii="Montserrat" w:hAnsi="Montserrat" w:eastAsia="Calibri" w:cs="Times New Roman"/>
          <w:b/>
          <w:smallCaps/>
          <w:sz w:val="24"/>
          <w:szCs w:val="24"/>
          <w:lang w:val="es-ES" w:eastAsia="es-MX"/>
        </w:rPr>
      </w:r>
      <w:r/>
    </w:p>
    <w:p>
      <w:pPr>
        <w:numPr>
          <w:ilvl w:val="0"/>
          <w:numId w:val="1"/>
        </w:numPr>
        <w:jc w:val="both"/>
        <w:spacing w:before="120" w:after="200" w:line="360" w:lineRule="auto"/>
        <w:rPr>
          <w:rFonts w:ascii="Montserrat" w:hAnsi="Montserrat" w:eastAsia="Calibri" w:cs="Times New Roman"/>
          <w:b/>
          <w:smallCaps/>
          <w:sz w:val="24"/>
          <w:szCs w:val="24"/>
          <w:lang w:eastAsia="en-US"/>
        </w:rPr>
        <w:outlineLvl w:val="0"/>
      </w:pPr>
      <w:r/>
      <w:bookmarkStart w:id="0" w:name="_Toc139369274"/>
      <w:r>
        <w:rPr>
          <w:rFonts w:ascii="Montserrat" w:hAnsi="Montserrat" w:eastAsia="Calibri" w:cs="Times New Roman"/>
          <w:b/>
          <w:smallCaps/>
          <w:sz w:val="24"/>
          <w:szCs w:val="24"/>
          <w:lang w:eastAsia="en-US"/>
        </w:rPr>
        <w:t xml:space="preserve">Cuestiones conceptuales</w:t>
      </w:r>
      <w:r>
        <w:rPr>
          <w:rFonts w:ascii="Montserrat" w:hAnsi="Montserrat" w:eastAsia="Calibri" w:cs="Times New Roman"/>
          <w:b/>
          <w:smallCaps/>
          <w:sz w:val="24"/>
          <w:szCs w:val="24"/>
          <w:lang w:eastAsia="en-US"/>
        </w:rPr>
        <w:t xml:space="preserve">.</w:t>
      </w:r>
      <w:bookmarkEnd w:id="0"/>
      <w:r/>
      <w:r/>
    </w:p>
    <w:p>
      <w:pPr>
        <w:pStyle w:val="720"/>
        <w:numPr>
          <w:ilvl w:val="0"/>
          <w:numId w:val="7"/>
        </w:numPr>
        <w:jc w:val="both"/>
        <w:spacing w:line="360" w:lineRule="auto"/>
        <w:rPr>
          <w:rFonts w:ascii="Montserrat" w:hAnsi="Montserrat"/>
          <w:b/>
          <w:sz w:val="24"/>
        </w:rPr>
      </w:pPr>
      <w:r>
        <w:rPr>
          <w:rFonts w:ascii="Montserrat" w:hAnsi="Montserrat"/>
          <w:b/>
          <w:sz w:val="24"/>
        </w:rPr>
        <w:t xml:space="preserve">¿Qué considera que es “desinformación de género”?</w:t>
      </w:r>
      <w:r/>
    </w:p>
    <w:p>
      <w:pPr>
        <w:ind w:left="3"/>
        <w:jc w:val="both"/>
        <w:spacing w:line="360" w:lineRule="auto"/>
        <w:rPr>
          <w:rFonts w:ascii="Montserrat" w:hAnsi="Montserrat"/>
          <w:sz w:val="24"/>
        </w:rPr>
      </w:pPr>
      <w:r>
        <w:rPr>
          <w:rFonts w:ascii="Montserrat" w:hAnsi="Montserrat"/>
          <w:sz w:val="24"/>
        </w:rPr>
        <w:t xml:space="preserve">La "desinformación de género" </w:t>
      </w:r>
      <w:r>
        <w:rPr>
          <w:rFonts w:ascii="Montserrat" w:hAnsi="Montserrat"/>
          <w:sz w:val="24"/>
        </w:rPr>
        <w:t xml:space="preserve">es</w:t>
      </w:r>
      <w:r>
        <w:rPr>
          <w:rFonts w:ascii="Montserrat" w:hAnsi="Montserrat"/>
          <w:sz w:val="24"/>
        </w:rPr>
        <w:t xml:space="preserve"> la difusión de información falsa o distorsionada relacionada con cuestiones de género. </w:t>
      </w:r>
      <w:r>
        <w:rPr>
          <w:rFonts w:ascii="Montserrat" w:hAnsi="Montserrat"/>
          <w:sz w:val="24"/>
        </w:rPr>
        <w:t xml:space="preserve">Propaga </w:t>
      </w:r>
      <w:r>
        <w:rPr>
          <w:rFonts w:ascii="Montserrat" w:hAnsi="Montserrat"/>
          <w:sz w:val="24"/>
        </w:rPr>
        <w:t xml:space="preserve"> estereotipos, prejuicios, mitos o teorías infundadas </w:t>
      </w:r>
      <w:r>
        <w:rPr>
          <w:rFonts w:ascii="Montserrat" w:hAnsi="Montserrat"/>
          <w:sz w:val="24"/>
        </w:rPr>
        <w:t xml:space="preserve">para</w:t>
      </w:r>
      <w:r>
        <w:rPr>
          <w:rFonts w:ascii="Montserrat" w:hAnsi="Montserrat"/>
          <w:sz w:val="24"/>
        </w:rPr>
        <w:t xml:space="preserve"> perpetuar desigualdades, discriminación o estigmatización basadas en el género. La desinformación de género </w:t>
      </w:r>
      <w:r>
        <w:rPr>
          <w:rFonts w:ascii="Montserrat" w:hAnsi="Montserrat"/>
          <w:sz w:val="24"/>
        </w:rPr>
        <w:t xml:space="preserve">abarca</w:t>
      </w:r>
      <w:r>
        <w:rPr>
          <w:rFonts w:ascii="Montserrat" w:hAnsi="Montserrat"/>
          <w:sz w:val="24"/>
        </w:rPr>
        <w:t xml:space="preserve"> </w:t>
      </w:r>
      <w:r>
        <w:rPr>
          <w:rFonts w:ascii="Montserrat" w:hAnsi="Montserrat"/>
          <w:sz w:val="24"/>
        </w:rPr>
        <w:t xml:space="preserve">diversos</w:t>
      </w:r>
      <w:r>
        <w:rPr>
          <w:rFonts w:ascii="Montserrat" w:hAnsi="Montserrat"/>
          <w:sz w:val="24"/>
        </w:rPr>
        <w:t xml:space="preserve"> temas, como roles de género, violencia de género, derechos reproductivos, identidad </w:t>
      </w:r>
      <w:r>
        <w:rPr>
          <w:rFonts w:ascii="Montserrat" w:hAnsi="Montserrat"/>
          <w:sz w:val="24"/>
        </w:rPr>
        <w:t xml:space="preserve">de género y orientación sexual.</w:t>
      </w:r>
      <w:r/>
    </w:p>
    <w:p>
      <w:pPr>
        <w:ind w:left="3"/>
        <w:jc w:val="both"/>
        <w:spacing w:line="360" w:lineRule="auto"/>
        <w:rPr>
          <w:rFonts w:ascii="Montserrat" w:hAnsi="Montserrat"/>
          <w:sz w:val="24"/>
        </w:rPr>
      </w:pPr>
      <w:r>
        <w:rPr>
          <w:rFonts w:ascii="Montserrat" w:hAnsi="Montserrat"/>
          <w:sz w:val="24"/>
        </w:rPr>
        <w:t xml:space="preserve">La desinformación de género es un subconjunto del abuso misógino y de la violencia </w:t>
      </w:r>
      <w:r>
        <w:rPr>
          <w:rFonts w:ascii="Montserrat" w:hAnsi="Montserrat"/>
          <w:sz w:val="24"/>
        </w:rPr>
        <w:t xml:space="preserve">de género </w:t>
      </w:r>
      <w:r>
        <w:rPr>
          <w:rFonts w:ascii="Montserrat" w:hAnsi="Montserrat"/>
          <w:sz w:val="24"/>
        </w:rPr>
        <w:t xml:space="preserve">que recurre a narrativas falsas o engañosas basadas en el género y el sexo, con frecuencia con cierto grado de coordinación para disuadir a las mujeres de participar en el ámbito público. </w:t>
      </w:r>
      <w:r>
        <w:rPr>
          <w:rFonts w:ascii="Montserrat" w:hAnsi="Montserrat"/>
          <w:sz w:val="24"/>
        </w:rPr>
        <w:t xml:space="preserve">Pretende </w:t>
      </w:r>
      <w:r>
        <w:rPr>
          <w:rFonts w:ascii="Montserrat" w:hAnsi="Montserrat"/>
          <w:sz w:val="24"/>
        </w:rPr>
        <w:t xml:space="preserve">silenciar a las mujeres, desalentar el discurso político en el Internet y dar forma a la</w:t>
      </w:r>
      <w:r>
        <w:rPr>
          <w:rFonts w:ascii="Montserrat" w:hAnsi="Montserrat"/>
          <w:sz w:val="24"/>
        </w:rPr>
        <w:t xml:space="preserve">s percepciones sobre el género. </w:t>
      </w:r>
      <w:r>
        <w:rPr>
          <w:rFonts w:ascii="Montserrat" w:hAnsi="Montserrat"/>
          <w:sz w:val="24"/>
        </w:rPr>
        <w:t xml:space="preserve"> </w:t>
      </w:r>
      <w:r/>
    </w:p>
    <w:p>
      <w:pPr>
        <w:ind w:left="3"/>
        <w:jc w:val="both"/>
        <w:spacing w:line="360" w:lineRule="auto"/>
        <w:rPr>
          <w:rFonts w:ascii="Montserrat" w:hAnsi="Montserrat"/>
          <w:sz w:val="24"/>
        </w:rPr>
      </w:pPr>
      <w:r>
        <w:rPr>
          <w:rFonts w:ascii="Montserrat" w:hAnsi="Montserrat"/>
          <w:sz w:val="24"/>
        </w:rPr>
        <w:t xml:space="preserve">La desinformación fomenta la sospecha y la desconfianza hacia las mujeres que contrarrestan las normas públicamente. La intención de la desinformación como forma de violencia de género en línea es </w:t>
      </w:r>
      <w:r>
        <w:rPr>
          <w:rFonts w:ascii="Montserrat" w:hAnsi="Montserrat"/>
          <w:sz w:val="24"/>
        </w:rPr>
        <w:t xml:space="preserve">cuestionar</w:t>
      </w:r>
      <w:r>
        <w:rPr>
          <w:rFonts w:ascii="Montserrat" w:hAnsi="Montserrat"/>
          <w:sz w:val="24"/>
        </w:rPr>
        <w:t xml:space="preserve"> si las mujeres pertenecen o son capaces de tomar decisiones, transformándose en una forma más sigilosa de socavar su participación y disuadirlas de participar en procesos electorales. </w:t>
      </w:r>
      <w:r>
        <w:rPr>
          <w:rFonts w:ascii="Montserrat" w:hAnsi="Montserrat"/>
          <w:sz w:val="24"/>
        </w:rPr>
        <w:t xml:space="preserve">Esto</w:t>
      </w:r>
      <w:r>
        <w:rPr>
          <w:rFonts w:ascii="Montserrat" w:hAnsi="Montserrat"/>
          <w:sz w:val="24"/>
        </w:rPr>
        <w:t xml:space="preserve"> tiene consec</w:t>
      </w:r>
      <w:r>
        <w:rPr>
          <w:rFonts w:ascii="Montserrat" w:hAnsi="Montserrat"/>
          <w:sz w:val="24"/>
        </w:rPr>
        <w:t xml:space="preserve">uencias devastadoras para las mujeres en todos sus ámbitos de vida. </w:t>
      </w:r>
      <w:r/>
    </w:p>
    <w:p>
      <w:pPr>
        <w:ind w:left="3"/>
        <w:jc w:val="both"/>
        <w:spacing w:line="360" w:lineRule="auto"/>
        <w:rPr>
          <w:rFonts w:ascii="Montserrat" w:hAnsi="Montserrat"/>
          <w:sz w:val="24"/>
        </w:rPr>
      </w:pPr>
      <w:r>
        <w:rPr>
          <w:rFonts w:ascii="Montserrat" w:hAnsi="Montserrat"/>
          <w:sz w:val="24"/>
        </w:rPr>
      </w:r>
      <w:r/>
    </w:p>
    <w:p>
      <w:pPr>
        <w:pStyle w:val="720"/>
        <w:numPr>
          <w:ilvl w:val="0"/>
          <w:numId w:val="7"/>
        </w:numPr>
        <w:jc w:val="both"/>
        <w:spacing w:line="360" w:lineRule="auto"/>
        <w:rPr>
          <w:rFonts w:ascii="Montserrat" w:hAnsi="Montserrat"/>
          <w:b/>
          <w:sz w:val="24"/>
        </w:rPr>
      </w:pPr>
      <w:r>
        <w:rPr>
          <w:rFonts w:ascii="Montserrat" w:hAnsi="Montserrat"/>
          <w:b/>
          <w:sz w:val="24"/>
        </w:rPr>
        <w:t xml:space="preserve">¿En qué se parece o se diferencia la “desinformación de género” de la violencia de género en línea?</w:t>
      </w:r>
      <w:r/>
    </w:p>
    <w:p>
      <w:pPr>
        <w:ind w:left="3"/>
        <w:jc w:val="both"/>
        <w:spacing w:line="360" w:lineRule="auto"/>
        <w:rPr>
          <w:rFonts w:ascii="Montserrat" w:hAnsi="Montserrat"/>
          <w:b/>
          <w:sz w:val="24"/>
        </w:rPr>
      </w:pPr>
      <w:r>
        <w:rPr>
          <w:rFonts w:ascii="Montserrat" w:hAnsi="Montserrat"/>
          <w:b/>
          <w:sz w:val="24"/>
        </w:rPr>
        <w:t xml:space="preserve">Similitudes</w:t>
      </w:r>
      <w:r/>
    </w:p>
    <w:p>
      <w:pPr>
        <w:ind w:left="3"/>
        <w:jc w:val="both"/>
        <w:spacing w:line="360" w:lineRule="auto"/>
        <w:rPr>
          <w:rFonts w:ascii="Montserrat" w:hAnsi="Montserrat"/>
          <w:sz w:val="24"/>
        </w:rPr>
      </w:pPr>
      <w:r>
        <w:rPr>
          <w:rFonts w:ascii="Montserrat" w:hAnsi="Montserrat"/>
          <w:sz w:val="24"/>
        </w:rPr>
        <w:t xml:space="preserve">Ambas se encuentran en un contexto social de desigualdad y discriminación de género c</w:t>
      </w:r>
      <w:r>
        <w:rPr>
          <w:rFonts w:ascii="Montserrat" w:hAnsi="Montserrat"/>
          <w:sz w:val="24"/>
        </w:rPr>
        <w:t xml:space="preserve">ontra las mujeres y las niñas. A</w:t>
      </w:r>
      <w:r>
        <w:rPr>
          <w:rFonts w:ascii="Montserrat" w:hAnsi="Montserrat"/>
          <w:sz w:val="24"/>
        </w:rPr>
        <w:t xml:space="preserve">mbas son una extensión de la violencia que las ha afectado e</w:t>
      </w:r>
      <w:r>
        <w:rPr>
          <w:rFonts w:ascii="Montserrat" w:hAnsi="Montserrat"/>
          <w:sz w:val="24"/>
        </w:rPr>
        <w:t xml:space="preserve">n todas las esferas de su vida.</w:t>
      </w:r>
      <w:r/>
    </w:p>
    <w:p>
      <w:pPr>
        <w:ind w:left="3"/>
        <w:jc w:val="both"/>
        <w:spacing w:line="360" w:lineRule="auto"/>
        <w:rPr>
          <w:rFonts w:ascii="Montserrat" w:hAnsi="Montserrat"/>
          <w:sz w:val="24"/>
        </w:rPr>
      </w:pPr>
      <w:r>
        <w:rPr>
          <w:rFonts w:ascii="Montserrat" w:hAnsi="Montserrat"/>
          <w:sz w:val="24"/>
        </w:rPr>
        <w:t xml:space="preserve">L</w:t>
      </w:r>
      <w:r>
        <w:rPr>
          <w:rFonts w:ascii="Montserrat" w:hAnsi="Montserrat"/>
          <w:sz w:val="24"/>
        </w:rPr>
        <w:t xml:space="preserve">as</w:t>
      </w:r>
      <w:r>
        <w:rPr>
          <w:rFonts w:ascii="Montserrat" w:hAnsi="Montserrat"/>
          <w:sz w:val="24"/>
        </w:rPr>
        <w:t xml:space="preserve"> dos conllevan diversas violaciones de los d</w:t>
      </w:r>
      <w:r>
        <w:rPr>
          <w:rFonts w:ascii="Montserrat" w:hAnsi="Montserrat"/>
          <w:sz w:val="24"/>
        </w:rPr>
        <w:t xml:space="preserve">erechos humanos de las mujeres, jóvenes y</w:t>
      </w:r>
      <w:r>
        <w:rPr>
          <w:rFonts w:ascii="Montserrat" w:hAnsi="Montserrat"/>
          <w:sz w:val="24"/>
        </w:rPr>
        <w:t xml:space="preserve"> las niñas y</w:t>
      </w:r>
      <w:r>
        <w:rPr>
          <w:rFonts w:ascii="Montserrat" w:hAnsi="Montserrat"/>
          <w:sz w:val="24"/>
        </w:rPr>
        <w:t xml:space="preserve"> causan </w:t>
      </w:r>
      <w:r>
        <w:rPr>
          <w:rFonts w:ascii="Montserrat" w:hAnsi="Montserrat"/>
          <w:sz w:val="24"/>
        </w:rPr>
        <w:t xml:space="preserve">en </w:t>
      </w:r>
      <w:r>
        <w:rPr>
          <w:rFonts w:ascii="Montserrat" w:hAnsi="Montserrat"/>
          <w:sz w:val="24"/>
        </w:rPr>
        <w:t xml:space="preserve">ellas</w:t>
      </w:r>
      <w:r>
        <w:rPr>
          <w:rFonts w:ascii="Montserrat" w:hAnsi="Montserrat"/>
          <w:sz w:val="24"/>
        </w:rPr>
        <w:t xml:space="preserve"> daños y sufrimientos psicológicos, físicos, sexuales y/o económicos, y tiene efectos familiares, soc</w:t>
      </w:r>
      <w:r>
        <w:rPr>
          <w:rFonts w:ascii="Montserrat" w:hAnsi="Montserrat"/>
          <w:sz w:val="24"/>
        </w:rPr>
        <w:t xml:space="preserve">iales y colectivos.</w:t>
      </w:r>
      <w:r/>
    </w:p>
    <w:p>
      <w:pPr>
        <w:ind w:left="3"/>
        <w:jc w:val="both"/>
        <w:spacing w:line="360" w:lineRule="auto"/>
        <w:rPr>
          <w:rFonts w:ascii="Montserrat" w:hAnsi="Montserrat"/>
          <w:sz w:val="24"/>
        </w:rPr>
      </w:pPr>
      <w:r>
        <w:rPr>
          <w:rFonts w:ascii="Montserrat" w:hAnsi="Montserrat"/>
          <w:sz w:val="24"/>
        </w:rPr>
        <w:t xml:space="preserve">La violencia de género en línea es una expresión dinámica que abarca prácticas muy diversas de violencias facilitadas o reconfiguradas por las </w:t>
      </w:r>
      <w:r>
        <w:rPr>
          <w:rFonts w:ascii="Montserrat" w:hAnsi="Montserrat"/>
          <w:sz w:val="24"/>
        </w:rPr>
        <w:t xml:space="preserve">TIC.</w:t>
      </w:r>
      <w:r>
        <w:rPr>
          <w:rFonts w:ascii="Montserrat" w:hAnsi="Montserrat"/>
          <w:sz w:val="24"/>
        </w:rPr>
        <w:t xml:space="preserve"> </w:t>
      </w:r>
      <w:r/>
    </w:p>
    <w:p>
      <w:pPr>
        <w:jc w:val="both"/>
        <w:spacing w:line="360" w:lineRule="auto"/>
        <w:rPr>
          <w:rFonts w:ascii="Montserrat" w:hAnsi="Montserrat"/>
          <w:sz w:val="24"/>
        </w:rPr>
      </w:pPr>
      <w:r>
        <w:rPr>
          <w:rFonts w:ascii="Montserrat" w:hAnsi="Montserrat"/>
          <w:sz w:val="24"/>
        </w:rPr>
        <w:t xml:space="preserve">Asimismo, t</w:t>
      </w:r>
      <w:r>
        <w:rPr>
          <w:rFonts w:ascii="Montserrat" w:hAnsi="Montserrat"/>
          <w:sz w:val="24"/>
        </w:rPr>
        <w:t xml:space="preserve">anto la desinformación de género como la violencia de género en línea se centran en cuestiones de género y su impacto en la sociedad.</w:t>
      </w:r>
      <w:r/>
    </w:p>
    <w:p>
      <w:pPr>
        <w:ind w:left="3"/>
        <w:jc w:val="both"/>
        <w:spacing w:line="360" w:lineRule="auto"/>
        <w:rPr>
          <w:rFonts w:ascii="Montserrat" w:hAnsi="Montserrat"/>
          <w:b/>
          <w:sz w:val="24"/>
        </w:rPr>
      </w:pPr>
      <w:r>
        <w:rPr>
          <w:rFonts w:ascii="Montserrat" w:hAnsi="Montserrat"/>
          <w:b/>
          <w:sz w:val="24"/>
        </w:rPr>
        <w:t xml:space="preserve">Diferencias</w:t>
      </w:r>
      <w:r/>
    </w:p>
    <w:p>
      <w:pPr>
        <w:ind w:left="3"/>
        <w:jc w:val="both"/>
        <w:spacing w:line="360" w:lineRule="auto"/>
        <w:rPr>
          <w:rFonts w:ascii="Montserrat" w:hAnsi="Montserrat"/>
          <w:sz w:val="24"/>
        </w:rPr>
      </w:pPr>
      <w:r>
        <w:rPr>
          <w:rFonts w:ascii="Montserrat" w:hAnsi="Montserrat"/>
          <w:sz w:val="24"/>
        </w:rPr>
        <w:t xml:space="preserve">La desinformación de género se refiere a la propagación de información falsa o distorsionada relacionada con cuestiones de género, como estereotipos, prejuicios o teor</w:t>
      </w:r>
      <w:r>
        <w:rPr>
          <w:rFonts w:ascii="Montserrat" w:hAnsi="Montserrat"/>
          <w:sz w:val="24"/>
        </w:rPr>
        <w:t xml:space="preserve">ías infundadas. L</w:t>
      </w:r>
      <w:r>
        <w:rPr>
          <w:rFonts w:ascii="Montserrat" w:hAnsi="Montserrat"/>
          <w:sz w:val="24"/>
        </w:rPr>
        <w:t xml:space="preserve">a violencia de género en línea se refiere a comportamientos abusivos, amenazantes o violentos dirigidos hacia una persona debido a su género o identidad </w:t>
      </w:r>
      <w:r>
        <w:rPr>
          <w:rFonts w:ascii="Montserrat" w:hAnsi="Montserrat"/>
          <w:sz w:val="24"/>
        </w:rPr>
        <w:t xml:space="preserve">de género en el entorno digital; esta cuestión puede trasladarse al entorno físico. </w:t>
      </w:r>
      <w:r/>
    </w:p>
    <w:p>
      <w:pPr>
        <w:ind w:left="3"/>
        <w:jc w:val="both"/>
        <w:spacing w:line="360" w:lineRule="auto"/>
        <w:rPr>
          <w:rFonts w:ascii="Montserrat" w:hAnsi="Montserrat"/>
          <w:sz w:val="24"/>
        </w:rPr>
      </w:pPr>
      <w:r>
        <w:rPr>
          <w:rFonts w:ascii="Montserrat" w:hAnsi="Montserrat"/>
          <w:sz w:val="24"/>
        </w:rPr>
        <w:t xml:space="preserve">La desinformación de género se manifiesta a través de la difusión de información errónea o distorsionada en diversos medios, como redes sociales, sitios web o medi</w:t>
      </w:r>
      <w:r>
        <w:rPr>
          <w:rFonts w:ascii="Montserrat" w:hAnsi="Montserrat"/>
          <w:sz w:val="24"/>
        </w:rPr>
        <w:t xml:space="preserve">os de comunicación. L</w:t>
      </w:r>
      <w:r>
        <w:rPr>
          <w:rFonts w:ascii="Montserrat" w:hAnsi="Montserrat"/>
          <w:sz w:val="24"/>
        </w:rPr>
        <w:t xml:space="preserve">a violencia de género en línea implica actos de acoso, amenazas, difamación, exposición no consentida de información privada, dirigidos a u</w:t>
      </w:r>
      <w:r>
        <w:rPr>
          <w:rFonts w:ascii="Montserrat" w:hAnsi="Montserrat"/>
          <w:sz w:val="24"/>
        </w:rPr>
        <w:t xml:space="preserve">na persona en el ámbito digital; sin embargo</w:t>
      </w:r>
      <w:r>
        <w:rPr>
          <w:rFonts w:ascii="Montserrat" w:hAnsi="Montserrat"/>
          <w:sz w:val="24"/>
        </w:rPr>
        <w:t xml:space="preserve">, </w:t>
      </w:r>
      <w:r>
        <w:rPr>
          <w:rFonts w:ascii="Montserrat" w:hAnsi="Montserrat"/>
          <w:sz w:val="24"/>
        </w:rPr>
        <w:t xml:space="preserve">esta cuestión puede trasladarse al entorno físico. </w:t>
      </w:r>
      <w:r/>
    </w:p>
    <w:p>
      <w:pPr>
        <w:ind w:left="3"/>
        <w:jc w:val="both"/>
        <w:spacing w:line="360" w:lineRule="auto"/>
        <w:rPr>
          <w:rFonts w:ascii="Montserrat" w:hAnsi="Montserrat"/>
          <w:sz w:val="24"/>
        </w:rPr>
      </w:pPr>
      <w:r>
        <w:rPr>
          <w:rFonts w:ascii="Montserrat" w:hAnsi="Montserrat"/>
          <w:sz w:val="24"/>
        </w:rPr>
        <w:t xml:space="preserve">E</w:t>
      </w:r>
      <w:r>
        <w:rPr>
          <w:rFonts w:ascii="Montserrat" w:hAnsi="Montserrat"/>
          <w:sz w:val="24"/>
        </w:rPr>
        <w:t xml:space="preserve">xisten </w:t>
      </w:r>
      <w:r>
        <w:rPr>
          <w:rFonts w:ascii="Montserrat" w:hAnsi="Montserrat"/>
          <w:sz w:val="24"/>
        </w:rPr>
        <w:t xml:space="preserve">pendientes legislativos en la materia.</w:t>
      </w:r>
      <w:r>
        <w:rPr>
          <w:rFonts w:ascii="Montserrat" w:hAnsi="Montserrat"/>
          <w:sz w:val="24"/>
        </w:rPr>
        <w:t xml:space="preserve"> </w:t>
      </w:r>
      <w:r>
        <w:rPr>
          <w:rFonts w:ascii="Montserrat" w:hAnsi="Montserrat"/>
          <w:sz w:val="24"/>
          <w:lang w:val="es-ES_tradnl"/>
        </w:rPr>
        <w:t xml:space="preserve">En</w:t>
      </w:r>
      <w:r>
        <w:rPr>
          <w:rFonts w:ascii="Montserrat" w:hAnsi="Montserrat"/>
          <w:sz w:val="24"/>
          <w:lang w:val="es-ES_tradnl"/>
        </w:rPr>
        <w:t xml:space="preserve"> últimos años</w:t>
      </w:r>
      <w:r>
        <w:rPr>
          <w:rFonts w:ascii="Montserrat" w:hAnsi="Montserrat"/>
          <w:sz w:val="24"/>
          <w:lang w:val="es-ES_tradnl"/>
        </w:rPr>
        <w:t xml:space="preserve">,</w:t>
      </w:r>
      <w:r>
        <w:rPr>
          <w:rFonts w:ascii="Montserrat" w:hAnsi="Montserrat"/>
          <w:sz w:val="24"/>
          <w:lang w:val="es-ES_tradnl"/>
        </w:rPr>
        <w:t xml:space="preserve"> se ha denunciado </w:t>
      </w:r>
      <w:r>
        <w:rPr>
          <w:rFonts w:ascii="Montserrat" w:hAnsi="Montserrat"/>
          <w:sz w:val="24"/>
          <w:lang w:val="es-ES_tradnl"/>
        </w:rPr>
        <w:t xml:space="preserve">la </w:t>
      </w:r>
      <w:r>
        <w:rPr>
          <w:rFonts w:ascii="Montserrat" w:hAnsi="Montserrat"/>
          <w:sz w:val="24"/>
          <w:lang w:val="es-ES_tradnl"/>
        </w:rPr>
        <w:t xml:space="preserve">violencia vicaria que es un tipo de violencia de género </w:t>
      </w:r>
      <w:r>
        <w:rPr>
          <w:rFonts w:ascii="Montserrat" w:hAnsi="Montserrat"/>
          <w:sz w:val="24"/>
          <w:lang w:val="es-ES_tradnl"/>
        </w:rPr>
        <w:t xml:space="preserve">ejercida contra la</w:t>
      </w:r>
      <w:r>
        <w:rPr>
          <w:rFonts w:ascii="Montserrat" w:hAnsi="Montserrat"/>
          <w:sz w:val="24"/>
          <w:lang w:val="es-ES_tradnl"/>
        </w:rPr>
        <w:t xml:space="preserve">s mujeres </w:t>
      </w:r>
      <w:r>
        <w:rPr>
          <w:rFonts w:ascii="Montserrat" w:hAnsi="Montserrat"/>
          <w:sz w:val="24"/>
          <w:lang w:val="es-ES_tradnl"/>
        </w:rPr>
        <w:t xml:space="preserve">en la que se utiliza a los hijos e hijas y personas significativas para ellas </w:t>
      </w:r>
      <w:r>
        <w:rPr>
          <w:rFonts w:ascii="Montserrat" w:hAnsi="Montserrat"/>
          <w:sz w:val="24"/>
          <w:lang w:val="es-ES_tradnl"/>
        </w:rPr>
        <w:t xml:space="preserve">que</w:t>
      </w:r>
      <w:r>
        <w:rPr>
          <w:rFonts w:ascii="Montserrat" w:hAnsi="Montserrat"/>
          <w:sz w:val="24"/>
          <w:lang w:val="es-ES_tradnl"/>
        </w:rPr>
        <w:t xml:space="preserve"> les</w:t>
      </w:r>
      <w:r>
        <w:rPr>
          <w:rFonts w:ascii="Montserrat" w:hAnsi="Montserrat"/>
          <w:sz w:val="24"/>
          <w:lang w:val="es-ES_tradnl"/>
        </w:rPr>
        <w:t xml:space="preserve"> causa un daño irreparable</w:t>
      </w:r>
      <w:r/>
    </w:p>
    <w:p>
      <w:pPr>
        <w:ind w:left="3"/>
        <w:jc w:val="both"/>
        <w:spacing w:line="360" w:lineRule="auto"/>
        <w:rPr>
          <w:rFonts w:ascii="Montserrat" w:hAnsi="Montserrat"/>
          <w:sz w:val="24"/>
        </w:rPr>
      </w:pPr>
      <w:r>
        <w:rPr>
          <w:rFonts w:ascii="Montserrat" w:hAnsi="Montserrat"/>
          <w:sz w:val="24"/>
          <w:lang w:val="es-ES_tradnl"/>
        </w:rPr>
        <w:t xml:space="preserve">L</w:t>
      </w:r>
      <w:r>
        <w:rPr>
          <w:rFonts w:ascii="Montserrat" w:hAnsi="Montserrat"/>
          <w:sz w:val="24"/>
        </w:rPr>
        <w:t xml:space="preserve">a</w:t>
      </w:r>
      <w:r>
        <w:rPr>
          <w:rFonts w:ascii="Montserrat" w:hAnsi="Montserrat"/>
          <w:sz w:val="24"/>
        </w:rPr>
        <w:t xml:space="preserve"> </w:t>
      </w:r>
      <w:r>
        <w:rPr>
          <w:rFonts w:ascii="Montserrat" w:hAnsi="Montserrat"/>
          <w:sz w:val="24"/>
        </w:rPr>
        <w:t xml:space="preserve">Suprema Corte de Justicia de la Nación (</w:t>
      </w:r>
      <w:r>
        <w:rPr>
          <w:rFonts w:ascii="Montserrat" w:hAnsi="Montserrat"/>
          <w:sz w:val="24"/>
        </w:rPr>
        <w:t xml:space="preserve">SCJN</w:t>
      </w:r>
      <w:r>
        <w:rPr>
          <w:rFonts w:ascii="Montserrat" w:hAnsi="Montserrat"/>
          <w:sz w:val="24"/>
        </w:rPr>
        <w:t xml:space="preserve">)</w:t>
      </w:r>
      <w:r>
        <w:rPr>
          <w:rFonts w:ascii="Montserrat" w:hAnsi="Montserrat"/>
          <w:sz w:val="24"/>
        </w:rPr>
        <w:t xml:space="preserve"> </w:t>
      </w:r>
      <w:r>
        <w:rPr>
          <w:rFonts w:ascii="Montserrat" w:hAnsi="Montserrat"/>
          <w:sz w:val="24"/>
        </w:rPr>
        <w:t xml:space="preserve">resolvió a través de</w:t>
      </w:r>
      <w:r>
        <w:rPr>
          <w:rFonts w:ascii="Montserrat" w:hAnsi="Montserrat"/>
          <w:sz w:val="24"/>
        </w:rPr>
        <w:t xml:space="preserve"> la Acción de Inconstitucionalidad 11/2016,</w:t>
      </w:r>
      <w:r>
        <w:rPr>
          <w:vertAlign w:val="superscript"/>
        </w:rPr>
        <w:footnoteReference w:id="2"/>
      </w:r>
      <w:r>
        <w:rPr>
          <w:rFonts w:ascii="Montserrat" w:hAnsi="Montserrat"/>
          <w:sz w:val="24"/>
        </w:rPr>
        <w:t xml:space="preserve"> que una de las formas de violencia doméstica es la alienación parental, que se traduce en actitudes o conductas de rechazo de los descendientes hacia uno de sus progenitores, </w:t>
      </w:r>
      <w:r>
        <w:rPr>
          <w:rFonts w:ascii="Montserrat" w:hAnsi="Montserrat"/>
          <w:sz w:val="24"/>
        </w:rPr>
        <w:t xml:space="preserve">y</w:t>
      </w:r>
      <w:r>
        <w:rPr>
          <w:rFonts w:ascii="Montserrat" w:hAnsi="Montserrat"/>
          <w:sz w:val="24"/>
        </w:rPr>
        <w:t xml:space="preserve"> la utilización de </w:t>
      </w:r>
      <w:r>
        <w:rPr>
          <w:rFonts w:ascii="Montserrat" w:hAnsi="Montserrat"/>
          <w:sz w:val="24"/>
        </w:rPr>
        <w:t xml:space="preserve">ellos/as</w:t>
      </w:r>
      <w:r>
        <w:rPr>
          <w:rFonts w:ascii="Montserrat" w:hAnsi="Montserrat"/>
          <w:sz w:val="24"/>
        </w:rPr>
        <w:t xml:space="preserve"> en el conflicto parental de separación de los progenitores. </w:t>
      </w:r>
      <w:r/>
    </w:p>
    <w:p>
      <w:pPr>
        <w:ind w:left="3"/>
        <w:jc w:val="both"/>
        <w:spacing w:line="360" w:lineRule="auto"/>
        <w:rPr>
          <w:rFonts w:ascii="Montserrat" w:hAnsi="Montserrat"/>
          <w:sz w:val="24"/>
          <w:lang w:val="es-ES_tradnl"/>
        </w:rPr>
      </w:pPr>
      <w:r>
        <w:rPr>
          <w:rFonts w:ascii="Montserrat" w:hAnsi="Montserrat"/>
          <w:sz w:val="24"/>
        </w:rPr>
        <w:t xml:space="preserve">E</w:t>
      </w:r>
      <w:r>
        <w:rPr>
          <w:rFonts w:ascii="Montserrat" w:hAnsi="Montserrat"/>
          <w:sz w:val="24"/>
          <w:lang w:val="es-ES_tradnl"/>
        </w:rPr>
        <w:t xml:space="preserve">n </w:t>
      </w:r>
      <w:r>
        <w:rPr>
          <w:rFonts w:ascii="Montserrat" w:hAnsi="Montserrat"/>
          <w:sz w:val="24"/>
          <w:lang w:val="es-ES_tradnl"/>
        </w:rPr>
        <w:t xml:space="preserve">2021 se aprobó en el marco del Sistema Nacional de Protección Integral de Niñas, Niños y Adolescentes (SIPINNA)</w:t>
      </w:r>
      <w:r>
        <w:rPr>
          <w:rFonts w:ascii="Montserrat" w:hAnsi="Montserrat"/>
          <w:sz w:val="24"/>
          <w:lang w:val="es-ES_tradnl"/>
        </w:rPr>
        <w:t xml:space="preserve">,</w:t>
      </w:r>
      <w:r>
        <w:rPr>
          <w:rFonts w:ascii="Montserrat" w:hAnsi="Montserrat"/>
          <w:sz w:val="24"/>
          <w:lang w:val="es-ES_tradnl"/>
        </w:rPr>
        <w:t xml:space="preserve"> </w:t>
      </w:r>
      <w:r>
        <w:rPr>
          <w:rFonts w:ascii="Montserrat" w:hAnsi="Montserrat"/>
          <w:sz w:val="24"/>
          <w:lang w:val="es-ES_tradnl"/>
        </w:rPr>
        <w:t xml:space="preserve">el Protocolo Nacional de Coordinación Interinstitucional para la Protección de Niñas, Niños y Adolescentes Víctimas de Violencia</w:t>
      </w:r>
      <w:r>
        <w:rPr>
          <w:rFonts w:ascii="Montserrat" w:hAnsi="Montserrat"/>
          <w:sz w:val="24"/>
          <w:vertAlign w:val="superscript"/>
          <w:lang w:val="es-ES_tradnl"/>
        </w:rPr>
        <w:footnoteReference w:id="3"/>
      </w:r>
      <w:r>
        <w:rPr>
          <w:rFonts w:ascii="Montserrat" w:hAnsi="Montserrat"/>
          <w:sz w:val="24"/>
          <w:lang w:val="es-ES_tradnl"/>
        </w:rPr>
        <w:t xml:space="preserve"> </w:t>
      </w:r>
      <w:r>
        <w:rPr>
          <w:rFonts w:ascii="Montserrat" w:hAnsi="Montserrat"/>
          <w:sz w:val="24"/>
          <w:lang w:val="es-ES_tradnl"/>
        </w:rPr>
        <w:t xml:space="preserve">para</w:t>
      </w:r>
      <w:r>
        <w:rPr>
          <w:rFonts w:ascii="Montserrat" w:hAnsi="Montserrat"/>
          <w:sz w:val="24"/>
          <w:lang w:val="es-ES_tradnl"/>
        </w:rPr>
        <w:t xml:space="preserve"> garantizar la protección inmediata de niñas, niños y adolescentes víctimas de cualquier forma de violencia directa e indirecta, mediante un trabajo de coordinación int</w:t>
      </w:r>
      <w:r>
        <w:rPr>
          <w:rFonts w:ascii="Montserrat" w:hAnsi="Montserrat"/>
          <w:sz w:val="24"/>
          <w:lang w:val="es-ES_tradnl"/>
        </w:rPr>
        <w:t xml:space="preserve">erinstitucional.</w:t>
      </w:r>
      <w:r/>
    </w:p>
    <w:p>
      <w:pPr>
        <w:ind w:left="3"/>
        <w:jc w:val="both"/>
        <w:spacing w:line="360" w:lineRule="auto"/>
        <w:rPr>
          <w:rFonts w:ascii="Montserrat" w:hAnsi="Montserrat"/>
          <w:sz w:val="24"/>
        </w:rPr>
      </w:pPr>
      <w:r>
        <w:rPr>
          <w:rFonts w:ascii="Montserrat" w:hAnsi="Montserrat"/>
          <w:sz w:val="24"/>
        </w:rPr>
        <w:t xml:space="preserve">L</w:t>
      </w:r>
      <w:r>
        <w:rPr>
          <w:rFonts w:ascii="Montserrat" w:hAnsi="Montserrat"/>
          <w:sz w:val="24"/>
        </w:rPr>
        <w:t xml:space="preserve">a Ley General de Acceso de las Mujeres a una Vida Libre de Violencia, en el artículo 6°, </w:t>
      </w:r>
      <w:r>
        <w:rPr>
          <w:rFonts w:ascii="Montserrat" w:hAnsi="Montserrat"/>
          <w:sz w:val="24"/>
        </w:rPr>
        <w:t xml:space="preserve">reconoce los siguientes</w:t>
      </w:r>
      <w:r>
        <w:rPr>
          <w:rFonts w:ascii="Montserrat" w:hAnsi="Montserrat"/>
          <w:sz w:val="24"/>
        </w:rPr>
        <w:t xml:space="preserve"> tipos: </w:t>
      </w:r>
      <w:r/>
    </w:p>
    <w:p>
      <w:pPr>
        <w:numPr>
          <w:ilvl w:val="0"/>
          <w:numId w:val="2"/>
        </w:numPr>
        <w:jc w:val="both"/>
        <w:spacing w:after="0" w:line="360" w:lineRule="auto"/>
        <w:rPr>
          <w:rFonts w:ascii="Montserrat" w:hAnsi="Montserrat"/>
          <w:sz w:val="24"/>
        </w:rPr>
      </w:pPr>
      <w:r>
        <w:rPr>
          <w:rFonts w:ascii="Montserrat" w:hAnsi="Montserrat"/>
          <w:sz w:val="24"/>
        </w:rPr>
        <w:t xml:space="preserve">V</w:t>
      </w:r>
      <w:r>
        <w:rPr>
          <w:rFonts w:ascii="Montserrat" w:hAnsi="Montserrat"/>
          <w:sz w:val="24"/>
        </w:rPr>
        <w:t xml:space="preserve">iolencia psicológica; </w:t>
      </w:r>
      <w:r/>
    </w:p>
    <w:p>
      <w:pPr>
        <w:numPr>
          <w:ilvl w:val="0"/>
          <w:numId w:val="2"/>
        </w:numPr>
        <w:jc w:val="both"/>
        <w:spacing w:after="0" w:line="360" w:lineRule="auto"/>
        <w:rPr>
          <w:rFonts w:ascii="Montserrat" w:hAnsi="Montserrat"/>
          <w:sz w:val="24"/>
        </w:rPr>
      </w:pPr>
      <w:r>
        <w:rPr>
          <w:rFonts w:ascii="Montserrat" w:hAnsi="Montserrat"/>
          <w:sz w:val="24"/>
        </w:rPr>
        <w:t xml:space="preserve">V</w:t>
      </w:r>
      <w:r>
        <w:rPr>
          <w:rFonts w:ascii="Montserrat" w:hAnsi="Montserrat"/>
          <w:sz w:val="24"/>
        </w:rPr>
        <w:t xml:space="preserve">iolencia física; </w:t>
      </w:r>
      <w:r/>
    </w:p>
    <w:p>
      <w:pPr>
        <w:numPr>
          <w:ilvl w:val="0"/>
          <w:numId w:val="2"/>
        </w:numPr>
        <w:jc w:val="both"/>
        <w:spacing w:after="0" w:line="360" w:lineRule="auto"/>
        <w:rPr>
          <w:rFonts w:ascii="Montserrat" w:hAnsi="Montserrat"/>
          <w:sz w:val="24"/>
        </w:rPr>
      </w:pPr>
      <w:r>
        <w:rPr>
          <w:rFonts w:ascii="Montserrat" w:hAnsi="Montserrat"/>
          <w:sz w:val="24"/>
        </w:rPr>
        <w:t xml:space="preserve">V</w:t>
      </w:r>
      <w:r>
        <w:rPr>
          <w:rFonts w:ascii="Montserrat" w:hAnsi="Montserrat"/>
          <w:sz w:val="24"/>
        </w:rPr>
        <w:t xml:space="preserve">iolencia patrimonial; </w:t>
      </w:r>
      <w:r/>
    </w:p>
    <w:p>
      <w:pPr>
        <w:numPr>
          <w:ilvl w:val="0"/>
          <w:numId w:val="2"/>
        </w:numPr>
        <w:jc w:val="both"/>
        <w:spacing w:after="0" w:line="360" w:lineRule="auto"/>
        <w:rPr>
          <w:rFonts w:ascii="Montserrat" w:hAnsi="Montserrat"/>
          <w:sz w:val="24"/>
        </w:rPr>
      </w:pPr>
      <w:r>
        <w:rPr>
          <w:rFonts w:ascii="Montserrat" w:hAnsi="Montserrat"/>
          <w:sz w:val="24"/>
        </w:rPr>
        <w:t xml:space="preserve">Violencia económica; </w:t>
      </w:r>
      <w:r/>
    </w:p>
    <w:p>
      <w:pPr>
        <w:numPr>
          <w:ilvl w:val="0"/>
          <w:numId w:val="2"/>
        </w:numPr>
        <w:jc w:val="both"/>
        <w:spacing w:after="0" w:line="360" w:lineRule="auto"/>
        <w:rPr>
          <w:rFonts w:ascii="Montserrat" w:hAnsi="Montserrat"/>
          <w:sz w:val="24"/>
        </w:rPr>
      </w:pPr>
      <w:r>
        <w:rPr>
          <w:rFonts w:ascii="Montserrat" w:hAnsi="Montserrat"/>
          <w:sz w:val="24"/>
        </w:rPr>
        <w:t xml:space="preserve">V</w:t>
      </w:r>
      <w:r>
        <w:rPr>
          <w:rFonts w:ascii="Montserrat" w:hAnsi="Montserrat"/>
          <w:sz w:val="24"/>
        </w:rPr>
        <w:t xml:space="preserve">iolencia sexual</w:t>
      </w:r>
      <w:r>
        <w:rPr>
          <w:rFonts w:ascii="Montserrat" w:hAnsi="Montserrat"/>
          <w:sz w:val="24"/>
        </w:rPr>
        <w:t xml:space="preserve">;</w:t>
      </w:r>
      <w:r>
        <w:rPr>
          <w:rFonts w:ascii="Montserrat" w:hAnsi="Montserrat"/>
          <w:sz w:val="24"/>
        </w:rPr>
        <w:t xml:space="preserve"> y</w:t>
      </w:r>
      <w:r>
        <w:rPr>
          <w:rFonts w:ascii="Montserrat" w:hAnsi="Montserrat"/>
          <w:sz w:val="24"/>
        </w:rPr>
        <w:t xml:space="preserve">,</w:t>
      </w:r>
      <w:r>
        <w:rPr>
          <w:rFonts w:ascii="Montserrat" w:hAnsi="Montserrat"/>
          <w:sz w:val="24"/>
        </w:rPr>
        <w:t xml:space="preserve"> </w:t>
      </w:r>
      <w:r/>
    </w:p>
    <w:p>
      <w:pPr>
        <w:numPr>
          <w:ilvl w:val="0"/>
          <w:numId w:val="2"/>
        </w:numPr>
        <w:jc w:val="both"/>
        <w:spacing w:after="0" w:line="360" w:lineRule="auto"/>
        <w:rPr>
          <w:rFonts w:ascii="Montserrat" w:hAnsi="Montserrat"/>
          <w:sz w:val="24"/>
        </w:rPr>
      </w:pPr>
      <w:r>
        <w:rPr>
          <w:rFonts w:ascii="Montserrat" w:hAnsi="Montserrat"/>
          <w:sz w:val="24"/>
        </w:rPr>
        <w:t xml:space="preserve">Cualesquiera otras formas análogas que lesionen o sean susceptibles de dañar la dignidad, integridad o libertad de las mujeres. </w:t>
      </w:r>
      <w:r/>
    </w:p>
    <w:p>
      <w:pPr>
        <w:numPr>
          <w:ilvl w:val="0"/>
          <w:numId w:val="1"/>
        </w:numPr>
        <w:jc w:val="both"/>
        <w:spacing w:before="120" w:after="200" w:line="360" w:lineRule="auto"/>
        <w:rPr>
          <w:rFonts w:ascii="Montserrat" w:hAnsi="Montserrat" w:eastAsia="Calibri" w:cs="Times New Roman"/>
          <w:sz w:val="24"/>
          <w:szCs w:val="24"/>
          <w:lang w:eastAsia="en-US"/>
        </w:rPr>
        <w:outlineLvl w:val="0"/>
      </w:pPr>
      <w:r/>
      <w:bookmarkStart w:id="2" w:name="_Toc139369275"/>
      <w:r>
        <w:rPr>
          <w:rFonts w:ascii="Montserrat" w:hAnsi="Montserrat" w:eastAsia="Calibri" w:cs="Times New Roman"/>
          <w:b/>
          <w:smallCaps/>
          <w:sz w:val="24"/>
          <w:szCs w:val="24"/>
          <w:lang w:eastAsia="en-US"/>
        </w:rPr>
        <w:t xml:space="preserve">Respuestas de Estados, empresas y organizaciones</w:t>
      </w:r>
      <w:bookmarkEnd w:id="2"/>
      <w:r/>
      <w:r/>
    </w:p>
    <w:p>
      <w:p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A) </w:t>
      </w:r>
      <w:r>
        <w:rPr>
          <w:rFonts w:ascii="Montserrat" w:hAnsi="Montserrat" w:eastAsia="Calibri" w:cs="Times New Roman"/>
          <w:b/>
          <w:sz w:val="24"/>
          <w:szCs w:val="24"/>
          <w:lang w:eastAsia="en-US"/>
        </w:rPr>
        <w:t xml:space="preserve">LOS ESTADOS</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Los Estados han buscado incluir en sus legislaciones nacionales, aquellas normas que combatan </w:t>
      </w:r>
      <w:r>
        <w:rPr>
          <w:rFonts w:ascii="Montserrat" w:hAnsi="Montserrat" w:eastAsia="Calibri" w:cs="Times New Roman"/>
          <w:sz w:val="24"/>
          <w:szCs w:val="24"/>
          <w:lang w:eastAsia="en-US"/>
        </w:rPr>
        <w:t xml:space="preserve">la violencia de género</w:t>
      </w:r>
      <w:r>
        <w:rPr>
          <w:rFonts w:ascii="Montserrat" w:hAnsi="Montserrat" w:eastAsia="Calibri" w:cs="Times New Roman"/>
          <w:sz w:val="24"/>
          <w:szCs w:val="24"/>
          <w:lang w:eastAsia="en-US"/>
        </w:rPr>
        <w:t xml:space="preserve"> en el cual, el atacante hace uso de argumentos misóginos para desprestigiar, desacreditar, desmeritar o menoscabar las habilidades, competencias o aptitudes del </w:t>
      </w:r>
      <w:r>
        <w:rPr>
          <w:rFonts w:ascii="Montserrat" w:hAnsi="Montserrat" w:eastAsia="Calibri" w:cs="Times New Roman"/>
          <w:sz w:val="24"/>
          <w:szCs w:val="24"/>
          <w:lang w:eastAsia="en-US"/>
        </w:rPr>
        <w:t xml:space="preserve">desempeño de las mujeres</w:t>
      </w:r>
      <w:r>
        <w:rPr>
          <w:rFonts w:ascii="Montserrat" w:hAnsi="Montserrat" w:eastAsia="Calibri" w:cs="Times New Roman"/>
          <w:sz w:val="24"/>
          <w:szCs w:val="24"/>
          <w:lang w:eastAsia="en-US"/>
        </w:rPr>
        <w:t xml:space="preserve">, con el objetivo de influir en la opinión pública y manipular así la concepción que puedan tener de dicha persona.</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También, se</w:t>
      </w:r>
      <w:r>
        <w:rPr>
          <w:rFonts w:ascii="Montserrat" w:hAnsi="Montserrat" w:eastAsia="Calibri" w:cs="Times New Roman"/>
          <w:sz w:val="24"/>
          <w:szCs w:val="24"/>
          <w:lang w:eastAsia="en-US"/>
        </w:rPr>
        <w:t xml:space="preserve"> empiezan a abrir espacios desde el ámbito internacional en los que se busca un diálogo entre diferentes actores, tal es el caso de una serie de reuniones y consultas coordinadas por la UNESCO en la que están participando varios estados.</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Aunque no existe una medida específica creada ex profeso para combatir la desinformación de género, el Gobierno mexicano ha implementado campañas de sensibilización y educación sobre la igualdad de género y la prevención de la violencia de género.</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Diversas instituciones, tanto gubernamentales como no gubernamentales, han implementado programas de capacitación dirigidos a periodistas, comunicadores y profesionales de los medios de comunicación. </w:t>
      </w:r>
      <w:r/>
    </w:p>
    <w:p>
      <w:p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El caso del Estado Mexicano</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El Estado Mexicano </w:t>
      </w:r>
      <w:r>
        <w:rPr>
          <w:rFonts w:ascii="Montserrat" w:hAnsi="Montserrat" w:eastAsia="Calibri" w:cs="Times New Roman"/>
          <w:sz w:val="24"/>
          <w:szCs w:val="24"/>
          <w:lang w:eastAsia="en-US"/>
        </w:rPr>
        <w:t xml:space="preserve">ha legislado respecto</w:t>
      </w:r>
      <w:r>
        <w:rPr>
          <w:rFonts w:ascii="Montserrat" w:hAnsi="Montserrat" w:eastAsia="Calibri" w:cs="Times New Roman"/>
          <w:sz w:val="24"/>
          <w:szCs w:val="24"/>
          <w:lang w:eastAsia="en-US"/>
        </w:rPr>
        <w:t xml:space="preserve"> de acciones que encuadran en el concepto de “Desinformación de género”, aun cuando no se nombre bajo esa designación, podemos advertir que se incluyen en la modalidad de violencia tanto de tipo político como mediático, tal como a continuación se enlista: </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1.</w:t>
      </w:r>
      <w:r>
        <w:rPr>
          <w:rFonts w:ascii="Montserrat" w:hAnsi="Montserrat" w:eastAsia="Calibri" w:cs="Times New Roman"/>
          <w:sz w:val="24"/>
          <w:szCs w:val="24"/>
          <w:lang w:eastAsia="en-US"/>
        </w:rPr>
        <w:tab/>
      </w:r>
      <w:r>
        <w:rPr>
          <w:rFonts w:ascii="Montserrat" w:hAnsi="Montserrat" w:eastAsia="Calibri" w:cs="Times New Roman"/>
          <w:sz w:val="24"/>
          <w:szCs w:val="24"/>
          <w:lang w:eastAsia="en-US"/>
        </w:rPr>
        <w:t xml:space="preserve">El</w:t>
      </w:r>
      <w:r>
        <w:rPr>
          <w:rFonts w:ascii="Montserrat" w:hAnsi="Montserrat" w:eastAsia="Calibri" w:cs="Times New Roman"/>
          <w:sz w:val="24"/>
          <w:szCs w:val="24"/>
          <w:lang w:eastAsia="en-US"/>
        </w:rPr>
        <w:t xml:space="preserve"> 13 de abril del 2021, se adicionó el artículo 20 Ter de la  Ley General de Acceso de las Mujeres a una Vida Libre de Violencia cuya fracción IX establece que la violencia política contra las mujeres </w:t>
      </w:r>
      <w:r>
        <w:rPr>
          <w:rFonts w:ascii="Montserrat" w:hAnsi="Montserrat" w:eastAsia="Calibri" w:cs="Times New Roman"/>
          <w:sz w:val="24"/>
          <w:szCs w:val="24"/>
          <w:lang w:eastAsia="en-US"/>
        </w:rPr>
        <w:t xml:space="preserve">cuyas conductas incluyen la desinformación de género. </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2.</w:t>
      </w:r>
      <w:r>
        <w:rPr>
          <w:rFonts w:ascii="Montserrat" w:hAnsi="Montserrat" w:eastAsia="Calibri" w:cs="Times New Roman"/>
          <w:sz w:val="24"/>
          <w:szCs w:val="24"/>
          <w:lang w:eastAsia="en-US"/>
        </w:rPr>
        <w:tab/>
        <w:t xml:space="preserve">Por otra parte, con fecha 01 de junio del 2021, se adicionaron los artículos 20 Quinquies.- y </w:t>
      </w:r>
      <w:r>
        <w:rPr>
          <w:rFonts w:ascii="Montserrat" w:hAnsi="Montserrat" w:eastAsia="Calibri" w:cs="Times New Roman"/>
          <w:sz w:val="24"/>
          <w:szCs w:val="24"/>
          <w:lang w:eastAsia="en-US"/>
        </w:rPr>
        <w:t xml:space="preserve">Sexties</w:t>
      </w:r>
      <w:r>
        <w:rPr>
          <w:rFonts w:ascii="Montserrat" w:hAnsi="Montserrat" w:eastAsia="Calibri" w:cs="Times New Roman"/>
          <w:sz w:val="24"/>
          <w:szCs w:val="24"/>
          <w:lang w:eastAsia="en-US"/>
        </w:rPr>
        <w:t xml:space="preserve"> en los cuales se establece que lo que es la</w:t>
      </w:r>
      <w:r>
        <w:rPr>
          <w:rFonts w:ascii="Montserrat" w:hAnsi="Montserrat" w:eastAsia="Calibri" w:cs="Times New Roman"/>
          <w:sz w:val="24"/>
          <w:szCs w:val="24"/>
          <w:lang w:eastAsia="en-US"/>
        </w:rPr>
        <w:t xml:space="preserve"> Violencia mediática </w:t>
      </w:r>
      <w:r>
        <w:rPr>
          <w:rFonts w:ascii="Montserrat" w:hAnsi="Montserrat" w:eastAsia="Calibri" w:cs="Times New Roman"/>
          <w:sz w:val="24"/>
          <w:szCs w:val="24"/>
          <w:lang w:eastAsia="en-US"/>
        </w:rPr>
        <w:t xml:space="preserve">y la promoción de </w:t>
      </w:r>
      <w:r>
        <w:rPr>
          <w:rFonts w:ascii="Montserrat" w:hAnsi="Montserrat" w:eastAsia="Calibri" w:cs="Times New Roman"/>
          <w:sz w:val="24"/>
          <w:szCs w:val="24"/>
          <w:lang w:eastAsia="en-US"/>
        </w:rPr>
        <w:t xml:space="preserve">estereotipos sexistas</w:t>
      </w:r>
      <w:r>
        <w:rPr>
          <w:rFonts w:ascii="Montserrat" w:hAnsi="Montserrat" w:eastAsia="Calibri" w:cs="Times New Roman"/>
          <w:sz w:val="24"/>
          <w:szCs w:val="24"/>
          <w:lang w:eastAsia="en-US"/>
        </w:rPr>
        <w:t xml:space="preserve"> en ella. </w:t>
      </w:r>
      <w:r>
        <w:rPr>
          <w:rFonts w:ascii="Montserrat" w:hAnsi="Montserrat" w:eastAsia="Calibri" w:cs="Times New Roman"/>
          <w:sz w:val="24"/>
          <w:szCs w:val="24"/>
          <w:lang w:eastAsia="en-US"/>
        </w:rPr>
        <w:t xml:space="preserve">, </w:t>
      </w:r>
      <w:r/>
    </w:p>
    <w:p>
      <w:pPr>
        <w:jc w:val="both"/>
        <w:spacing w:before="120" w:after="200" w:line="360" w:lineRule="auto"/>
        <w:rPr>
          <w:rFonts w:ascii="Montserrat" w:hAnsi="Montserrat" w:eastAsia="Calibri" w:cs="Times New Roman"/>
          <w:b/>
          <w:bCs/>
          <w:sz w:val="24"/>
          <w:szCs w:val="24"/>
          <w:lang w:eastAsia="en-US"/>
        </w:rPr>
      </w:pPr>
      <w:r>
        <w:rPr>
          <w:rFonts w:ascii="Montserrat" w:hAnsi="Montserrat" w:eastAsia="Calibri" w:cs="Times New Roman"/>
          <w:b/>
          <w:sz w:val="24"/>
          <w:szCs w:val="24"/>
          <w:lang w:eastAsia="en-US"/>
        </w:rPr>
      </w:r>
      <w:r>
        <w:rPr>
          <w:rFonts w:ascii="Montserrat" w:hAnsi="Montserrat" w:eastAsia="Calibri" w:cs="Times New Roman"/>
          <w:b/>
          <w:sz w:val="24"/>
          <w:szCs w:val="24"/>
          <w:lang w:eastAsia="en-US"/>
        </w:rPr>
        <w:t xml:space="preserve">2.</w:t>
      </w:r>
      <w:r>
        <w:rPr>
          <w:rFonts w:ascii="Montserrat" w:hAnsi="Montserrat" w:eastAsia="Calibri" w:cs="Times New Roman"/>
          <w:b/>
          <w:sz w:val="24"/>
          <w:szCs w:val="24"/>
          <w:lang w:eastAsia="en-US"/>
        </w:rPr>
        <w:tab/>
        <w:t xml:space="preserve">¿En qué medida estas respuestas cumplen con los estándares del derecho internacional de los derechos humanos, en parti</w:t>
      </w:r>
      <w:r>
        <w:rPr>
          <w:rFonts w:ascii="Montserrat" w:hAnsi="Montserrat" w:eastAsia="Calibri" w:cs="Times New Roman"/>
          <w:b/>
          <w:sz w:val="24"/>
          <w:szCs w:val="24"/>
          <w:lang w:eastAsia="en-US"/>
        </w:rPr>
        <w:t xml:space="preserve">cular la libertad de expresión?</w:t>
      </w:r>
      <w:r>
        <w:rPr>
          <w:rFonts w:ascii="Montserrat" w:hAnsi="Montserrat" w:eastAsia="Calibri" w:cs="Times New Roman"/>
          <w:sz w:val="24"/>
          <w:szCs w:val="24"/>
          <w:lang w:eastAsia="en-US"/>
        </w:rPr>
      </w:r>
      <w:r>
        <w:rPr>
          <w:rFonts w:ascii="Montserrat" w:hAnsi="Montserrat" w:eastAsia="Calibri" w:cs="Times New Roman"/>
          <w:b/>
          <w:sz w:val="24"/>
          <w:szCs w:val="24"/>
          <w:lang w:eastAsia="en-US"/>
        </w:rP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En</w:t>
      </w:r>
      <w:r>
        <w:rPr>
          <w:rFonts w:ascii="Montserrat" w:hAnsi="Montserrat" w:eastAsia="Calibri" w:cs="Times New Roman"/>
          <w:sz w:val="24"/>
          <w:szCs w:val="24"/>
          <w:lang w:eastAsia="en-US"/>
        </w:rPr>
        <w:t xml:space="preserve"> ningún caso la libertad de expresión puede ser usada para menoscabar otro derecho, dicho de otra manera, ningún derecho es absoluto y el límite de un derecho llega hasta do</w:t>
      </w:r>
      <w:r>
        <w:rPr>
          <w:rFonts w:ascii="Montserrat" w:hAnsi="Montserrat" w:eastAsia="Calibri" w:cs="Times New Roman"/>
          <w:sz w:val="24"/>
          <w:szCs w:val="24"/>
          <w:lang w:eastAsia="en-US"/>
        </w:rPr>
        <w:t xml:space="preserve">nde empieza el derecho de otro.</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La </w:t>
      </w:r>
      <w:r>
        <w:rPr>
          <w:rFonts w:ascii="Montserrat" w:hAnsi="Montserrat" w:eastAsia="Calibri" w:cs="Times New Roman"/>
          <w:sz w:val="24"/>
          <w:szCs w:val="24"/>
          <w:lang w:eastAsia="en-US"/>
        </w:rPr>
        <w:t xml:space="preserve">Ley General de Acceso de las Mujeres a una Vida Libre de Violencia, en específico aquellos artículos que se han citado con anterioridad, buscan salvaguardar a las mujeres de cualquier expresión que las denigre o descalifique entre otras raz</w:t>
      </w:r>
      <w:r>
        <w:rPr>
          <w:rFonts w:ascii="Montserrat" w:hAnsi="Montserrat" w:eastAsia="Calibri" w:cs="Times New Roman"/>
          <w:sz w:val="24"/>
          <w:szCs w:val="24"/>
          <w:lang w:eastAsia="en-US"/>
        </w:rPr>
        <w:t xml:space="preserve">ones por el simple hecho de ser mujeres, ello no atenta contra la libertad de expresión, es decir, la legislación per se no atenta contra los estándares internacionales siempre y que sea aplicada con un justo juicio de valor, lo mismo aplica para las polít</w:t>
      </w:r>
      <w:r>
        <w:rPr>
          <w:rFonts w:ascii="Montserrat" w:hAnsi="Montserrat" w:eastAsia="Calibri" w:cs="Times New Roman"/>
          <w:sz w:val="24"/>
          <w:szCs w:val="24"/>
          <w:lang w:eastAsia="en-US"/>
        </w:rPr>
        <w:t xml:space="preserve">icas de las empresas digitales.</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En general, se puede decir que México cuenta con herramientas y medidas que buscan proteger la libertad de expresión y combatir la desinformación de género, en consonancia con los estándares del derecho internacional de los derechos humanos. Sin embargo, </w:t>
      </w:r>
      <w:r>
        <w:rPr>
          <w:rFonts w:ascii="Montserrat" w:hAnsi="Montserrat" w:eastAsia="Calibri" w:cs="Times New Roman"/>
          <w:sz w:val="24"/>
          <w:szCs w:val="24"/>
          <w:lang w:eastAsia="en-US"/>
        </w:rPr>
        <w:t xml:space="preserve">se realizan esfuerzos para garantizar los derechos humanos. </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México cuenta con el Mecanismo </w:t>
      </w:r>
      <w:r>
        <w:rPr>
          <w:rFonts w:ascii="Montserrat" w:hAnsi="Montserrat" w:eastAsia="Calibri" w:cs="Times New Roman"/>
          <w:sz w:val="24"/>
          <w:szCs w:val="24"/>
          <w:lang w:eastAsia="en-US"/>
        </w:rPr>
        <w:t xml:space="preserve">de Protección para</w:t>
      </w:r>
      <w:r>
        <w:rPr>
          <w:rFonts w:ascii="Montserrat" w:hAnsi="Montserrat" w:eastAsia="Calibri" w:cs="Times New Roman"/>
          <w:sz w:val="24"/>
          <w:szCs w:val="24"/>
          <w:lang w:eastAsia="en-US"/>
        </w:rPr>
        <w:t xml:space="preserve"> Personas Defensoras y Periodistas el cual tiene 2,122 personas protegidas en la actualidad. </w:t>
      </w:r>
      <w:r/>
    </w:p>
    <w:p>
      <w:p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3.</w:t>
      </w:r>
      <w:r>
        <w:rPr>
          <w:rFonts w:ascii="Montserrat" w:hAnsi="Montserrat" w:eastAsia="Calibri" w:cs="Times New Roman"/>
          <w:b/>
          <w:sz w:val="24"/>
          <w:szCs w:val="24"/>
          <w:lang w:eastAsia="en-US"/>
        </w:rPr>
        <w:tab/>
        <w:t xml:space="preserve">¿Qué tan efectivas han sido estas medidas para abordar</w:t>
      </w:r>
      <w:r>
        <w:rPr>
          <w:rFonts w:ascii="Montserrat" w:hAnsi="Montserrat" w:eastAsia="Calibri" w:cs="Times New Roman"/>
          <w:b/>
          <w:sz w:val="24"/>
          <w:szCs w:val="24"/>
          <w:lang w:eastAsia="en-US"/>
        </w:rPr>
        <w:t xml:space="preserve"> la "desinformación de género"?</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México cuenta con herramientas y marcos legales que buscan proteger la libertad de expresión y combatir la desinformación de género de acuerdo con los estándares del derecho internacional de los derechos humanos. Sin embargo, la implementación efectiva d</w:t>
      </w:r>
      <w:r>
        <w:rPr>
          <w:rFonts w:ascii="Montserrat" w:hAnsi="Montserrat" w:eastAsia="Calibri" w:cs="Times New Roman"/>
          <w:sz w:val="24"/>
          <w:szCs w:val="24"/>
          <w:lang w:eastAsia="en-US"/>
        </w:rPr>
        <w:t xml:space="preserve">e estas medidas y la protección real de la libertad de expresión y el combate a esta desinformación requiere un monitoreo constante, esfuerzos adicionales para abordar los desafíos existentes y garantizar un ambiente seguro y propicio para el ejercicio ple</w:t>
      </w:r>
      <w:r>
        <w:rPr>
          <w:rFonts w:ascii="Montserrat" w:hAnsi="Montserrat" w:eastAsia="Calibri" w:cs="Times New Roman"/>
          <w:sz w:val="24"/>
          <w:szCs w:val="24"/>
          <w:lang w:eastAsia="en-US"/>
        </w:rPr>
        <w:t xml:space="preserve">no de este derecho fundamental.</w:t>
      </w:r>
      <w:r/>
    </w:p>
    <w:p>
      <w:p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4.</w:t>
      </w:r>
      <w:r>
        <w:rPr>
          <w:rFonts w:ascii="Montserrat" w:hAnsi="Montserrat" w:eastAsia="Calibri" w:cs="Times New Roman"/>
          <w:b/>
          <w:sz w:val="24"/>
          <w:szCs w:val="24"/>
          <w:lang w:eastAsia="en-US"/>
        </w:rPr>
        <w:tab/>
        <w:t xml:space="preserve">Proporcione referencias / enlaces a marcos legales o de políticas desarrollados para abordar las dimensiones de género de la desinformación.</w:t>
      </w: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rPr>
          <w:rFonts w:ascii="Montserrat" w:hAnsi="Montserrat" w:eastAsia="Calibri" w:cs="Times New Roman"/>
          <w:sz w:val="24"/>
          <w:szCs w:val="24"/>
          <w:lang w:eastAsia="en-US"/>
        </w:rPr>
        <w:t xml:space="preserve">http://bibliodigitalibd.senado.gob.mx/bitstream/handle/123456789/4864/CI_67_DGAL.pdf?sequence=3&amp;isAllowed=y </w:t>
      </w:r>
      <w:r>
        <w:rPr>
          <w:rFonts w:ascii="Montserrat" w:hAnsi="Montserrat" w:eastAsia="Calibri" w:cs="Times New Roman"/>
          <w:sz w:val="24"/>
          <w:szCs w:val="24"/>
          <w:lang w:eastAsia="en-US"/>
        </w:rPr>
      </w:r>
      <w:r>
        <w:rPr>
          <w:rFonts w:ascii="Montserrat" w:hAnsi="Montserrat" w:eastAsia="Calibri" w:cs="Times New Roman"/>
          <w:sz w:val="24"/>
          <w:szCs w:val="24"/>
          <w:lang w:eastAsia="en-US"/>
        </w:rP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https://www.cndh.org.mx/sites/all/doc/OtrosDocumentos/Doc_2018_056.pdf </w:t>
      </w: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hyperlink r:id="rId12" w:tooltip="https://semujeres.cdmx.gob.mx/violencia-digital#:~:text=%C2%BFQu%C3%A9%20es%20la%20Violencia%20Digital,la%20intimidad%20de%20una%20persona" w:anchor=":~:text=%C2%BFQu%C3%A9%20es%20la%20Violencia%20Digital,la%20intimidad%20de%20una%20persona" w:history="1">
        <w:r>
          <w:rPr>
            <w:rStyle w:val="722"/>
            <w:rFonts w:ascii="Montserrat" w:hAnsi="Montserrat" w:eastAsia="Calibri" w:cs="Times New Roman"/>
            <w:sz w:val="24"/>
            <w:szCs w:val="24"/>
            <w:lang w:eastAsia="en-US"/>
          </w:rPr>
          <w:t xml:space="preserve">https://semujeres.cdmx.gob.mx/violencia-digital#:~:text=%C2%BFQu%C3%A9%20es%20la%20Violencia%20Digital,la%20intimidad%20de%20una%20persona</w:t>
        </w:r>
      </w:hyperlink>
      <w:r>
        <w:rPr>
          <w:rFonts w:ascii="Montserrat" w:hAnsi="Montserrat" w:eastAsia="Calibri" w:cs="Times New Roman"/>
          <w:sz w:val="24"/>
          <w:szCs w:val="24"/>
          <w:lang w:eastAsia="en-US"/>
        </w:rPr>
        <w:t xml:space="preserve">.</w:t>
      </w:r>
      <w:r/>
      <w:r>
        <w:rPr>
          <w:rFonts w:ascii="Montserrat" w:hAnsi="Montserrat" w:eastAsia="Calibri" w:cs="Times New Roman"/>
          <w:sz w:val="24"/>
          <w:szCs w:val="24"/>
          <w:lang w:eastAsia="en-US"/>
        </w:rP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rPr>
          <w:rFonts w:ascii="Montserrat" w:hAnsi="Montserrat" w:eastAsia="Calibri" w:cs="Times New Roman"/>
          <w:sz w:val="24"/>
          <w:szCs w:val="24"/>
          <w:lang w:eastAsia="en-US"/>
        </w:rPr>
        <w:t xml:space="preserve">Ley General de Acceso de las Mujeres a una Vida Libre de Violencia (diputados.gob.mx)</w:t>
      </w:r>
      <w:r/>
      <w:r>
        <w:rPr>
          <w:rFonts w:ascii="Montserrat" w:hAnsi="Montserrat" w:eastAsia="Calibri" w:cs="Times New Roman"/>
          <w:sz w:val="24"/>
          <w:szCs w:val="24"/>
          <w:lang w:eastAsia="en-US"/>
        </w:rP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Igualdad de género | Secretaría de Bienestar | Gobierno | gob.mx (</w:t>
      </w:r>
      <w:hyperlink r:id="rId13" w:tooltip="http://www.gob.mx" w:history="1">
        <w:r>
          <w:rPr>
            <w:rStyle w:val="722"/>
            <w:rFonts w:ascii="Montserrat" w:hAnsi="Montserrat" w:eastAsia="Calibri" w:cs="Times New Roman"/>
            <w:sz w:val="24"/>
            <w:szCs w:val="24"/>
            <w:lang w:eastAsia="en-US"/>
          </w:rPr>
          <w:t xml:space="preserve">www.gob.mx</w:t>
        </w:r>
      </w:hyperlink>
      <w:r>
        <w:rPr>
          <w:rFonts w:ascii="Montserrat" w:hAnsi="Montserrat" w:eastAsia="Calibri" w:cs="Times New Roman"/>
          <w:sz w:val="24"/>
          <w:szCs w:val="24"/>
          <w:lang w:eastAsia="en-US"/>
        </w:rPr>
        <w:t xml:space="preserve">)</w:t>
      </w: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Cuaderno de jurisprudencia: Libertad de expresión y medios de comunicación, publicado en septiembre de 2021.</w:t>
      </w:r>
      <w:r>
        <w:rPr>
          <w:rFonts w:ascii="Montserrat" w:hAnsi="Montserrat" w:eastAsia="Calibri" w:cs="Times New Roman"/>
          <w:sz w:val="24"/>
          <w:szCs w:val="24"/>
          <w:lang w:eastAsia="en-US"/>
        </w:rPr>
        <w:t xml:space="preserve"> Se puede encontrar en el siguiente link: </w:t>
      </w:r>
      <w:hyperlink r:id="rId14" w:tooltip="https://www.sitios.scjn.gob.mx/cec/biblioteca-virtual/libertad-de-expresion-y-medios-de-comunicacion" w:history="1">
        <w:r>
          <w:rPr>
            <w:rStyle w:val="722"/>
            <w:rFonts w:ascii="Montserrat" w:hAnsi="Montserrat" w:eastAsia="Calibri" w:cs="Times New Roman"/>
            <w:sz w:val="24"/>
            <w:szCs w:val="24"/>
            <w:lang w:eastAsia="en-US"/>
          </w:rPr>
          <w:t xml:space="preserve">https://www.sitios.scjn.gob.mx/cec/biblioteca-virtual/libertad-de-expresion-y-medios-de-comunicacion</w:t>
        </w:r>
      </w:hyperlink>
      <w:r>
        <w:rPr>
          <w:rFonts w:ascii="Montserrat" w:hAnsi="Montserrat" w:eastAsia="Calibri" w:cs="Times New Roman"/>
          <w:sz w:val="24"/>
          <w:szCs w:val="24"/>
          <w:lang w:eastAsia="en-US"/>
        </w:rPr>
        <w:t xml:space="preserve"> </w:t>
      </w:r>
      <w:r/>
    </w:p>
    <w:p>
      <w:pPr>
        <w:pStyle w:val="720"/>
        <w:numPr>
          <w:ilvl w:val="0"/>
          <w:numId w:val="9"/>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Cuaderno de jurisprudencia: Libertad de expresión y periodismo, publicado en octubre de 2022.</w:t>
      </w:r>
      <w:r>
        <w:rPr>
          <w:rFonts w:ascii="Montserrat" w:hAnsi="Montserrat" w:eastAsia="Calibri" w:cs="Times New Roman"/>
          <w:sz w:val="24"/>
          <w:szCs w:val="24"/>
          <w:lang w:eastAsia="en-US"/>
        </w:rPr>
        <w:t xml:space="preserve"> Se puede encontrar en el siguiente link: </w:t>
      </w:r>
      <w:hyperlink r:id="rId15" w:tooltip="https://www.sitios.scjn.gob.mx/cec/biblioteca-virtual/libertad-de-expresion-y-periodismo-0" w:history="1">
        <w:r>
          <w:rPr>
            <w:rStyle w:val="722"/>
            <w:rFonts w:ascii="Montserrat" w:hAnsi="Montserrat" w:eastAsia="Calibri" w:cs="Times New Roman"/>
            <w:sz w:val="24"/>
            <w:szCs w:val="24"/>
            <w:lang w:eastAsia="en-US"/>
          </w:rPr>
          <w:t xml:space="preserve">https://www.sitios.scjn.gob.mx/cec/biblioteca-virtual/libertad-de-expresion-y-periodismo-0</w:t>
        </w:r>
      </w:hyperlink>
      <w:r>
        <w:rPr>
          <w:rFonts w:ascii="Montserrat" w:hAnsi="Montserrat" w:eastAsia="Calibri" w:cs="Times New Roman"/>
          <w:sz w:val="24"/>
          <w:szCs w:val="24"/>
          <w:lang w:eastAsia="en-US"/>
        </w:rPr>
        <w:t xml:space="preserve"> </w:t>
      </w:r>
      <w:r/>
    </w:p>
    <w:p>
      <w:p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5.</w:t>
      </w:r>
      <w:r>
        <w:rPr>
          <w:rFonts w:ascii="Montserrat" w:hAnsi="Montserrat" w:eastAsia="Calibri" w:cs="Times New Roman"/>
          <w:b/>
          <w:sz w:val="24"/>
          <w:szCs w:val="24"/>
          <w:lang w:eastAsia="en-US"/>
        </w:rPr>
        <w:tab/>
        <w:t xml:space="preserve">Proporcione referencias/enlaces a la jurisprudencia pertinente sobre este tema.</w:t>
      </w:r>
      <w:r/>
    </w:p>
    <w:p>
      <w:pPr>
        <w:numPr>
          <w:ilvl w:val="0"/>
          <w:numId w:val="1"/>
        </w:numPr>
        <w:ind w:left="426" w:hanging="426"/>
        <w:jc w:val="both"/>
        <w:spacing w:before="120" w:after="200" w:line="360" w:lineRule="auto"/>
        <w:rPr>
          <w:rFonts w:ascii="Montserrat" w:hAnsi="Montserrat" w:eastAsia="Calibri" w:cs="Times New Roman"/>
          <w:b/>
          <w:bCs/>
          <w:smallCaps/>
          <w:sz w:val="24"/>
          <w:szCs w:val="24"/>
          <w:lang w:eastAsia="en-US"/>
        </w:rPr>
        <w:outlineLvl w:val="0"/>
      </w:pPr>
      <w:r>
        <w:rPr>
          <w:rFonts w:ascii="Montserrat" w:hAnsi="Montserrat" w:eastAsia="Calibri" w:cs="Times New Roman"/>
          <w:sz w:val="24"/>
          <w:szCs w:val="24"/>
          <w:lang w:eastAsia="en-US"/>
        </w:rPr>
      </w:r>
      <w:r/>
      <w:bookmarkStart w:id="27" w:name="_Toc139369276"/>
      <w:r/>
      <w:bookmarkStart w:id="28" w:name="_Hlk44603307"/>
      <w:r>
        <w:rPr>
          <w:rFonts w:ascii="Montserrat" w:hAnsi="Montserrat" w:eastAsia="Calibri" w:cs="Times New Roman"/>
          <w:b/>
          <w:smallCaps/>
          <w:sz w:val="24"/>
          <w:szCs w:val="24"/>
          <w:lang w:eastAsia="en-US"/>
        </w:rPr>
        <w:t xml:space="preserve">Encontrar soluciones</w:t>
      </w:r>
      <w:bookmarkEnd w:id="27"/>
      <w:r>
        <w:rPr>
          <w:rFonts w:ascii="Montserrat" w:hAnsi="Montserrat" w:eastAsia="Calibri" w:cs="Times New Roman"/>
          <w:sz w:val="24"/>
          <w:szCs w:val="24"/>
          <w:lang w:eastAsia="en-US"/>
        </w:rPr>
      </w:r>
      <w:r>
        <w:rPr>
          <w:rFonts w:ascii="Montserrat" w:hAnsi="Montserrat" w:eastAsia="Calibri" w:cs="Times New Roman"/>
          <w:sz w:val="24"/>
          <w:szCs w:val="24"/>
          <w:lang w:eastAsia="en-US"/>
        </w:rPr>
      </w:r>
    </w:p>
    <w:p>
      <w:pPr>
        <w:pStyle w:val="720"/>
        <w:numPr>
          <w:ilvl w:val="0"/>
          <w:numId w:val="12"/>
        </w:numPr>
        <w:jc w:val="both"/>
        <w:spacing w:before="120" w:after="200" w:line="360" w:lineRule="auto"/>
        <w:rPr>
          <w:rFonts w:ascii="Montserrat" w:hAnsi="Montserrat" w:eastAsia="Calibri" w:cs="Times New Roman"/>
          <w:b/>
          <w:smallCaps/>
          <w:sz w:val="24"/>
          <w:szCs w:val="24"/>
          <w:lang w:eastAsia="en-US"/>
        </w:rPr>
        <w:outlineLvl w:val="0"/>
      </w:pPr>
      <w:r/>
      <w:bookmarkStart w:id="29" w:name="_Toc139369277"/>
      <w:r>
        <w:rPr>
          <w:rFonts w:ascii="Montserrat" w:hAnsi="Montserrat" w:eastAsia="Calibri" w:cs="Times New Roman"/>
          <w:b/>
          <w:sz w:val="24"/>
          <w:szCs w:val="24"/>
          <w:lang w:eastAsia="en-US"/>
        </w:rPr>
        <w:t xml:space="preserve">¿Qué recomendaciones cree que debería hacer la Relatora Especial y a quién sobre cómo combatir la desinformación de género?</w:t>
      </w:r>
      <w:bookmarkEnd w:id="29"/>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Recomendar a la Federación, Estados, Municipio</w:t>
      </w:r>
      <w:r>
        <w:rPr>
          <w:rFonts w:ascii="Montserrat" w:hAnsi="Montserrat" w:eastAsia="Calibri" w:cs="Times New Roman"/>
          <w:sz w:val="24"/>
          <w:szCs w:val="24"/>
          <w:lang w:eastAsia="en-US"/>
        </w:rPr>
        <w:t xml:space="preserve">s</w:t>
      </w:r>
      <w:r>
        <w:rPr>
          <w:rFonts w:ascii="Montserrat" w:hAnsi="Montserrat" w:eastAsia="Calibri" w:cs="Times New Roman"/>
          <w:sz w:val="24"/>
          <w:szCs w:val="24"/>
          <w:lang w:eastAsia="en-US"/>
        </w:rPr>
        <w:t xml:space="preserve">, que se implemente la participación de las mujeres en los medios de comunicación, las plataformas digitales y en todos los temas relacionados con la política, economía y problemas actuales y sociales para crear buen</w:t>
      </w:r>
      <w:r>
        <w:rPr>
          <w:rFonts w:ascii="Montserrat" w:hAnsi="Montserrat" w:eastAsia="Calibri" w:cs="Times New Roman"/>
          <w:sz w:val="24"/>
          <w:szCs w:val="24"/>
          <w:lang w:eastAsia="en-US"/>
        </w:rPr>
        <w:t xml:space="preserve">as prácticas entre la sociedad.</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Aplicar marcos normativos y regulatorios con los que se garantice el resp</w:t>
      </w:r>
      <w:r>
        <w:rPr>
          <w:rFonts w:ascii="Montserrat" w:hAnsi="Montserrat" w:eastAsia="Calibri" w:cs="Times New Roman"/>
          <w:sz w:val="24"/>
          <w:szCs w:val="24"/>
          <w:lang w:eastAsia="en-US"/>
        </w:rPr>
        <w:t xml:space="preserve">eto a los derechos humanos, se atente contra la violencia, se den a conocer estos marcos normativos a la sociedad por medio de plataformas digitales y medios impresos, así como establecer sanciones para combatir a las conductas que violentan o atentan cont</w:t>
      </w:r>
      <w:r>
        <w:rPr>
          <w:rFonts w:ascii="Montserrat" w:hAnsi="Montserrat" w:eastAsia="Calibri" w:cs="Times New Roman"/>
          <w:sz w:val="24"/>
          <w:szCs w:val="24"/>
          <w:lang w:eastAsia="en-US"/>
        </w:rPr>
        <w:t xml:space="preserve">ra la desinformación de género.</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Apoyar a las víctimas de desinformación de genero para aplicar sanciones y crear acciones para que todas aquellas personas víctimas obtengan una reparación del daño y otorgar de manera efi</w:t>
      </w:r>
      <w:r>
        <w:rPr>
          <w:rFonts w:ascii="Montserrat" w:hAnsi="Montserrat" w:eastAsia="Calibri" w:cs="Times New Roman"/>
          <w:sz w:val="24"/>
          <w:szCs w:val="24"/>
          <w:lang w:eastAsia="en-US"/>
        </w:rPr>
        <w:t xml:space="preserve">caz ayuda psicológica y legal. </w:t>
      </w:r>
      <w:r/>
    </w:p>
    <w:p>
      <w:pPr>
        <w:pStyle w:val="720"/>
        <w:numPr>
          <w:ilvl w:val="0"/>
          <w:numId w:val="12"/>
        </w:num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¿Qué temas o áreas de desinformación de género requieren más investigación en su opinión?</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Existen varias áreas de desinformación de género que requieren más investigación para abordar y combatir la desigualdad de género y promover la igualdad. A</w:t>
      </w:r>
      <w:r>
        <w:rPr>
          <w:rFonts w:ascii="Montserrat" w:hAnsi="Montserrat" w:eastAsia="Calibri" w:cs="Times New Roman"/>
          <w:sz w:val="24"/>
          <w:szCs w:val="24"/>
          <w:lang w:eastAsia="en-US"/>
        </w:rPr>
        <w:t xml:space="preserve">lgunos de estos temas incluyen:</w:t>
      </w:r>
      <w:r/>
    </w:p>
    <w:p>
      <w:pPr>
        <w:pStyle w:val="720"/>
        <w:numPr>
          <w:ilvl w:val="0"/>
          <w:numId w:val="13"/>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Investigar</w:t>
      </w:r>
      <w:r>
        <w:rPr>
          <w:rFonts w:ascii="Montserrat" w:hAnsi="Montserrat" w:eastAsia="Calibri" w:cs="Times New Roman"/>
          <w:sz w:val="24"/>
          <w:szCs w:val="24"/>
          <w:lang w:eastAsia="en-US"/>
        </w:rPr>
        <w:t xml:space="preserve"> cómo se perpetúan y se transmiten los estereotipos de género en diferentes contextos, como la educación, los medios de comunicación y la publicidad. </w:t>
      </w:r>
      <w:r/>
    </w:p>
    <w:p>
      <w:pPr>
        <w:pStyle w:val="720"/>
        <w:numPr>
          <w:ilvl w:val="0"/>
          <w:numId w:val="13"/>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La investigación adicional es necesaria para comprender </w:t>
      </w:r>
      <w:r>
        <w:rPr>
          <w:rFonts w:ascii="Montserrat" w:hAnsi="Montserrat" w:eastAsia="Calibri" w:cs="Times New Roman"/>
          <w:sz w:val="24"/>
          <w:szCs w:val="24"/>
          <w:lang w:eastAsia="en-US"/>
        </w:rPr>
        <w:t xml:space="preserve">la violencia de género y examinar</w:t>
      </w:r>
      <w:r>
        <w:rPr>
          <w:rFonts w:ascii="Montserrat" w:hAnsi="Montserrat" w:eastAsia="Calibri" w:cs="Times New Roman"/>
          <w:sz w:val="24"/>
          <w:szCs w:val="24"/>
          <w:lang w:eastAsia="en-US"/>
        </w:rPr>
        <w:t xml:space="preserve"> causas subyacentes, los factores de riesgo y las mejores prácticas para prevenir y responder a la violencia de género.</w:t>
      </w:r>
      <w:r/>
    </w:p>
    <w:p>
      <w:pPr>
        <w:pStyle w:val="720"/>
        <w:numPr>
          <w:ilvl w:val="0"/>
          <w:numId w:val="13"/>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Investigar las causas estructurales y sistémicas de esta brecha salarial, así como las estrategias efectivas para cerrarla, es esencial para lograr la igualdad económica de género.</w:t>
      </w:r>
      <w:r/>
    </w:p>
    <w:p>
      <w:pPr>
        <w:pStyle w:val="720"/>
        <w:numPr>
          <w:ilvl w:val="0"/>
          <w:numId w:val="13"/>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Existen</w:t>
      </w:r>
      <w:r>
        <w:rPr>
          <w:rFonts w:ascii="Montserrat" w:hAnsi="Montserrat" w:eastAsia="Calibri" w:cs="Times New Roman"/>
          <w:sz w:val="24"/>
          <w:szCs w:val="24"/>
          <w:lang w:eastAsia="en-US"/>
        </w:rPr>
        <w:t xml:space="preserve"> barreras significativas para su representación y liderazgo en los ámb</w:t>
      </w:r>
      <w:r>
        <w:rPr>
          <w:rFonts w:ascii="Montserrat" w:hAnsi="Montserrat" w:eastAsia="Calibri" w:cs="Times New Roman"/>
          <w:sz w:val="24"/>
          <w:szCs w:val="24"/>
          <w:lang w:eastAsia="en-US"/>
        </w:rPr>
        <w:t xml:space="preserve">itos político y empresarial. </w:t>
      </w:r>
      <w:r/>
    </w:p>
    <w:p>
      <w:pPr>
        <w:pStyle w:val="720"/>
        <w:numPr>
          <w:ilvl w:val="0"/>
          <w:numId w:val="13"/>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Salud y derechos sexuales y reproductivos: Es fundamental investigar y desmentir la desinformación relacionada con la salud y los derechos sexuales y reproductivos de las mujeres. </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Estos son sol</w:t>
      </w:r>
      <w:r>
        <w:rPr>
          <w:rFonts w:ascii="Montserrat" w:hAnsi="Montserrat" w:eastAsia="Calibri" w:cs="Times New Roman"/>
          <w:sz w:val="24"/>
          <w:szCs w:val="24"/>
          <w:lang w:eastAsia="en-US"/>
        </w:rPr>
        <w:t xml:space="preserve">o algunos ejemplos de áreas en las que se necesita investigación adicional para abordar la desinformación de género y avanzar hacia la igualdad de género. La investigación basada en evidencia puede proporcionar información crucial para informar políticas, </w:t>
      </w:r>
      <w:r>
        <w:rPr>
          <w:rFonts w:ascii="Montserrat" w:hAnsi="Montserrat" w:eastAsia="Calibri" w:cs="Times New Roman"/>
          <w:sz w:val="24"/>
          <w:szCs w:val="24"/>
          <w:lang w:eastAsia="en-US"/>
        </w:rPr>
        <w:t xml:space="preserve">programas y acciones concretas en la lucha c</w:t>
      </w:r>
      <w:r>
        <w:rPr>
          <w:rFonts w:ascii="Montserrat" w:hAnsi="Montserrat" w:eastAsia="Calibri" w:cs="Times New Roman"/>
          <w:sz w:val="24"/>
          <w:szCs w:val="24"/>
          <w:lang w:eastAsia="en-US"/>
        </w:rPr>
        <w:t xml:space="preserve">ontra la desigualdad de género.</w:t>
      </w:r>
      <w:r/>
    </w:p>
    <w:p>
      <w:p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p>
    <w:p>
      <w:pPr>
        <w:pStyle w:val="720"/>
        <w:numPr>
          <w:ilvl w:val="0"/>
          <w:numId w:val="12"/>
        </w:numPr>
        <w:jc w:val="both"/>
        <w:spacing w:before="120" w:after="200" w:line="360" w:lineRule="auto"/>
        <w:rPr>
          <w:rFonts w:ascii="Montserrat" w:hAnsi="Montserrat" w:eastAsia="Calibri" w:cs="Times New Roman"/>
          <w:b/>
          <w:sz w:val="24"/>
          <w:szCs w:val="24"/>
          <w:lang w:eastAsia="en-US"/>
        </w:rPr>
      </w:pPr>
      <w:r>
        <w:rPr>
          <w:rFonts w:ascii="Montserrat" w:hAnsi="Montserrat" w:eastAsia="Calibri" w:cs="Times New Roman"/>
          <w:b/>
          <w:sz w:val="24"/>
          <w:szCs w:val="24"/>
          <w:lang w:eastAsia="en-US"/>
        </w:rPr>
        <w:t xml:space="preserve">Proporcione referencias o enlaces a investigaciones o informes relevantes.</w:t>
      </w:r>
      <w:r/>
    </w:p>
    <w:p>
      <w:pPr>
        <w:pStyle w:val="720"/>
        <w:numPr>
          <w:ilvl w:val="0"/>
          <w:numId w:val="15"/>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r>
      <w:r>
        <w:rPr>
          <w:rFonts w:ascii="Montserrat" w:hAnsi="Montserrat" w:eastAsia="Calibri" w:cs="Times New Roman"/>
          <w:sz w:val="24"/>
          <w:szCs w:val="24"/>
          <w:lang w:eastAsia="en-US"/>
        </w:rPr>
        <w:t xml:space="preserve">https://archivos.juridicas.unam.mx/www/site//index/-8806.pdf </w:t>
      </w:r>
      <w:r>
        <w:rPr>
          <w:rFonts w:ascii="Montserrat" w:hAnsi="Montserrat" w:eastAsia="Calibri" w:cs="Times New Roman"/>
          <w:sz w:val="24"/>
          <w:szCs w:val="24"/>
          <w:lang w:eastAsia="en-US"/>
        </w:rPr>
      </w:r>
      <w:r>
        <w:rPr>
          <w:rFonts w:ascii="Montserrat" w:hAnsi="Montserrat" w:eastAsia="Calibri" w:cs="Times New Roman"/>
          <w:sz w:val="24"/>
          <w:szCs w:val="24"/>
          <w:lang w:eastAsia="en-US"/>
        </w:rPr>
      </w:r>
    </w:p>
    <w:p>
      <w:pPr>
        <w:pStyle w:val="720"/>
        <w:numPr>
          <w:ilvl w:val="0"/>
          <w:numId w:val="15"/>
        </w:numPr>
        <w:jc w:val="both"/>
        <w:spacing w:before="120" w:after="200" w:line="360" w:lineRule="auto"/>
        <w:rPr>
          <w:rFonts w:ascii="Montserrat" w:hAnsi="Montserrat" w:eastAsia="Calibri" w:cs="Times New Roman"/>
          <w:sz w:val="24"/>
          <w:szCs w:val="24"/>
          <w:lang w:eastAsia="en-US"/>
        </w:rPr>
      </w:pPr>
      <w:r>
        <w:rPr>
          <w:rFonts w:ascii="Montserrat" w:hAnsi="Montserrat" w:eastAsia="Calibri" w:cs="Times New Roman"/>
          <w:sz w:val="24"/>
          <w:szCs w:val="24"/>
          <w:lang w:eastAsia="en-US"/>
        </w:rPr>
        <w:t xml:space="preserve">https://www.unesco.org/es/articles/dialogo-global-desinformacion-de-genero-en-linea </w:t>
      </w:r>
      <w:r/>
    </w:p>
    <w:p>
      <w:pPr>
        <w:jc w:val="both"/>
        <w:spacing w:before="120" w:after="200" w:line="360" w:lineRule="auto"/>
        <w:rPr>
          <w:rFonts w:ascii="Montserrat" w:hAnsi="Montserrat" w:eastAsia="Calibri" w:cs="Times New Roman"/>
          <w:sz w:val="24"/>
          <w:szCs w:val="24"/>
        </w:rPr>
        <w:outlineLvl w:val="0"/>
      </w:pPr>
      <w:r/>
      <w:bookmarkEnd w:id="28"/>
      <w:r/>
      <w:r>
        <w:rPr>
          <w:rFonts w:ascii="Montserrat" w:hAnsi="Montserrat" w:eastAsia="Calibri" w:cs="Times New Roman"/>
          <w:sz w:val="24"/>
          <w:szCs w:val="24"/>
          <w:lang w:eastAsia="en-US"/>
        </w:rPr>
      </w:r>
    </w:p>
    <w:sectPr>
      <w:footerReference w:type="default" r:id="rId9"/>
      <w:footnotePr/>
      <w:endnotePr/>
      <w:type w:val="continuous"/>
      <w:pgSz w:w="12240" w:h="15840" w:orient="portrait"/>
      <w:pgMar w:top="1418" w:right="1701" w:bottom="1276" w:left="1701" w:header="708" w:footer="708"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Calibri">
    <w:panose1 w:val="020F0502020204030204"/>
  </w:font>
  <w:font w:name="Malgun Gothic">
    <w:panose1 w:val="020B0503020000020004"/>
  </w:font>
  <w:font w:name="Times New Roman">
    <w:panose1 w:val="02020603050405020304"/>
  </w:font>
  <w:font w:name="Montserrat">
    <w:panose1 w:val="00000500000000000000"/>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59815849"/>
      <w:docPartObj>
        <w:docPartGallery w:val="Page Numbers (Bottom of Page)"/>
        <w:docPartUnique w:val="true"/>
      </w:docPartObj>
      <w:rPr/>
    </w:sdtPr>
    <w:sdtContent>
      <w:p>
        <w:pPr>
          <w:pStyle w:val="718"/>
          <w:jc w:val="center"/>
        </w:pPr>
        <w:r>
          <w:fldChar w:fldCharType="begin"/>
        </w:r>
        <w:r>
          <w:instrText xml:space="preserve">PAGE   \* MERGEFORMAT</w:instrText>
        </w:r>
        <w:r>
          <w:fldChar w:fldCharType="separate"/>
        </w:r>
        <w:r>
          <w:rPr>
            <w:lang w:val="es-ES"/>
          </w:rPr>
          <w:t xml:space="preserve">2</w:t>
        </w:r>
        <w:r>
          <w:fldChar w:fldCharType="end"/>
        </w:r>
        <w:r/>
      </w:p>
    </w:sdtContent>
  </w:sdt>
  <w:p>
    <w:pPr>
      <w:pStyle w:val="71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727"/>
        <w:jc w:val="both"/>
        <w:rPr>
          <w:rFonts w:ascii="Montserrat" w:hAnsi="Montserrat" w:cs="Arial"/>
          <w:sz w:val="14"/>
          <w:szCs w:val="12"/>
          <w:lang w:val="es-MX"/>
        </w:rPr>
      </w:pPr>
      <w:r>
        <w:rPr>
          <w:rStyle w:val="729"/>
          <w:rFonts w:ascii="Montserrat" w:hAnsi="Montserrat" w:cs="Arial"/>
          <w:sz w:val="14"/>
          <w:szCs w:val="12"/>
        </w:rPr>
        <w:footnoteRef/>
      </w:r>
      <w:r>
        <w:rPr>
          <w:rFonts w:ascii="Montserrat" w:hAnsi="Montserrat" w:cs="Arial"/>
          <w:sz w:val="14"/>
          <w:szCs w:val="12"/>
        </w:rPr>
        <w:t xml:space="preserve"> </w:t>
      </w:r>
      <w:r>
        <w:rPr>
          <w:rFonts w:ascii="Montserrat" w:hAnsi="Montserrat" w:cs="Arial"/>
          <w:sz w:val="14"/>
          <w:szCs w:val="12"/>
          <w:lang w:val="es-MX"/>
        </w:rPr>
        <w:t xml:space="preserve">Resuelta el 24 de octubre de 2017.</w:t>
      </w:r>
      <w:r/>
    </w:p>
  </w:footnote>
  <w:footnote w:id="3">
    <w:p>
      <w:pPr>
        <w:jc w:val="both"/>
        <w:rPr>
          <w:rFonts w:ascii="Montserrat" w:hAnsi="Montserrat" w:eastAsia="Montserrat" w:cs="Montserrat"/>
          <w:sz w:val="16"/>
          <w:szCs w:val="16"/>
        </w:rPr>
      </w:pPr>
      <w:r>
        <w:rPr>
          <w:rFonts w:ascii="Montserrat" w:hAnsi="Montserrat"/>
          <w:sz w:val="14"/>
          <w:szCs w:val="12"/>
          <w:vertAlign w:val="superscript"/>
        </w:rPr>
        <w:footnoteRef/>
      </w:r>
      <w:r>
        <w:rPr>
          <w:rFonts w:ascii="Montserrat" w:hAnsi="Montserrat" w:eastAsia="Montserrat" w:cs="Montserrat"/>
          <w:sz w:val="14"/>
          <w:szCs w:val="12"/>
        </w:rPr>
        <w:t xml:space="preserve"> El </w:t>
      </w:r>
      <w:r>
        <w:rPr>
          <w:rFonts w:ascii="Montserrat" w:hAnsi="Montserrat" w:eastAsia="Montserrat" w:cs="Montserrat"/>
          <w:i/>
          <w:sz w:val="14"/>
          <w:szCs w:val="12"/>
        </w:rPr>
        <w:t xml:space="preserve">Protocolo Nacional de Coordinación Interinstitucional para la Protección de Niñas, Niños y Adolescentes Víctimas de Violencia</w:t>
      </w:r>
      <w:r>
        <w:rPr>
          <w:rFonts w:ascii="Montserrat" w:hAnsi="Montserrat" w:eastAsia="Montserrat" w:cs="Montserrat"/>
          <w:sz w:val="14"/>
          <w:szCs w:val="12"/>
        </w:rPr>
        <w:t xml:space="preserve"> puede consultarse en: </w:t>
      </w:r>
      <w:hyperlink r:id="rId1" w:tooltip="https://www.gob.mx/sipinna/documentos/protocolo-nacional-de-coordinacion-interinstitucional-para-la-proteccion-de-ninas-ninos-y-adolescentes-victimas-de-violencia" w:history="1">
        <w:r>
          <w:rPr>
            <w:rFonts w:ascii="Montserrat" w:hAnsi="Montserrat" w:eastAsia="Montserrat" w:cs="Montserrat"/>
            <w:color w:val="1155cc"/>
            <w:sz w:val="14"/>
            <w:szCs w:val="12"/>
            <w:u w:val="single"/>
          </w:rPr>
          <w:t xml:space="preserve">https://www.gob.mx/sipinna/documentos/protocolo-nacional-de-coordinacion-interinstitucional-para-la-proteccion-de-ninas-ninos-y-adolescentes-victimas-de-violencia</w:t>
        </w:r>
      </w:hyperlink>
      <w:r>
        <w:rPr>
          <w:rFonts w:ascii="Montserrat" w:hAnsi="Montserrat" w:eastAsia="Montserrat" w:cs="Montserrat"/>
          <w:sz w:val="18"/>
          <w:szCs w:val="16"/>
        </w:rPr>
        <w:t xml:space="preserve"> </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
      <w:lvlJc w:val="left"/>
      <w:pPr>
        <w:ind w:left="723" w:hanging="360"/>
      </w:pPr>
      <w:rPr>
        <w:rFonts w:hint="default" w:ascii="Symbol" w:hAnsi="Symbol"/>
      </w:rPr>
    </w:lvl>
    <w:lvl w:ilvl="1">
      <w:start w:val="1"/>
      <w:numFmt w:val="bullet"/>
      <w:isLgl w:val="false"/>
      <w:suff w:val="tab"/>
      <w:lvlText w:val="o"/>
      <w:lvlJc w:val="left"/>
      <w:pPr>
        <w:ind w:left="1443" w:hanging="360"/>
      </w:pPr>
      <w:rPr>
        <w:rFonts w:hint="default" w:ascii="Courier New" w:hAnsi="Courier New" w:cs="Courier New"/>
      </w:rPr>
    </w:lvl>
    <w:lvl w:ilvl="2">
      <w:start w:val="1"/>
      <w:numFmt w:val="bullet"/>
      <w:isLgl w:val="false"/>
      <w:suff w:val="tab"/>
      <w:lvlText w:val=""/>
      <w:lvlJc w:val="left"/>
      <w:pPr>
        <w:ind w:left="2163" w:hanging="360"/>
      </w:pPr>
      <w:rPr>
        <w:rFonts w:hint="default" w:ascii="Wingdings" w:hAnsi="Wingdings"/>
      </w:rPr>
    </w:lvl>
    <w:lvl w:ilvl="3">
      <w:start w:val="1"/>
      <w:numFmt w:val="bullet"/>
      <w:isLgl w:val="false"/>
      <w:suff w:val="tab"/>
      <w:lvlText w:val=""/>
      <w:lvlJc w:val="left"/>
      <w:pPr>
        <w:ind w:left="2883" w:hanging="360"/>
      </w:pPr>
      <w:rPr>
        <w:rFonts w:hint="default" w:ascii="Symbol" w:hAnsi="Symbol"/>
      </w:rPr>
    </w:lvl>
    <w:lvl w:ilvl="4">
      <w:start w:val="1"/>
      <w:numFmt w:val="bullet"/>
      <w:isLgl w:val="false"/>
      <w:suff w:val="tab"/>
      <w:lvlText w:val="o"/>
      <w:lvlJc w:val="left"/>
      <w:pPr>
        <w:ind w:left="3603" w:hanging="360"/>
      </w:pPr>
      <w:rPr>
        <w:rFonts w:hint="default" w:ascii="Courier New" w:hAnsi="Courier New" w:cs="Courier New"/>
      </w:rPr>
    </w:lvl>
    <w:lvl w:ilvl="5">
      <w:start w:val="1"/>
      <w:numFmt w:val="bullet"/>
      <w:isLgl w:val="false"/>
      <w:suff w:val="tab"/>
      <w:lvlText w:val=""/>
      <w:lvlJc w:val="left"/>
      <w:pPr>
        <w:ind w:left="4323" w:hanging="360"/>
      </w:pPr>
      <w:rPr>
        <w:rFonts w:hint="default" w:ascii="Wingdings" w:hAnsi="Wingdings"/>
      </w:rPr>
    </w:lvl>
    <w:lvl w:ilvl="6">
      <w:start w:val="1"/>
      <w:numFmt w:val="bullet"/>
      <w:isLgl w:val="false"/>
      <w:suff w:val="tab"/>
      <w:lvlText w:val=""/>
      <w:lvlJc w:val="left"/>
      <w:pPr>
        <w:ind w:left="5043" w:hanging="360"/>
      </w:pPr>
      <w:rPr>
        <w:rFonts w:hint="default" w:ascii="Symbol" w:hAnsi="Symbol"/>
      </w:rPr>
    </w:lvl>
    <w:lvl w:ilvl="7">
      <w:start w:val="1"/>
      <w:numFmt w:val="bullet"/>
      <w:isLgl w:val="false"/>
      <w:suff w:val="tab"/>
      <w:lvlText w:val="o"/>
      <w:lvlJc w:val="left"/>
      <w:pPr>
        <w:ind w:left="5763" w:hanging="360"/>
      </w:pPr>
      <w:rPr>
        <w:rFonts w:hint="default" w:ascii="Courier New" w:hAnsi="Courier New" w:cs="Courier New"/>
      </w:rPr>
    </w:lvl>
    <w:lvl w:ilvl="8">
      <w:start w:val="1"/>
      <w:numFmt w:val="bullet"/>
      <w:isLgl w:val="false"/>
      <w:suff w:val="tab"/>
      <w:lvlText w:val=""/>
      <w:lvlJc w:val="left"/>
      <w:pPr>
        <w:ind w:left="6483" w:hanging="360"/>
      </w:pPr>
      <w:rPr>
        <w:rFonts w:hint="default" w:ascii="Wingdings" w:hAnsi="Wingdings"/>
      </w:r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upperRoman"/>
      <w:isLgl w:val="false"/>
      <w:suff w:val="tab"/>
      <w:lvlText w:val="%1."/>
      <w:lvlJc w:val="right"/>
      <w:pPr>
        <w:ind w:left="363" w:hanging="360"/>
      </w:pPr>
      <w:rPr>
        <w:rFonts w:hint="default"/>
        <w:b/>
      </w:rPr>
    </w:lvl>
    <w:lvl w:ilvl="1">
      <w:start w:val="1"/>
      <w:numFmt w:val="lowerLetter"/>
      <w:isLgl w:val="false"/>
      <w:suff w:val="tab"/>
      <w:lvlText w:val="%2."/>
      <w:lvlJc w:val="left"/>
      <w:pPr>
        <w:ind w:left="1083" w:hanging="360"/>
      </w:pPr>
    </w:lvl>
    <w:lvl w:ilvl="2">
      <w:start w:val="1"/>
      <w:numFmt w:val="lowerRoman"/>
      <w:isLgl w:val="false"/>
      <w:suff w:val="tab"/>
      <w:lvlText w:val="%3."/>
      <w:lvlJc w:val="right"/>
      <w:pPr>
        <w:ind w:left="1803" w:hanging="180"/>
      </w:pPr>
    </w:lvl>
    <w:lvl w:ilvl="3">
      <w:start w:val="1"/>
      <w:numFmt w:val="decimal"/>
      <w:isLgl w:val="false"/>
      <w:suff w:val="tab"/>
      <w:lvlText w:val="%4."/>
      <w:lvlJc w:val="left"/>
      <w:pPr>
        <w:ind w:left="2523" w:hanging="360"/>
      </w:pPr>
    </w:lvl>
    <w:lvl w:ilvl="4">
      <w:start w:val="1"/>
      <w:numFmt w:val="lowerLetter"/>
      <w:isLgl w:val="false"/>
      <w:suff w:val="tab"/>
      <w:lvlText w:val="%5."/>
      <w:lvlJc w:val="left"/>
      <w:pPr>
        <w:ind w:left="3243" w:hanging="360"/>
      </w:pPr>
    </w:lvl>
    <w:lvl w:ilvl="5">
      <w:start w:val="1"/>
      <w:numFmt w:val="lowerRoman"/>
      <w:isLgl w:val="false"/>
      <w:suff w:val="tab"/>
      <w:lvlText w:val="%6."/>
      <w:lvlJc w:val="right"/>
      <w:pPr>
        <w:ind w:left="3963" w:hanging="180"/>
      </w:pPr>
    </w:lvl>
    <w:lvl w:ilvl="6">
      <w:start w:val="1"/>
      <w:numFmt w:val="decimal"/>
      <w:isLgl w:val="false"/>
      <w:suff w:val="tab"/>
      <w:lvlText w:val="%7."/>
      <w:lvlJc w:val="left"/>
      <w:pPr>
        <w:ind w:left="4683" w:hanging="360"/>
      </w:pPr>
    </w:lvl>
    <w:lvl w:ilvl="7">
      <w:start w:val="1"/>
      <w:numFmt w:val="lowerLetter"/>
      <w:isLgl w:val="false"/>
      <w:suff w:val="tab"/>
      <w:lvlText w:val="%8."/>
      <w:lvlJc w:val="left"/>
      <w:pPr>
        <w:ind w:left="5403" w:hanging="360"/>
      </w:pPr>
    </w:lvl>
    <w:lvl w:ilvl="8">
      <w:start w:val="1"/>
      <w:numFmt w:val="lowerRoman"/>
      <w:isLgl w:val="false"/>
      <w:suff w:val="tab"/>
      <w:lvlText w:val="%9."/>
      <w:lvlJc w:val="right"/>
      <w:pPr>
        <w:ind w:left="6123" w:hanging="180"/>
      </w:pPr>
    </w:lvl>
  </w:abstractNum>
  <w:abstractNum w:abstractNumId="13">
    <w:multiLevelType w:val="hybridMultilevel"/>
    <w:lvl w:ilvl="0">
      <w:start w:val="1"/>
      <w:numFmt w:val="bullet"/>
      <w:isLgl w:val="false"/>
      <w:suff w:val="tab"/>
      <w:lvlText w:val=""/>
      <w:lvlJc w:val="left"/>
      <w:pPr>
        <w:ind w:left="723" w:hanging="360"/>
      </w:pPr>
      <w:rPr>
        <w:rFonts w:hint="default" w:ascii="Symbol" w:hAnsi="Symbol"/>
      </w:rPr>
    </w:lvl>
    <w:lvl w:ilvl="1">
      <w:start w:val="1"/>
      <w:numFmt w:val="bullet"/>
      <w:isLgl w:val="false"/>
      <w:suff w:val="tab"/>
      <w:lvlText w:val="o"/>
      <w:lvlJc w:val="left"/>
      <w:pPr>
        <w:ind w:left="1443" w:hanging="360"/>
      </w:pPr>
      <w:rPr>
        <w:rFonts w:hint="default" w:ascii="Courier New" w:hAnsi="Courier New" w:cs="Courier New"/>
      </w:rPr>
    </w:lvl>
    <w:lvl w:ilvl="2">
      <w:start w:val="1"/>
      <w:numFmt w:val="bullet"/>
      <w:isLgl w:val="false"/>
      <w:suff w:val="tab"/>
      <w:lvlText w:val=""/>
      <w:lvlJc w:val="left"/>
      <w:pPr>
        <w:ind w:left="2163" w:hanging="360"/>
      </w:pPr>
      <w:rPr>
        <w:rFonts w:hint="default" w:ascii="Wingdings" w:hAnsi="Wingdings"/>
      </w:rPr>
    </w:lvl>
    <w:lvl w:ilvl="3">
      <w:start w:val="1"/>
      <w:numFmt w:val="bullet"/>
      <w:isLgl w:val="false"/>
      <w:suff w:val="tab"/>
      <w:lvlText w:val=""/>
      <w:lvlJc w:val="left"/>
      <w:pPr>
        <w:ind w:left="2883" w:hanging="360"/>
      </w:pPr>
      <w:rPr>
        <w:rFonts w:hint="default" w:ascii="Symbol" w:hAnsi="Symbol"/>
      </w:rPr>
    </w:lvl>
    <w:lvl w:ilvl="4">
      <w:start w:val="1"/>
      <w:numFmt w:val="bullet"/>
      <w:isLgl w:val="false"/>
      <w:suff w:val="tab"/>
      <w:lvlText w:val="o"/>
      <w:lvlJc w:val="left"/>
      <w:pPr>
        <w:ind w:left="3603" w:hanging="360"/>
      </w:pPr>
      <w:rPr>
        <w:rFonts w:hint="default" w:ascii="Courier New" w:hAnsi="Courier New" w:cs="Courier New"/>
      </w:rPr>
    </w:lvl>
    <w:lvl w:ilvl="5">
      <w:start w:val="1"/>
      <w:numFmt w:val="bullet"/>
      <w:isLgl w:val="false"/>
      <w:suff w:val="tab"/>
      <w:lvlText w:val=""/>
      <w:lvlJc w:val="left"/>
      <w:pPr>
        <w:ind w:left="4323" w:hanging="360"/>
      </w:pPr>
      <w:rPr>
        <w:rFonts w:hint="default" w:ascii="Wingdings" w:hAnsi="Wingdings"/>
      </w:rPr>
    </w:lvl>
    <w:lvl w:ilvl="6">
      <w:start w:val="1"/>
      <w:numFmt w:val="bullet"/>
      <w:isLgl w:val="false"/>
      <w:suff w:val="tab"/>
      <w:lvlText w:val=""/>
      <w:lvlJc w:val="left"/>
      <w:pPr>
        <w:ind w:left="5043" w:hanging="360"/>
      </w:pPr>
      <w:rPr>
        <w:rFonts w:hint="default" w:ascii="Symbol" w:hAnsi="Symbol"/>
      </w:rPr>
    </w:lvl>
    <w:lvl w:ilvl="7">
      <w:start w:val="1"/>
      <w:numFmt w:val="bullet"/>
      <w:isLgl w:val="false"/>
      <w:suff w:val="tab"/>
      <w:lvlText w:val="o"/>
      <w:lvlJc w:val="left"/>
      <w:pPr>
        <w:ind w:left="5763" w:hanging="360"/>
      </w:pPr>
      <w:rPr>
        <w:rFonts w:hint="default" w:ascii="Courier New" w:hAnsi="Courier New" w:cs="Courier New"/>
      </w:rPr>
    </w:lvl>
    <w:lvl w:ilvl="8">
      <w:start w:val="1"/>
      <w:numFmt w:val="bullet"/>
      <w:isLgl w:val="false"/>
      <w:suff w:val="tab"/>
      <w:lvlText w:val=""/>
      <w:lvlJc w:val="left"/>
      <w:pPr>
        <w:ind w:left="6483"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12"/>
  </w:num>
  <w:num w:numId="2">
    <w:abstractNumId w:val="14"/>
  </w:num>
  <w:num w:numId="3">
    <w:abstractNumId w:val="10"/>
  </w:num>
  <w:num w:numId="4">
    <w:abstractNumId w:val="13"/>
  </w:num>
  <w:num w:numId="5">
    <w:abstractNumId w:val="7"/>
  </w:num>
  <w:num w:numId="6">
    <w:abstractNumId w:val="5"/>
  </w:num>
  <w:num w:numId="7">
    <w:abstractNumId w:val="1"/>
  </w:num>
  <w:num w:numId="8">
    <w:abstractNumId w:val="0"/>
  </w:num>
  <w:num w:numId="9">
    <w:abstractNumId w:val="2"/>
  </w:num>
  <w:num w:numId="10">
    <w:abstractNumId w:val="4"/>
  </w:num>
  <w:num w:numId="11">
    <w:abstractNumId w:val="11"/>
  </w:num>
  <w:num w:numId="12">
    <w:abstractNumId w:val="8"/>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es-MX" w:eastAsia="ko-KR"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714"/>
    <w:next w:val="714"/>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715"/>
    <w:link w:val="12"/>
    <w:uiPriority w:val="9"/>
    <w:rPr>
      <w:rFonts w:ascii="Arial" w:hAnsi="Arial" w:eastAsia="Arial" w:cs="Arial"/>
      <w:sz w:val="40"/>
      <w:szCs w:val="40"/>
    </w:rPr>
  </w:style>
  <w:style w:type="paragraph" w:styleId="14">
    <w:name w:val="Heading 2"/>
    <w:basedOn w:val="714"/>
    <w:next w:val="714"/>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715"/>
    <w:link w:val="14"/>
    <w:uiPriority w:val="9"/>
    <w:rPr>
      <w:rFonts w:ascii="Arial" w:hAnsi="Arial" w:eastAsia="Arial" w:cs="Arial"/>
      <w:sz w:val="34"/>
    </w:rPr>
  </w:style>
  <w:style w:type="paragraph" w:styleId="16">
    <w:name w:val="Heading 3"/>
    <w:basedOn w:val="714"/>
    <w:next w:val="714"/>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715"/>
    <w:link w:val="16"/>
    <w:uiPriority w:val="9"/>
    <w:rPr>
      <w:rFonts w:ascii="Arial" w:hAnsi="Arial" w:eastAsia="Arial" w:cs="Arial"/>
      <w:sz w:val="30"/>
      <w:szCs w:val="30"/>
    </w:rPr>
  </w:style>
  <w:style w:type="paragraph" w:styleId="18">
    <w:name w:val="Heading 4"/>
    <w:basedOn w:val="714"/>
    <w:next w:val="714"/>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715"/>
    <w:link w:val="18"/>
    <w:uiPriority w:val="9"/>
    <w:rPr>
      <w:rFonts w:ascii="Arial" w:hAnsi="Arial" w:eastAsia="Arial" w:cs="Arial"/>
      <w:b/>
      <w:bCs/>
      <w:sz w:val="26"/>
      <w:szCs w:val="26"/>
    </w:rPr>
  </w:style>
  <w:style w:type="paragraph" w:styleId="20">
    <w:name w:val="Heading 5"/>
    <w:basedOn w:val="714"/>
    <w:next w:val="714"/>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715"/>
    <w:link w:val="20"/>
    <w:uiPriority w:val="9"/>
    <w:rPr>
      <w:rFonts w:ascii="Arial" w:hAnsi="Arial" w:eastAsia="Arial" w:cs="Arial"/>
      <w:b/>
      <w:bCs/>
      <w:sz w:val="24"/>
      <w:szCs w:val="24"/>
    </w:rPr>
  </w:style>
  <w:style w:type="paragraph" w:styleId="22">
    <w:name w:val="Heading 6"/>
    <w:basedOn w:val="714"/>
    <w:next w:val="714"/>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715"/>
    <w:link w:val="22"/>
    <w:uiPriority w:val="9"/>
    <w:rPr>
      <w:rFonts w:ascii="Arial" w:hAnsi="Arial" w:eastAsia="Arial" w:cs="Arial"/>
      <w:b/>
      <w:bCs/>
      <w:sz w:val="22"/>
      <w:szCs w:val="22"/>
    </w:rPr>
  </w:style>
  <w:style w:type="paragraph" w:styleId="24">
    <w:name w:val="Heading 7"/>
    <w:basedOn w:val="714"/>
    <w:next w:val="714"/>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715"/>
    <w:link w:val="24"/>
    <w:uiPriority w:val="9"/>
    <w:rPr>
      <w:rFonts w:ascii="Arial" w:hAnsi="Arial" w:eastAsia="Arial" w:cs="Arial"/>
      <w:b/>
      <w:bCs/>
      <w:i/>
      <w:iCs/>
      <w:sz w:val="22"/>
      <w:szCs w:val="22"/>
    </w:rPr>
  </w:style>
  <w:style w:type="paragraph" w:styleId="26">
    <w:name w:val="Heading 8"/>
    <w:basedOn w:val="714"/>
    <w:next w:val="714"/>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715"/>
    <w:link w:val="26"/>
    <w:uiPriority w:val="9"/>
    <w:rPr>
      <w:rFonts w:ascii="Arial" w:hAnsi="Arial" w:eastAsia="Arial" w:cs="Arial"/>
      <w:i/>
      <w:iCs/>
      <w:sz w:val="22"/>
      <w:szCs w:val="22"/>
    </w:rPr>
  </w:style>
  <w:style w:type="paragraph" w:styleId="28">
    <w:name w:val="Heading 9"/>
    <w:basedOn w:val="714"/>
    <w:next w:val="714"/>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715"/>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714"/>
    <w:next w:val="714"/>
    <w:link w:val="34"/>
    <w:uiPriority w:val="10"/>
    <w:qFormat/>
    <w:pPr>
      <w:contextualSpacing/>
      <w:spacing w:before="300" w:after="200"/>
    </w:pPr>
    <w:rPr>
      <w:sz w:val="48"/>
      <w:szCs w:val="48"/>
    </w:rPr>
  </w:style>
  <w:style w:type="character" w:styleId="34">
    <w:name w:val="Title Char"/>
    <w:basedOn w:val="715"/>
    <w:link w:val="33"/>
    <w:uiPriority w:val="10"/>
    <w:rPr>
      <w:sz w:val="48"/>
      <w:szCs w:val="48"/>
    </w:rPr>
  </w:style>
  <w:style w:type="paragraph" w:styleId="35">
    <w:name w:val="Subtitle"/>
    <w:basedOn w:val="714"/>
    <w:next w:val="714"/>
    <w:link w:val="36"/>
    <w:uiPriority w:val="11"/>
    <w:qFormat/>
    <w:pPr>
      <w:spacing w:before="200" w:after="200"/>
    </w:pPr>
    <w:rPr>
      <w:sz w:val="24"/>
      <w:szCs w:val="24"/>
    </w:rPr>
  </w:style>
  <w:style w:type="character" w:styleId="36">
    <w:name w:val="Subtitle Char"/>
    <w:basedOn w:val="715"/>
    <w:link w:val="35"/>
    <w:uiPriority w:val="11"/>
    <w:rPr>
      <w:sz w:val="24"/>
      <w:szCs w:val="24"/>
    </w:rPr>
  </w:style>
  <w:style w:type="paragraph" w:styleId="37">
    <w:name w:val="Quote"/>
    <w:basedOn w:val="714"/>
    <w:next w:val="714"/>
    <w:link w:val="38"/>
    <w:uiPriority w:val="29"/>
    <w:qFormat/>
    <w:pPr>
      <w:ind w:left="720" w:right="720"/>
    </w:pPr>
    <w:rPr>
      <w:i/>
    </w:rPr>
  </w:style>
  <w:style w:type="character" w:styleId="38">
    <w:name w:val="Quote Char"/>
    <w:link w:val="37"/>
    <w:uiPriority w:val="29"/>
    <w:rPr>
      <w:i/>
    </w:rPr>
  </w:style>
  <w:style w:type="paragraph" w:styleId="39">
    <w:name w:val="Intense Quote"/>
    <w:basedOn w:val="714"/>
    <w:next w:val="714"/>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715"/>
    <w:link w:val="725"/>
    <w:uiPriority w:val="99"/>
  </w:style>
  <w:style w:type="character" w:styleId="44">
    <w:name w:val="Footer Char"/>
    <w:basedOn w:val="715"/>
    <w:link w:val="718"/>
    <w:uiPriority w:val="99"/>
  </w:style>
  <w:style w:type="paragraph" w:styleId="45">
    <w:name w:val="Caption"/>
    <w:basedOn w:val="714"/>
    <w:next w:val="714"/>
    <w:uiPriority w:val="35"/>
    <w:semiHidden/>
    <w:unhideWhenUsed/>
    <w:qFormat/>
    <w:pPr>
      <w:spacing w:line="276" w:lineRule="auto"/>
    </w:pPr>
    <w:rPr>
      <w:b/>
      <w:bCs/>
      <w:color w:val="4f81bd" w:themeColor="accent1"/>
      <w:sz w:val="18"/>
      <w:szCs w:val="18"/>
    </w:rPr>
  </w:style>
  <w:style w:type="character" w:styleId="46">
    <w:name w:val="Caption Char"/>
    <w:basedOn w:val="45"/>
    <w:link w:val="718"/>
    <w:uiPriority w:val="99"/>
  </w:style>
  <w:style w:type="table" w:styleId="48">
    <w:name w:val="Table Grid Light"/>
    <w:basedOn w:val="71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1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1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1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1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1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1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1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1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1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1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1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1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1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1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1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1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1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1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1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1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1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1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1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1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1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1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1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1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1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1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1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1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1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7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71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1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1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1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1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1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1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71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1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1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1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1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1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1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1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1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1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1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1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1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1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1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1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1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1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1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1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1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1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1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71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71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71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71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71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71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1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71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71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71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71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71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71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1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1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1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1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1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1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1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1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71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71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71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71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71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71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1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71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71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71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71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71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7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71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1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71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71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71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71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71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71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1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1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1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1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1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1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5">
    <w:name w:val="Footnote Text Char"/>
    <w:link w:val="727"/>
    <w:uiPriority w:val="99"/>
    <w:rPr>
      <w:sz w:val="18"/>
    </w:rPr>
  </w:style>
  <w:style w:type="paragraph" w:styleId="177">
    <w:name w:val="endnote text"/>
    <w:basedOn w:val="714"/>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15"/>
    <w:uiPriority w:val="99"/>
    <w:semiHidden/>
    <w:unhideWhenUsed/>
    <w:rPr>
      <w:vertAlign w:val="superscript"/>
    </w:rPr>
  </w:style>
  <w:style w:type="paragraph" w:styleId="181">
    <w:name w:val="toc 2"/>
    <w:basedOn w:val="714"/>
    <w:next w:val="714"/>
    <w:uiPriority w:val="39"/>
    <w:unhideWhenUsed/>
    <w:pPr>
      <w:ind w:left="283" w:right="0" w:firstLine="0"/>
      <w:spacing w:after="57"/>
    </w:pPr>
  </w:style>
  <w:style w:type="paragraph" w:styleId="182">
    <w:name w:val="toc 3"/>
    <w:basedOn w:val="714"/>
    <w:next w:val="714"/>
    <w:uiPriority w:val="39"/>
    <w:unhideWhenUsed/>
    <w:pPr>
      <w:ind w:left="567" w:right="0" w:firstLine="0"/>
      <w:spacing w:after="57"/>
    </w:pPr>
  </w:style>
  <w:style w:type="paragraph" w:styleId="183">
    <w:name w:val="toc 4"/>
    <w:basedOn w:val="714"/>
    <w:next w:val="714"/>
    <w:uiPriority w:val="39"/>
    <w:unhideWhenUsed/>
    <w:pPr>
      <w:ind w:left="850" w:right="0" w:firstLine="0"/>
      <w:spacing w:after="57"/>
    </w:pPr>
  </w:style>
  <w:style w:type="paragraph" w:styleId="184">
    <w:name w:val="toc 5"/>
    <w:basedOn w:val="714"/>
    <w:next w:val="714"/>
    <w:uiPriority w:val="39"/>
    <w:unhideWhenUsed/>
    <w:pPr>
      <w:ind w:left="1134" w:right="0" w:firstLine="0"/>
      <w:spacing w:after="57"/>
    </w:pPr>
  </w:style>
  <w:style w:type="paragraph" w:styleId="185">
    <w:name w:val="toc 6"/>
    <w:basedOn w:val="714"/>
    <w:next w:val="714"/>
    <w:uiPriority w:val="39"/>
    <w:unhideWhenUsed/>
    <w:pPr>
      <w:ind w:left="1417" w:right="0" w:firstLine="0"/>
      <w:spacing w:after="57"/>
    </w:pPr>
  </w:style>
  <w:style w:type="paragraph" w:styleId="186">
    <w:name w:val="toc 7"/>
    <w:basedOn w:val="714"/>
    <w:next w:val="714"/>
    <w:uiPriority w:val="39"/>
    <w:unhideWhenUsed/>
    <w:pPr>
      <w:ind w:left="1701" w:right="0" w:firstLine="0"/>
      <w:spacing w:after="57"/>
    </w:pPr>
  </w:style>
  <w:style w:type="paragraph" w:styleId="187">
    <w:name w:val="toc 8"/>
    <w:basedOn w:val="714"/>
    <w:next w:val="714"/>
    <w:uiPriority w:val="39"/>
    <w:unhideWhenUsed/>
    <w:pPr>
      <w:ind w:left="1984" w:right="0" w:firstLine="0"/>
      <w:spacing w:after="57"/>
    </w:pPr>
  </w:style>
  <w:style w:type="paragraph" w:styleId="188">
    <w:name w:val="toc 9"/>
    <w:basedOn w:val="714"/>
    <w:next w:val="714"/>
    <w:uiPriority w:val="39"/>
    <w:unhideWhenUsed/>
    <w:pPr>
      <w:ind w:left="2268" w:right="0" w:firstLine="0"/>
      <w:spacing w:after="57"/>
    </w:pPr>
  </w:style>
  <w:style w:type="paragraph" w:styleId="189">
    <w:name w:val="TOC Heading"/>
    <w:uiPriority w:val="39"/>
    <w:unhideWhenUsed/>
  </w:style>
  <w:style w:type="paragraph" w:styleId="190">
    <w:name w:val="table of figures"/>
    <w:basedOn w:val="714"/>
    <w:next w:val="714"/>
    <w:uiPriority w:val="99"/>
    <w:unhideWhenUsed/>
    <w:pPr>
      <w:spacing w:after="0" w:afterAutospacing="0"/>
    </w:pPr>
  </w:style>
  <w:style w:type="paragraph" w:styleId="714" w:default="1">
    <w:name w:val="Normal"/>
    <w:qFormat/>
  </w:style>
  <w:style w:type="character" w:styleId="715" w:default="1">
    <w:name w:val="Default Paragraph Font"/>
    <w:uiPriority w:val="1"/>
    <w:semiHidden/>
    <w:unhideWhenUsed/>
  </w:style>
  <w:style w:type="table" w:styleId="716" w:default="1">
    <w:name w:val="Normal Table"/>
    <w:uiPriority w:val="99"/>
    <w:semiHidden/>
    <w:unhideWhenUsed/>
    <w:tblPr>
      <w:tblInd w:w="0" w:type="dxa"/>
      <w:tblCellMar>
        <w:left w:w="108" w:type="dxa"/>
        <w:top w:w="0" w:type="dxa"/>
        <w:right w:w="108" w:type="dxa"/>
        <w:bottom w:w="0" w:type="dxa"/>
      </w:tblCellMar>
    </w:tblPr>
  </w:style>
  <w:style w:type="numbering" w:styleId="717" w:default="1">
    <w:name w:val="No List"/>
    <w:uiPriority w:val="99"/>
    <w:semiHidden/>
    <w:unhideWhenUsed/>
  </w:style>
  <w:style w:type="paragraph" w:styleId="718">
    <w:name w:val="Footer"/>
    <w:basedOn w:val="714"/>
    <w:link w:val="719"/>
    <w:uiPriority w:val="99"/>
    <w:unhideWhenUsed/>
    <w:pPr>
      <w:ind w:hanging="357"/>
      <w:jc w:val="both"/>
      <w:spacing w:after="0" w:line="240" w:lineRule="auto"/>
      <w:tabs>
        <w:tab w:val="center" w:pos="4419" w:leader="none"/>
        <w:tab w:val="right" w:pos="8838" w:leader="none"/>
      </w:tabs>
    </w:pPr>
    <w:rPr>
      <w:rFonts w:ascii="Times New Roman" w:hAnsi="Times New Roman" w:eastAsia="Calibri" w:cs="Times New Roman"/>
      <w:sz w:val="24"/>
      <w:lang w:eastAsia="en-US"/>
    </w:rPr>
  </w:style>
  <w:style w:type="character" w:styleId="719" w:customStyle="1">
    <w:name w:val="Pie de página Car"/>
    <w:basedOn w:val="715"/>
    <w:link w:val="718"/>
    <w:uiPriority w:val="99"/>
    <w:rPr>
      <w:rFonts w:ascii="Times New Roman" w:hAnsi="Times New Roman" w:eastAsia="Calibri" w:cs="Times New Roman"/>
      <w:sz w:val="24"/>
      <w:lang w:eastAsia="en-US"/>
    </w:rPr>
  </w:style>
  <w:style w:type="paragraph" w:styleId="720">
    <w:name w:val="List Paragraph"/>
    <w:basedOn w:val="714"/>
    <w:uiPriority w:val="34"/>
    <w:qFormat/>
    <w:pPr>
      <w:contextualSpacing/>
      <w:ind w:left="720"/>
    </w:pPr>
  </w:style>
  <w:style w:type="paragraph" w:styleId="721">
    <w:name w:val="toc 1"/>
    <w:basedOn w:val="714"/>
    <w:next w:val="714"/>
    <w:uiPriority w:val="39"/>
    <w:unhideWhenUsed/>
    <w:pPr>
      <w:spacing w:after="100"/>
    </w:pPr>
  </w:style>
  <w:style w:type="character" w:styleId="722">
    <w:name w:val="Hyperlink"/>
    <w:basedOn w:val="715"/>
    <w:uiPriority w:val="99"/>
    <w:unhideWhenUsed/>
    <w:rPr>
      <w:color w:val="0563c1" w:themeColor="hyperlink"/>
      <w:u w:val="single"/>
    </w:rPr>
  </w:style>
  <w:style w:type="paragraph" w:styleId="723">
    <w:name w:val="Normal (Web)"/>
    <w:basedOn w:val="714"/>
    <w:uiPriority w:val="99"/>
    <w:unhideWhenUsed/>
    <w:pPr>
      <w:spacing w:before="100" w:beforeAutospacing="1" w:after="100" w:afterAutospacing="1" w:line="240" w:lineRule="auto"/>
    </w:pPr>
    <w:rPr>
      <w:rFonts w:ascii="Times New Roman" w:hAnsi="Times New Roman" w:eastAsia="Times New Roman" w:cs="Times New Roman"/>
      <w:sz w:val="24"/>
      <w:szCs w:val="24"/>
    </w:rPr>
  </w:style>
  <w:style w:type="table" w:styleId="724">
    <w:name w:val="Table Grid"/>
    <w:basedOn w:val="716"/>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25">
    <w:name w:val="Header"/>
    <w:basedOn w:val="714"/>
    <w:link w:val="726"/>
    <w:uiPriority w:val="99"/>
    <w:unhideWhenUsed/>
    <w:pPr>
      <w:spacing w:after="0" w:line="240" w:lineRule="auto"/>
      <w:tabs>
        <w:tab w:val="center" w:pos="4419" w:leader="none"/>
        <w:tab w:val="right" w:pos="8838" w:leader="none"/>
      </w:tabs>
    </w:pPr>
  </w:style>
  <w:style w:type="character" w:styleId="726" w:customStyle="1">
    <w:name w:val="Encabezado Car"/>
    <w:basedOn w:val="715"/>
    <w:link w:val="725"/>
    <w:uiPriority w:val="99"/>
  </w:style>
  <w:style w:type="paragraph" w:styleId="727">
    <w:name w:val="footnote text"/>
    <w:basedOn w:val="714"/>
    <w:link w:val="728"/>
    <w:uiPriority w:val="99"/>
    <w:semiHidden/>
    <w:unhideWhenUsed/>
    <w:pPr>
      <w:spacing w:after="0" w:line="240" w:lineRule="auto"/>
    </w:pPr>
    <w:rPr>
      <w:rFonts w:eastAsiaTheme="minorHAnsi"/>
      <w:sz w:val="20"/>
      <w:szCs w:val="20"/>
      <w:lang w:val="es-ES_tradnl" w:eastAsia="en-US"/>
    </w:rPr>
  </w:style>
  <w:style w:type="character" w:styleId="728" w:customStyle="1">
    <w:name w:val="Texto nota pie Car"/>
    <w:basedOn w:val="715"/>
    <w:link w:val="727"/>
    <w:uiPriority w:val="99"/>
    <w:semiHidden/>
    <w:rPr>
      <w:rFonts w:eastAsiaTheme="minorHAnsi"/>
      <w:sz w:val="20"/>
      <w:szCs w:val="20"/>
      <w:lang w:val="es-ES_tradnl" w:eastAsia="en-US"/>
    </w:rPr>
  </w:style>
  <w:style w:type="character" w:styleId="729">
    <w:name w:val="footnote reference"/>
    <w:basedOn w:val="715"/>
    <w:uiPriority w:val="99"/>
    <w:semiHidden/>
    <w:unhideWhenUsed/>
    <w:rPr>
      <w:vertAlign w:val="superscript"/>
    </w:rPr>
  </w:style>
  <w:style w:type="paragraph" w:styleId="730" w:customStyle="1">
    <w:name w:val="x_wordsection1"/>
    <w:basedOn w:val="71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731">
    <w:name w:val="FollowedHyperlink"/>
    <w:basedOn w:val="715"/>
    <w:uiPriority w:val="99"/>
    <w:semiHidden/>
    <w:unhideWhenUsed/>
    <w:rPr>
      <w:color w:val="954f72" w:themeColor="followedHyperlink"/>
      <w:u w:val="single"/>
    </w:rPr>
  </w:style>
  <w:style w:type="paragraph" w:styleId="732">
    <w:name w:val="Revision"/>
    <w:hidden/>
    <w:uiPriority w:val="99"/>
    <w:semiHidden/>
    <w:pPr>
      <w:spacing w:after="0" w:line="240" w:lineRule="auto"/>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mx" TargetMode="Externa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notes" Target="footnotes.xml"/><Relationship Id="rId12" Type="http://schemas.openxmlformats.org/officeDocument/2006/relationships/hyperlink" Target="https://semujeres.cdmx.gob.mx/violencia-digital"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theme" Target="theme/theme1.xml"/><Relationship Id="rId15" Type="http://schemas.openxmlformats.org/officeDocument/2006/relationships/hyperlink" Target="https://www.sitios.scjn.gob.mx/cec/biblioteca-virtual/libertad-de-expresion-y-periodismo-0" TargetMode="Externa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hyperlink" Target="https://www.sitios.scjn.gob.mx/cec/biblioteca-virtual/libertad-de-expresion-y-medios-de-comunicacion"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gob.mx/sipinna/documentos/protocolo-nacional-de-coordinacion-interinstitucional-para-la-proteccion-de-ninas-ninos-y-adolescentes-victimas-de-violencia" TargetMode="External"/></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E34D23B-494C-4147-8708-613DD80E4CA6}">
  <ds:schemaRefs>
    <ds:schemaRef ds:uri="http://schemas.openxmlformats.org/officeDocument/2006/bibliography"/>
  </ds:schemaRefs>
</ds:datastoreItem>
</file>

<file path=customXml/itemProps2.xml><?xml version="1.0" encoding="utf-8"?>
<ds:datastoreItem xmlns:ds="http://schemas.openxmlformats.org/officeDocument/2006/customXml" ds:itemID="{BC38A8C4-C048-4F7F-A50D-DCA65FEA6805}"/>
</file>

<file path=customXml/itemProps3.xml><?xml version="1.0" encoding="utf-8"?>
<ds:datastoreItem xmlns:ds="http://schemas.openxmlformats.org/officeDocument/2006/customXml" ds:itemID="{72879AC2-E81C-49BB-956F-F2D6ADEB1DEA}"/>
</file>

<file path=customXml/itemProps4.xml><?xml version="1.0" encoding="utf-8"?>
<ds:datastoreItem xmlns:ds="http://schemas.openxmlformats.org/officeDocument/2006/customXml" ds:itemID="{D421BBE2-5E3D-4D88-B3E9-774795A721FA}"/>
</file>

<file path=docProps/app.xml><?xml version="1.0" encoding="utf-8"?>
<Properties xmlns="http://schemas.openxmlformats.org/officeDocument/2006/extended-properties" xmlns:vt="http://schemas.openxmlformats.org/officeDocument/2006/docPropsVTypes">
  <Application>ONLYOFFICE/7.2.1.36</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Carrillo</dc:creator>
  <cp:keywords/>
  <dc:description/>
  <cp:revision>3</cp:revision>
  <dcterms:created xsi:type="dcterms:W3CDTF">2023-07-07T10:44:00Z</dcterms:created>
  <dcterms:modified xsi:type="dcterms:W3CDTF">2023-07-11T09:43:56Z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