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9213" w14:textId="77777777" w:rsidR="00637F6A" w:rsidRDefault="00637F6A" w:rsidP="00637F6A">
      <w:pPr>
        <w:spacing w:after="0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>RESPUESTA DEL GOBIERNO DE ESPAÑA A LA SOLICITUD DE CONTRIBUCIONES DE</w:t>
      </w:r>
      <w:r w:rsidR="000D5E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</w:t>
      </w:r>
      <w:r w:rsidR="000D5ED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RELATOR</w:t>
      </w:r>
      <w:r w:rsidR="000D5ED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ESPECIAL SOBRE LA </w:t>
      </w:r>
      <w:r w:rsidR="000D5ED9">
        <w:rPr>
          <w:rFonts w:ascii="Arial" w:hAnsi="Arial" w:cs="Arial"/>
          <w:b/>
        </w:rPr>
        <w:t xml:space="preserve">PROMOCIÓN Y PROTECCIÓN DEL </w:t>
      </w:r>
      <w:r>
        <w:rPr>
          <w:rFonts w:ascii="Arial" w:hAnsi="Arial" w:cs="Arial"/>
          <w:b/>
        </w:rPr>
        <w:t>DERECHO</w:t>
      </w:r>
      <w:r w:rsidR="000D5ED9">
        <w:rPr>
          <w:rFonts w:ascii="Arial" w:hAnsi="Arial" w:cs="Arial"/>
          <w:b/>
        </w:rPr>
        <w:t xml:space="preserve"> A LA LIBERTAD DE OPINIÓN Y DE EXPRESIÓN</w:t>
      </w:r>
      <w:r>
        <w:rPr>
          <w:rFonts w:ascii="Arial" w:hAnsi="Arial" w:cs="Arial"/>
          <w:b/>
        </w:rPr>
        <w:t xml:space="preserve"> </w:t>
      </w:r>
    </w:p>
    <w:p w14:paraId="09F9E4D5" w14:textId="77777777" w:rsidR="00637F6A" w:rsidRDefault="00637F6A" w:rsidP="0063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s-ES_tradnl"/>
        </w:rPr>
      </w:pPr>
    </w:p>
    <w:p w14:paraId="52CC71A8" w14:textId="77777777" w:rsidR="000D5ED9" w:rsidRDefault="000D5ED9" w:rsidP="0063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s-ES_tradnl"/>
        </w:rPr>
      </w:pPr>
    </w:p>
    <w:p w14:paraId="08310F4E" w14:textId="77777777" w:rsidR="00637F6A" w:rsidRDefault="00637F6A" w:rsidP="0063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respuesta a la </w:t>
      </w:r>
      <w:r>
        <w:rPr>
          <w:rFonts w:ascii="Arial" w:hAnsi="Arial" w:cs="Arial"/>
          <w:b/>
          <w:lang w:val="es-ES_tradnl"/>
        </w:rPr>
        <w:t>solicitud de contribuciones de</w:t>
      </w:r>
      <w:r w:rsidR="000D5ED9"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>l</w:t>
      </w:r>
      <w:r w:rsidR="000D5ED9">
        <w:rPr>
          <w:rFonts w:ascii="Arial" w:hAnsi="Arial" w:cs="Arial"/>
          <w:b/>
          <w:lang w:val="es-ES_tradnl"/>
        </w:rPr>
        <w:t>a</w:t>
      </w:r>
      <w:r>
        <w:rPr>
          <w:rFonts w:ascii="Arial" w:hAnsi="Arial" w:cs="Arial"/>
          <w:b/>
          <w:lang w:val="es-ES_tradnl"/>
        </w:rPr>
        <w:t xml:space="preserve"> Relator</w:t>
      </w:r>
      <w:r w:rsidR="000D5ED9">
        <w:rPr>
          <w:rFonts w:ascii="Arial" w:hAnsi="Arial" w:cs="Arial"/>
          <w:b/>
          <w:lang w:val="es-ES_tradnl"/>
        </w:rPr>
        <w:t>a</w:t>
      </w:r>
      <w:r>
        <w:rPr>
          <w:rFonts w:ascii="Arial" w:hAnsi="Arial" w:cs="Arial"/>
          <w:b/>
          <w:lang w:val="es-ES_tradnl"/>
        </w:rPr>
        <w:t xml:space="preserve"> Especial sobre la </w:t>
      </w:r>
      <w:r w:rsidR="000D5ED9">
        <w:rPr>
          <w:rFonts w:ascii="Arial" w:hAnsi="Arial" w:cs="Arial"/>
          <w:b/>
          <w:lang w:val="es-ES_tradnl"/>
        </w:rPr>
        <w:t>promoción y protección del derecho a la libertad de opinión y de expresión</w:t>
      </w:r>
      <w:r>
        <w:rPr>
          <w:rFonts w:ascii="Arial" w:hAnsi="Arial" w:cs="Arial"/>
          <w:b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para la elaboración de su próximo informe temático</w:t>
      </w:r>
      <w:r w:rsidR="000D5ED9">
        <w:rPr>
          <w:rFonts w:ascii="Arial" w:hAnsi="Arial" w:cs="Arial"/>
          <w:lang w:val="es-ES_tradnl"/>
        </w:rPr>
        <w:t>, que se centrará en</w:t>
      </w:r>
      <w:r w:rsidR="00D65EE3">
        <w:rPr>
          <w:rFonts w:ascii="Arial" w:hAnsi="Arial" w:cs="Arial"/>
          <w:b/>
          <w:lang w:val="es-ES_tradnl"/>
        </w:rPr>
        <w:t xml:space="preserve"> la libertad de e</w:t>
      </w:r>
      <w:r w:rsidR="000D5ED9">
        <w:rPr>
          <w:rFonts w:ascii="Arial" w:hAnsi="Arial" w:cs="Arial"/>
          <w:b/>
          <w:lang w:val="es-ES_tradnl"/>
        </w:rPr>
        <w:t>xpresión y la dimensión de género de la desinformación</w:t>
      </w:r>
      <w:r w:rsidR="000D5ED9">
        <w:rPr>
          <w:rFonts w:ascii="Arial" w:hAnsi="Arial" w:cs="Arial"/>
          <w:lang w:val="es-ES_tradnl"/>
        </w:rPr>
        <w:t xml:space="preserve">  y que presentará en </w:t>
      </w:r>
      <w:r>
        <w:rPr>
          <w:rFonts w:ascii="Arial" w:hAnsi="Arial" w:cs="Arial"/>
          <w:lang w:val="es-ES_tradnl"/>
        </w:rPr>
        <w:t xml:space="preserve">el 77º período de sesiones de la Asamblea General de las Naciones Unidas </w:t>
      </w:r>
      <w:r w:rsidR="000D5ED9">
        <w:rPr>
          <w:rFonts w:ascii="Arial" w:hAnsi="Arial" w:cs="Arial"/>
          <w:lang w:val="es-ES_tradnl"/>
        </w:rPr>
        <w:t>en octubre de 2023,</w:t>
      </w:r>
      <w:r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el Gobierno de España traslada la siguiente información en relación con algunas de las cuestiones planteadas:</w:t>
      </w:r>
    </w:p>
    <w:p w14:paraId="5D24CB92" w14:textId="77777777" w:rsidR="000D5ED9" w:rsidRDefault="000D5ED9" w:rsidP="0063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s-ES_tradnl"/>
        </w:rPr>
      </w:pPr>
    </w:p>
    <w:p w14:paraId="67A28EA2" w14:textId="77777777" w:rsidR="00032DDD" w:rsidRDefault="00032DDD" w:rsidP="0063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s-ES_tradnl"/>
        </w:rPr>
      </w:pPr>
    </w:p>
    <w:p w14:paraId="6246BA96" w14:textId="77777777" w:rsidR="000D5ED9" w:rsidRPr="000D5ED9" w:rsidRDefault="000D5ED9" w:rsidP="000D5E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ED9">
        <w:rPr>
          <w:rFonts w:ascii="Arial" w:hAnsi="Arial" w:cs="Arial"/>
        </w:rPr>
        <w:t>Cuestiones conceptuales:</w:t>
      </w:r>
    </w:p>
    <w:p w14:paraId="4E70EF3F" w14:textId="77777777" w:rsidR="000D5ED9" w:rsidRPr="000D5ED9" w:rsidRDefault="000D5ED9" w:rsidP="000D5E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ED9">
        <w:rPr>
          <w:rFonts w:ascii="Arial" w:hAnsi="Arial" w:cs="Arial"/>
        </w:rPr>
        <w:t xml:space="preserve">¿Qué considera que es la </w:t>
      </w:r>
      <w:r w:rsidRPr="000D5ED9">
        <w:rPr>
          <w:rFonts w:ascii="Arial" w:hAnsi="Arial" w:cs="Arial"/>
          <w:b/>
        </w:rPr>
        <w:t>“desinformación por razón de género”</w:t>
      </w:r>
      <w:r w:rsidRPr="000D5ED9">
        <w:rPr>
          <w:rFonts w:ascii="Arial" w:hAnsi="Arial" w:cs="Arial"/>
        </w:rPr>
        <w:t>?</w:t>
      </w:r>
    </w:p>
    <w:p w14:paraId="5D972D29" w14:textId="77777777" w:rsidR="000D5ED9" w:rsidRPr="000D5ED9" w:rsidRDefault="000D5ED9" w:rsidP="000D5E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ED9">
        <w:rPr>
          <w:rFonts w:ascii="Arial" w:hAnsi="Arial" w:cs="Arial"/>
        </w:rPr>
        <w:t>¿En qué se parece o en qué se diferencia la “desinformación por razón de género” de la violencia de género en línea?</w:t>
      </w:r>
    </w:p>
    <w:p w14:paraId="0BAC5F9B" w14:textId="77777777" w:rsidR="000D5ED9" w:rsidRPr="000D5ED9" w:rsidRDefault="000D5ED9" w:rsidP="000D5E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ED9">
        <w:rPr>
          <w:rFonts w:ascii="Arial" w:hAnsi="Arial" w:cs="Arial"/>
        </w:rPr>
        <w:t>Respuestas de Estados para encarar la “desinformación por razón de género”:</w:t>
      </w:r>
    </w:p>
    <w:p w14:paraId="6EDC6B63" w14:textId="77777777" w:rsidR="000D5ED9" w:rsidRDefault="000D5ED9" w:rsidP="000D5E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ED9">
        <w:rPr>
          <w:rFonts w:ascii="Arial" w:hAnsi="Arial" w:cs="Arial"/>
        </w:rPr>
        <w:t>¿Qué medidas ha adoptado su país para combatir la “desinformación por razón de género”?</w:t>
      </w:r>
    </w:p>
    <w:p w14:paraId="1910AA01" w14:textId="77777777" w:rsidR="002F046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56B7B7" w14:textId="77777777" w:rsidR="002F0469" w:rsidRPr="002F0469" w:rsidRDefault="00D65EE3" w:rsidP="008F2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F0469" w:rsidRPr="002F0469">
        <w:rPr>
          <w:rFonts w:ascii="Arial" w:hAnsi="Arial" w:cs="Arial"/>
        </w:rPr>
        <w:t xml:space="preserve">l </w:t>
      </w:r>
      <w:r w:rsidR="002F0469" w:rsidRPr="002F0469">
        <w:rPr>
          <w:rFonts w:ascii="Arial" w:hAnsi="Arial" w:cs="Arial"/>
          <w:b/>
        </w:rPr>
        <w:t>Observatorio de la Imagen de las Mujeres</w:t>
      </w:r>
      <w:r w:rsidR="002F0469" w:rsidRPr="002F0469">
        <w:rPr>
          <w:rFonts w:ascii="Arial" w:hAnsi="Arial" w:cs="Arial"/>
        </w:rPr>
        <w:t xml:space="preserve"> (</w:t>
      </w:r>
      <w:r w:rsidR="002F0469">
        <w:rPr>
          <w:rFonts w:ascii="Arial" w:hAnsi="Arial" w:cs="Arial"/>
        </w:rPr>
        <w:t xml:space="preserve">en adelante, </w:t>
      </w:r>
      <w:r w:rsidR="002F0469" w:rsidRPr="002F0469">
        <w:rPr>
          <w:rFonts w:ascii="Arial" w:hAnsi="Arial" w:cs="Arial"/>
        </w:rPr>
        <w:t>OIM)</w:t>
      </w:r>
      <w:r w:rsidR="00746C8F">
        <w:rPr>
          <w:rStyle w:val="FootnoteReference"/>
          <w:rFonts w:ascii="Arial" w:hAnsi="Arial" w:cs="Arial"/>
        </w:rPr>
        <w:footnoteReference w:id="1"/>
      </w:r>
      <w:r w:rsidR="002F0469" w:rsidRPr="002F0469">
        <w:rPr>
          <w:rFonts w:ascii="Arial" w:hAnsi="Arial" w:cs="Arial"/>
        </w:rPr>
        <w:t>,</w:t>
      </w:r>
      <w:r w:rsidR="002F0469">
        <w:rPr>
          <w:rFonts w:ascii="Arial" w:hAnsi="Arial" w:cs="Arial"/>
        </w:rPr>
        <w:t xml:space="preserve"> </w:t>
      </w:r>
      <w:r w:rsidR="002F0469" w:rsidRPr="002F0469">
        <w:rPr>
          <w:rFonts w:ascii="Arial" w:hAnsi="Arial" w:cs="Arial"/>
        </w:rPr>
        <w:t>a través de la recepción de quejas remitidas por la ciudadanía, viene constatando desde hace tiempo que el tr</w:t>
      </w:r>
      <w:r>
        <w:rPr>
          <w:rFonts w:ascii="Arial" w:hAnsi="Arial" w:cs="Arial"/>
        </w:rPr>
        <w:t>abajo por la consecución de la i</w:t>
      </w:r>
      <w:r w:rsidR="002F0469" w:rsidRPr="002F0469">
        <w:rPr>
          <w:rFonts w:ascii="Arial" w:hAnsi="Arial" w:cs="Arial"/>
        </w:rPr>
        <w:t xml:space="preserve">gualdad se está cuestionando, infravalorando e, incluso, ridiculizando, con el fin de paralizar la marcha hacia la igualdad real y efectiva. </w:t>
      </w:r>
    </w:p>
    <w:p w14:paraId="3DB7CA3B" w14:textId="77777777" w:rsidR="002F0469" w:rsidRPr="002F046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D5FF7E" w14:textId="77777777" w:rsidR="002F0469" w:rsidRPr="002F0469" w:rsidRDefault="002F0469" w:rsidP="008F2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2F0469">
        <w:rPr>
          <w:rFonts w:ascii="Arial" w:hAnsi="Arial" w:cs="Arial"/>
        </w:rPr>
        <w:t>El OIM</w:t>
      </w:r>
      <w:r w:rsidR="008F29DE">
        <w:rPr>
          <w:rFonts w:ascii="Arial" w:hAnsi="Arial" w:cs="Arial"/>
        </w:rPr>
        <w:t xml:space="preserve">, </w:t>
      </w:r>
      <w:r w:rsidR="00746C8F">
        <w:rPr>
          <w:rFonts w:ascii="Arial" w:hAnsi="Arial" w:cs="Arial"/>
        </w:rPr>
        <w:t xml:space="preserve">que fue </w:t>
      </w:r>
      <w:r w:rsidR="008F29DE">
        <w:rPr>
          <w:rFonts w:ascii="Arial" w:hAnsi="Arial" w:cs="Arial"/>
        </w:rPr>
        <w:t>creado en 1994</w:t>
      </w:r>
      <w:r w:rsidR="00746C8F">
        <w:rPr>
          <w:rFonts w:ascii="Arial" w:hAnsi="Arial" w:cs="Arial"/>
        </w:rPr>
        <w:t xml:space="preserve"> y</w:t>
      </w:r>
      <w:r w:rsidRPr="002F0469">
        <w:rPr>
          <w:rFonts w:ascii="Arial" w:hAnsi="Arial" w:cs="Arial"/>
        </w:rPr>
        <w:t xml:space="preserve"> se gestiona desde el </w:t>
      </w:r>
      <w:r w:rsidRPr="008F29DE">
        <w:rPr>
          <w:rFonts w:ascii="Arial" w:hAnsi="Arial" w:cs="Arial"/>
          <w:b/>
        </w:rPr>
        <w:t>Instituto de las Mujeres</w:t>
      </w:r>
      <w:r w:rsidR="008F29DE">
        <w:rPr>
          <w:rFonts w:ascii="Arial" w:hAnsi="Arial" w:cs="Arial"/>
        </w:rPr>
        <w:t xml:space="preserve">, dependiente del Ministerio de </w:t>
      </w:r>
      <w:r w:rsidR="00746C8F">
        <w:rPr>
          <w:rFonts w:ascii="Arial" w:hAnsi="Arial" w:cs="Arial"/>
        </w:rPr>
        <w:t>I</w:t>
      </w:r>
      <w:r w:rsidR="008F29DE">
        <w:rPr>
          <w:rFonts w:ascii="Arial" w:hAnsi="Arial" w:cs="Arial"/>
        </w:rPr>
        <w:t xml:space="preserve">gualdad, </w:t>
      </w:r>
      <w:r w:rsidRPr="002F0469">
        <w:rPr>
          <w:rFonts w:ascii="Arial" w:hAnsi="Arial" w:cs="Arial"/>
        </w:rPr>
        <w:t>está encargado de velar por el tratamiento no sexista de la imagen de las mujeres también en los medios de comunicación, internet o cualquier otra forma de promoción y difusión educativa, cultural o recreativa. Asimismo</w:t>
      </w:r>
      <w:r w:rsidR="008F29DE">
        <w:rPr>
          <w:rFonts w:ascii="Arial" w:hAnsi="Arial" w:cs="Arial"/>
        </w:rPr>
        <w:t>,</w:t>
      </w:r>
      <w:r w:rsidRPr="002F0469">
        <w:rPr>
          <w:rFonts w:ascii="Arial" w:hAnsi="Arial" w:cs="Arial"/>
        </w:rPr>
        <w:t xml:space="preserve"> participa en actividades de formación y sensibilización sobre la influencia del tratamiento discriminatorio en los medios sobre la desigualdad.</w:t>
      </w:r>
      <w:r w:rsidR="008F29DE">
        <w:rPr>
          <w:rFonts w:ascii="Arial" w:hAnsi="Arial" w:cs="Arial"/>
        </w:rPr>
        <w:t xml:space="preserve"> </w:t>
      </w:r>
      <w:r w:rsidRPr="002F0469">
        <w:rPr>
          <w:rFonts w:ascii="Arial" w:hAnsi="Arial" w:cs="Arial"/>
        </w:rPr>
        <w:t>Otra de sus funciones es la difusión de la información obtenida con el fin de continuar fomentando el rechazo social al tratamiento discriminatorio a través de la comu</w:t>
      </w:r>
      <w:r w:rsidR="00D65EE3">
        <w:rPr>
          <w:rFonts w:ascii="Arial" w:hAnsi="Arial" w:cs="Arial"/>
        </w:rPr>
        <w:t>nicación mediática, por ejemplo</w:t>
      </w:r>
      <w:r w:rsidRPr="002F0469">
        <w:rPr>
          <w:rFonts w:ascii="Arial" w:hAnsi="Arial" w:cs="Arial"/>
        </w:rPr>
        <w:t xml:space="preserve"> emitiendo comunicados.</w:t>
      </w:r>
    </w:p>
    <w:p w14:paraId="02B7583F" w14:textId="77777777" w:rsidR="002F0469" w:rsidRPr="002F046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C129B3" w14:textId="77777777" w:rsidR="002F0469" w:rsidRPr="002F0469" w:rsidRDefault="002F0469" w:rsidP="008F2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2F0469">
        <w:rPr>
          <w:rFonts w:ascii="Arial" w:hAnsi="Arial" w:cs="Arial"/>
        </w:rPr>
        <w:t>Dentro de su dinámica de trabajo y en función de sus criterios, el OIM analiza y valora cada una de las quejas recibidas y</w:t>
      </w:r>
      <w:r w:rsidR="008F29DE">
        <w:rPr>
          <w:rFonts w:ascii="Arial" w:hAnsi="Arial" w:cs="Arial"/>
        </w:rPr>
        <w:t>,</w:t>
      </w:r>
      <w:r w:rsidRPr="002F0469">
        <w:rPr>
          <w:rFonts w:ascii="Arial" w:hAnsi="Arial" w:cs="Arial"/>
        </w:rPr>
        <w:t xml:space="preserve"> en aquellos casos en los que se observa sexismo, actúa frente a los emisores de los mensajes discriminatorios, sean estos, medios </w:t>
      </w:r>
      <w:r w:rsidR="00D65EE3">
        <w:rPr>
          <w:rFonts w:ascii="Arial" w:hAnsi="Arial" w:cs="Arial"/>
        </w:rPr>
        <w:t>de comunicación, editoriales, despacho</w:t>
      </w:r>
      <w:r w:rsidRPr="002F0469">
        <w:rPr>
          <w:rFonts w:ascii="Arial" w:hAnsi="Arial" w:cs="Arial"/>
        </w:rPr>
        <w:t xml:space="preserve">s de abogados, </w:t>
      </w:r>
      <w:r w:rsidRPr="008F29DE">
        <w:rPr>
          <w:rFonts w:ascii="Arial" w:hAnsi="Arial" w:cs="Arial"/>
          <w:i/>
        </w:rPr>
        <w:t>influencer</w:t>
      </w:r>
      <w:r w:rsidR="00D65EE3">
        <w:rPr>
          <w:rFonts w:ascii="Arial" w:hAnsi="Arial" w:cs="Arial"/>
          <w:i/>
        </w:rPr>
        <w:t>s</w:t>
      </w:r>
      <w:r w:rsidRPr="008F29DE">
        <w:rPr>
          <w:rFonts w:ascii="Arial" w:hAnsi="Arial" w:cs="Arial"/>
          <w:i/>
        </w:rPr>
        <w:t xml:space="preserve"> (youtubers, instagrams</w:t>
      </w:r>
      <w:r w:rsidRPr="002F0469">
        <w:rPr>
          <w:rFonts w:ascii="Arial" w:hAnsi="Arial" w:cs="Arial"/>
        </w:rPr>
        <w:t>) etc.</w:t>
      </w:r>
      <w:r w:rsidR="008F29DE">
        <w:rPr>
          <w:rFonts w:ascii="Arial" w:hAnsi="Arial" w:cs="Arial"/>
        </w:rPr>
        <w:t>,</w:t>
      </w:r>
      <w:r w:rsidRPr="002F0469">
        <w:rPr>
          <w:rFonts w:ascii="Arial" w:hAnsi="Arial" w:cs="Arial"/>
        </w:rPr>
        <w:t xml:space="preserve"> reclamando un cambio de línea en sus acciones futuras. </w:t>
      </w:r>
    </w:p>
    <w:p w14:paraId="63699670" w14:textId="77777777" w:rsidR="002F0469" w:rsidRPr="002F046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BD326F" w14:textId="77777777" w:rsidR="002F0469" w:rsidRPr="002F0469" w:rsidRDefault="00D65EE3" w:rsidP="008F2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con</w:t>
      </w:r>
      <w:r w:rsidR="002F0469" w:rsidRPr="002F0469">
        <w:rPr>
          <w:rFonts w:ascii="Arial" w:hAnsi="Arial" w:cs="Arial"/>
        </w:rPr>
        <w:t xml:space="preserve"> la información confusa, ambigua, la contra información o directamente “desinformación” de estos emisores se han recibido numerosas quejas en estos años que recogen diferentes aspectos de un mismo problema que perjudican gravemente a las mujeres e inciden negativamente sobre la igualdad real y sobre la imagen y percepción de las m</w:t>
      </w:r>
      <w:r>
        <w:rPr>
          <w:rFonts w:ascii="Arial" w:hAnsi="Arial" w:cs="Arial"/>
        </w:rPr>
        <w:t>isma</w:t>
      </w:r>
      <w:r w:rsidR="002F0469" w:rsidRPr="002F0469">
        <w:rPr>
          <w:rFonts w:ascii="Arial" w:hAnsi="Arial" w:cs="Arial"/>
        </w:rPr>
        <w:t>s.</w:t>
      </w:r>
    </w:p>
    <w:p w14:paraId="4944ADCE" w14:textId="77777777" w:rsidR="002F0469" w:rsidRPr="002F046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6ACC9DBC" w14:textId="77777777" w:rsidR="002F0469" w:rsidRPr="008F29DE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F0469">
        <w:rPr>
          <w:rFonts w:ascii="Arial" w:hAnsi="Arial" w:cs="Arial"/>
          <w:b/>
          <w:i/>
        </w:rPr>
        <w:t>Algunos motivos de queja y actuaciones por parte del OIM (y algunos ejemplos)</w:t>
      </w:r>
      <w:r w:rsidR="008F29DE">
        <w:rPr>
          <w:rFonts w:ascii="Arial" w:hAnsi="Arial" w:cs="Arial"/>
          <w:b/>
        </w:rPr>
        <w:t>:</w:t>
      </w:r>
    </w:p>
    <w:p w14:paraId="46CC36B3" w14:textId="77777777" w:rsidR="002F0469" w:rsidRPr="002F046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5B3F2E" w14:textId="77777777" w:rsidR="002F0469" w:rsidRPr="008F29DE" w:rsidRDefault="002F0469" w:rsidP="008F29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9DE">
        <w:rPr>
          <w:rFonts w:ascii="Arial" w:hAnsi="Arial" w:cs="Arial"/>
          <w:b/>
          <w:u w:val="single"/>
        </w:rPr>
        <w:t>Denuncias falsas</w:t>
      </w:r>
      <w:r w:rsidRPr="008F29DE">
        <w:rPr>
          <w:rFonts w:ascii="Arial" w:hAnsi="Arial" w:cs="Arial"/>
          <w:u w:val="single"/>
        </w:rPr>
        <w:t xml:space="preserve"> </w:t>
      </w:r>
      <w:r w:rsidRPr="008F29DE">
        <w:rPr>
          <w:rFonts w:ascii="Arial" w:hAnsi="Arial" w:cs="Arial"/>
          <w:b/>
          <w:u w:val="single"/>
        </w:rPr>
        <w:t>de casos de violencia de género</w:t>
      </w:r>
      <w:r w:rsidRPr="008F29DE">
        <w:rPr>
          <w:rFonts w:ascii="Arial" w:hAnsi="Arial" w:cs="Arial"/>
        </w:rPr>
        <w:t>, convirtiendo en mitos persistentes algo que es prácticamente inexistente (0,007), dificultando esta lucha y aumentado el peligro que viven las mujeres que denuncian, por ejemplo, mediante un titular de un per</w:t>
      </w:r>
      <w:r w:rsidR="00D65EE3">
        <w:rPr>
          <w:rFonts w:ascii="Arial" w:hAnsi="Arial" w:cs="Arial"/>
        </w:rPr>
        <w:t>iódico o publicidad de un despacho</w:t>
      </w:r>
      <w:r w:rsidRPr="008F29DE">
        <w:rPr>
          <w:rFonts w:ascii="Arial" w:hAnsi="Arial" w:cs="Arial"/>
        </w:rPr>
        <w:t xml:space="preserve"> de abogados usando una imagen implicando que la mujer está mintiendo y lemas relacionados con ser expertos en juicios rápidos de violencia de género y defender falsas acusaciones. </w:t>
      </w:r>
    </w:p>
    <w:p w14:paraId="7E938C7E" w14:textId="77777777" w:rsidR="008F29DE" w:rsidRDefault="008F29DE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D81B43B" w14:textId="77777777" w:rsidR="002F0469" w:rsidRPr="00D65EE3" w:rsidRDefault="002F0469" w:rsidP="00CC1B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D65EE3">
        <w:rPr>
          <w:rFonts w:ascii="Arial" w:hAnsi="Arial" w:cs="Arial"/>
          <w:b/>
          <w:u w:val="single"/>
        </w:rPr>
        <w:t>Acoso cibernético y mediático a mujeres en política con importantes responsabilidades, mujeres relevantes o grupos minoritarios</w:t>
      </w:r>
      <w:r w:rsidRPr="00D65EE3">
        <w:rPr>
          <w:rFonts w:ascii="Arial" w:hAnsi="Arial" w:cs="Arial"/>
        </w:rPr>
        <w:t xml:space="preserve">, con el objetivo de socavar su credibilidad y cuestionar sus políticas. Este tipo de tratamiento contribuye también a reforzar los estereotipos de género e invisibilidad </w:t>
      </w:r>
      <w:r w:rsidR="00D65EE3" w:rsidRPr="00D65EE3">
        <w:rPr>
          <w:rFonts w:ascii="Arial" w:hAnsi="Arial" w:cs="Arial"/>
        </w:rPr>
        <w:t xml:space="preserve">de </w:t>
      </w:r>
      <w:r w:rsidRPr="00D65EE3">
        <w:rPr>
          <w:rFonts w:ascii="Arial" w:hAnsi="Arial" w:cs="Arial"/>
        </w:rPr>
        <w:t xml:space="preserve">la participación y aportación de las mujeres </w:t>
      </w:r>
      <w:r w:rsidR="00D65EE3">
        <w:rPr>
          <w:rFonts w:ascii="Arial" w:hAnsi="Arial" w:cs="Arial"/>
        </w:rPr>
        <w:t xml:space="preserve">a la vida pública. </w:t>
      </w:r>
      <w:r w:rsidRPr="00D65EE3">
        <w:rPr>
          <w:rFonts w:ascii="Arial" w:hAnsi="Arial" w:cs="Arial"/>
        </w:rPr>
        <w:t xml:space="preserve">Un ejemplo de medidas adoptadas, fue la emisión de un comunicado </w:t>
      </w:r>
      <w:r w:rsidR="00D65EE3">
        <w:rPr>
          <w:rFonts w:ascii="Arial" w:hAnsi="Arial" w:cs="Arial"/>
        </w:rPr>
        <w:t>de prensa del Instituto de las M</w:t>
      </w:r>
      <w:r w:rsidRPr="00D65EE3">
        <w:rPr>
          <w:rFonts w:ascii="Arial" w:hAnsi="Arial" w:cs="Arial"/>
        </w:rPr>
        <w:t>ujeres por este motivo:</w:t>
      </w:r>
      <w:r w:rsidRPr="00D65EE3">
        <w:rPr>
          <w:rFonts w:ascii="Arial" w:hAnsi="Arial" w:cs="Arial"/>
          <w:i/>
        </w:rPr>
        <w:t xml:space="preserve"> “</w:t>
      </w:r>
      <w:r w:rsidRPr="00D65EE3">
        <w:rPr>
          <w:rFonts w:ascii="Arial" w:hAnsi="Arial" w:cs="Arial"/>
          <w:bCs/>
          <w:i/>
        </w:rPr>
        <w:t>Inmujer condena las agresiones machistas a las mujeres a través de las redes sociales”</w:t>
      </w:r>
    </w:p>
    <w:p w14:paraId="73EC4260" w14:textId="77777777" w:rsidR="002F0469" w:rsidRPr="002F0469" w:rsidRDefault="00BD1D8A" w:rsidP="008F29D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u w:val="single"/>
        </w:rPr>
      </w:pPr>
      <w:hyperlink r:id="rId10" w:history="1">
        <w:r w:rsidR="008F29DE" w:rsidRPr="00CD2F83">
          <w:rPr>
            <w:rStyle w:val="Hyperlink"/>
            <w:rFonts w:ascii="Arial" w:hAnsi="Arial" w:cs="Arial"/>
          </w:rPr>
          <w:t>https://www.inmujeres.gob.es/observatorios/observImg/acciones/docs/09_19_violencia_de_genero_en_las_redes.pdf</w:t>
        </w:r>
      </w:hyperlink>
    </w:p>
    <w:p w14:paraId="49BB6252" w14:textId="77777777" w:rsidR="008F29DE" w:rsidRDefault="008F29DE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4B7D0F6" w14:textId="77777777" w:rsidR="002F0469" w:rsidRPr="008F29DE" w:rsidRDefault="002F0469" w:rsidP="008F29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F29DE">
        <w:rPr>
          <w:rFonts w:ascii="Arial" w:hAnsi="Arial" w:cs="Arial"/>
          <w:b/>
          <w:u w:val="single"/>
        </w:rPr>
        <w:t>Mujeres que han sufrido violencia grupal culpabilizando a la víctima</w:t>
      </w:r>
      <w:r w:rsidRPr="008F29DE">
        <w:rPr>
          <w:rFonts w:ascii="Arial" w:hAnsi="Arial" w:cs="Arial"/>
        </w:rPr>
        <w:t>: Titulares para destacar que “Ella quería” o la referencia a la vida normalizada de la denunciante de violación tras los hechos, lo que se asocia con el cuestionamiento de su versión. Esta forma de titular contribuye a perpetuar las actitudes machistas que culpabilizan a las mujeres de la violencia que sufren.</w:t>
      </w:r>
    </w:p>
    <w:p w14:paraId="0AD839CC" w14:textId="77777777" w:rsidR="002F0469" w:rsidRPr="002F046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2F0469">
        <w:rPr>
          <w:rFonts w:ascii="Arial" w:hAnsi="Arial" w:cs="Arial"/>
          <w:i/>
        </w:rPr>
        <w:t xml:space="preserve"> </w:t>
      </w:r>
    </w:p>
    <w:p w14:paraId="242E0514" w14:textId="77777777" w:rsidR="002F0469" w:rsidRPr="008F29DE" w:rsidRDefault="002F0469" w:rsidP="008F29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9DE">
        <w:rPr>
          <w:rFonts w:ascii="Arial" w:hAnsi="Arial" w:cs="Arial"/>
          <w:b/>
          <w:u w:val="single"/>
        </w:rPr>
        <w:t>Minimizar la violencia machista</w:t>
      </w:r>
      <w:r w:rsidRPr="008F29DE">
        <w:rPr>
          <w:rFonts w:ascii="Arial" w:hAnsi="Arial" w:cs="Arial"/>
        </w:rPr>
        <w:t xml:space="preserve"> </w:t>
      </w:r>
      <w:r w:rsidRPr="008F29DE">
        <w:rPr>
          <w:rFonts w:ascii="Arial" w:hAnsi="Arial" w:cs="Arial"/>
          <w:b/>
          <w:u w:val="single"/>
        </w:rPr>
        <w:t>relativizando la importancia o justificando a priori el comportamiento de este tipo de criminales</w:t>
      </w:r>
      <w:r w:rsidRPr="008F29DE">
        <w:rPr>
          <w:rFonts w:ascii="Arial" w:hAnsi="Arial" w:cs="Arial"/>
        </w:rPr>
        <w:t>, lo cual contribuye a perpetuarla. Titulares de noticias que usan expresiones como “una joven cae” o “una mujer fallece”, de acuerdo con todos los manuales de recomendación de tratamiento informativo de la violencia de género editados, transmiten la idea de que los hechos no responden a un acto criminal y minimizan la responsabilidad del agresor, ‘naturalizando’ la violencia de género. También el uso de descripciones como “</w:t>
      </w:r>
      <w:r w:rsidRPr="008F29DE">
        <w:rPr>
          <w:rFonts w:ascii="Arial" w:hAnsi="Arial" w:cs="Arial"/>
          <w:i/>
        </w:rPr>
        <w:t>Hombre de buen trato y correcto”</w:t>
      </w:r>
      <w:r w:rsidRPr="008F29DE">
        <w:rPr>
          <w:rFonts w:ascii="Arial" w:hAnsi="Arial" w:cs="Arial"/>
        </w:rPr>
        <w:t xml:space="preserve">, contribuyen a minimizar la gravedad de los crímenes cometidos y a justificarlos o exculpar al autor de los mismos. Todos los manuales de tratamiento informativo de la violencia de género recomiendan recurrir a fuentes expertas y evitar juicios de valor de otras personas del entorno próximo. </w:t>
      </w:r>
    </w:p>
    <w:p w14:paraId="14858C10" w14:textId="77777777" w:rsidR="002F0469" w:rsidRPr="002F046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5AF357" w14:textId="77777777" w:rsidR="002F0469" w:rsidRPr="008F29DE" w:rsidRDefault="002F0469" w:rsidP="008F29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9DE">
        <w:rPr>
          <w:rFonts w:ascii="Arial" w:hAnsi="Arial" w:cs="Arial"/>
          <w:b/>
          <w:u w:val="single"/>
        </w:rPr>
        <w:t>Webs supremacistas contrarrestando la llamada “ideología de género”</w:t>
      </w:r>
      <w:r w:rsidRPr="008F29DE">
        <w:rPr>
          <w:rFonts w:ascii="Arial" w:hAnsi="Arial" w:cs="Arial"/>
        </w:rPr>
        <w:t xml:space="preserve">, que afirman que el hombre es genética, intelectual y culturalmente superior a la mujer, resaltando el hecho del consenso por ambas partes de la pareja, o artículos que culpan a las mujeres de las infidelidades cometidas por los hombres, exculpándoles de toda responsabilidad, e insultando a las mujeres. </w:t>
      </w:r>
    </w:p>
    <w:p w14:paraId="56362CEB" w14:textId="77777777" w:rsidR="008F29DE" w:rsidRDefault="008F29DE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76604D1" w14:textId="77777777" w:rsidR="002F0469" w:rsidRPr="008F29DE" w:rsidRDefault="002F0469" w:rsidP="008F29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9DE">
        <w:rPr>
          <w:rFonts w:ascii="Arial" w:hAnsi="Arial" w:cs="Arial"/>
          <w:b/>
          <w:u w:val="single"/>
        </w:rPr>
        <w:t>Banalización de la violencia a través del humor, la sátira para vulnerar los derechos</w:t>
      </w:r>
      <w:r w:rsidRPr="008F29DE">
        <w:rPr>
          <w:rFonts w:ascii="Arial" w:hAnsi="Arial" w:cs="Arial"/>
        </w:rPr>
        <w:t>, reforzando los comportamientos</w:t>
      </w:r>
      <w:r w:rsidRPr="008F29DE">
        <w:rPr>
          <w:rFonts w:ascii="Arial" w:hAnsi="Arial" w:cs="Arial"/>
          <w:b/>
        </w:rPr>
        <w:t xml:space="preserve"> </w:t>
      </w:r>
      <w:r w:rsidRPr="008F29DE">
        <w:rPr>
          <w:rFonts w:ascii="Arial" w:hAnsi="Arial" w:cs="Arial"/>
        </w:rPr>
        <w:t>y actitudes culturales que se quieren comba</w:t>
      </w:r>
      <w:r w:rsidR="00C46B87">
        <w:rPr>
          <w:rFonts w:ascii="Arial" w:hAnsi="Arial" w:cs="Arial"/>
        </w:rPr>
        <w:t>tir. En el caso de la imagen de un</w:t>
      </w:r>
      <w:r w:rsidRPr="008F29DE">
        <w:rPr>
          <w:rFonts w:ascii="Arial" w:hAnsi="Arial" w:cs="Arial"/>
        </w:rPr>
        <w:t xml:space="preserve"> cartel del carnaval de Terrassa, el Instituto de las Mujeres también emitió comunicado de prensa. </w:t>
      </w:r>
      <w:hyperlink r:id="rId11" w:history="1">
        <w:r w:rsidRPr="008F29DE">
          <w:rPr>
            <w:rStyle w:val="Hyperlink"/>
            <w:rFonts w:ascii="Arial" w:hAnsi="Arial" w:cs="Arial"/>
          </w:rPr>
          <w:t>https://www.inmujeres.gob.es/observatorios/observImg/acciones/docs/01_12_retirada_cartel_de_Tarrasa.pdf</w:t>
        </w:r>
      </w:hyperlink>
    </w:p>
    <w:p w14:paraId="1FD3B0C7" w14:textId="77777777" w:rsidR="008F29DE" w:rsidRDefault="008F29DE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73176AC" w14:textId="77777777" w:rsidR="002F0469" w:rsidRPr="008F29DE" w:rsidRDefault="002F0469" w:rsidP="008F29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9DE">
        <w:rPr>
          <w:rFonts w:ascii="Arial" w:hAnsi="Arial" w:cs="Arial"/>
          <w:b/>
          <w:u w:val="single"/>
        </w:rPr>
        <w:t>Información confusa en alguna campaña publicitaria institucional</w:t>
      </w:r>
      <w:r w:rsidRPr="008F29DE">
        <w:rPr>
          <w:rFonts w:ascii="Arial" w:hAnsi="Arial" w:cs="Arial"/>
        </w:rPr>
        <w:t xml:space="preserve"> cuyo mensaje pone el foco en la víctima, haciéndola responsable de una posible agresión machista, por lo que parece que se le está diciendo a las mujeres que </w:t>
      </w:r>
      <w:r w:rsidRPr="008F29DE">
        <w:rPr>
          <w:rFonts w:ascii="Arial" w:hAnsi="Arial" w:cs="Arial"/>
        </w:rPr>
        <w:lastRenderedPageBreak/>
        <w:t>no ejerzan su libertad si no quieren sufrir las consecuencias de soportar una agresión.</w:t>
      </w:r>
    </w:p>
    <w:p w14:paraId="5FA256AF" w14:textId="77777777" w:rsidR="008F29DE" w:rsidRDefault="008F29DE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1E46C3C" w14:textId="77777777" w:rsidR="002F0469" w:rsidRPr="008F29DE" w:rsidRDefault="002F0469" w:rsidP="008F29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9DE">
        <w:rPr>
          <w:rFonts w:ascii="Arial" w:hAnsi="Arial" w:cs="Arial"/>
          <w:b/>
          <w:u w:val="single"/>
        </w:rPr>
        <w:t>Apología del machismo y la misoginia</w:t>
      </w:r>
      <w:r w:rsidRPr="008F29DE">
        <w:rPr>
          <w:rFonts w:ascii="Arial" w:hAnsi="Arial" w:cs="Arial"/>
        </w:rPr>
        <w:t xml:space="preserve">, por ejemplo, la difusión de un video con un mensaje que acaba por incitar a la violencia machista debido a las técnicas que promueve. </w:t>
      </w:r>
    </w:p>
    <w:p w14:paraId="631932E1" w14:textId="77777777" w:rsidR="008F29DE" w:rsidRDefault="008F29DE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8C1CFF5" w14:textId="77777777" w:rsidR="002F0469" w:rsidRPr="008F29DE" w:rsidRDefault="002F0469" w:rsidP="008F29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9DE">
        <w:rPr>
          <w:rFonts w:ascii="Arial" w:hAnsi="Arial" w:cs="Arial"/>
          <w:b/>
          <w:u w:val="single"/>
        </w:rPr>
        <w:t>Publicaciones de editoriales</w:t>
      </w:r>
      <w:r w:rsidRPr="008F29DE">
        <w:rPr>
          <w:rFonts w:ascii="Arial" w:hAnsi="Arial" w:cs="Arial"/>
        </w:rPr>
        <w:t>: Tanto la división por sexos de algunos títulos como sus contenidos diferenciados, responden a criterios estereotipados sobre las actividades y materias de interés de niños y niñas, que contribuyen a fomentar la desigualdad por razón de sexo. Este tipo de clasificación, especialmente en edades tan relevantes para su desarrollo personal, limita sus expectativas y perspectivas de futuro, y contribuyen a perpetuar las actitudes y comportamientos sociales discriminatorios.</w:t>
      </w:r>
    </w:p>
    <w:p w14:paraId="1E53CB43" w14:textId="77777777" w:rsidR="002F046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A99A57" w14:textId="77777777" w:rsidR="00032DDD" w:rsidRPr="000D5ED9" w:rsidRDefault="00032DDD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92BCA4" w14:textId="77777777" w:rsidR="000D5ED9" w:rsidRPr="000D5ED9" w:rsidRDefault="000D5ED9" w:rsidP="000D5E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ED9">
        <w:rPr>
          <w:rFonts w:ascii="Arial" w:hAnsi="Arial" w:cs="Arial"/>
        </w:rPr>
        <w:t>¿En qué medida estas respuestas cumplen con las normas del derecho internacional de los derechos humanos, en particular el derecho a la libertad de expresión?</w:t>
      </w:r>
    </w:p>
    <w:p w14:paraId="305BD2E5" w14:textId="77777777" w:rsidR="000D5ED9" w:rsidRPr="000D5ED9" w:rsidRDefault="000D5ED9" w:rsidP="000D5E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ED9">
        <w:rPr>
          <w:rFonts w:ascii="Arial" w:hAnsi="Arial" w:cs="Arial"/>
        </w:rPr>
        <w:t>¿Hasta qué punto han sido eficaces estas medidas para abordar la “desinformación por razón de género”?</w:t>
      </w:r>
    </w:p>
    <w:p w14:paraId="4DB663A6" w14:textId="77777777" w:rsidR="000D5ED9" w:rsidRDefault="000D5ED9" w:rsidP="000D5E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ED9">
        <w:rPr>
          <w:rFonts w:ascii="Arial" w:hAnsi="Arial" w:cs="Arial"/>
        </w:rPr>
        <w:t>Proporcione referencia/enlaces a marcos legales y políticos desarrollados para abordar las dimensiones</w:t>
      </w:r>
      <w:r w:rsidR="002F0469">
        <w:rPr>
          <w:rFonts w:ascii="Arial" w:hAnsi="Arial" w:cs="Arial"/>
        </w:rPr>
        <w:t xml:space="preserve"> de género de la desinformación:</w:t>
      </w:r>
    </w:p>
    <w:p w14:paraId="6919A394" w14:textId="77777777" w:rsidR="002F046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A56186" w14:textId="77777777" w:rsidR="002F0469" w:rsidRPr="002F0469" w:rsidRDefault="00C46B87" w:rsidP="008F2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</w:t>
      </w:r>
      <w:r w:rsidR="002F0469" w:rsidRPr="002F0469">
        <w:rPr>
          <w:rFonts w:ascii="Arial" w:hAnsi="Arial" w:cs="Arial"/>
          <w:iCs/>
        </w:rPr>
        <w:t xml:space="preserve">unque no hay ninguna norma que regule directamente la calidad de la información relativa al género, </w:t>
      </w:r>
      <w:r>
        <w:rPr>
          <w:rFonts w:ascii="Arial" w:hAnsi="Arial" w:cs="Arial"/>
          <w:iCs/>
        </w:rPr>
        <w:t xml:space="preserve">en España </w:t>
      </w:r>
      <w:r w:rsidR="002F0469" w:rsidRPr="002F0469">
        <w:rPr>
          <w:rFonts w:ascii="Arial" w:hAnsi="Arial" w:cs="Arial"/>
          <w:iCs/>
        </w:rPr>
        <w:t xml:space="preserve">hay que tener en cuenta las siguientes disposiciones que permiten abordar esa desinformación: </w:t>
      </w:r>
    </w:p>
    <w:p w14:paraId="3E9B15B7" w14:textId="77777777" w:rsidR="002F0469" w:rsidRPr="002F046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5E9CE49F" w14:textId="77777777" w:rsidR="002F0469" w:rsidRDefault="002F0469" w:rsidP="002F04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2F0469">
        <w:rPr>
          <w:rFonts w:ascii="Arial" w:hAnsi="Arial" w:cs="Arial"/>
          <w:i/>
          <w:iCs/>
        </w:rPr>
        <w:t>El derecho a comunicar y recibir una información veraz es un derecho fundamental,</w:t>
      </w:r>
      <w:r w:rsidR="00D65EE3">
        <w:rPr>
          <w:rFonts w:ascii="Arial" w:hAnsi="Arial" w:cs="Arial"/>
          <w:i/>
          <w:iCs/>
        </w:rPr>
        <w:t xml:space="preserve"> que está</w:t>
      </w:r>
      <w:r w:rsidRPr="002F0469">
        <w:rPr>
          <w:rFonts w:ascii="Arial" w:hAnsi="Arial" w:cs="Arial"/>
          <w:i/>
          <w:iCs/>
        </w:rPr>
        <w:t xml:space="preserve"> recogido en el </w:t>
      </w:r>
      <w:r w:rsidRPr="002F0469">
        <w:rPr>
          <w:rFonts w:ascii="Arial" w:hAnsi="Arial" w:cs="Arial"/>
          <w:b/>
          <w:i/>
          <w:iCs/>
        </w:rPr>
        <w:t>art. 20</w:t>
      </w:r>
      <w:r w:rsidRPr="002F0469">
        <w:rPr>
          <w:rFonts w:ascii="Arial" w:hAnsi="Arial" w:cs="Arial"/>
          <w:i/>
          <w:iCs/>
        </w:rPr>
        <w:t xml:space="preserve"> de la </w:t>
      </w:r>
      <w:r w:rsidRPr="002F0469">
        <w:rPr>
          <w:rFonts w:ascii="Arial" w:hAnsi="Arial" w:cs="Arial"/>
          <w:b/>
          <w:i/>
          <w:iCs/>
        </w:rPr>
        <w:t>Constitución Española</w:t>
      </w:r>
      <w:r w:rsidRPr="002F0469">
        <w:rPr>
          <w:rFonts w:ascii="Arial" w:hAnsi="Arial" w:cs="Arial"/>
          <w:i/>
          <w:iCs/>
        </w:rPr>
        <w:t>.</w:t>
      </w:r>
    </w:p>
    <w:p w14:paraId="43FB8B1E" w14:textId="77777777" w:rsidR="00C46B87" w:rsidRPr="002F0469" w:rsidRDefault="00C46B87" w:rsidP="00C46B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</w:p>
    <w:p w14:paraId="2414D232" w14:textId="77777777" w:rsidR="002F0469" w:rsidRPr="00C46B87" w:rsidRDefault="002F0469" w:rsidP="00C46B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 w:rsidRPr="00C46B87">
        <w:rPr>
          <w:rFonts w:ascii="Arial" w:hAnsi="Arial" w:cs="Arial"/>
          <w:i/>
          <w:iCs/>
          <w:lang w:val="es-ES_tradnl"/>
        </w:rPr>
        <w:t xml:space="preserve">La </w:t>
      </w:r>
      <w:r w:rsidRPr="00C46B87">
        <w:rPr>
          <w:rFonts w:ascii="Arial" w:hAnsi="Arial" w:cs="Arial"/>
          <w:b/>
          <w:i/>
          <w:iCs/>
          <w:lang w:val="es-ES_tradnl"/>
        </w:rPr>
        <w:t>Ley Orgánica 1/2004, de 28 de diciembre, de Medidas de Protección Integral contra la Violencia de Género</w:t>
      </w:r>
      <w:r w:rsidRPr="00C46B87">
        <w:rPr>
          <w:rFonts w:ascii="Arial" w:hAnsi="Arial" w:cs="Arial"/>
          <w:i/>
          <w:iCs/>
          <w:lang w:val="es-ES_tradnl"/>
        </w:rPr>
        <w:t xml:space="preserve">, en su </w:t>
      </w:r>
      <w:r w:rsidRPr="00C46B87">
        <w:rPr>
          <w:rFonts w:ascii="Arial" w:hAnsi="Arial" w:cs="Arial"/>
          <w:b/>
          <w:i/>
          <w:iCs/>
          <w:lang w:val="es-ES_tradnl"/>
        </w:rPr>
        <w:t>artículo 14</w:t>
      </w:r>
      <w:r w:rsidRPr="00C46B87">
        <w:rPr>
          <w:rFonts w:ascii="Arial" w:hAnsi="Arial" w:cs="Arial"/>
          <w:i/>
          <w:iCs/>
          <w:lang w:val="es-ES_tradnl"/>
        </w:rPr>
        <w:t xml:space="preserve"> establece que “Los medios de comunicación fomentarán la protección y salvaguarda de la igualdad entre hombre y mujer, evitando toda discriminación entre ellos. La difusión de informaciones relativas a la violencia sobre la mujer garantizará, con la correspondiente objetividad informativa, la defensa de los derechos humanos, la libertad y dignidad de las mujeres víctimas de violencia y de sus hijos. En particular, se tendrá especial cuidado en el tratamiento gráfico de las informaciones.”</w:t>
      </w:r>
    </w:p>
    <w:p w14:paraId="4DD088E7" w14:textId="77777777" w:rsidR="00C46B87" w:rsidRPr="002F0469" w:rsidRDefault="00C46B87" w:rsidP="00C46B87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i/>
          <w:iCs/>
          <w:lang w:val="es-ES_tradnl"/>
        </w:rPr>
      </w:pPr>
    </w:p>
    <w:p w14:paraId="5420DD5C" w14:textId="77777777" w:rsidR="008F29DE" w:rsidRPr="00C46B87" w:rsidRDefault="002F0469" w:rsidP="00C46B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C46B87">
        <w:rPr>
          <w:rFonts w:ascii="Arial" w:hAnsi="Arial" w:cs="Arial"/>
          <w:i/>
          <w:iCs/>
        </w:rPr>
        <w:t xml:space="preserve">La </w:t>
      </w:r>
      <w:r w:rsidRPr="00C46B87">
        <w:rPr>
          <w:rFonts w:ascii="Arial" w:hAnsi="Arial" w:cs="Arial"/>
          <w:b/>
          <w:i/>
          <w:iCs/>
        </w:rPr>
        <w:t>Ley Orgánica 3/2007, de 22 de marzo, para la igualdad efectiva de mujeres y hombres</w:t>
      </w:r>
      <w:r w:rsidRPr="00C46B87">
        <w:rPr>
          <w:rFonts w:ascii="Arial" w:hAnsi="Arial" w:cs="Arial"/>
          <w:i/>
          <w:iCs/>
        </w:rPr>
        <w:t>, en concreto sus artículos 36 y 39 relativos a la igualdad en los medios de comunicación social de titularidad pública y privada, se establece lo siguiente:</w:t>
      </w:r>
    </w:p>
    <w:p w14:paraId="0BD8EB4A" w14:textId="77777777" w:rsidR="00C46B87" w:rsidRDefault="00C46B87" w:rsidP="008F29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iCs/>
        </w:rPr>
      </w:pPr>
    </w:p>
    <w:p w14:paraId="1BC739B2" w14:textId="77777777" w:rsidR="002F0469" w:rsidRPr="002F0469" w:rsidRDefault="002F0469" w:rsidP="008F29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8F29DE">
        <w:rPr>
          <w:rFonts w:ascii="Arial" w:hAnsi="Arial" w:cs="Arial"/>
          <w:b/>
          <w:i/>
          <w:iCs/>
        </w:rPr>
        <w:t>Artículo 36.</w:t>
      </w:r>
      <w:r w:rsidRPr="008F29DE">
        <w:rPr>
          <w:rFonts w:ascii="Arial" w:hAnsi="Arial" w:cs="Arial"/>
          <w:i/>
          <w:iCs/>
        </w:rPr>
        <w:t xml:space="preserve"> La igualdad en los medios de comunicación social de titularidad pública. </w:t>
      </w:r>
      <w:r w:rsidRPr="002F0469">
        <w:rPr>
          <w:rFonts w:ascii="Arial" w:hAnsi="Arial" w:cs="Arial"/>
          <w:i/>
          <w:iCs/>
        </w:rPr>
        <w:t>Los medios de comunicación social de titularidad pública velarán por la transmisión de una imagen igualitaria, plural y no estereotipada de mujeres y hombres en la sociedad, y promoverán el conocimiento y la difusión del principio de igualdad entre mujeres y hombres.</w:t>
      </w:r>
    </w:p>
    <w:p w14:paraId="44FD23E7" w14:textId="77777777" w:rsidR="002F0469" w:rsidRPr="002F046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3E571E46" w14:textId="77777777" w:rsidR="002F0469" w:rsidRPr="002F0469" w:rsidRDefault="002F0469" w:rsidP="00C46B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i/>
          <w:iCs/>
        </w:rPr>
      </w:pPr>
      <w:r w:rsidRPr="002F0469">
        <w:rPr>
          <w:rFonts w:ascii="Arial" w:hAnsi="Arial" w:cs="Arial"/>
          <w:b/>
          <w:i/>
          <w:iCs/>
        </w:rPr>
        <w:t>Artículo 39.</w:t>
      </w:r>
      <w:r w:rsidRPr="002F0469">
        <w:rPr>
          <w:rFonts w:ascii="Arial" w:hAnsi="Arial" w:cs="Arial"/>
          <w:i/>
          <w:iCs/>
        </w:rPr>
        <w:t xml:space="preserve"> La igualdad en los medios de comunicación social de titularidad privada.</w:t>
      </w:r>
    </w:p>
    <w:p w14:paraId="2F31369A" w14:textId="77777777" w:rsidR="002F0469" w:rsidRPr="002F0469" w:rsidRDefault="002F0469" w:rsidP="00C46B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2F0469">
        <w:rPr>
          <w:rFonts w:ascii="Arial" w:hAnsi="Arial" w:cs="Arial"/>
          <w:i/>
          <w:iCs/>
        </w:rPr>
        <w:t>1. Todos los medios de comunicación respetarán la igualdad entre mujeres y hombres, evitando cualquier forma de discriminación.</w:t>
      </w:r>
    </w:p>
    <w:p w14:paraId="0E087D40" w14:textId="77777777" w:rsidR="002F0469" w:rsidRPr="002F0469" w:rsidRDefault="002F0469" w:rsidP="00C46B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2F0469">
        <w:rPr>
          <w:rFonts w:ascii="Arial" w:hAnsi="Arial" w:cs="Arial"/>
          <w:i/>
          <w:iCs/>
        </w:rPr>
        <w:t xml:space="preserve">2. Las Administraciones públicas promoverán la adopción por parte de los medios de comunicación de acuerdos de autorregulación que contribuyan al cumplimiento </w:t>
      </w:r>
      <w:r w:rsidRPr="002F0469">
        <w:rPr>
          <w:rFonts w:ascii="Arial" w:hAnsi="Arial" w:cs="Arial"/>
          <w:i/>
          <w:iCs/>
        </w:rPr>
        <w:lastRenderedPageBreak/>
        <w:t>de la legislación en materia de igualdad entre mujeres y hombres, incluyendo las actividades de venta y publicidad que en aquellos se desarrollen.</w:t>
      </w:r>
    </w:p>
    <w:p w14:paraId="76B9C8C7" w14:textId="77777777" w:rsidR="002F0469" w:rsidRPr="002F046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505873E7" w14:textId="77777777" w:rsidR="002F0469" w:rsidRPr="002F0469" w:rsidRDefault="002F0469" w:rsidP="002F04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2F0469">
        <w:rPr>
          <w:rFonts w:ascii="Arial" w:hAnsi="Arial" w:cs="Arial"/>
          <w:i/>
          <w:iCs/>
        </w:rPr>
        <w:t xml:space="preserve">La </w:t>
      </w:r>
      <w:r w:rsidRPr="002F0469">
        <w:rPr>
          <w:rFonts w:ascii="Arial" w:hAnsi="Arial" w:cs="Arial"/>
          <w:b/>
          <w:i/>
          <w:iCs/>
        </w:rPr>
        <w:t>Ley 13/2022, de 7 de julio, General de Comunicación Audiovisual</w:t>
      </w:r>
      <w:r w:rsidRPr="002F0469">
        <w:rPr>
          <w:rFonts w:ascii="Arial" w:hAnsi="Arial" w:cs="Arial"/>
          <w:i/>
          <w:iCs/>
        </w:rPr>
        <w:t xml:space="preserve">, que en su </w:t>
      </w:r>
      <w:r w:rsidRPr="002F0469">
        <w:rPr>
          <w:rFonts w:ascii="Arial" w:hAnsi="Arial" w:cs="Arial"/>
          <w:b/>
          <w:i/>
          <w:iCs/>
        </w:rPr>
        <w:t>artículo 6.1</w:t>
      </w:r>
      <w:r w:rsidRPr="002F0469">
        <w:rPr>
          <w:rFonts w:ascii="Arial" w:hAnsi="Arial" w:cs="Arial"/>
          <w:i/>
          <w:iCs/>
        </w:rPr>
        <w:t>, señala:</w:t>
      </w:r>
    </w:p>
    <w:p w14:paraId="6C633743" w14:textId="77777777" w:rsidR="002F0469" w:rsidRPr="002F046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354BF715" w14:textId="77777777" w:rsidR="002F0469" w:rsidRPr="002F0469" w:rsidRDefault="002F0469" w:rsidP="00C46B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2F0469">
        <w:rPr>
          <w:rFonts w:ascii="Arial" w:hAnsi="Arial" w:cs="Arial"/>
          <w:i/>
          <w:iCs/>
        </w:rPr>
        <w:t>“La comunicación audiovisual transmitirá una imagen igualitaria y no discriminatoria de mujeres y hombres y no favorecerá, directa o indirectamente, situaciones de discriminación por razón de sexo, desigualdad de las mujeres o que inciten a la violencia sexual o de género.”</w:t>
      </w:r>
    </w:p>
    <w:p w14:paraId="3E52B047" w14:textId="77777777" w:rsidR="002F0469" w:rsidRPr="002F046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054170DC" w14:textId="77777777" w:rsidR="002F0469" w:rsidRPr="002F0469" w:rsidRDefault="002F0469" w:rsidP="002F04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2F0469">
        <w:rPr>
          <w:rFonts w:ascii="Arial" w:hAnsi="Arial" w:cs="Arial"/>
          <w:i/>
          <w:iCs/>
        </w:rPr>
        <w:t xml:space="preserve">La </w:t>
      </w:r>
      <w:r w:rsidRPr="002F0469">
        <w:rPr>
          <w:rFonts w:ascii="Arial" w:hAnsi="Arial" w:cs="Arial"/>
          <w:b/>
          <w:i/>
          <w:iCs/>
        </w:rPr>
        <w:t>Ley 15/2022, de 12 de julio, integral para la igualdad de trato y la no discriminación</w:t>
      </w:r>
      <w:r w:rsidRPr="002F0469">
        <w:rPr>
          <w:rFonts w:ascii="Arial" w:hAnsi="Arial" w:cs="Arial"/>
          <w:i/>
          <w:iCs/>
        </w:rPr>
        <w:t xml:space="preserve">, en concreto su </w:t>
      </w:r>
      <w:r w:rsidRPr="002F0469">
        <w:rPr>
          <w:rFonts w:ascii="Arial" w:hAnsi="Arial" w:cs="Arial"/>
          <w:b/>
          <w:i/>
          <w:iCs/>
        </w:rPr>
        <w:t>artículo 22</w:t>
      </w:r>
      <w:r w:rsidRPr="002F0469">
        <w:rPr>
          <w:rFonts w:ascii="Arial" w:hAnsi="Arial" w:cs="Arial"/>
          <w:i/>
          <w:iCs/>
        </w:rPr>
        <w:t xml:space="preserve">, relativo a los medios de comunicación social y publicidad, internet y redes sociales, que señala lo siguiente: </w:t>
      </w:r>
    </w:p>
    <w:p w14:paraId="3A934BF7" w14:textId="77777777" w:rsidR="002F0469" w:rsidRPr="002F046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3FD6045E" w14:textId="77777777" w:rsidR="002F0469" w:rsidRPr="002F0469" w:rsidRDefault="002F0469" w:rsidP="00C46B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i/>
          <w:iCs/>
        </w:rPr>
      </w:pPr>
      <w:r w:rsidRPr="002F0469">
        <w:rPr>
          <w:rFonts w:ascii="Arial" w:hAnsi="Arial" w:cs="Arial"/>
          <w:b/>
          <w:i/>
          <w:iCs/>
        </w:rPr>
        <w:t>Artículo 22.</w:t>
      </w:r>
      <w:r w:rsidRPr="002F0469">
        <w:rPr>
          <w:rFonts w:ascii="Arial" w:hAnsi="Arial" w:cs="Arial"/>
          <w:i/>
          <w:iCs/>
        </w:rPr>
        <w:t xml:space="preserve"> Medios de comunicación social y publicidad, internet y redes sociales.</w:t>
      </w:r>
    </w:p>
    <w:p w14:paraId="1072687D" w14:textId="77777777" w:rsidR="002F0469" w:rsidRPr="002F0469" w:rsidRDefault="002F0469" w:rsidP="00C46B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2F0469">
        <w:rPr>
          <w:rFonts w:ascii="Arial" w:hAnsi="Arial" w:cs="Arial"/>
          <w:i/>
          <w:iCs/>
        </w:rPr>
        <w:t>1. Todos los medios de comunicación social respetarán el derecho a la igualdad de trato, evitando toda forma de discriminación en el tratamiento y formato accesible de la información, en sus contenidos y su programación.</w:t>
      </w:r>
    </w:p>
    <w:p w14:paraId="101F2AD3" w14:textId="77777777" w:rsidR="002F0469" w:rsidRPr="002F0469" w:rsidRDefault="002F0469" w:rsidP="00C46B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2F0469">
        <w:rPr>
          <w:rFonts w:ascii="Arial" w:hAnsi="Arial" w:cs="Arial"/>
          <w:i/>
          <w:iCs/>
        </w:rPr>
        <w:t>2. Las administraciones públicas, en el ámbito de sus respectivas competencias, promoverán la adopción de acuerdos de autorregulación de los medios de comunicación social, publicidad, internet, redes sociales y las empresas de tecnologías de la información y comunicación que contribuyan al cumplimiento de la legislación en materia de igualdad de trato y no discriminación e intolerancia por las razones que inspiran esta ley, y a la promoción de una imagen no estereotipada de las diferentes personas y grupos de población, incluyendo las actividades de venta y publicidad que en aquellos se desarrollen e instando a un lenguaje y mensajes contrarios a la discriminación y a la intolerancia.</w:t>
      </w:r>
    </w:p>
    <w:p w14:paraId="16BAA8F6" w14:textId="77777777" w:rsidR="002F0469" w:rsidRPr="002F0469" w:rsidRDefault="002F0469" w:rsidP="00C46B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2F0469">
        <w:rPr>
          <w:rFonts w:ascii="Arial" w:hAnsi="Arial" w:cs="Arial"/>
          <w:i/>
          <w:iCs/>
        </w:rPr>
        <w:t>Asimismo, promoverán la adopción de acuerdos con las empresas y plataformas de servicios de internet que mejoren la efectividad en la prevención y eliminación de contenidos que atenten contra el derecho a la igualdad en este ámbito.</w:t>
      </w:r>
    </w:p>
    <w:p w14:paraId="11F0A3B6" w14:textId="77777777" w:rsidR="002F0469" w:rsidRPr="002F0469" w:rsidRDefault="002F0469" w:rsidP="00C46B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2F0469">
        <w:rPr>
          <w:rFonts w:ascii="Arial" w:hAnsi="Arial" w:cs="Arial"/>
          <w:i/>
          <w:iCs/>
        </w:rPr>
        <w:t>3. Se considera publicidad ilícita la comunicación publicitaria comercial o institucional que contenga elementos de discriminación por razón de las causas previstas en esta ley.</w:t>
      </w:r>
    </w:p>
    <w:p w14:paraId="57C53563" w14:textId="77777777" w:rsidR="002F0469" w:rsidRPr="002F046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9E009D" w14:textId="77777777" w:rsidR="002F0469" w:rsidRPr="002F0469" w:rsidRDefault="002F0469" w:rsidP="002F04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2F0469">
        <w:rPr>
          <w:rFonts w:ascii="Arial" w:hAnsi="Arial" w:cs="Arial"/>
          <w:i/>
          <w:iCs/>
        </w:rPr>
        <w:t xml:space="preserve">El </w:t>
      </w:r>
      <w:r w:rsidRPr="002F0469">
        <w:rPr>
          <w:rFonts w:ascii="Arial" w:hAnsi="Arial" w:cs="Arial"/>
          <w:b/>
          <w:i/>
          <w:iCs/>
        </w:rPr>
        <w:t>III Plan Estratégico para la Igualdad Efectiva de Mujeres y Hombres 2022-2025</w:t>
      </w:r>
      <w:r>
        <w:rPr>
          <w:rFonts w:ascii="Arial" w:hAnsi="Arial" w:cs="Arial"/>
          <w:i/>
          <w:iCs/>
        </w:rPr>
        <w:t>, </w:t>
      </w:r>
      <w:r w:rsidRPr="002F0469">
        <w:rPr>
          <w:rFonts w:ascii="Arial" w:hAnsi="Arial" w:cs="Arial"/>
          <w:i/>
          <w:iCs/>
        </w:rPr>
        <w:t>que constituye la hoja de ruta para las políticas de igualdad del Estado Español hasta 2025, recoge en su EJE 4, relativo a los Derechos Ef</w:t>
      </w:r>
      <w:r>
        <w:rPr>
          <w:rFonts w:ascii="Arial" w:hAnsi="Arial" w:cs="Arial"/>
          <w:i/>
          <w:iCs/>
        </w:rPr>
        <w:t>ectivos para todas las Mujeres,</w:t>
      </w:r>
      <w:r w:rsidRPr="002F0469">
        <w:rPr>
          <w:rFonts w:ascii="Arial" w:hAnsi="Arial" w:cs="Arial"/>
          <w:i/>
          <w:iCs/>
        </w:rPr>
        <w:t xml:space="preserve"> la siguiente línea de trabajo que puede contribuir a abordar la desinformación por razón de género: </w:t>
      </w:r>
    </w:p>
    <w:p w14:paraId="1F8A6539" w14:textId="77777777" w:rsidR="002F0469" w:rsidRPr="002F0469" w:rsidRDefault="002F0469" w:rsidP="00C46B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2F0469">
        <w:rPr>
          <w:rFonts w:ascii="Arial" w:hAnsi="Arial" w:cs="Arial"/>
          <w:i/>
          <w:iCs/>
        </w:rPr>
        <w:t>Línea de trabajo VII. Medios de comunicación: visibilizando los logros, aportaciones y una imagen no estereotipada de las mujeres y el feminismo. Se trata de promover la transmisión de una imagen igualitaria, plural y no estereotipada de mujeres y hombres y de los logros y las aportaciones de las mujeres y del feminismo en los medios de comunicación de titularidad pública y privada.</w:t>
      </w:r>
    </w:p>
    <w:p w14:paraId="1B59FB8C" w14:textId="77777777" w:rsidR="002F0469" w:rsidRPr="002F046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13FA68" w14:textId="77777777" w:rsidR="002F0469" w:rsidRPr="000D5ED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7A4BBD" w14:textId="77777777" w:rsidR="000D5ED9" w:rsidRPr="000D5ED9" w:rsidRDefault="000D5ED9" w:rsidP="000D5E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ED9">
        <w:rPr>
          <w:rFonts w:ascii="Arial" w:hAnsi="Arial" w:cs="Arial"/>
        </w:rPr>
        <w:t>Encontrar soluciones:</w:t>
      </w:r>
    </w:p>
    <w:p w14:paraId="19B850FA" w14:textId="77777777" w:rsidR="000D5ED9" w:rsidRPr="000D5ED9" w:rsidRDefault="000D5ED9" w:rsidP="000D5E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ED9">
        <w:rPr>
          <w:rFonts w:ascii="Arial" w:hAnsi="Arial" w:cs="Arial"/>
        </w:rPr>
        <w:t>¿Qué recomendaciones cree que debería hacer la Relatora Especial y a quién sobre la lucha contra la “desinformación por razón de género”?</w:t>
      </w:r>
    </w:p>
    <w:p w14:paraId="4F074CF4" w14:textId="77777777" w:rsidR="000D5ED9" w:rsidRDefault="000D5ED9" w:rsidP="000D5E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ED9">
        <w:rPr>
          <w:rFonts w:ascii="Arial" w:hAnsi="Arial" w:cs="Arial"/>
        </w:rPr>
        <w:t>¿Qué cuestiones o ámbitos de la “desinformación por razón de género” requieren más investigación?</w:t>
      </w:r>
    </w:p>
    <w:p w14:paraId="66200714" w14:textId="77777777" w:rsidR="005631B7" w:rsidRPr="000D5ED9" w:rsidRDefault="005631B7" w:rsidP="000D5E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Proporcione referencias o enlaces a investigaciones o informes relevantes</w:t>
      </w:r>
      <w:r w:rsidR="00032DDD">
        <w:rPr>
          <w:rFonts w:ascii="Arial" w:hAnsi="Arial" w:cs="Arial"/>
        </w:rPr>
        <w:t>:</w:t>
      </w:r>
    </w:p>
    <w:p w14:paraId="75BC6D51" w14:textId="77777777" w:rsidR="002F046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58BAC192" w14:textId="77777777" w:rsidR="00D65EE3" w:rsidRDefault="002F0469" w:rsidP="00C46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2F0469">
        <w:rPr>
          <w:rFonts w:ascii="Arial" w:hAnsi="Arial" w:cs="Arial"/>
        </w:rPr>
        <w:lastRenderedPageBreak/>
        <w:t>El Instituto de las Mujeres realiza regularmente</w:t>
      </w:r>
      <w:r w:rsidRPr="002F0469">
        <w:rPr>
          <w:rFonts w:ascii="Arial" w:hAnsi="Arial" w:cs="Arial"/>
          <w:u w:val="single"/>
        </w:rPr>
        <w:t xml:space="preserve"> </w:t>
      </w:r>
      <w:hyperlink r:id="rId12" w:history="1">
        <w:r w:rsidRPr="002F0469">
          <w:rPr>
            <w:rStyle w:val="Hyperlink"/>
            <w:rFonts w:ascii="Arial" w:hAnsi="Arial" w:cs="Arial"/>
          </w:rPr>
          <w:t>estudios</w:t>
        </w:r>
      </w:hyperlink>
      <w:r w:rsidR="00032DDD">
        <w:rPr>
          <w:rStyle w:val="FootnoteReference"/>
          <w:rFonts w:ascii="Arial" w:hAnsi="Arial" w:cs="Arial"/>
        </w:rPr>
        <w:footnoteReference w:id="2"/>
      </w:r>
      <w:r w:rsidRPr="002F0469">
        <w:rPr>
          <w:rFonts w:ascii="Arial" w:hAnsi="Arial" w:cs="Arial"/>
        </w:rPr>
        <w:t xml:space="preserve"> relativos a la situación de las mujeres. </w:t>
      </w:r>
    </w:p>
    <w:p w14:paraId="2CFEB0F1" w14:textId="77777777" w:rsidR="00D65EE3" w:rsidRDefault="00D65EE3" w:rsidP="00C46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41D6CA05" w14:textId="77777777" w:rsidR="00C46B87" w:rsidRDefault="002F0469" w:rsidP="00C46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2F0469">
        <w:rPr>
          <w:rFonts w:ascii="Arial" w:hAnsi="Arial" w:cs="Arial"/>
        </w:rPr>
        <w:t>Entre ellos, cabe destacar uno de los más recientes, “</w:t>
      </w:r>
      <w:hyperlink r:id="rId13" w:history="1">
        <w:r w:rsidRPr="002F0469">
          <w:rPr>
            <w:rStyle w:val="Hyperlink"/>
            <w:rFonts w:ascii="Arial" w:hAnsi="Arial" w:cs="Arial"/>
          </w:rPr>
          <w:t>Nº 127. La sexualidad de las mujeres jóvenes en el contexto español. Percepciones subjetivas e impacto de la formación</w:t>
        </w:r>
      </w:hyperlink>
      <w:r w:rsidRPr="002F0469">
        <w:rPr>
          <w:rFonts w:ascii="Arial" w:hAnsi="Arial" w:cs="Arial"/>
        </w:rPr>
        <w:t xml:space="preserve">” elaborado en 2022. En este estudio se realizan menciones explicitas a la desinformación, en particular, a la desinformación sexual, en los siguientes párrafos: </w:t>
      </w:r>
    </w:p>
    <w:p w14:paraId="6810EBB2" w14:textId="77777777" w:rsidR="00C46B87" w:rsidRDefault="00C46B87" w:rsidP="00C46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6C2EE93F" w14:textId="77777777" w:rsidR="00C46B87" w:rsidRDefault="002F0469" w:rsidP="00C46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2F0469">
        <w:rPr>
          <w:rFonts w:ascii="Arial" w:hAnsi="Arial" w:cs="Arial"/>
        </w:rPr>
        <w:t>En la página 13 del estudio se indica que se debe prestar atención y existen “</w:t>
      </w:r>
      <w:r w:rsidRPr="002F0469">
        <w:rPr>
          <w:rFonts w:ascii="Arial" w:hAnsi="Arial" w:cs="Arial"/>
          <w:i/>
        </w:rPr>
        <w:t>viejas dinámicas heteropatriarcales y nuevas amenazas propias de la sociedad actual que operan en la experiencia de la sexualidad de las mujeres jóvenes. La vigencia de roles y estereotipos de género, las violencias sexuales o el efecto de la (des)información sexual asociada a la pornografía y las redes sociales son también piezas del escenario en que se configuran sus experiencias y percepciones subjetivas sobre el sexo. Un mapa complejo que requiere una mirada amplia que permita dar cuenta de las características, avances, retos y riesgos de retroceso que enmarcan la vivencia de la sexualidad femenina.</w:t>
      </w:r>
      <w:r w:rsidRPr="002F0469">
        <w:rPr>
          <w:rFonts w:ascii="Arial" w:hAnsi="Arial" w:cs="Arial"/>
        </w:rPr>
        <w:t>”</w:t>
      </w:r>
    </w:p>
    <w:p w14:paraId="5EB71111" w14:textId="77777777" w:rsidR="00C46B87" w:rsidRDefault="00C46B87" w:rsidP="00C46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3016AAB2" w14:textId="77777777" w:rsidR="002F0469" w:rsidRPr="002F0469" w:rsidRDefault="002F0469" w:rsidP="00C46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2F0469">
        <w:rPr>
          <w:rFonts w:ascii="Arial" w:hAnsi="Arial" w:cs="Arial"/>
        </w:rPr>
        <w:t>Asimismo, la cuestión de la desinformación se vuelve a mencionar de manera expresa en relación al consumo de pornografía, las páginas 53 y 54. “</w:t>
      </w:r>
      <w:r w:rsidRPr="002F0469">
        <w:rPr>
          <w:rFonts w:ascii="Arial" w:hAnsi="Arial" w:cs="Arial"/>
          <w:i/>
        </w:rPr>
        <w:t>Estas pautas de consumo de pornografía facilitan un contacto con la sexualidad en el que, como han advertido ya numerosos expertos y organizaciones, la desinformación</w:t>
      </w:r>
      <w:r w:rsidRPr="002F0469">
        <w:rPr>
          <w:rFonts w:ascii="Arial" w:hAnsi="Arial" w:cs="Arial"/>
          <w:b/>
          <w:i/>
          <w:u w:val="single"/>
        </w:rPr>
        <w:t xml:space="preserve"> </w:t>
      </w:r>
      <w:r w:rsidRPr="002F0469">
        <w:rPr>
          <w:rFonts w:ascii="Arial" w:hAnsi="Arial" w:cs="Arial"/>
          <w:i/>
        </w:rPr>
        <w:t>y la reproducción de estereotipos sexistas genera un conocimiento distorsionado de las relaciones sexuales. De acuerdo con un informe recientemente publicado por Save the Children (2020: 69) bajo el título (Des)información sexual: pornografía y adolescencia, el acceso a tales contenidos en edades tempranas influye en la construcción de un deseo sexual asociado a “cimientos irreales, violentos y desiguales”. En su aproximación al sexo, las jóvenes se ven por tanto expuestas a vídeos pornográficos que normalizan conductas sexistas y patrones de inequidad de género; no obstante, y como vimos en epígrafes previos, las mujeres se muestran en buena medida conscientes de tal circunstancia y reconocen en la pornografía un producto primordialmente pensado para el disfrute de los hombres.</w:t>
      </w:r>
      <w:r w:rsidRPr="002F0469">
        <w:rPr>
          <w:rFonts w:ascii="Arial" w:hAnsi="Arial" w:cs="Arial"/>
        </w:rPr>
        <w:t xml:space="preserve">” </w:t>
      </w:r>
    </w:p>
    <w:p w14:paraId="709F2941" w14:textId="77777777" w:rsidR="002F0469" w:rsidRDefault="002F0469" w:rsidP="002F0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24FEA477" w14:textId="77777777" w:rsidR="006556B0" w:rsidRDefault="006556B0"/>
    <w:sectPr w:rsidR="00655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06ED" w14:textId="77777777" w:rsidR="002F0469" w:rsidRDefault="002F0469" w:rsidP="002F0469">
      <w:pPr>
        <w:spacing w:after="0" w:line="240" w:lineRule="auto"/>
      </w:pPr>
      <w:r>
        <w:separator/>
      </w:r>
    </w:p>
  </w:endnote>
  <w:endnote w:type="continuationSeparator" w:id="0">
    <w:p w14:paraId="362CBAB1" w14:textId="77777777" w:rsidR="002F0469" w:rsidRDefault="002F0469" w:rsidP="002F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385E" w14:textId="77777777" w:rsidR="002F0469" w:rsidRDefault="002F0469" w:rsidP="002F0469">
      <w:pPr>
        <w:spacing w:after="0" w:line="240" w:lineRule="auto"/>
      </w:pPr>
      <w:r>
        <w:separator/>
      </w:r>
    </w:p>
  </w:footnote>
  <w:footnote w:type="continuationSeparator" w:id="0">
    <w:p w14:paraId="2B7F3BDA" w14:textId="77777777" w:rsidR="002F0469" w:rsidRDefault="002F0469" w:rsidP="002F0469">
      <w:pPr>
        <w:spacing w:after="0" w:line="240" w:lineRule="auto"/>
      </w:pPr>
      <w:r>
        <w:continuationSeparator/>
      </w:r>
    </w:p>
  </w:footnote>
  <w:footnote w:id="1">
    <w:p w14:paraId="4B27DB88" w14:textId="77777777" w:rsidR="00746C8F" w:rsidRDefault="00746C8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D2F83">
          <w:rPr>
            <w:rStyle w:val="Hyperlink"/>
            <w:lang w:val="es-ES_tradnl"/>
          </w:rPr>
          <w:t>https://www.inmujeres.gob.es/observatorios/observlmg/home.htm</w:t>
        </w:r>
      </w:hyperlink>
    </w:p>
    <w:p w14:paraId="531DD93B" w14:textId="77777777" w:rsidR="00746C8F" w:rsidRDefault="00746C8F">
      <w:pPr>
        <w:pStyle w:val="FootnoteText"/>
        <w:rPr>
          <w:lang w:val="es-ES_tradnl"/>
        </w:rPr>
      </w:pPr>
      <w:r>
        <w:rPr>
          <w:lang w:val="es-ES_tradnl"/>
        </w:rPr>
        <w:t>En su página web se pueden encontrar numerosos ejemplos de acciones, informes y quejas.</w:t>
      </w:r>
    </w:p>
    <w:p w14:paraId="3B238AB2" w14:textId="77777777" w:rsidR="00746C8F" w:rsidRPr="00746C8F" w:rsidRDefault="00746C8F">
      <w:pPr>
        <w:pStyle w:val="FootnoteText"/>
        <w:rPr>
          <w:lang w:val="es-ES_tradnl"/>
        </w:rPr>
      </w:pPr>
    </w:p>
  </w:footnote>
  <w:footnote w:id="2">
    <w:p w14:paraId="5D8C9578" w14:textId="77777777" w:rsidR="00032DDD" w:rsidRDefault="00032DDD" w:rsidP="00032D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223EE">
        <w:t>Pueden encontrarse e</w:t>
      </w:r>
      <w:r>
        <w:t xml:space="preserve">n la página web del Instituto de las Mujeres: </w:t>
      </w:r>
      <w:hyperlink r:id="rId2" w:history="1">
        <w:r w:rsidRPr="00CD2F83">
          <w:rPr>
            <w:rStyle w:val="Hyperlink"/>
          </w:rPr>
          <w:t>https://www.inmujeres.gob.es/areasTematicas/AreaEstudiosInvestigacion/Estudios.htm</w:t>
        </w:r>
      </w:hyperlink>
    </w:p>
    <w:p w14:paraId="754F0F62" w14:textId="77777777" w:rsidR="00032DDD" w:rsidRPr="00090CE6" w:rsidRDefault="00032DDD" w:rsidP="00032DDD">
      <w:pPr>
        <w:pStyle w:val="FootnoteText"/>
        <w:rPr>
          <w:lang w:val="es-ES_tradn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799"/>
    <w:multiLevelType w:val="hybridMultilevel"/>
    <w:tmpl w:val="776E47C4"/>
    <w:lvl w:ilvl="0" w:tplc="0FDA83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A2070"/>
    <w:multiLevelType w:val="hybridMultilevel"/>
    <w:tmpl w:val="1CA405F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6F2E36"/>
    <w:multiLevelType w:val="hybridMultilevel"/>
    <w:tmpl w:val="1234A9F0"/>
    <w:lvl w:ilvl="0" w:tplc="0FDA83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E0597"/>
    <w:multiLevelType w:val="hybridMultilevel"/>
    <w:tmpl w:val="430483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2D2093"/>
    <w:multiLevelType w:val="hybridMultilevel"/>
    <w:tmpl w:val="D2664116"/>
    <w:lvl w:ilvl="0" w:tplc="0FDA83F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51202A"/>
    <w:multiLevelType w:val="hybridMultilevel"/>
    <w:tmpl w:val="45CAAFC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4335E5"/>
    <w:multiLevelType w:val="hybridMultilevel"/>
    <w:tmpl w:val="93AA8716"/>
    <w:lvl w:ilvl="0" w:tplc="0FDA83F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FDA83F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2B4B3B"/>
    <w:multiLevelType w:val="hybridMultilevel"/>
    <w:tmpl w:val="BB121A9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12708"/>
    <w:multiLevelType w:val="hybridMultilevel"/>
    <w:tmpl w:val="0B6C8A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559504">
    <w:abstractNumId w:val="7"/>
  </w:num>
  <w:num w:numId="2" w16cid:durableId="202713085">
    <w:abstractNumId w:val="3"/>
  </w:num>
  <w:num w:numId="3" w16cid:durableId="2110612838">
    <w:abstractNumId w:val="5"/>
  </w:num>
  <w:num w:numId="4" w16cid:durableId="913399189">
    <w:abstractNumId w:val="1"/>
  </w:num>
  <w:num w:numId="5" w16cid:durableId="884801973">
    <w:abstractNumId w:val="6"/>
  </w:num>
  <w:num w:numId="6" w16cid:durableId="1787846690">
    <w:abstractNumId w:val="4"/>
  </w:num>
  <w:num w:numId="7" w16cid:durableId="265617948">
    <w:abstractNumId w:val="2"/>
  </w:num>
  <w:num w:numId="8" w16cid:durableId="1745948363">
    <w:abstractNumId w:val="0"/>
  </w:num>
  <w:num w:numId="9" w16cid:durableId="11721866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6A"/>
    <w:rsid w:val="00032DDD"/>
    <w:rsid w:val="00090CE6"/>
    <w:rsid w:val="000D5ED9"/>
    <w:rsid w:val="002F0469"/>
    <w:rsid w:val="005631B7"/>
    <w:rsid w:val="00637F6A"/>
    <w:rsid w:val="006556B0"/>
    <w:rsid w:val="00746C8F"/>
    <w:rsid w:val="008F29DE"/>
    <w:rsid w:val="009223EE"/>
    <w:rsid w:val="00BD1D8A"/>
    <w:rsid w:val="00C46B87"/>
    <w:rsid w:val="00D6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4A56F"/>
  <w15:chartTrackingRefBased/>
  <w15:docId w15:val="{F403E1FA-8451-4EB4-9E48-B905E4AE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F6A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46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4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46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04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mujeres.gob.es/areasTematicas/AreaEstudiosInvestigacion/docs/Estudios/sexualidad_mujeres_joven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mujeres.gob.es/areasTematicas/AreaEstudiosInvestigacion/Estudios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mujeres.gob.es/observatorios/observImg/acciones/docs/01_12_retirada_cartel_de_Tarras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nmujeres.gob.es/observatorios/observImg/acciones/docs/09_19_violencia_de_genero_en_las_red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mujeres.gob.es/areasTematicas/AreaEstudiosInvestigacion/Estudios.htm" TargetMode="External"/><Relationship Id="rId1" Type="http://schemas.openxmlformats.org/officeDocument/2006/relationships/hyperlink" Target="https://www.inmujeres.gob.es/observatorios/observlmg/home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States</Category>
    <Doctype xmlns="d42e65b2-cf21-49c1-b27d-d23f90380c0e">input</Doctype>
    <Contributor xmlns="d42e65b2-cf21-49c1-b27d-d23f90380c0e">Spain</Contributor>
    <Postingdate xmlns="d42e65b2-cf21-49c1-b27d-d23f90380c0e" xsi:nil="true"/>
    <Postedonline xmlns="d42e65b2-cf21-49c1-b27d-d23f90380c0e">false</Postedonlin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07783-E815-457D-9698-4C55E64D0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BA4C77-4EEF-4ABB-846A-BB2B237C6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C2C31-5A84-4724-8499-EC02ED716E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Valdes Valentin-Gamazo, Félix</dc:creator>
  <cp:keywords/>
  <dc:description/>
  <cp:lastModifiedBy>Thibaut Guillet</cp:lastModifiedBy>
  <cp:revision>2</cp:revision>
  <dcterms:created xsi:type="dcterms:W3CDTF">2023-07-06T13:37:00Z</dcterms:created>
  <dcterms:modified xsi:type="dcterms:W3CDTF">2023-07-06T13:37:00Z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