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24" w:rsidRPr="00023BC8" w:rsidRDefault="00023BC8" w:rsidP="00023BC8">
      <w:pPr>
        <w:autoSpaceDE w:val="0"/>
        <w:autoSpaceDN w:val="0"/>
        <w:adjustRightInd w:val="0"/>
        <w:spacing w:after="0" w:line="240" w:lineRule="auto"/>
        <w:ind w:left="720" w:hanging="360"/>
        <w:jc w:val="center"/>
        <w:rPr>
          <w:b/>
          <w:sz w:val="22"/>
          <w:lang w:val="en-GB"/>
        </w:rPr>
      </w:pPr>
      <w:r w:rsidRPr="00023BC8">
        <w:rPr>
          <w:b/>
          <w:sz w:val="22"/>
          <w:lang w:val="en-GB"/>
        </w:rPr>
        <w:t>Information in response to a letter from The Special Rapporteur on extrajudicial, summary or</w:t>
      </w:r>
      <w:r>
        <w:rPr>
          <w:b/>
          <w:sz w:val="22"/>
          <w:lang w:val="en-GB"/>
        </w:rPr>
        <w:t xml:space="preserve"> </w:t>
      </w:r>
      <w:r w:rsidRPr="00023BC8">
        <w:rPr>
          <w:b/>
          <w:sz w:val="22"/>
          <w:lang w:val="en-GB"/>
        </w:rPr>
        <w:t>arbitrary executions, concerning a call for inputs on deaths in custody</w:t>
      </w:r>
    </w:p>
    <w:p w:rsidR="00023BC8" w:rsidRDefault="00023BC8" w:rsidP="00023BC8">
      <w:pPr>
        <w:autoSpaceDE w:val="0"/>
        <w:autoSpaceDN w:val="0"/>
        <w:adjustRightInd w:val="0"/>
        <w:spacing w:after="0" w:line="240" w:lineRule="auto"/>
        <w:ind w:left="720" w:hanging="360"/>
        <w:jc w:val="center"/>
        <w:rPr>
          <w:lang w:val="en-GB"/>
        </w:rPr>
      </w:pPr>
    </w:p>
    <w:p w:rsidR="00023BC8" w:rsidRPr="00023BC8" w:rsidRDefault="00023BC8" w:rsidP="00023BC8">
      <w:pPr>
        <w:autoSpaceDE w:val="0"/>
        <w:autoSpaceDN w:val="0"/>
        <w:adjustRightInd w:val="0"/>
        <w:spacing w:after="0" w:line="240" w:lineRule="auto"/>
        <w:ind w:left="720" w:hanging="360"/>
        <w:jc w:val="center"/>
        <w:rPr>
          <w:lang w:val="en-GB"/>
        </w:rPr>
      </w:pPr>
    </w:p>
    <w:p w:rsidR="00076739" w:rsidRPr="00CC1064" w:rsidRDefault="00654E24" w:rsidP="00076739">
      <w:pPr>
        <w:pStyle w:val="Akapitzlist"/>
        <w:numPr>
          <w:ilvl w:val="0"/>
          <w:numId w:val="1"/>
        </w:numPr>
        <w:autoSpaceDE w:val="0"/>
        <w:autoSpaceDN w:val="0"/>
        <w:adjustRightInd w:val="0"/>
        <w:spacing w:after="0" w:line="240" w:lineRule="auto"/>
        <w:jc w:val="both"/>
        <w:rPr>
          <w:rFonts w:cs="Arial"/>
          <w:b/>
          <w:sz w:val="22"/>
          <w:lang w:val="en-GB"/>
        </w:rPr>
      </w:pPr>
      <w:r w:rsidRPr="00023BC8">
        <w:rPr>
          <w:rFonts w:cs="Arial"/>
          <w:b/>
          <w:sz w:val="22"/>
          <w:lang w:val="en-GB"/>
        </w:rPr>
        <w:t>Existing practices for data gathering, analysis and reporting of deaths in custody, including the use of statistics and the disaggregation of data (e.g. by different categories and causes of deaths in custody; place of occurrence (e.g. on remand, in prison, in hospital, etc.); types and legal status of affected populations, etc.), including figures of deaths in custody documented in recent years:</w:t>
      </w:r>
    </w:p>
    <w:p w:rsidR="00076739" w:rsidRDefault="00076739" w:rsidP="009F061C">
      <w:pPr>
        <w:autoSpaceDE w:val="0"/>
        <w:autoSpaceDN w:val="0"/>
        <w:adjustRightInd w:val="0"/>
        <w:spacing w:after="0" w:line="240" w:lineRule="auto"/>
        <w:jc w:val="center"/>
        <w:rPr>
          <w:rFonts w:cs="Arial"/>
          <w:b/>
          <w:sz w:val="22"/>
          <w:lang w:val="en-GB"/>
        </w:rPr>
      </w:pPr>
    </w:p>
    <w:tbl>
      <w:tblPr>
        <w:tblStyle w:val="Tabela-Siatka"/>
        <w:tblW w:w="8788" w:type="dxa"/>
        <w:tblInd w:w="421" w:type="dxa"/>
        <w:tblLook w:val="04A0" w:firstRow="1" w:lastRow="0" w:firstColumn="1" w:lastColumn="0" w:noHBand="0" w:noVBand="1"/>
      </w:tblPr>
      <w:tblGrid>
        <w:gridCol w:w="983"/>
        <w:gridCol w:w="1405"/>
        <w:gridCol w:w="1405"/>
        <w:gridCol w:w="1405"/>
        <w:gridCol w:w="1405"/>
        <w:gridCol w:w="2185"/>
      </w:tblGrid>
      <w:tr w:rsidR="009F061C" w:rsidRPr="00B96D53" w:rsidTr="009F061C">
        <w:trPr>
          <w:trHeight w:val="293"/>
        </w:trPr>
        <w:tc>
          <w:tcPr>
            <w:tcW w:w="8788" w:type="dxa"/>
            <w:gridSpan w:val="6"/>
          </w:tcPr>
          <w:p w:rsidR="009F061C" w:rsidRDefault="009F061C" w:rsidP="009F061C">
            <w:pPr>
              <w:autoSpaceDE w:val="0"/>
              <w:autoSpaceDN w:val="0"/>
              <w:adjustRightInd w:val="0"/>
              <w:jc w:val="center"/>
              <w:rPr>
                <w:rFonts w:cs="Arial"/>
                <w:b/>
                <w:sz w:val="22"/>
                <w:lang w:val="en-GB"/>
              </w:rPr>
            </w:pPr>
            <w:r>
              <w:rPr>
                <w:rFonts w:cs="Arial"/>
                <w:b/>
                <w:sz w:val="22"/>
                <w:lang w:val="en-GB"/>
              </w:rPr>
              <w:t xml:space="preserve">Deaths of </w:t>
            </w:r>
            <w:r w:rsidR="00B96D53">
              <w:rPr>
                <w:rFonts w:cs="Arial"/>
                <w:b/>
                <w:sz w:val="22"/>
                <w:lang w:val="en-GB"/>
              </w:rPr>
              <w:t>all categories of inmates</w:t>
            </w:r>
            <w:r w:rsidR="00B96D53">
              <w:rPr>
                <w:rStyle w:val="Odwoanieprzypisudolnego"/>
                <w:rFonts w:cs="Arial"/>
                <w:b/>
                <w:sz w:val="22"/>
                <w:lang w:val="en-GB"/>
              </w:rPr>
              <w:footnoteReference w:id="1"/>
            </w:r>
          </w:p>
        </w:tc>
      </w:tr>
      <w:tr w:rsidR="009F061C" w:rsidTr="009F061C">
        <w:trPr>
          <w:trHeight w:val="293"/>
        </w:trPr>
        <w:tc>
          <w:tcPr>
            <w:tcW w:w="983" w:type="dxa"/>
          </w:tcPr>
          <w:p w:rsidR="009F061C" w:rsidRDefault="009F061C" w:rsidP="009F061C">
            <w:pPr>
              <w:autoSpaceDE w:val="0"/>
              <w:autoSpaceDN w:val="0"/>
              <w:adjustRightInd w:val="0"/>
              <w:jc w:val="center"/>
              <w:rPr>
                <w:rFonts w:cs="Arial"/>
                <w:b/>
                <w:sz w:val="22"/>
                <w:lang w:val="en-GB"/>
              </w:rPr>
            </w:pPr>
            <w:r>
              <w:rPr>
                <w:rFonts w:cs="Arial"/>
                <w:b/>
                <w:sz w:val="22"/>
                <w:lang w:val="en-GB"/>
              </w:rPr>
              <w:t>Year</w:t>
            </w:r>
          </w:p>
        </w:tc>
        <w:tc>
          <w:tcPr>
            <w:tcW w:w="1405" w:type="dxa"/>
          </w:tcPr>
          <w:p w:rsidR="009F061C" w:rsidRDefault="009F061C" w:rsidP="009F061C">
            <w:pPr>
              <w:autoSpaceDE w:val="0"/>
              <w:autoSpaceDN w:val="0"/>
              <w:adjustRightInd w:val="0"/>
              <w:jc w:val="center"/>
              <w:rPr>
                <w:rFonts w:cs="Arial"/>
                <w:b/>
                <w:sz w:val="22"/>
                <w:lang w:val="en-GB"/>
              </w:rPr>
            </w:pPr>
            <w:r>
              <w:rPr>
                <w:rFonts w:cs="Arial"/>
                <w:b/>
                <w:sz w:val="22"/>
                <w:lang w:val="en-GB"/>
              </w:rPr>
              <w:t>Category</w:t>
            </w:r>
          </w:p>
        </w:tc>
        <w:tc>
          <w:tcPr>
            <w:tcW w:w="1405" w:type="dxa"/>
          </w:tcPr>
          <w:p w:rsidR="009F061C" w:rsidRDefault="009F061C" w:rsidP="009F061C">
            <w:pPr>
              <w:autoSpaceDE w:val="0"/>
              <w:autoSpaceDN w:val="0"/>
              <w:adjustRightInd w:val="0"/>
              <w:jc w:val="center"/>
              <w:rPr>
                <w:rFonts w:cs="Arial"/>
                <w:b/>
                <w:sz w:val="22"/>
                <w:lang w:val="en-GB"/>
              </w:rPr>
            </w:pPr>
            <w:r>
              <w:rPr>
                <w:rFonts w:cs="Arial"/>
                <w:b/>
                <w:sz w:val="22"/>
                <w:lang w:val="en-GB"/>
              </w:rPr>
              <w:t>Due to natural cause</w:t>
            </w:r>
          </w:p>
        </w:tc>
        <w:tc>
          <w:tcPr>
            <w:tcW w:w="1405" w:type="dxa"/>
          </w:tcPr>
          <w:p w:rsidR="009F061C" w:rsidRDefault="009F061C" w:rsidP="009F061C">
            <w:pPr>
              <w:autoSpaceDE w:val="0"/>
              <w:autoSpaceDN w:val="0"/>
              <w:adjustRightInd w:val="0"/>
              <w:jc w:val="center"/>
              <w:rPr>
                <w:rFonts w:cs="Arial"/>
                <w:b/>
                <w:sz w:val="22"/>
                <w:lang w:val="en-GB"/>
              </w:rPr>
            </w:pPr>
            <w:r w:rsidRPr="009F061C">
              <w:rPr>
                <w:rFonts w:cs="Arial"/>
                <w:b/>
                <w:sz w:val="22"/>
                <w:lang w:val="en-GB"/>
              </w:rPr>
              <w:t>Due to auto-aggression</w:t>
            </w:r>
          </w:p>
        </w:tc>
        <w:tc>
          <w:tcPr>
            <w:tcW w:w="1405" w:type="dxa"/>
          </w:tcPr>
          <w:p w:rsidR="009F061C" w:rsidRDefault="009F061C" w:rsidP="009F061C">
            <w:pPr>
              <w:autoSpaceDE w:val="0"/>
              <w:autoSpaceDN w:val="0"/>
              <w:adjustRightInd w:val="0"/>
              <w:jc w:val="center"/>
              <w:rPr>
                <w:rFonts w:cs="Arial"/>
                <w:b/>
                <w:sz w:val="22"/>
                <w:lang w:val="en-GB"/>
              </w:rPr>
            </w:pPr>
            <w:r>
              <w:rPr>
                <w:rFonts w:cs="Arial"/>
                <w:b/>
                <w:sz w:val="22"/>
                <w:lang w:val="en-GB"/>
              </w:rPr>
              <w:t>Other</w:t>
            </w:r>
            <w:r>
              <w:rPr>
                <w:rStyle w:val="Odwoanieprzypisudolnego"/>
                <w:rFonts w:cs="Arial"/>
                <w:b/>
                <w:sz w:val="22"/>
                <w:lang w:val="en-GB"/>
              </w:rPr>
              <w:footnoteReference w:id="2"/>
            </w:r>
          </w:p>
        </w:tc>
        <w:tc>
          <w:tcPr>
            <w:tcW w:w="2185" w:type="dxa"/>
          </w:tcPr>
          <w:p w:rsidR="009F061C" w:rsidRDefault="009F061C" w:rsidP="009F061C">
            <w:pPr>
              <w:autoSpaceDE w:val="0"/>
              <w:autoSpaceDN w:val="0"/>
              <w:adjustRightInd w:val="0"/>
              <w:jc w:val="center"/>
              <w:rPr>
                <w:rFonts w:cs="Arial"/>
                <w:b/>
                <w:sz w:val="22"/>
                <w:lang w:val="en-GB"/>
              </w:rPr>
            </w:pPr>
            <w:r>
              <w:rPr>
                <w:rFonts w:cs="Arial"/>
                <w:b/>
                <w:sz w:val="22"/>
                <w:lang w:val="en-GB"/>
              </w:rPr>
              <w:t>Total</w:t>
            </w:r>
          </w:p>
        </w:tc>
      </w:tr>
      <w:tr w:rsidR="009F061C" w:rsidTr="009F061C">
        <w:trPr>
          <w:trHeight w:val="293"/>
        </w:trPr>
        <w:tc>
          <w:tcPr>
            <w:tcW w:w="983" w:type="dxa"/>
            <w:vMerge w:val="restart"/>
          </w:tcPr>
          <w:p w:rsidR="009F061C" w:rsidRDefault="009F061C" w:rsidP="009F061C">
            <w:pPr>
              <w:autoSpaceDE w:val="0"/>
              <w:autoSpaceDN w:val="0"/>
              <w:adjustRightInd w:val="0"/>
              <w:jc w:val="center"/>
              <w:rPr>
                <w:rFonts w:cs="Arial"/>
                <w:b/>
                <w:sz w:val="22"/>
                <w:lang w:val="en-GB"/>
              </w:rPr>
            </w:pPr>
            <w:r>
              <w:rPr>
                <w:rFonts w:cs="Arial"/>
                <w:b/>
                <w:sz w:val="22"/>
                <w:lang w:val="en-GB"/>
              </w:rPr>
              <w:t>2019</w:t>
            </w:r>
          </w:p>
        </w:tc>
        <w:tc>
          <w:tcPr>
            <w:tcW w:w="1405" w:type="dxa"/>
          </w:tcPr>
          <w:p w:rsidR="009F061C" w:rsidRPr="00CC1064" w:rsidRDefault="009F061C" w:rsidP="00CC1064">
            <w:pPr>
              <w:jc w:val="both"/>
              <w:rPr>
                <w:sz w:val="22"/>
                <w:lang w:val="en-GB"/>
              </w:rPr>
            </w:pPr>
            <w:r w:rsidRPr="009F061C">
              <w:rPr>
                <w:sz w:val="22"/>
                <w:lang w:val="en-GB"/>
              </w:rPr>
              <w:t>Found in the penitentiary unit</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90</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20</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4</w:t>
            </w:r>
          </w:p>
        </w:tc>
        <w:tc>
          <w:tcPr>
            <w:tcW w:w="2185" w:type="dxa"/>
          </w:tcPr>
          <w:p w:rsidR="009F061C" w:rsidRDefault="00CC1064" w:rsidP="009F061C">
            <w:pPr>
              <w:autoSpaceDE w:val="0"/>
              <w:autoSpaceDN w:val="0"/>
              <w:adjustRightInd w:val="0"/>
              <w:jc w:val="center"/>
              <w:rPr>
                <w:rFonts w:cs="Arial"/>
                <w:b/>
                <w:sz w:val="22"/>
                <w:lang w:val="en-GB"/>
              </w:rPr>
            </w:pPr>
            <w:r>
              <w:rPr>
                <w:rFonts w:cs="Arial"/>
                <w:b/>
                <w:sz w:val="22"/>
                <w:lang w:val="en-GB"/>
              </w:rPr>
              <w:t>114</w:t>
            </w:r>
          </w:p>
        </w:tc>
      </w:tr>
      <w:tr w:rsidR="009F061C" w:rsidTr="009F061C">
        <w:trPr>
          <w:trHeight w:val="293"/>
        </w:trPr>
        <w:tc>
          <w:tcPr>
            <w:tcW w:w="983" w:type="dxa"/>
            <w:vMerge/>
          </w:tcPr>
          <w:p w:rsidR="009F061C" w:rsidRDefault="009F061C" w:rsidP="009F061C">
            <w:pPr>
              <w:autoSpaceDE w:val="0"/>
              <w:autoSpaceDN w:val="0"/>
              <w:adjustRightInd w:val="0"/>
              <w:jc w:val="center"/>
              <w:rPr>
                <w:rFonts w:cs="Arial"/>
                <w:b/>
                <w:sz w:val="22"/>
                <w:lang w:val="en-GB"/>
              </w:rPr>
            </w:pPr>
          </w:p>
        </w:tc>
        <w:tc>
          <w:tcPr>
            <w:tcW w:w="1405" w:type="dxa"/>
          </w:tcPr>
          <w:p w:rsidR="009F061C" w:rsidRPr="00CC1064" w:rsidRDefault="009F061C" w:rsidP="00CC1064">
            <w:pPr>
              <w:jc w:val="both"/>
              <w:rPr>
                <w:sz w:val="22"/>
                <w:lang w:val="en-GB"/>
              </w:rPr>
            </w:pPr>
            <w:r w:rsidRPr="009F061C">
              <w:rPr>
                <w:sz w:val="22"/>
                <w:lang w:val="en-GB"/>
              </w:rPr>
              <w:t>Found outside the penitentiary unit</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39</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4</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2</w:t>
            </w:r>
          </w:p>
        </w:tc>
        <w:tc>
          <w:tcPr>
            <w:tcW w:w="2185" w:type="dxa"/>
          </w:tcPr>
          <w:p w:rsidR="009F061C" w:rsidRDefault="00CC1064" w:rsidP="009F061C">
            <w:pPr>
              <w:autoSpaceDE w:val="0"/>
              <w:autoSpaceDN w:val="0"/>
              <w:adjustRightInd w:val="0"/>
              <w:jc w:val="center"/>
              <w:rPr>
                <w:rFonts w:cs="Arial"/>
                <w:b/>
                <w:sz w:val="22"/>
                <w:lang w:val="en-GB"/>
              </w:rPr>
            </w:pPr>
            <w:r>
              <w:rPr>
                <w:rFonts w:cs="Arial"/>
                <w:b/>
                <w:sz w:val="22"/>
                <w:lang w:val="en-GB"/>
              </w:rPr>
              <w:t>45</w:t>
            </w:r>
          </w:p>
        </w:tc>
      </w:tr>
      <w:tr w:rsidR="009F061C" w:rsidTr="009F061C">
        <w:trPr>
          <w:trHeight w:val="293"/>
        </w:trPr>
        <w:tc>
          <w:tcPr>
            <w:tcW w:w="983" w:type="dxa"/>
            <w:vMerge w:val="restart"/>
          </w:tcPr>
          <w:p w:rsidR="009F061C" w:rsidRDefault="009F061C" w:rsidP="009F061C">
            <w:pPr>
              <w:autoSpaceDE w:val="0"/>
              <w:autoSpaceDN w:val="0"/>
              <w:adjustRightInd w:val="0"/>
              <w:jc w:val="center"/>
              <w:rPr>
                <w:rFonts w:cs="Arial"/>
                <w:b/>
                <w:sz w:val="22"/>
                <w:lang w:val="en-GB"/>
              </w:rPr>
            </w:pPr>
            <w:r>
              <w:rPr>
                <w:rFonts w:cs="Arial"/>
                <w:b/>
                <w:sz w:val="22"/>
                <w:lang w:val="en-GB"/>
              </w:rPr>
              <w:t>2020</w:t>
            </w:r>
          </w:p>
        </w:tc>
        <w:tc>
          <w:tcPr>
            <w:tcW w:w="1405" w:type="dxa"/>
          </w:tcPr>
          <w:p w:rsidR="009F061C" w:rsidRPr="00CC1064" w:rsidRDefault="009F061C" w:rsidP="00CC1064">
            <w:pPr>
              <w:jc w:val="both"/>
              <w:rPr>
                <w:sz w:val="22"/>
                <w:lang w:val="en-GB"/>
              </w:rPr>
            </w:pPr>
            <w:r w:rsidRPr="009F061C">
              <w:rPr>
                <w:sz w:val="22"/>
                <w:lang w:val="en-GB"/>
              </w:rPr>
              <w:t>Found in the penitentiary unit</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96</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25</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1</w:t>
            </w:r>
          </w:p>
        </w:tc>
        <w:tc>
          <w:tcPr>
            <w:tcW w:w="2185" w:type="dxa"/>
          </w:tcPr>
          <w:p w:rsidR="009F061C" w:rsidRDefault="00CC1064" w:rsidP="009F061C">
            <w:pPr>
              <w:autoSpaceDE w:val="0"/>
              <w:autoSpaceDN w:val="0"/>
              <w:adjustRightInd w:val="0"/>
              <w:jc w:val="center"/>
              <w:rPr>
                <w:rFonts w:cs="Arial"/>
                <w:b/>
                <w:sz w:val="22"/>
                <w:lang w:val="en-GB"/>
              </w:rPr>
            </w:pPr>
            <w:r>
              <w:rPr>
                <w:rFonts w:cs="Arial"/>
                <w:b/>
                <w:sz w:val="22"/>
                <w:lang w:val="en-GB"/>
              </w:rPr>
              <w:t>122</w:t>
            </w:r>
          </w:p>
        </w:tc>
      </w:tr>
      <w:tr w:rsidR="009F061C" w:rsidTr="009F061C">
        <w:trPr>
          <w:trHeight w:val="293"/>
        </w:trPr>
        <w:tc>
          <w:tcPr>
            <w:tcW w:w="983" w:type="dxa"/>
            <w:vMerge/>
          </w:tcPr>
          <w:p w:rsidR="009F061C" w:rsidRDefault="009F061C" w:rsidP="009F061C">
            <w:pPr>
              <w:autoSpaceDE w:val="0"/>
              <w:autoSpaceDN w:val="0"/>
              <w:adjustRightInd w:val="0"/>
              <w:jc w:val="center"/>
              <w:rPr>
                <w:rFonts w:cs="Arial"/>
                <w:b/>
                <w:sz w:val="22"/>
                <w:lang w:val="en-GB"/>
              </w:rPr>
            </w:pPr>
          </w:p>
        </w:tc>
        <w:tc>
          <w:tcPr>
            <w:tcW w:w="1405" w:type="dxa"/>
          </w:tcPr>
          <w:p w:rsidR="009F061C" w:rsidRPr="00CC1064" w:rsidRDefault="009F061C" w:rsidP="00CC1064">
            <w:pPr>
              <w:jc w:val="both"/>
              <w:rPr>
                <w:sz w:val="22"/>
                <w:lang w:val="en-GB"/>
              </w:rPr>
            </w:pPr>
            <w:r w:rsidRPr="009F061C">
              <w:rPr>
                <w:sz w:val="22"/>
                <w:lang w:val="en-GB"/>
              </w:rPr>
              <w:t>Found outside the penitentiary unit</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49</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2</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1</w:t>
            </w:r>
          </w:p>
        </w:tc>
        <w:tc>
          <w:tcPr>
            <w:tcW w:w="2185" w:type="dxa"/>
          </w:tcPr>
          <w:p w:rsidR="009F061C" w:rsidRDefault="00CC1064" w:rsidP="009F061C">
            <w:pPr>
              <w:autoSpaceDE w:val="0"/>
              <w:autoSpaceDN w:val="0"/>
              <w:adjustRightInd w:val="0"/>
              <w:jc w:val="center"/>
              <w:rPr>
                <w:rFonts w:cs="Arial"/>
                <w:b/>
                <w:sz w:val="22"/>
                <w:lang w:val="en-GB"/>
              </w:rPr>
            </w:pPr>
            <w:r>
              <w:rPr>
                <w:rFonts w:cs="Arial"/>
                <w:b/>
                <w:sz w:val="22"/>
                <w:lang w:val="en-GB"/>
              </w:rPr>
              <w:t>52</w:t>
            </w:r>
          </w:p>
        </w:tc>
      </w:tr>
      <w:tr w:rsidR="009F061C" w:rsidTr="009F061C">
        <w:trPr>
          <w:trHeight w:val="293"/>
        </w:trPr>
        <w:tc>
          <w:tcPr>
            <w:tcW w:w="983" w:type="dxa"/>
            <w:vMerge w:val="restart"/>
          </w:tcPr>
          <w:p w:rsidR="009F061C" w:rsidRDefault="009F061C" w:rsidP="009F061C">
            <w:pPr>
              <w:autoSpaceDE w:val="0"/>
              <w:autoSpaceDN w:val="0"/>
              <w:adjustRightInd w:val="0"/>
              <w:jc w:val="center"/>
              <w:rPr>
                <w:rFonts w:cs="Arial"/>
                <w:b/>
                <w:sz w:val="22"/>
                <w:lang w:val="en-GB"/>
              </w:rPr>
            </w:pPr>
            <w:r>
              <w:rPr>
                <w:rFonts w:cs="Arial"/>
                <w:b/>
                <w:sz w:val="22"/>
                <w:lang w:val="en-GB"/>
              </w:rPr>
              <w:t>2021</w:t>
            </w:r>
          </w:p>
        </w:tc>
        <w:tc>
          <w:tcPr>
            <w:tcW w:w="1405" w:type="dxa"/>
          </w:tcPr>
          <w:p w:rsidR="009F061C" w:rsidRPr="00CC1064" w:rsidRDefault="009F061C" w:rsidP="00CC1064">
            <w:pPr>
              <w:jc w:val="both"/>
              <w:rPr>
                <w:sz w:val="22"/>
                <w:lang w:val="en-GB"/>
              </w:rPr>
            </w:pPr>
            <w:r w:rsidRPr="009F061C">
              <w:rPr>
                <w:sz w:val="22"/>
                <w:lang w:val="en-GB"/>
              </w:rPr>
              <w:t>Found in the penitentiary unit</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101</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21</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5</w:t>
            </w:r>
          </w:p>
        </w:tc>
        <w:tc>
          <w:tcPr>
            <w:tcW w:w="2185" w:type="dxa"/>
          </w:tcPr>
          <w:p w:rsidR="009F061C" w:rsidRDefault="00CC1064" w:rsidP="009F061C">
            <w:pPr>
              <w:autoSpaceDE w:val="0"/>
              <w:autoSpaceDN w:val="0"/>
              <w:adjustRightInd w:val="0"/>
              <w:jc w:val="center"/>
              <w:rPr>
                <w:rFonts w:cs="Arial"/>
                <w:b/>
                <w:sz w:val="22"/>
                <w:lang w:val="en-GB"/>
              </w:rPr>
            </w:pPr>
            <w:r>
              <w:rPr>
                <w:rFonts w:cs="Arial"/>
                <w:b/>
                <w:sz w:val="22"/>
                <w:lang w:val="en-GB"/>
              </w:rPr>
              <w:t>127</w:t>
            </w:r>
          </w:p>
        </w:tc>
      </w:tr>
      <w:tr w:rsidR="009F061C" w:rsidTr="009F061C">
        <w:trPr>
          <w:trHeight w:val="293"/>
        </w:trPr>
        <w:tc>
          <w:tcPr>
            <w:tcW w:w="983" w:type="dxa"/>
            <w:vMerge/>
          </w:tcPr>
          <w:p w:rsidR="009F061C" w:rsidRDefault="009F061C" w:rsidP="009F061C">
            <w:pPr>
              <w:autoSpaceDE w:val="0"/>
              <w:autoSpaceDN w:val="0"/>
              <w:adjustRightInd w:val="0"/>
              <w:jc w:val="center"/>
              <w:rPr>
                <w:rFonts w:cs="Arial"/>
                <w:b/>
                <w:sz w:val="22"/>
                <w:lang w:val="en-GB"/>
              </w:rPr>
            </w:pPr>
          </w:p>
        </w:tc>
        <w:tc>
          <w:tcPr>
            <w:tcW w:w="1405" w:type="dxa"/>
          </w:tcPr>
          <w:p w:rsidR="009F061C" w:rsidRPr="00CC1064" w:rsidRDefault="009F061C" w:rsidP="00CC1064">
            <w:pPr>
              <w:jc w:val="both"/>
              <w:rPr>
                <w:sz w:val="22"/>
                <w:lang w:val="en-GB"/>
              </w:rPr>
            </w:pPr>
            <w:r w:rsidRPr="009F061C">
              <w:rPr>
                <w:sz w:val="22"/>
                <w:lang w:val="en-GB"/>
              </w:rPr>
              <w:t>Found outside the penitentiary unit</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54</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6</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1</w:t>
            </w:r>
          </w:p>
        </w:tc>
        <w:tc>
          <w:tcPr>
            <w:tcW w:w="2185" w:type="dxa"/>
          </w:tcPr>
          <w:p w:rsidR="009F061C" w:rsidRDefault="00CC1064" w:rsidP="009F061C">
            <w:pPr>
              <w:autoSpaceDE w:val="0"/>
              <w:autoSpaceDN w:val="0"/>
              <w:adjustRightInd w:val="0"/>
              <w:jc w:val="center"/>
              <w:rPr>
                <w:rFonts w:cs="Arial"/>
                <w:b/>
                <w:sz w:val="22"/>
                <w:lang w:val="en-GB"/>
              </w:rPr>
            </w:pPr>
            <w:r>
              <w:rPr>
                <w:rFonts w:cs="Arial"/>
                <w:b/>
                <w:sz w:val="22"/>
                <w:lang w:val="en-GB"/>
              </w:rPr>
              <w:t>61</w:t>
            </w:r>
          </w:p>
        </w:tc>
      </w:tr>
      <w:tr w:rsidR="009F061C" w:rsidTr="009F061C">
        <w:trPr>
          <w:trHeight w:val="293"/>
        </w:trPr>
        <w:tc>
          <w:tcPr>
            <w:tcW w:w="983" w:type="dxa"/>
            <w:vMerge w:val="restart"/>
          </w:tcPr>
          <w:p w:rsidR="009F061C" w:rsidRDefault="009F061C" w:rsidP="009F061C">
            <w:pPr>
              <w:autoSpaceDE w:val="0"/>
              <w:autoSpaceDN w:val="0"/>
              <w:adjustRightInd w:val="0"/>
              <w:jc w:val="center"/>
              <w:rPr>
                <w:rFonts w:cs="Arial"/>
                <w:b/>
                <w:sz w:val="22"/>
                <w:lang w:val="en-GB"/>
              </w:rPr>
            </w:pPr>
            <w:r>
              <w:rPr>
                <w:rFonts w:cs="Arial"/>
                <w:b/>
                <w:sz w:val="22"/>
                <w:lang w:val="en-GB"/>
              </w:rPr>
              <w:t>2022</w:t>
            </w:r>
          </w:p>
        </w:tc>
        <w:tc>
          <w:tcPr>
            <w:tcW w:w="1405" w:type="dxa"/>
          </w:tcPr>
          <w:p w:rsidR="009F061C" w:rsidRPr="00CC1064" w:rsidRDefault="009F061C" w:rsidP="00CC1064">
            <w:pPr>
              <w:jc w:val="both"/>
              <w:rPr>
                <w:sz w:val="22"/>
                <w:lang w:val="en-GB"/>
              </w:rPr>
            </w:pPr>
            <w:r w:rsidRPr="009F061C">
              <w:rPr>
                <w:sz w:val="22"/>
                <w:lang w:val="en-GB"/>
              </w:rPr>
              <w:t>Found in the penitentiary unit</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96</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14</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4</w:t>
            </w:r>
          </w:p>
        </w:tc>
        <w:tc>
          <w:tcPr>
            <w:tcW w:w="2185" w:type="dxa"/>
          </w:tcPr>
          <w:p w:rsidR="009F061C" w:rsidRDefault="00CC1064" w:rsidP="009F061C">
            <w:pPr>
              <w:autoSpaceDE w:val="0"/>
              <w:autoSpaceDN w:val="0"/>
              <w:adjustRightInd w:val="0"/>
              <w:jc w:val="center"/>
              <w:rPr>
                <w:rFonts w:cs="Arial"/>
                <w:b/>
                <w:sz w:val="22"/>
                <w:lang w:val="en-GB"/>
              </w:rPr>
            </w:pPr>
            <w:r>
              <w:rPr>
                <w:rFonts w:cs="Arial"/>
                <w:b/>
                <w:sz w:val="22"/>
                <w:lang w:val="en-GB"/>
              </w:rPr>
              <w:t>114</w:t>
            </w:r>
          </w:p>
        </w:tc>
      </w:tr>
      <w:tr w:rsidR="009F061C" w:rsidTr="009F061C">
        <w:trPr>
          <w:trHeight w:val="293"/>
        </w:trPr>
        <w:tc>
          <w:tcPr>
            <w:tcW w:w="983" w:type="dxa"/>
            <w:vMerge/>
          </w:tcPr>
          <w:p w:rsidR="009F061C" w:rsidRDefault="009F061C" w:rsidP="009F061C">
            <w:pPr>
              <w:autoSpaceDE w:val="0"/>
              <w:autoSpaceDN w:val="0"/>
              <w:adjustRightInd w:val="0"/>
              <w:jc w:val="center"/>
              <w:rPr>
                <w:rFonts w:cs="Arial"/>
                <w:b/>
                <w:sz w:val="22"/>
                <w:lang w:val="en-GB"/>
              </w:rPr>
            </w:pPr>
          </w:p>
        </w:tc>
        <w:tc>
          <w:tcPr>
            <w:tcW w:w="1405" w:type="dxa"/>
          </w:tcPr>
          <w:p w:rsidR="009F061C" w:rsidRPr="009F061C" w:rsidRDefault="009F061C" w:rsidP="009F061C">
            <w:pPr>
              <w:jc w:val="both"/>
              <w:rPr>
                <w:sz w:val="22"/>
                <w:lang w:val="en-GB"/>
              </w:rPr>
            </w:pPr>
            <w:r w:rsidRPr="009F061C">
              <w:rPr>
                <w:sz w:val="22"/>
                <w:lang w:val="en-GB"/>
              </w:rPr>
              <w:t>Found outside the penitentiary unit</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70</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1</w:t>
            </w:r>
          </w:p>
        </w:tc>
        <w:tc>
          <w:tcPr>
            <w:tcW w:w="1405" w:type="dxa"/>
          </w:tcPr>
          <w:p w:rsidR="009F061C" w:rsidRPr="00CC1064" w:rsidRDefault="00CC1064" w:rsidP="009F061C">
            <w:pPr>
              <w:autoSpaceDE w:val="0"/>
              <w:autoSpaceDN w:val="0"/>
              <w:adjustRightInd w:val="0"/>
              <w:jc w:val="center"/>
              <w:rPr>
                <w:rFonts w:cs="Arial"/>
                <w:sz w:val="22"/>
                <w:lang w:val="en-GB"/>
              </w:rPr>
            </w:pPr>
            <w:r w:rsidRPr="00CC1064">
              <w:rPr>
                <w:rFonts w:cs="Arial"/>
                <w:sz w:val="22"/>
                <w:lang w:val="en-GB"/>
              </w:rPr>
              <w:t>7</w:t>
            </w:r>
          </w:p>
        </w:tc>
        <w:tc>
          <w:tcPr>
            <w:tcW w:w="2185" w:type="dxa"/>
          </w:tcPr>
          <w:p w:rsidR="009F061C" w:rsidRDefault="00CC1064" w:rsidP="009F061C">
            <w:pPr>
              <w:autoSpaceDE w:val="0"/>
              <w:autoSpaceDN w:val="0"/>
              <w:adjustRightInd w:val="0"/>
              <w:jc w:val="center"/>
              <w:rPr>
                <w:rFonts w:cs="Arial"/>
                <w:b/>
                <w:sz w:val="22"/>
                <w:lang w:val="en-GB"/>
              </w:rPr>
            </w:pPr>
            <w:r>
              <w:rPr>
                <w:rFonts w:cs="Arial"/>
                <w:b/>
                <w:sz w:val="22"/>
                <w:lang w:val="en-GB"/>
              </w:rPr>
              <w:t>78</w:t>
            </w:r>
          </w:p>
        </w:tc>
      </w:tr>
    </w:tbl>
    <w:p w:rsidR="00654E24" w:rsidRPr="00654E24" w:rsidRDefault="00654E24" w:rsidP="00654E24">
      <w:pPr>
        <w:autoSpaceDE w:val="0"/>
        <w:autoSpaceDN w:val="0"/>
        <w:adjustRightInd w:val="0"/>
        <w:spacing w:after="0" w:line="240" w:lineRule="auto"/>
        <w:jc w:val="both"/>
        <w:rPr>
          <w:rFonts w:cs="Arial"/>
          <w:sz w:val="22"/>
          <w:lang w:val="en-GB"/>
        </w:rPr>
      </w:pPr>
    </w:p>
    <w:p w:rsidR="00654E24" w:rsidRPr="00023BC8" w:rsidRDefault="00654E24" w:rsidP="00654E24">
      <w:pPr>
        <w:pStyle w:val="Akapitzlist"/>
        <w:numPr>
          <w:ilvl w:val="0"/>
          <w:numId w:val="1"/>
        </w:numPr>
        <w:autoSpaceDE w:val="0"/>
        <w:autoSpaceDN w:val="0"/>
        <w:adjustRightInd w:val="0"/>
        <w:spacing w:after="0" w:line="240" w:lineRule="auto"/>
        <w:jc w:val="both"/>
        <w:rPr>
          <w:rFonts w:cs="Arial"/>
          <w:b/>
          <w:sz w:val="22"/>
          <w:lang w:val="en-GB"/>
        </w:rPr>
      </w:pPr>
      <w:r w:rsidRPr="00023BC8">
        <w:rPr>
          <w:rFonts w:cs="Arial"/>
          <w:b/>
          <w:sz w:val="22"/>
          <w:lang w:val="en-GB"/>
        </w:rPr>
        <w:t>Measures in place, including policies and good practices for investigating, documenting and preventing deaths in custody:</w:t>
      </w:r>
    </w:p>
    <w:p w:rsidR="00CC1064" w:rsidRDefault="00CC1064" w:rsidP="00654E24">
      <w:pPr>
        <w:jc w:val="both"/>
        <w:rPr>
          <w:lang w:val="en-GB"/>
        </w:rPr>
      </w:pPr>
    </w:p>
    <w:p w:rsidR="00BF0208" w:rsidRPr="00E52360" w:rsidRDefault="00023BC8" w:rsidP="00654E24">
      <w:pPr>
        <w:jc w:val="both"/>
        <w:rPr>
          <w:sz w:val="22"/>
          <w:lang w:val="en-GB"/>
        </w:rPr>
      </w:pPr>
      <w:r>
        <w:rPr>
          <w:sz w:val="22"/>
          <w:lang w:val="en-GB"/>
        </w:rPr>
        <w:t xml:space="preserve">Referring </w:t>
      </w:r>
      <w:r w:rsidR="000C31C7">
        <w:rPr>
          <w:sz w:val="22"/>
          <w:lang w:val="en-GB"/>
        </w:rPr>
        <w:t xml:space="preserve">to </w:t>
      </w:r>
      <w:r w:rsidR="00BF0208" w:rsidRPr="00E52360">
        <w:rPr>
          <w:sz w:val="22"/>
          <w:lang w:val="en-GB"/>
        </w:rPr>
        <w:t>the second question, it should be emphasized that</w:t>
      </w:r>
      <w:r w:rsidR="00654E24" w:rsidRPr="00E52360">
        <w:rPr>
          <w:sz w:val="22"/>
          <w:lang w:val="en-GB"/>
        </w:rPr>
        <w:t xml:space="preserve"> </w:t>
      </w:r>
      <w:r w:rsidR="000B4B54">
        <w:rPr>
          <w:sz w:val="22"/>
          <w:lang w:val="en-GB"/>
        </w:rPr>
        <w:t xml:space="preserve">the Polish law does </w:t>
      </w:r>
      <w:r w:rsidR="000B4B54" w:rsidRPr="000B4B54">
        <w:rPr>
          <w:sz w:val="22"/>
          <w:lang w:val="en-GB"/>
        </w:rPr>
        <w:t xml:space="preserve">not distinguish between separate categories of death </w:t>
      </w:r>
      <w:r w:rsidR="00837600">
        <w:rPr>
          <w:sz w:val="22"/>
          <w:lang w:val="en-GB"/>
        </w:rPr>
        <w:t>outside the penitentiary unit</w:t>
      </w:r>
      <w:r w:rsidR="00BF0208" w:rsidRPr="00E52360">
        <w:rPr>
          <w:sz w:val="22"/>
          <w:lang w:val="en-GB"/>
        </w:rPr>
        <w:t xml:space="preserve">, or </w:t>
      </w:r>
      <w:r w:rsidR="00592473">
        <w:rPr>
          <w:sz w:val="22"/>
          <w:lang w:val="en-GB"/>
        </w:rPr>
        <w:t>on</w:t>
      </w:r>
      <w:r w:rsidR="00BF0208" w:rsidRPr="00E52360">
        <w:rPr>
          <w:sz w:val="22"/>
          <w:lang w:val="en-GB"/>
        </w:rPr>
        <w:t xml:space="preserve"> the premises of penitentiaries,</w:t>
      </w:r>
      <w:r w:rsidR="00654E24" w:rsidRPr="00E52360">
        <w:rPr>
          <w:sz w:val="22"/>
          <w:lang w:val="en-GB"/>
        </w:rPr>
        <w:t xml:space="preserve"> </w:t>
      </w:r>
      <w:r w:rsidR="000B4B54">
        <w:rPr>
          <w:sz w:val="22"/>
          <w:lang w:val="en-GB"/>
        </w:rPr>
        <w:t xml:space="preserve">during </w:t>
      </w:r>
      <w:r w:rsidR="00BF0208" w:rsidRPr="00E52360">
        <w:rPr>
          <w:sz w:val="22"/>
          <w:lang w:val="en-GB"/>
        </w:rPr>
        <w:t>pretrial detention or serving a prison sentence</w:t>
      </w:r>
      <w:r>
        <w:rPr>
          <w:sz w:val="22"/>
          <w:lang w:val="en-GB"/>
        </w:rPr>
        <w:t>.</w:t>
      </w:r>
      <w:r w:rsidR="00BF0208" w:rsidRPr="00E52360">
        <w:rPr>
          <w:sz w:val="22"/>
          <w:lang w:val="en-GB"/>
        </w:rPr>
        <w:t xml:space="preserve"> </w:t>
      </w:r>
      <w:r>
        <w:rPr>
          <w:sz w:val="22"/>
          <w:lang w:val="en-GB"/>
        </w:rPr>
        <w:t>T</w:t>
      </w:r>
      <w:r w:rsidR="00BF0208" w:rsidRPr="00E52360">
        <w:rPr>
          <w:sz w:val="22"/>
          <w:lang w:val="en-GB"/>
        </w:rPr>
        <w:t>he</w:t>
      </w:r>
      <w:r w:rsidR="00654E24" w:rsidRPr="00E52360">
        <w:rPr>
          <w:sz w:val="22"/>
          <w:lang w:val="en-GB"/>
        </w:rPr>
        <w:t xml:space="preserve"> </w:t>
      </w:r>
      <w:r w:rsidR="00BF0208" w:rsidRPr="00E52360">
        <w:rPr>
          <w:sz w:val="22"/>
          <w:lang w:val="en-GB"/>
        </w:rPr>
        <w:t xml:space="preserve">initiation of criminal proceedings is </w:t>
      </w:r>
      <w:r w:rsidR="008316C2">
        <w:rPr>
          <w:sz w:val="22"/>
          <w:lang w:val="en-GB"/>
        </w:rPr>
        <w:t xml:space="preserve">always </w:t>
      </w:r>
      <w:r w:rsidR="00BF0208" w:rsidRPr="00E52360">
        <w:rPr>
          <w:sz w:val="22"/>
          <w:lang w:val="en-GB"/>
        </w:rPr>
        <w:t xml:space="preserve">decided by the prosecutor based on </w:t>
      </w:r>
      <w:r>
        <w:rPr>
          <w:sz w:val="22"/>
          <w:lang w:val="en-GB"/>
        </w:rPr>
        <w:t xml:space="preserve">all </w:t>
      </w:r>
      <w:r w:rsidR="00BF0208" w:rsidRPr="00E52360">
        <w:rPr>
          <w:sz w:val="22"/>
          <w:lang w:val="en-GB"/>
        </w:rPr>
        <w:t>of circumstances</w:t>
      </w:r>
      <w:r w:rsidR="00654E24" w:rsidRPr="00E52360">
        <w:rPr>
          <w:sz w:val="22"/>
          <w:lang w:val="en-GB"/>
        </w:rPr>
        <w:t xml:space="preserve"> </w:t>
      </w:r>
      <w:r w:rsidR="00BF0208" w:rsidRPr="00E52360">
        <w:rPr>
          <w:sz w:val="22"/>
          <w:lang w:val="en-GB"/>
        </w:rPr>
        <w:t>of the death of the person</w:t>
      </w:r>
      <w:r>
        <w:rPr>
          <w:sz w:val="22"/>
          <w:lang w:val="en-GB"/>
        </w:rPr>
        <w:t>.</w:t>
      </w:r>
    </w:p>
    <w:p w:rsidR="00BF0208" w:rsidRPr="00E52360" w:rsidRDefault="00BF0208" w:rsidP="00654E24">
      <w:pPr>
        <w:jc w:val="both"/>
        <w:rPr>
          <w:sz w:val="22"/>
          <w:lang w:val="en-GB"/>
        </w:rPr>
      </w:pPr>
      <w:r w:rsidRPr="00E52360">
        <w:rPr>
          <w:sz w:val="22"/>
          <w:lang w:val="en-GB"/>
        </w:rPr>
        <w:t xml:space="preserve">All decisions in the course of criminal proceedings are made by </w:t>
      </w:r>
      <w:r w:rsidR="008316C2">
        <w:rPr>
          <w:sz w:val="22"/>
          <w:lang w:val="en-GB"/>
        </w:rPr>
        <w:t>prosecutor on the</w:t>
      </w:r>
      <w:r w:rsidRPr="00E52360">
        <w:rPr>
          <w:sz w:val="22"/>
          <w:lang w:val="en-GB"/>
        </w:rPr>
        <w:t xml:space="preserve"> bas</w:t>
      </w:r>
      <w:r w:rsidR="003F7B48">
        <w:rPr>
          <w:sz w:val="22"/>
          <w:lang w:val="en-GB"/>
        </w:rPr>
        <w:t>is</w:t>
      </w:r>
      <w:r w:rsidRPr="00E52360">
        <w:rPr>
          <w:sz w:val="22"/>
          <w:lang w:val="en-GB"/>
        </w:rPr>
        <w:t xml:space="preserve"> o</w:t>
      </w:r>
      <w:r w:rsidR="008316C2">
        <w:rPr>
          <w:sz w:val="22"/>
          <w:lang w:val="en-GB"/>
        </w:rPr>
        <w:t>f</w:t>
      </w:r>
      <w:r w:rsidRPr="00E52360">
        <w:rPr>
          <w:sz w:val="22"/>
          <w:lang w:val="en-GB"/>
        </w:rPr>
        <w:t xml:space="preserve"> the provisions of the Code of Criminal Procedure.</w:t>
      </w:r>
      <w:r w:rsidR="00654E24" w:rsidRPr="00E52360">
        <w:rPr>
          <w:sz w:val="22"/>
          <w:lang w:val="en-GB"/>
        </w:rPr>
        <w:t xml:space="preserve"> </w:t>
      </w:r>
      <w:r w:rsidR="00592473">
        <w:rPr>
          <w:sz w:val="22"/>
          <w:lang w:val="en-GB"/>
        </w:rPr>
        <w:t xml:space="preserve">The provisions of </w:t>
      </w:r>
      <w:r w:rsidR="00592473" w:rsidRPr="00E52360">
        <w:rPr>
          <w:sz w:val="22"/>
          <w:lang w:val="en-GB"/>
        </w:rPr>
        <w:t>the Law of January 31, 1959 on cemeteries and burial of the de</w:t>
      </w:r>
      <w:r w:rsidR="00837600">
        <w:rPr>
          <w:sz w:val="22"/>
          <w:lang w:val="en-GB"/>
        </w:rPr>
        <w:t>ceased</w:t>
      </w:r>
      <w:r w:rsidR="00592473">
        <w:rPr>
          <w:sz w:val="22"/>
          <w:lang w:val="en-GB"/>
        </w:rPr>
        <w:t xml:space="preserve"> as well as the regulations of the </w:t>
      </w:r>
      <w:r w:rsidR="00592473" w:rsidRPr="00E52360">
        <w:rPr>
          <w:sz w:val="22"/>
          <w:lang w:val="en-GB"/>
        </w:rPr>
        <w:t>Decree of the Minister of Justice of July 07, 2010 on the manner of handling the remains of persons deprived of liberty who died in penitentiary institutions and detention centres</w:t>
      </w:r>
      <w:r w:rsidR="00592473">
        <w:rPr>
          <w:sz w:val="22"/>
          <w:lang w:val="en-GB"/>
        </w:rPr>
        <w:t xml:space="preserve"> are applicable in</w:t>
      </w:r>
      <w:r w:rsidRPr="00E52360">
        <w:rPr>
          <w:sz w:val="22"/>
          <w:lang w:val="en-GB"/>
        </w:rPr>
        <w:t xml:space="preserve"> the case of the occurrence of death</w:t>
      </w:r>
      <w:r w:rsidR="00592473">
        <w:rPr>
          <w:sz w:val="22"/>
          <w:lang w:val="en-GB"/>
        </w:rPr>
        <w:t xml:space="preserve"> of the person</w:t>
      </w:r>
      <w:r w:rsidRPr="00E52360">
        <w:rPr>
          <w:sz w:val="22"/>
          <w:lang w:val="en-GB"/>
        </w:rPr>
        <w:t xml:space="preserve"> on the premises of a penitentiary or detention </w:t>
      </w:r>
      <w:r w:rsidR="00592473" w:rsidRPr="00E52360">
        <w:rPr>
          <w:sz w:val="22"/>
          <w:lang w:val="en-GB"/>
        </w:rPr>
        <w:t>centre</w:t>
      </w:r>
      <w:r w:rsidR="00592473">
        <w:rPr>
          <w:sz w:val="22"/>
          <w:lang w:val="en-GB"/>
        </w:rPr>
        <w:t>.</w:t>
      </w:r>
      <w:r w:rsidRPr="00E52360">
        <w:rPr>
          <w:sz w:val="22"/>
          <w:lang w:val="en-GB"/>
        </w:rPr>
        <w:t xml:space="preserve"> </w:t>
      </w:r>
    </w:p>
    <w:p w:rsidR="00BF0208" w:rsidRPr="00E52360" w:rsidRDefault="007F553E" w:rsidP="00654E24">
      <w:pPr>
        <w:jc w:val="both"/>
        <w:rPr>
          <w:sz w:val="22"/>
          <w:lang w:val="en-GB"/>
        </w:rPr>
      </w:pPr>
      <w:r>
        <w:rPr>
          <w:sz w:val="22"/>
          <w:lang w:val="en-GB"/>
        </w:rPr>
        <w:t>During</w:t>
      </w:r>
      <w:r w:rsidR="00BF0208" w:rsidRPr="00E52360">
        <w:rPr>
          <w:sz w:val="22"/>
          <w:lang w:val="en-GB"/>
        </w:rPr>
        <w:t xml:space="preserve"> the pre-trial investigation, the inspection and opening of the</w:t>
      </w:r>
      <w:r w:rsidR="00654E24" w:rsidRPr="00E52360">
        <w:rPr>
          <w:sz w:val="22"/>
          <w:lang w:val="en-GB"/>
        </w:rPr>
        <w:t xml:space="preserve"> </w:t>
      </w:r>
      <w:r w:rsidR="00BF0208" w:rsidRPr="00E52360">
        <w:rPr>
          <w:sz w:val="22"/>
          <w:lang w:val="en-GB"/>
        </w:rPr>
        <w:t>of the corpse is regulated by the norms included in Article 209 of the Code of Criminal Procedure. According to §</w:t>
      </w:r>
      <w:r>
        <w:rPr>
          <w:sz w:val="22"/>
          <w:lang w:val="en-GB"/>
        </w:rPr>
        <w:t xml:space="preserve"> </w:t>
      </w:r>
      <w:r w:rsidR="00BF0208" w:rsidRPr="00E52360">
        <w:rPr>
          <w:sz w:val="22"/>
          <w:lang w:val="en-GB"/>
        </w:rPr>
        <w:t>4 of this article, the opening of a corpse</w:t>
      </w:r>
      <w:r w:rsidR="00654E24" w:rsidRPr="00E52360">
        <w:rPr>
          <w:sz w:val="22"/>
          <w:lang w:val="en-GB"/>
        </w:rPr>
        <w:t xml:space="preserve"> </w:t>
      </w:r>
      <w:r w:rsidR="00BF0208" w:rsidRPr="00E52360">
        <w:rPr>
          <w:sz w:val="22"/>
          <w:lang w:val="en-GB"/>
        </w:rPr>
        <w:t xml:space="preserve">is always carried out by an expert, if possible in the field of forensic medicine, in the presence of the prosecutor or the court. The procedural examination of the corpse combined with its opening, depending on the circumstances of the discovery of the corpse, injuries, traces revealed, statements of direct witnesses etc. often require securing appropriate samples /e.g. blood/ for possible later examination and the need to obtain additional expert opinions before </w:t>
      </w:r>
      <w:r w:rsidR="00672A60">
        <w:rPr>
          <w:sz w:val="22"/>
          <w:lang w:val="en-GB"/>
        </w:rPr>
        <w:t>determining</w:t>
      </w:r>
      <w:r w:rsidR="00BF0208" w:rsidRPr="00E52360">
        <w:rPr>
          <w:sz w:val="22"/>
          <w:lang w:val="en-GB"/>
        </w:rPr>
        <w:t xml:space="preserve"> the cause and mechanism of the death. In the criminal process, at the pre-trial stage, this type of activities are decided by the prosecutor.</w:t>
      </w:r>
    </w:p>
    <w:p w:rsidR="00BF0208" w:rsidRPr="00E52360" w:rsidRDefault="00BF0208" w:rsidP="00654E24">
      <w:pPr>
        <w:jc w:val="both"/>
        <w:rPr>
          <w:sz w:val="22"/>
          <w:lang w:val="en-GB"/>
        </w:rPr>
      </w:pPr>
      <w:r w:rsidRPr="00E52360">
        <w:rPr>
          <w:sz w:val="22"/>
          <w:lang w:val="en-GB"/>
        </w:rPr>
        <w:t>I</w:t>
      </w:r>
      <w:r w:rsidR="00672A60">
        <w:rPr>
          <w:sz w:val="22"/>
          <w:lang w:val="en-GB"/>
        </w:rPr>
        <w:t xml:space="preserve">t should be also indicated </w:t>
      </w:r>
      <w:r w:rsidRPr="00E52360">
        <w:rPr>
          <w:sz w:val="22"/>
          <w:lang w:val="en-GB"/>
        </w:rPr>
        <w:t>that Polish criminal procedure</w:t>
      </w:r>
      <w:r w:rsidR="00654E24" w:rsidRPr="00E52360">
        <w:rPr>
          <w:sz w:val="22"/>
          <w:lang w:val="en-GB"/>
        </w:rPr>
        <w:t xml:space="preserve"> </w:t>
      </w:r>
      <w:r w:rsidRPr="00E52360">
        <w:rPr>
          <w:sz w:val="22"/>
          <w:lang w:val="en-GB"/>
        </w:rPr>
        <w:t xml:space="preserve">provides appropriate solutions in cases involving the death of a person in connection with </w:t>
      </w:r>
      <w:r w:rsidR="00837600">
        <w:rPr>
          <w:sz w:val="22"/>
          <w:lang w:val="en-GB"/>
        </w:rPr>
        <w:t>committing</w:t>
      </w:r>
      <w:r w:rsidRPr="00E52360">
        <w:rPr>
          <w:sz w:val="22"/>
          <w:lang w:val="en-GB"/>
        </w:rPr>
        <w:t xml:space="preserve"> a crime, which guarantee the possibility of</w:t>
      </w:r>
      <w:r w:rsidR="00654E24" w:rsidRPr="00E52360">
        <w:rPr>
          <w:sz w:val="22"/>
          <w:lang w:val="en-GB"/>
        </w:rPr>
        <w:t xml:space="preserve"> </w:t>
      </w:r>
      <w:r w:rsidRPr="00E52360">
        <w:rPr>
          <w:sz w:val="22"/>
          <w:lang w:val="en-GB"/>
        </w:rPr>
        <w:t>realization of the rights of the victim by the next of kin or</w:t>
      </w:r>
      <w:r w:rsidR="00654E24" w:rsidRPr="00E52360">
        <w:rPr>
          <w:sz w:val="22"/>
          <w:lang w:val="en-GB"/>
        </w:rPr>
        <w:t xml:space="preserve"> </w:t>
      </w:r>
      <w:r w:rsidRPr="00E52360">
        <w:rPr>
          <w:sz w:val="22"/>
          <w:lang w:val="en-GB"/>
        </w:rPr>
        <w:t xml:space="preserve">dependents of the deceased. </w:t>
      </w:r>
    </w:p>
    <w:p w:rsidR="002D15CF" w:rsidRPr="00A6492D" w:rsidRDefault="00BF0208" w:rsidP="009F061C">
      <w:pPr>
        <w:jc w:val="both"/>
        <w:rPr>
          <w:sz w:val="22"/>
          <w:lang w:val="en-GB"/>
        </w:rPr>
      </w:pPr>
      <w:r w:rsidRPr="00E52360">
        <w:rPr>
          <w:sz w:val="22"/>
          <w:lang w:val="en-GB"/>
        </w:rPr>
        <w:t>These persons, in pretrial proceedings</w:t>
      </w:r>
      <w:r w:rsidR="00654E24" w:rsidRPr="00E52360">
        <w:rPr>
          <w:sz w:val="22"/>
          <w:lang w:val="en-GB"/>
        </w:rPr>
        <w:t xml:space="preserve"> </w:t>
      </w:r>
      <w:r w:rsidRPr="00E52360">
        <w:rPr>
          <w:sz w:val="22"/>
          <w:lang w:val="en-GB"/>
        </w:rPr>
        <w:t xml:space="preserve">may exercise all the rights that a victim would have </w:t>
      </w:r>
      <w:r w:rsidR="00672A60">
        <w:rPr>
          <w:sz w:val="22"/>
          <w:lang w:val="en-GB"/>
        </w:rPr>
        <w:t xml:space="preserve">had </w:t>
      </w:r>
      <w:r w:rsidRPr="00E52360">
        <w:rPr>
          <w:sz w:val="22"/>
          <w:lang w:val="en-GB"/>
        </w:rPr>
        <w:t>under the rules of a</w:t>
      </w:r>
      <w:r w:rsidR="00654E24" w:rsidRPr="00E52360">
        <w:rPr>
          <w:sz w:val="22"/>
          <w:lang w:val="en-GB"/>
        </w:rPr>
        <w:t xml:space="preserve"> </w:t>
      </w:r>
      <w:r w:rsidRPr="00E52360">
        <w:rPr>
          <w:sz w:val="22"/>
          <w:lang w:val="en-GB"/>
        </w:rPr>
        <w:t>party</w:t>
      </w:r>
      <w:r w:rsidR="00672A60">
        <w:rPr>
          <w:sz w:val="22"/>
          <w:lang w:val="en-GB"/>
        </w:rPr>
        <w:t>.</w:t>
      </w:r>
      <w:r w:rsidRPr="00E52360">
        <w:rPr>
          <w:sz w:val="22"/>
          <w:lang w:val="en-GB"/>
        </w:rPr>
        <w:t xml:space="preserve"> </w:t>
      </w:r>
      <w:r w:rsidR="00A6492D" w:rsidRPr="00A6492D">
        <w:rPr>
          <w:sz w:val="22"/>
          <w:lang w:val="en-GB"/>
        </w:rPr>
        <w:t>This includes the possibility of appeals and remedies, which remains the Special Rapporteur's area of interest</w:t>
      </w:r>
      <w:r w:rsidRPr="00E52360">
        <w:rPr>
          <w:sz w:val="22"/>
          <w:lang w:val="en-GB"/>
        </w:rPr>
        <w:t>. At the stage of the jurisdictional hearing of the case,</w:t>
      </w:r>
      <w:r w:rsidR="00654E24" w:rsidRPr="00E52360">
        <w:rPr>
          <w:sz w:val="22"/>
          <w:lang w:val="en-GB"/>
        </w:rPr>
        <w:t xml:space="preserve"> </w:t>
      </w:r>
      <w:r w:rsidRPr="00E52360">
        <w:rPr>
          <w:sz w:val="22"/>
          <w:lang w:val="en-GB"/>
        </w:rPr>
        <w:t>the right to act as a party by the victim, and thus</w:t>
      </w:r>
      <w:r w:rsidR="00654E24" w:rsidRPr="00E52360">
        <w:rPr>
          <w:sz w:val="22"/>
          <w:lang w:val="en-GB"/>
        </w:rPr>
        <w:t xml:space="preserve"> </w:t>
      </w:r>
      <w:r w:rsidRPr="00E52360">
        <w:rPr>
          <w:sz w:val="22"/>
          <w:lang w:val="en-GB"/>
        </w:rPr>
        <w:t xml:space="preserve">consequently also by the above-mentioned circle of persons, depends on the expression of their intent to act before the court as a </w:t>
      </w:r>
      <w:r w:rsidR="00837600">
        <w:rPr>
          <w:sz w:val="22"/>
          <w:lang w:val="en-GB"/>
        </w:rPr>
        <w:t>subsidiary prosecutor</w:t>
      </w:r>
      <w:r w:rsidR="00A6492D">
        <w:rPr>
          <w:sz w:val="22"/>
          <w:lang w:val="en-GB"/>
        </w:rPr>
        <w:t>. The statement could be express</w:t>
      </w:r>
      <w:r w:rsidRPr="00E52360">
        <w:rPr>
          <w:sz w:val="22"/>
          <w:lang w:val="en-GB"/>
        </w:rPr>
        <w:t xml:space="preserve"> until the commencement of the trial proceedings at the main hearing, as determined by the procedure included in Articles 53-54 of the Code of Criminal Procedure.</w:t>
      </w:r>
    </w:p>
    <w:sectPr w:rsidR="002D15CF" w:rsidRPr="00A64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722" w:rsidRDefault="009E1722" w:rsidP="009F061C">
      <w:pPr>
        <w:spacing w:after="0" w:line="240" w:lineRule="auto"/>
      </w:pPr>
      <w:r>
        <w:separator/>
      </w:r>
    </w:p>
  </w:endnote>
  <w:endnote w:type="continuationSeparator" w:id="0">
    <w:p w:rsidR="009E1722" w:rsidRDefault="009E1722" w:rsidP="009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EE"/>
    <w:family w:val="swiss"/>
    <w:pitch w:val="variable"/>
    <w:sig w:usb0="800000AF" w:usb1="40006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722" w:rsidRDefault="009E1722" w:rsidP="009F061C">
      <w:pPr>
        <w:spacing w:after="0" w:line="240" w:lineRule="auto"/>
      </w:pPr>
      <w:r>
        <w:separator/>
      </w:r>
    </w:p>
  </w:footnote>
  <w:footnote w:type="continuationSeparator" w:id="0">
    <w:p w:rsidR="009E1722" w:rsidRDefault="009E1722" w:rsidP="009F061C">
      <w:pPr>
        <w:spacing w:after="0" w:line="240" w:lineRule="auto"/>
      </w:pPr>
      <w:r>
        <w:continuationSeparator/>
      </w:r>
    </w:p>
  </w:footnote>
  <w:footnote w:id="1">
    <w:p w:rsidR="00B96D53" w:rsidRPr="00B96D53" w:rsidRDefault="00B96D53">
      <w:pPr>
        <w:pStyle w:val="Tekstprzypisudolnego"/>
        <w:rPr>
          <w:lang w:val="en-GB"/>
        </w:rPr>
      </w:pPr>
      <w:r>
        <w:rPr>
          <w:rStyle w:val="Odwoanieprzypisudolnego"/>
        </w:rPr>
        <w:footnoteRef/>
      </w:r>
      <w:r w:rsidRPr="00B96D53">
        <w:rPr>
          <w:lang w:val="en-GB"/>
        </w:rPr>
        <w:t xml:space="preserve"> </w:t>
      </w:r>
      <w:r>
        <w:rPr>
          <w:lang w:val="en-GB"/>
        </w:rPr>
        <w:t>The compilation also includes numbers from the Polish prisons</w:t>
      </w:r>
      <w:bookmarkStart w:id="0" w:name="_GoBack"/>
      <w:bookmarkEnd w:id="0"/>
    </w:p>
  </w:footnote>
  <w:footnote w:id="2">
    <w:p w:rsidR="009F061C" w:rsidRPr="009F061C" w:rsidRDefault="009F061C" w:rsidP="009F061C">
      <w:pPr>
        <w:pStyle w:val="Tekstprzypisudolnego"/>
        <w:jc w:val="both"/>
        <w:rPr>
          <w:lang w:val="en-GB"/>
        </w:rPr>
      </w:pPr>
      <w:r>
        <w:rPr>
          <w:rStyle w:val="Odwoanieprzypisudolnego"/>
        </w:rPr>
        <w:footnoteRef/>
      </w:r>
      <w:r w:rsidRPr="009F061C">
        <w:rPr>
          <w:lang w:val="en-GB"/>
        </w:rPr>
        <w:t xml:space="preserve"> Deaths due to natural cause are also </w:t>
      </w:r>
      <w:r w:rsidR="00CC1064">
        <w:rPr>
          <w:lang w:val="en-GB"/>
        </w:rPr>
        <w:t>included in this category due to the inability to determine the cause of death in a reporting year (ongoing investigations)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10B4C"/>
    <w:multiLevelType w:val="hybridMultilevel"/>
    <w:tmpl w:val="06240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08"/>
    <w:rsid w:val="00023BC8"/>
    <w:rsid w:val="00076739"/>
    <w:rsid w:val="000B4B54"/>
    <w:rsid w:val="000C31C7"/>
    <w:rsid w:val="002D15CF"/>
    <w:rsid w:val="003A281E"/>
    <w:rsid w:val="003F7B48"/>
    <w:rsid w:val="004C3B23"/>
    <w:rsid w:val="00592473"/>
    <w:rsid w:val="00654E24"/>
    <w:rsid w:val="00672A60"/>
    <w:rsid w:val="00740EC8"/>
    <w:rsid w:val="007F553E"/>
    <w:rsid w:val="008316C2"/>
    <w:rsid w:val="00837600"/>
    <w:rsid w:val="009E1722"/>
    <w:rsid w:val="009F061C"/>
    <w:rsid w:val="00A5406D"/>
    <w:rsid w:val="00A6492D"/>
    <w:rsid w:val="00B96D53"/>
    <w:rsid w:val="00BF0208"/>
    <w:rsid w:val="00C464B8"/>
    <w:rsid w:val="00CC1064"/>
    <w:rsid w:val="00E52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8D7"/>
  <w15:chartTrackingRefBased/>
  <w15:docId w15:val="{7ED96E7B-2360-4C02-A100-5FC8752E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4E24"/>
    <w:pPr>
      <w:ind w:left="720"/>
      <w:contextualSpacing/>
    </w:pPr>
  </w:style>
  <w:style w:type="table" w:styleId="Tabela-Siatka">
    <w:name w:val="Table Grid"/>
    <w:basedOn w:val="Standardowy"/>
    <w:uiPriority w:val="39"/>
    <w:rsid w:val="009F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F061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F061C"/>
    <w:rPr>
      <w:szCs w:val="20"/>
    </w:rPr>
  </w:style>
  <w:style w:type="character" w:styleId="Odwoanieprzypisudolnego">
    <w:name w:val="footnote reference"/>
    <w:basedOn w:val="Domylnaczcionkaakapitu"/>
    <w:uiPriority w:val="99"/>
    <w:semiHidden/>
    <w:unhideWhenUsed/>
    <w:rsid w:val="009F0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Poland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41A9BE3-6F73-4C9F-BCAA-C0E9565B775C}">
  <ds:schemaRefs>
    <ds:schemaRef ds:uri="http://schemas.openxmlformats.org/officeDocument/2006/bibliography"/>
  </ds:schemaRefs>
</ds:datastoreItem>
</file>

<file path=customXml/itemProps2.xml><?xml version="1.0" encoding="utf-8"?>
<ds:datastoreItem xmlns:ds="http://schemas.openxmlformats.org/officeDocument/2006/customXml" ds:itemID="{2A9E0376-34B5-4E7A-9615-0638CC72DA9D}"/>
</file>

<file path=customXml/itemProps3.xml><?xml version="1.0" encoding="utf-8"?>
<ds:datastoreItem xmlns:ds="http://schemas.openxmlformats.org/officeDocument/2006/customXml" ds:itemID="{01AAD76B-3D7C-4611-8E85-F37CFE018083}"/>
</file>

<file path=customXml/itemProps4.xml><?xml version="1.0" encoding="utf-8"?>
<ds:datastoreItem xmlns:ds="http://schemas.openxmlformats.org/officeDocument/2006/customXml" ds:itemID="{5887EAF1-8270-4926-B5A8-444C3D64FD71}"/>
</file>

<file path=docProps/app.xml><?xml version="1.0" encoding="utf-8"?>
<Properties xmlns="http://schemas.openxmlformats.org/officeDocument/2006/extended-properties" xmlns:vt="http://schemas.openxmlformats.org/officeDocument/2006/docPropsVTypes">
  <Template>Normal</Template>
  <TotalTime>122</TotalTime>
  <Pages>1</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MSZ</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dc:creator>
  <cp:keywords/>
  <dc:description/>
  <cp:lastModifiedBy>Poland</cp:lastModifiedBy>
  <cp:revision>13</cp:revision>
  <dcterms:created xsi:type="dcterms:W3CDTF">2023-03-03T16:09:00Z</dcterms:created>
  <dcterms:modified xsi:type="dcterms:W3CDTF">2023-03-06T12:27:00Z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