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B866" w14:textId="77777777" w:rsidR="00F75D80" w:rsidRDefault="00E45497" w:rsidP="00E45497">
      <w:pPr>
        <w:jc w:val="center"/>
        <w:rPr>
          <w:rFonts w:ascii="Cambria" w:hAnsi="Cambria"/>
          <w:b/>
          <w:sz w:val="44"/>
          <w:lang w:eastAsia="en-GB" w:bidi="si-LK"/>
        </w:rPr>
      </w:pPr>
      <w:r w:rsidRPr="00F75D80">
        <w:rPr>
          <w:rFonts w:ascii="Cambria" w:hAnsi="Cambria"/>
          <w:b/>
          <w:sz w:val="44"/>
          <w:lang w:eastAsia="en-GB" w:bidi="si-LK"/>
        </w:rPr>
        <w:t xml:space="preserve">Special Rapporteur on extrajudicial, summary or arbitrary executions </w:t>
      </w:r>
    </w:p>
    <w:p w14:paraId="33FE2C0D" w14:textId="1156B466" w:rsidR="00E45497" w:rsidRPr="00F75D80" w:rsidRDefault="00E45497" w:rsidP="00E45497">
      <w:pPr>
        <w:jc w:val="center"/>
        <w:rPr>
          <w:rFonts w:ascii="Cambria" w:hAnsi="Cambria"/>
          <w:b/>
          <w:sz w:val="44"/>
          <w:lang w:eastAsia="en-GB" w:bidi="si-LK"/>
        </w:rPr>
      </w:pPr>
      <w:r w:rsidRPr="00F75D80">
        <w:rPr>
          <w:rFonts w:ascii="Cambria" w:hAnsi="Cambria"/>
          <w:b/>
          <w:sz w:val="44"/>
          <w:lang w:eastAsia="en-GB" w:bidi="si-LK"/>
        </w:rPr>
        <w:t>Call for input</w:t>
      </w:r>
      <w:r w:rsidR="00F75D80">
        <w:rPr>
          <w:rFonts w:ascii="Cambria" w:hAnsi="Cambria"/>
          <w:b/>
          <w:sz w:val="44"/>
          <w:lang w:eastAsia="en-GB" w:bidi="si-LK"/>
        </w:rPr>
        <w:t xml:space="preserve">: </w:t>
      </w:r>
      <w:r w:rsidR="00F75D80" w:rsidRPr="00F75D80">
        <w:rPr>
          <w:rFonts w:ascii="Cambria" w:hAnsi="Cambria"/>
          <w:b/>
          <w:sz w:val="44"/>
          <w:lang w:eastAsia="en-GB" w:bidi="si-LK"/>
        </w:rPr>
        <w:t>Deaths in custody</w:t>
      </w:r>
    </w:p>
    <w:p w14:paraId="22E86BED" w14:textId="49812EDA" w:rsidR="00F75D80" w:rsidRPr="00F75D80" w:rsidRDefault="00F75D80" w:rsidP="00E45497">
      <w:pPr>
        <w:jc w:val="center"/>
        <w:rPr>
          <w:rFonts w:ascii="Cambria" w:hAnsi="Cambria"/>
          <w:b/>
          <w:sz w:val="44"/>
          <w:lang w:eastAsia="en-GB" w:bidi="si-LK"/>
        </w:rPr>
      </w:pPr>
    </w:p>
    <w:p w14:paraId="7BEF2D2B" w14:textId="5A405522" w:rsidR="00F75D80" w:rsidRDefault="00F75D80" w:rsidP="00E45497">
      <w:pPr>
        <w:jc w:val="center"/>
        <w:rPr>
          <w:rFonts w:ascii="Cambria" w:hAnsi="Cambria"/>
          <w:b/>
          <w:sz w:val="44"/>
          <w:lang w:eastAsia="en-GB" w:bidi="si-LK"/>
        </w:rPr>
      </w:pPr>
    </w:p>
    <w:p w14:paraId="710EE6AB" w14:textId="63B42ED9" w:rsidR="00F75D80" w:rsidRDefault="00F75D80" w:rsidP="00E45497">
      <w:pPr>
        <w:jc w:val="center"/>
        <w:rPr>
          <w:rFonts w:ascii="Cambria" w:hAnsi="Cambria"/>
          <w:b/>
          <w:sz w:val="44"/>
          <w:lang w:eastAsia="en-GB" w:bidi="si-LK"/>
        </w:rPr>
      </w:pPr>
    </w:p>
    <w:p w14:paraId="12761712" w14:textId="575FD804" w:rsidR="00F75D80" w:rsidRDefault="00F75D80" w:rsidP="00E45497">
      <w:pPr>
        <w:jc w:val="center"/>
        <w:rPr>
          <w:rFonts w:ascii="Cambria" w:hAnsi="Cambria"/>
          <w:b/>
          <w:sz w:val="44"/>
          <w:lang w:eastAsia="en-GB" w:bidi="si-LK"/>
        </w:rPr>
      </w:pPr>
    </w:p>
    <w:p w14:paraId="12EF006D" w14:textId="75F00972" w:rsidR="00F75D80" w:rsidRDefault="00F75D80" w:rsidP="00E45497">
      <w:pPr>
        <w:jc w:val="center"/>
        <w:rPr>
          <w:rFonts w:ascii="Cambria" w:hAnsi="Cambria"/>
          <w:b/>
          <w:sz w:val="44"/>
          <w:lang w:eastAsia="en-GB" w:bidi="si-LK"/>
        </w:rPr>
      </w:pPr>
    </w:p>
    <w:p w14:paraId="14A74EEE" w14:textId="718BC551" w:rsidR="00F75D80" w:rsidRDefault="00F75D80" w:rsidP="00E45497">
      <w:pPr>
        <w:jc w:val="center"/>
        <w:rPr>
          <w:rFonts w:ascii="Cambria" w:hAnsi="Cambria"/>
          <w:b/>
          <w:sz w:val="44"/>
          <w:lang w:eastAsia="en-GB" w:bidi="si-LK"/>
        </w:rPr>
      </w:pPr>
    </w:p>
    <w:p w14:paraId="1A1DB1DC" w14:textId="77777777" w:rsidR="00F75D80" w:rsidRPr="00F75D80" w:rsidRDefault="00F75D80" w:rsidP="00E45497">
      <w:pPr>
        <w:jc w:val="center"/>
        <w:rPr>
          <w:rFonts w:ascii="Cambria" w:hAnsi="Cambria"/>
          <w:b/>
          <w:sz w:val="44"/>
          <w:lang w:eastAsia="en-GB" w:bidi="si-LK"/>
        </w:rPr>
      </w:pPr>
    </w:p>
    <w:p w14:paraId="38ECB7DA" w14:textId="77777777" w:rsidR="00E45497" w:rsidRPr="00F75D80" w:rsidRDefault="00E45497" w:rsidP="00E45497">
      <w:pPr>
        <w:jc w:val="center"/>
        <w:rPr>
          <w:rFonts w:ascii="Cambria" w:hAnsi="Cambria"/>
          <w:b/>
          <w:sz w:val="44"/>
          <w:lang w:eastAsia="en-GB" w:bidi="si-LK"/>
        </w:rPr>
      </w:pPr>
    </w:p>
    <w:p w14:paraId="6C560AD2" w14:textId="77777777" w:rsidR="00E45497" w:rsidRPr="00F75D80" w:rsidRDefault="00E45497" w:rsidP="00E45497">
      <w:pPr>
        <w:jc w:val="center"/>
        <w:rPr>
          <w:rFonts w:ascii="Cambria" w:hAnsi="Cambria"/>
          <w:b/>
          <w:sz w:val="44"/>
          <w:lang w:eastAsia="en-GB" w:bidi="si-LK"/>
        </w:rPr>
      </w:pPr>
      <w:r w:rsidRPr="00F75D80">
        <w:rPr>
          <w:rFonts w:ascii="Cambria" w:hAnsi="Cambria"/>
          <w:b/>
          <w:sz w:val="44"/>
          <w:lang w:eastAsia="en-GB" w:bidi="si-LK"/>
        </w:rPr>
        <w:t>Submitted by</w:t>
      </w:r>
    </w:p>
    <w:p w14:paraId="3BEA1852" w14:textId="21A4D1DE" w:rsidR="00E45497" w:rsidRDefault="00E45497" w:rsidP="00E45497">
      <w:pPr>
        <w:jc w:val="center"/>
        <w:rPr>
          <w:rFonts w:ascii="Cambria" w:hAnsi="Cambria"/>
          <w:b/>
          <w:sz w:val="44"/>
          <w:lang w:eastAsia="en-GB" w:bidi="si-LK"/>
        </w:rPr>
      </w:pPr>
      <w:r w:rsidRPr="00F75D80">
        <w:rPr>
          <w:rFonts w:ascii="Cambria" w:hAnsi="Cambria"/>
          <w:b/>
          <w:sz w:val="44"/>
          <w:lang w:eastAsia="en-GB" w:bidi="si-LK"/>
        </w:rPr>
        <w:t>Ambika Satkunanathan</w:t>
      </w:r>
    </w:p>
    <w:p w14:paraId="4B14063E" w14:textId="77777777" w:rsidR="00F75D80" w:rsidRPr="00F75D80" w:rsidRDefault="00F75D80" w:rsidP="00E45497">
      <w:pPr>
        <w:jc w:val="center"/>
        <w:rPr>
          <w:rFonts w:ascii="Cambria" w:hAnsi="Cambria"/>
          <w:b/>
          <w:sz w:val="44"/>
          <w:lang w:eastAsia="en-GB" w:bidi="si-LK"/>
        </w:rPr>
      </w:pPr>
    </w:p>
    <w:p w14:paraId="1EB3C959" w14:textId="77777777" w:rsidR="00E45497" w:rsidRPr="00E45497" w:rsidRDefault="00E45497" w:rsidP="00E45497">
      <w:pPr>
        <w:jc w:val="center"/>
        <w:rPr>
          <w:rFonts w:ascii="Cambria" w:hAnsi="Cambria"/>
          <w:b/>
          <w:sz w:val="52"/>
          <w:lang w:eastAsia="en-GB" w:bidi="si-LK"/>
        </w:rPr>
      </w:pPr>
    </w:p>
    <w:p w14:paraId="6E1DF671" w14:textId="743B1B46" w:rsidR="00E45497" w:rsidRDefault="00E45497" w:rsidP="00E45497">
      <w:pPr>
        <w:jc w:val="center"/>
        <w:rPr>
          <w:rFonts w:ascii="Cambria" w:hAnsi="Cambria"/>
          <w:b/>
          <w:sz w:val="52"/>
          <w:lang w:eastAsia="en-GB" w:bidi="si-LK"/>
        </w:rPr>
      </w:pPr>
    </w:p>
    <w:p w14:paraId="000B3C9D" w14:textId="4A20F5F4" w:rsidR="00E45497" w:rsidRDefault="00E45497" w:rsidP="00E45497">
      <w:pPr>
        <w:jc w:val="center"/>
        <w:rPr>
          <w:rFonts w:ascii="Cambria" w:hAnsi="Cambria"/>
          <w:b/>
          <w:sz w:val="52"/>
          <w:lang w:eastAsia="en-GB" w:bidi="si-LK"/>
        </w:rPr>
      </w:pPr>
    </w:p>
    <w:p w14:paraId="6D885DD7" w14:textId="23850488" w:rsidR="00E45497" w:rsidRDefault="00E45497" w:rsidP="00E45497">
      <w:pPr>
        <w:jc w:val="center"/>
        <w:rPr>
          <w:rFonts w:ascii="Cambria" w:hAnsi="Cambria"/>
          <w:b/>
          <w:sz w:val="52"/>
          <w:lang w:eastAsia="en-GB" w:bidi="si-LK"/>
        </w:rPr>
      </w:pPr>
    </w:p>
    <w:p w14:paraId="410B9FF6" w14:textId="76046FF0" w:rsidR="00E45497" w:rsidRDefault="00E45497" w:rsidP="00E45497">
      <w:pPr>
        <w:jc w:val="center"/>
        <w:rPr>
          <w:rFonts w:ascii="Cambria" w:hAnsi="Cambria"/>
          <w:b/>
          <w:sz w:val="52"/>
          <w:lang w:eastAsia="en-GB" w:bidi="si-LK"/>
        </w:rPr>
      </w:pPr>
    </w:p>
    <w:p w14:paraId="234746A5" w14:textId="006DF68C" w:rsidR="00E45497" w:rsidRDefault="00E45497" w:rsidP="00E45497">
      <w:pPr>
        <w:jc w:val="center"/>
        <w:rPr>
          <w:rFonts w:ascii="Cambria" w:hAnsi="Cambria"/>
          <w:b/>
          <w:sz w:val="52"/>
          <w:lang w:eastAsia="en-GB" w:bidi="si-LK"/>
        </w:rPr>
      </w:pPr>
    </w:p>
    <w:p w14:paraId="1597FABB" w14:textId="027A8F50" w:rsidR="00E45497" w:rsidRDefault="00E45497" w:rsidP="00E45497">
      <w:pPr>
        <w:jc w:val="center"/>
        <w:rPr>
          <w:rFonts w:ascii="Cambria" w:hAnsi="Cambria"/>
          <w:b/>
          <w:sz w:val="52"/>
          <w:lang w:eastAsia="en-GB" w:bidi="si-LK"/>
        </w:rPr>
      </w:pPr>
    </w:p>
    <w:p w14:paraId="32D89198" w14:textId="395645C8" w:rsidR="00E45497" w:rsidRDefault="00E45497" w:rsidP="00E45497">
      <w:pPr>
        <w:jc w:val="center"/>
        <w:rPr>
          <w:rFonts w:ascii="Cambria" w:hAnsi="Cambria"/>
          <w:b/>
          <w:sz w:val="52"/>
          <w:lang w:eastAsia="en-GB" w:bidi="si-LK"/>
        </w:rPr>
      </w:pPr>
    </w:p>
    <w:p w14:paraId="1A236A9E" w14:textId="0D304138" w:rsidR="00E45497" w:rsidRPr="00B55C8E" w:rsidRDefault="007B1D3E" w:rsidP="00B55C8E">
      <w:pPr>
        <w:jc w:val="center"/>
        <w:rPr>
          <w:rFonts w:ascii="Cambria" w:hAnsi="Cambria"/>
          <w:b/>
          <w:bCs/>
          <w:color w:val="000000" w:themeColor="text1"/>
          <w:sz w:val="32"/>
          <w:szCs w:val="32"/>
          <w:lang w:eastAsia="en-GB" w:bidi="si-LK"/>
        </w:rPr>
      </w:pPr>
      <w:r>
        <w:rPr>
          <w:rFonts w:ascii="Cambria" w:hAnsi="Cambria"/>
          <w:b/>
          <w:sz w:val="40"/>
          <w:lang w:eastAsia="en-GB" w:bidi="si-LK"/>
        </w:rPr>
        <w:t>6</w:t>
      </w:r>
      <w:r w:rsidR="00E45497" w:rsidRPr="00E45497">
        <w:rPr>
          <w:rFonts w:ascii="Cambria" w:hAnsi="Cambria"/>
          <w:b/>
          <w:sz w:val="40"/>
          <w:lang w:eastAsia="en-GB" w:bidi="si-LK"/>
        </w:rPr>
        <w:t xml:space="preserve"> March 2023</w:t>
      </w:r>
    </w:p>
    <w:p w14:paraId="66C0DEFF" w14:textId="603E3646" w:rsidR="0014785D" w:rsidRPr="0014785D" w:rsidRDefault="003C680E" w:rsidP="0014785D">
      <w:pPr>
        <w:pStyle w:val="ListParagraph"/>
        <w:numPr>
          <w:ilvl w:val="0"/>
          <w:numId w:val="3"/>
        </w:numPr>
        <w:spacing w:before="120" w:after="100"/>
        <w:jc w:val="both"/>
        <w:rPr>
          <w:rFonts w:ascii="Cambria" w:eastAsia="Arial" w:hAnsi="Cambria" w:cs="Arial"/>
          <w:b/>
          <w:lang w:val="en-AU" w:eastAsia="en-GB"/>
        </w:rPr>
      </w:pPr>
      <w:r w:rsidRPr="0014785D">
        <w:rPr>
          <w:rFonts w:ascii="Cambria" w:eastAsia="Arial" w:hAnsi="Cambria" w:cs="Arial"/>
          <w:b/>
          <w:lang w:val="en-AU" w:eastAsia="en-GB"/>
        </w:rPr>
        <w:lastRenderedPageBreak/>
        <w:t>Existing practices for data gathering, analysis and reporting of deaths in custody, including the use of statistics and the disaggregation of data (</w:t>
      </w:r>
      <w:proofErr w:type="gramStart"/>
      <w:r w:rsidRPr="0014785D">
        <w:rPr>
          <w:rFonts w:ascii="Cambria" w:eastAsia="Arial" w:hAnsi="Cambria" w:cs="Arial"/>
          <w:b/>
          <w:lang w:val="en-AU" w:eastAsia="en-GB"/>
        </w:rPr>
        <w:t>e.g.</w:t>
      </w:r>
      <w:proofErr w:type="gramEnd"/>
      <w:r w:rsidRPr="0014785D">
        <w:rPr>
          <w:rFonts w:ascii="Cambria" w:eastAsia="Arial" w:hAnsi="Cambria" w:cs="Arial"/>
          <w:b/>
          <w:lang w:val="en-AU" w:eastAsia="en-GB"/>
        </w:rPr>
        <w:t xml:space="preserve"> by different categories and causes of deaths in custody; place of occurrence (e.g. on remand, in prison, in hospital, etc.); types and legal status of affected populations, etc.), including figures of deaths in cust</w:t>
      </w:r>
      <w:r w:rsidR="0014785D" w:rsidRPr="0014785D">
        <w:rPr>
          <w:rFonts w:ascii="Cambria" w:eastAsia="Arial" w:hAnsi="Cambria" w:cs="Arial"/>
          <w:b/>
          <w:lang w:val="en-AU" w:eastAsia="en-GB"/>
        </w:rPr>
        <w:t>ody documented in recent years.</w:t>
      </w:r>
    </w:p>
    <w:p w14:paraId="4D3BBDFE" w14:textId="07F49D15" w:rsidR="0014785D" w:rsidRPr="0014785D" w:rsidRDefault="0014785D" w:rsidP="0014785D">
      <w:pPr>
        <w:spacing w:before="120" w:after="100"/>
        <w:contextualSpacing/>
        <w:jc w:val="both"/>
        <w:rPr>
          <w:rFonts w:ascii="Cambria" w:eastAsia="Arial" w:hAnsi="Cambria" w:cs="Arial"/>
          <w:lang w:val="en-AU" w:eastAsia="en-GB"/>
        </w:rPr>
      </w:pPr>
    </w:p>
    <w:p w14:paraId="4E3AE002" w14:textId="5F079B99" w:rsidR="0014785D" w:rsidRPr="0014785D" w:rsidRDefault="0014785D" w:rsidP="0014785D">
      <w:pPr>
        <w:spacing w:before="120" w:after="100"/>
        <w:contextualSpacing/>
        <w:jc w:val="both"/>
        <w:rPr>
          <w:rFonts w:ascii="Cambria" w:eastAsia="Arial" w:hAnsi="Cambria" w:cs="Arial"/>
          <w:u w:val="single"/>
          <w:lang w:val="en-AU" w:eastAsia="en-GB"/>
        </w:rPr>
      </w:pPr>
      <w:r w:rsidRPr="0014785D">
        <w:rPr>
          <w:rFonts w:ascii="Cambria" w:eastAsia="Arial" w:hAnsi="Cambria" w:cs="Arial"/>
          <w:u w:val="single"/>
          <w:lang w:val="en-AU" w:eastAsia="en-GB"/>
        </w:rPr>
        <w:t>Deaths in p</w:t>
      </w:r>
      <w:r w:rsidR="00E60752">
        <w:rPr>
          <w:rFonts w:ascii="Cambria" w:eastAsia="Arial" w:hAnsi="Cambria" w:cs="Arial"/>
          <w:u w:val="single"/>
          <w:lang w:val="en-AU" w:eastAsia="en-GB"/>
        </w:rPr>
        <w:t>rison custody</w:t>
      </w:r>
    </w:p>
    <w:p w14:paraId="601D7706" w14:textId="77777777" w:rsidR="0014785D" w:rsidRDefault="0014785D" w:rsidP="0014785D">
      <w:pPr>
        <w:spacing w:before="120" w:after="100"/>
        <w:contextualSpacing/>
        <w:jc w:val="both"/>
        <w:rPr>
          <w:rFonts w:ascii="Cambria" w:eastAsia="Arial" w:hAnsi="Cambria" w:cs="Arial"/>
          <w:lang w:val="en-AU" w:eastAsia="en-GB"/>
        </w:rPr>
      </w:pPr>
    </w:p>
    <w:p w14:paraId="7207B668" w14:textId="1CF12ED2" w:rsidR="0014785D" w:rsidRDefault="0014785D" w:rsidP="0014785D">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The Department of Prisons </w:t>
      </w:r>
      <w:r w:rsidR="00033F39">
        <w:rPr>
          <w:rFonts w:ascii="Cambria" w:eastAsia="Arial" w:hAnsi="Cambria" w:cs="Arial"/>
          <w:lang w:val="en-AU" w:eastAsia="en-GB"/>
        </w:rPr>
        <w:t xml:space="preserve">(DOP) </w:t>
      </w:r>
      <w:r>
        <w:rPr>
          <w:rFonts w:ascii="Cambria" w:eastAsia="Arial" w:hAnsi="Cambria" w:cs="Arial"/>
          <w:lang w:val="en-AU" w:eastAsia="en-GB"/>
        </w:rPr>
        <w:t xml:space="preserve">issues an annual report on prison statistics which details information on different categories of persons admitted to prison in the preceding </w:t>
      </w:r>
      <w:proofErr w:type="gramStart"/>
      <w:r>
        <w:rPr>
          <w:rFonts w:ascii="Cambria" w:eastAsia="Arial" w:hAnsi="Cambria" w:cs="Arial"/>
          <w:lang w:val="en-AU" w:eastAsia="en-GB"/>
        </w:rPr>
        <w:t>year, and</w:t>
      </w:r>
      <w:proofErr w:type="gramEnd"/>
      <w:r>
        <w:rPr>
          <w:rFonts w:ascii="Cambria" w:eastAsia="Arial" w:hAnsi="Cambria" w:cs="Arial"/>
          <w:lang w:val="en-AU" w:eastAsia="en-GB"/>
        </w:rPr>
        <w:t xml:space="preserve"> includes </w:t>
      </w:r>
      <w:r w:rsidRPr="0014785D">
        <w:rPr>
          <w:rFonts w:ascii="Cambria" w:eastAsia="Arial" w:hAnsi="Cambria" w:cs="Arial"/>
          <w:i/>
          <w:lang w:val="en-AU" w:eastAsia="en-GB"/>
        </w:rPr>
        <w:t>inter alia</w:t>
      </w:r>
      <w:r>
        <w:rPr>
          <w:rFonts w:ascii="Cambria" w:eastAsia="Arial" w:hAnsi="Cambria" w:cs="Arial"/>
          <w:lang w:val="en-AU" w:eastAsia="en-GB"/>
        </w:rPr>
        <w:t xml:space="preserve"> details such as their personal characteristics (age groups, region, occupation) and details of offences for which they were sentenced (length of sentences, etc.). </w:t>
      </w:r>
    </w:p>
    <w:p w14:paraId="1A30FCDC" w14:textId="6AFF33AC" w:rsidR="0014785D" w:rsidRDefault="0014785D" w:rsidP="0014785D">
      <w:pPr>
        <w:spacing w:before="120" w:after="100"/>
        <w:contextualSpacing/>
        <w:jc w:val="both"/>
        <w:rPr>
          <w:rFonts w:ascii="Cambria" w:eastAsia="Arial" w:hAnsi="Cambria" w:cs="Arial"/>
          <w:lang w:val="en-AU" w:eastAsia="en-GB"/>
        </w:rPr>
      </w:pPr>
    </w:p>
    <w:p w14:paraId="5B6E34CF" w14:textId="42896CE3" w:rsidR="0014785D" w:rsidRDefault="0014785D" w:rsidP="0014785D">
      <w:pPr>
        <w:spacing w:before="120" w:after="100"/>
        <w:contextualSpacing/>
        <w:jc w:val="both"/>
        <w:rPr>
          <w:rFonts w:ascii="Cambria" w:eastAsia="Arial" w:hAnsi="Cambria" w:cs="Arial"/>
          <w:lang w:val="en-AU" w:eastAsia="en-GB"/>
        </w:rPr>
      </w:pPr>
      <w:r>
        <w:rPr>
          <w:rFonts w:ascii="Cambria" w:eastAsia="Arial" w:hAnsi="Cambria" w:cs="Arial"/>
          <w:lang w:val="en-AU" w:eastAsia="en-GB"/>
        </w:rPr>
        <w:t>The</w:t>
      </w:r>
      <w:r w:rsidR="00F75D80">
        <w:rPr>
          <w:rFonts w:ascii="Cambria" w:eastAsia="Arial" w:hAnsi="Cambria" w:cs="Arial"/>
          <w:lang w:val="en-AU" w:eastAsia="en-GB"/>
        </w:rPr>
        <w:t xml:space="preserve"> statistics report</w:t>
      </w:r>
      <w:r>
        <w:rPr>
          <w:rFonts w:ascii="Cambria" w:eastAsia="Arial" w:hAnsi="Cambria" w:cs="Arial"/>
          <w:lang w:val="en-AU" w:eastAsia="en-GB"/>
        </w:rPr>
        <w:t xml:space="preserve"> also </w:t>
      </w:r>
      <w:r w:rsidR="00F75D80">
        <w:rPr>
          <w:rFonts w:ascii="Cambria" w:eastAsia="Arial" w:hAnsi="Cambria" w:cs="Arial"/>
          <w:lang w:val="en-AU" w:eastAsia="en-GB"/>
        </w:rPr>
        <w:t xml:space="preserve">contains </w:t>
      </w:r>
      <w:r>
        <w:rPr>
          <w:rFonts w:ascii="Cambria" w:eastAsia="Arial" w:hAnsi="Cambria" w:cs="Arial"/>
          <w:lang w:val="en-AU" w:eastAsia="en-GB"/>
        </w:rPr>
        <w:t>the number of deaths that occurred in prisons</w:t>
      </w:r>
      <w:r w:rsidR="00F75D80">
        <w:rPr>
          <w:rFonts w:ascii="Cambria" w:eastAsia="Arial" w:hAnsi="Cambria" w:cs="Arial"/>
          <w:lang w:val="en-AU" w:eastAsia="en-GB"/>
        </w:rPr>
        <w:t xml:space="preserve"> in the preceding year – but </w:t>
      </w:r>
      <w:r>
        <w:rPr>
          <w:rFonts w:ascii="Cambria" w:eastAsia="Arial" w:hAnsi="Cambria" w:cs="Arial"/>
          <w:lang w:val="en-AU" w:eastAsia="en-GB"/>
        </w:rPr>
        <w:t>information on the cause of death, or any other information</w:t>
      </w:r>
      <w:r w:rsidR="00F75D80">
        <w:rPr>
          <w:rFonts w:ascii="Cambria" w:eastAsia="Arial" w:hAnsi="Cambria" w:cs="Arial"/>
          <w:lang w:val="en-AU" w:eastAsia="en-GB"/>
        </w:rPr>
        <w:t xml:space="preserve"> pertaining to the circumstances of the death are not </w:t>
      </w:r>
      <w:r>
        <w:rPr>
          <w:rFonts w:ascii="Cambria" w:eastAsia="Arial" w:hAnsi="Cambria" w:cs="Arial"/>
          <w:lang w:val="en-AU" w:eastAsia="en-GB"/>
        </w:rPr>
        <w:t xml:space="preserve">provided. </w:t>
      </w:r>
      <w:r w:rsidR="00A5677B">
        <w:rPr>
          <w:rFonts w:ascii="Cambria" w:eastAsia="Arial" w:hAnsi="Cambria" w:cs="Arial"/>
          <w:lang w:val="en-AU" w:eastAsia="en-GB"/>
        </w:rPr>
        <w:t xml:space="preserve">When the Human Rights Commission of Sri Lanka </w:t>
      </w:r>
      <w:r w:rsidR="00033F39">
        <w:rPr>
          <w:rFonts w:ascii="Cambria" w:eastAsia="Arial" w:hAnsi="Cambria" w:cs="Arial"/>
          <w:lang w:val="en-AU" w:eastAsia="en-GB"/>
        </w:rPr>
        <w:t xml:space="preserve">(HRCSL) </w:t>
      </w:r>
      <w:r w:rsidR="00A5677B">
        <w:rPr>
          <w:rFonts w:ascii="Cambria" w:eastAsia="Arial" w:hAnsi="Cambria" w:cs="Arial"/>
          <w:lang w:val="en-AU" w:eastAsia="en-GB"/>
        </w:rPr>
        <w:t>conducted its national study of prisons</w:t>
      </w:r>
      <w:r w:rsidR="00882EF3">
        <w:rPr>
          <w:rFonts w:ascii="Cambria" w:eastAsia="Arial" w:hAnsi="Cambria" w:cs="Arial"/>
          <w:lang w:val="en-AU" w:eastAsia="en-GB"/>
        </w:rPr>
        <w:t xml:space="preserve">, it found that for instance, the preliminary inquiry conducted in prison does not </w:t>
      </w:r>
      <w:r w:rsidR="00882EF3">
        <w:rPr>
          <w:rFonts w:ascii="Cambria" w:hAnsi="Cambria"/>
        </w:rPr>
        <w:t>outline the cause of death, as revealed by the J</w:t>
      </w:r>
      <w:r w:rsidR="00882EF3">
        <w:rPr>
          <w:rFonts w:ascii="Cambria" w:hAnsi="Cambria"/>
        </w:rPr>
        <w:t xml:space="preserve">udicial </w:t>
      </w:r>
      <w:r w:rsidR="00882EF3">
        <w:rPr>
          <w:rFonts w:ascii="Cambria" w:hAnsi="Cambria"/>
        </w:rPr>
        <w:t>M</w:t>
      </w:r>
      <w:r w:rsidR="00882EF3">
        <w:rPr>
          <w:rFonts w:ascii="Cambria" w:hAnsi="Cambria"/>
        </w:rPr>
        <w:t xml:space="preserve">edical </w:t>
      </w:r>
      <w:r w:rsidR="00882EF3">
        <w:rPr>
          <w:rFonts w:ascii="Cambria" w:hAnsi="Cambria"/>
        </w:rPr>
        <w:t>O</w:t>
      </w:r>
      <w:r w:rsidR="00882EF3">
        <w:rPr>
          <w:rFonts w:ascii="Cambria" w:hAnsi="Cambria"/>
        </w:rPr>
        <w:t>fficer (JMO)</w:t>
      </w:r>
      <w:r w:rsidR="00882EF3">
        <w:rPr>
          <w:rFonts w:ascii="Cambria" w:hAnsi="Cambria"/>
        </w:rPr>
        <w:t xml:space="preserve">, nor investigate the factors that led to the death. This prevents the administration from identifying causal factors that place </w:t>
      </w:r>
      <w:r w:rsidR="00B55C8E">
        <w:rPr>
          <w:rFonts w:ascii="Cambria" w:hAnsi="Cambria"/>
        </w:rPr>
        <w:t>incarcerated persons</w:t>
      </w:r>
      <w:r w:rsidR="00882EF3">
        <w:rPr>
          <w:rFonts w:ascii="Cambria" w:hAnsi="Cambria"/>
        </w:rPr>
        <w:t xml:space="preserve"> at risk, and hence no resultant steps are taken to mitigate the risk and avoid similar deaths from occurring in the future</w:t>
      </w:r>
      <w:r w:rsidR="00882EF3">
        <w:rPr>
          <w:rFonts w:ascii="Cambria" w:hAnsi="Cambria"/>
        </w:rPr>
        <w:t>.</w:t>
      </w:r>
      <w:r w:rsidR="00882EF3">
        <w:rPr>
          <w:rStyle w:val="FootnoteReference"/>
          <w:rFonts w:ascii="Cambria" w:hAnsi="Cambria"/>
        </w:rPr>
        <w:footnoteReference w:id="1"/>
      </w:r>
    </w:p>
    <w:p w14:paraId="3161BAA2" w14:textId="0EFB4A82" w:rsidR="0014785D" w:rsidRDefault="0014785D" w:rsidP="0014785D">
      <w:pPr>
        <w:spacing w:before="120" w:after="100"/>
        <w:contextualSpacing/>
        <w:jc w:val="both"/>
        <w:rPr>
          <w:rFonts w:ascii="Cambria" w:eastAsia="Arial" w:hAnsi="Cambria" w:cs="Arial"/>
          <w:lang w:val="en-AU" w:eastAsia="en-GB"/>
        </w:rPr>
      </w:pPr>
    </w:p>
    <w:p w14:paraId="3A9EA672" w14:textId="6386C1EC" w:rsidR="001B7F8F" w:rsidRPr="00D27B7B" w:rsidRDefault="001B7F8F" w:rsidP="001B7F8F">
      <w:pPr>
        <w:jc w:val="both"/>
        <w:rPr>
          <w:rFonts w:ascii="Cambria" w:hAnsi="Cambria"/>
        </w:rPr>
      </w:pPr>
      <w:r w:rsidRPr="00D27B7B">
        <w:rPr>
          <w:rFonts w:ascii="Cambria" w:hAnsi="Cambria"/>
        </w:rPr>
        <w:t xml:space="preserve">The </w:t>
      </w:r>
      <w:r>
        <w:rPr>
          <w:rFonts w:ascii="Cambria" w:hAnsi="Cambria"/>
        </w:rPr>
        <w:t xml:space="preserve">HRCSL </w:t>
      </w:r>
      <w:r w:rsidRPr="00D27B7B">
        <w:rPr>
          <w:rFonts w:ascii="Cambria" w:hAnsi="Cambria"/>
        </w:rPr>
        <w:t>observe</w:t>
      </w:r>
      <w:r>
        <w:rPr>
          <w:rFonts w:ascii="Cambria" w:hAnsi="Cambria"/>
        </w:rPr>
        <w:t xml:space="preserve">d </w:t>
      </w:r>
      <w:r w:rsidRPr="00D27B7B">
        <w:rPr>
          <w:rFonts w:ascii="Cambria" w:hAnsi="Cambria"/>
        </w:rPr>
        <w:t xml:space="preserve">that the </w:t>
      </w:r>
      <w:proofErr w:type="gramStart"/>
      <w:r w:rsidRPr="00D27B7B">
        <w:rPr>
          <w:rFonts w:ascii="Cambria" w:hAnsi="Cambria"/>
        </w:rPr>
        <w:t>manner in which</w:t>
      </w:r>
      <w:proofErr w:type="gramEnd"/>
      <w:r w:rsidRPr="00D27B7B">
        <w:rPr>
          <w:rFonts w:ascii="Cambria" w:hAnsi="Cambria"/>
        </w:rPr>
        <w:t xml:space="preserve"> information is recorded by prisons in the case of a death in custody is piecemeal</w:t>
      </w:r>
      <w:r>
        <w:rPr>
          <w:rFonts w:ascii="Cambria" w:hAnsi="Cambria"/>
        </w:rPr>
        <w:t xml:space="preserve">. It </w:t>
      </w:r>
      <w:r w:rsidRPr="00D27B7B">
        <w:rPr>
          <w:rFonts w:ascii="Cambria" w:hAnsi="Cambria"/>
        </w:rPr>
        <w:t xml:space="preserve">does not aim to provide a </w:t>
      </w:r>
      <w:r>
        <w:rPr>
          <w:rFonts w:ascii="Cambria" w:hAnsi="Cambria"/>
        </w:rPr>
        <w:t xml:space="preserve">complete and comprehensive account that enables </w:t>
      </w:r>
      <w:r w:rsidRPr="00D27B7B">
        <w:rPr>
          <w:rFonts w:ascii="Cambria" w:hAnsi="Cambria"/>
        </w:rPr>
        <w:t>lessons</w:t>
      </w:r>
      <w:r>
        <w:rPr>
          <w:rFonts w:ascii="Cambria" w:hAnsi="Cambria"/>
        </w:rPr>
        <w:t xml:space="preserve"> to be learnt, </w:t>
      </w:r>
      <w:r w:rsidRPr="00D27B7B">
        <w:rPr>
          <w:rFonts w:ascii="Cambria" w:hAnsi="Cambria"/>
        </w:rPr>
        <w:t>patterns</w:t>
      </w:r>
      <w:r>
        <w:rPr>
          <w:rFonts w:ascii="Cambria" w:hAnsi="Cambria"/>
        </w:rPr>
        <w:t xml:space="preserve"> to</w:t>
      </w:r>
      <w:r w:rsidRPr="00D27B7B">
        <w:rPr>
          <w:rFonts w:ascii="Cambria" w:hAnsi="Cambria"/>
        </w:rPr>
        <w:t xml:space="preserve"> be identified, and practices devised to address them, particularly in the case of unnatural deaths.</w:t>
      </w:r>
    </w:p>
    <w:p w14:paraId="59660A1B" w14:textId="77777777" w:rsidR="001B7F8F" w:rsidRDefault="001B7F8F" w:rsidP="0014785D">
      <w:pPr>
        <w:spacing w:before="120" w:after="100"/>
        <w:contextualSpacing/>
        <w:jc w:val="both"/>
        <w:rPr>
          <w:rFonts w:ascii="Cambria" w:eastAsia="Arial" w:hAnsi="Cambria" w:cs="Arial"/>
          <w:lang w:val="en-AU" w:eastAsia="en-GB"/>
        </w:rPr>
      </w:pPr>
    </w:p>
    <w:p w14:paraId="29F89E6D" w14:textId="02F99D9B" w:rsidR="0014785D" w:rsidRDefault="0014785D" w:rsidP="0014785D">
      <w:pPr>
        <w:spacing w:before="120" w:after="100"/>
        <w:contextualSpacing/>
        <w:jc w:val="both"/>
        <w:rPr>
          <w:rFonts w:ascii="Cambria" w:eastAsia="Arial" w:hAnsi="Cambria" w:cs="Arial"/>
          <w:lang w:val="en-AU" w:eastAsia="en-GB"/>
        </w:rPr>
      </w:pPr>
      <w:r>
        <w:rPr>
          <w:noProof/>
        </w:rPr>
        <w:drawing>
          <wp:inline distT="0" distB="0" distL="0" distR="0" wp14:anchorId="3D1FFE6D" wp14:editId="625BD711">
            <wp:extent cx="5848692" cy="2105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302" t="36772" r="12339" b="15622"/>
                    <a:stretch/>
                  </pic:blipFill>
                  <pic:spPr bwMode="auto">
                    <a:xfrm>
                      <a:off x="0" y="0"/>
                      <a:ext cx="5852557" cy="2106416"/>
                    </a:xfrm>
                    <a:prstGeom prst="rect">
                      <a:avLst/>
                    </a:prstGeom>
                    <a:ln>
                      <a:noFill/>
                    </a:ln>
                    <a:extLst>
                      <a:ext uri="{53640926-AAD7-44D8-BBD7-CCE9431645EC}">
                        <a14:shadowObscured xmlns:a14="http://schemas.microsoft.com/office/drawing/2010/main"/>
                      </a:ext>
                    </a:extLst>
                  </pic:spPr>
                </pic:pic>
              </a:graphicData>
            </a:graphic>
          </wp:inline>
        </w:drawing>
      </w:r>
    </w:p>
    <w:p w14:paraId="75B8997D" w14:textId="48D586A1" w:rsidR="00882EF3" w:rsidRDefault="0014785D" w:rsidP="0014785D">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Source: Department of Prisons Statistics Report 2022 - </w:t>
      </w:r>
      <w:hyperlink r:id="rId9" w:history="1">
        <w:r w:rsidRPr="00674882">
          <w:rPr>
            <w:rStyle w:val="Hyperlink"/>
            <w:rFonts w:ascii="Cambria" w:eastAsia="Arial" w:hAnsi="Cambria" w:cs="Arial"/>
            <w:lang w:val="en-AU" w:eastAsia="en-GB"/>
          </w:rPr>
          <w:t>http://prisons.gov.lk/web/wp-content/uploads/2022/12/prison-statistics-2022.pdf</w:t>
        </w:r>
      </w:hyperlink>
      <w:r>
        <w:rPr>
          <w:rFonts w:ascii="Cambria" w:eastAsia="Arial" w:hAnsi="Cambria" w:cs="Arial"/>
          <w:lang w:val="en-AU" w:eastAsia="en-GB"/>
        </w:rPr>
        <w:t xml:space="preserve"> </w:t>
      </w:r>
    </w:p>
    <w:p w14:paraId="71767927" w14:textId="41E913A6" w:rsidR="0014785D" w:rsidRDefault="0014785D" w:rsidP="0014785D">
      <w:pPr>
        <w:spacing w:before="120" w:after="100"/>
        <w:contextualSpacing/>
        <w:jc w:val="both"/>
        <w:rPr>
          <w:rFonts w:ascii="Cambria" w:eastAsia="Arial" w:hAnsi="Cambria" w:cs="Arial"/>
          <w:u w:val="single"/>
          <w:lang w:val="en-AU" w:eastAsia="en-GB"/>
        </w:rPr>
      </w:pPr>
      <w:r w:rsidRPr="0014785D">
        <w:rPr>
          <w:rFonts w:ascii="Cambria" w:eastAsia="Arial" w:hAnsi="Cambria" w:cs="Arial"/>
          <w:u w:val="single"/>
          <w:lang w:val="en-AU" w:eastAsia="en-GB"/>
        </w:rPr>
        <w:t>Deaths in police custody</w:t>
      </w:r>
    </w:p>
    <w:p w14:paraId="25A3A3B1" w14:textId="11CB95B8" w:rsidR="00E60752" w:rsidRDefault="00E60752" w:rsidP="0014785D">
      <w:pPr>
        <w:spacing w:before="120" w:after="100"/>
        <w:contextualSpacing/>
        <w:jc w:val="both"/>
        <w:rPr>
          <w:rFonts w:ascii="Cambria" w:eastAsia="Arial" w:hAnsi="Cambria" w:cs="Arial"/>
          <w:u w:val="single"/>
          <w:lang w:val="en-AU" w:eastAsia="en-GB"/>
        </w:rPr>
      </w:pPr>
    </w:p>
    <w:p w14:paraId="4A3B7435" w14:textId="6576CBF9" w:rsidR="00E60752" w:rsidRDefault="00E60752" w:rsidP="0014785D">
      <w:pPr>
        <w:spacing w:before="120" w:after="100"/>
        <w:contextualSpacing/>
        <w:jc w:val="both"/>
        <w:rPr>
          <w:rFonts w:ascii="Cambria" w:eastAsia="Arial" w:hAnsi="Cambria" w:cs="Arial"/>
          <w:lang w:val="en-AU" w:eastAsia="en-GB"/>
        </w:rPr>
      </w:pPr>
      <w:r>
        <w:rPr>
          <w:rFonts w:ascii="Cambria" w:eastAsia="Arial" w:hAnsi="Cambria" w:cs="Arial"/>
          <w:lang w:val="en-AU" w:eastAsia="en-GB"/>
        </w:rPr>
        <w:lastRenderedPageBreak/>
        <w:t xml:space="preserve">The police department does not issue statistics on the number of deaths that occur in police custody. </w:t>
      </w:r>
      <w:r w:rsidR="00EF6DDB">
        <w:rPr>
          <w:rFonts w:ascii="Cambria" w:eastAsia="Arial" w:hAnsi="Cambria" w:cs="Arial"/>
          <w:lang w:val="en-AU" w:eastAsia="en-GB"/>
        </w:rPr>
        <w:t xml:space="preserve">Information on deaths in custody is reported </w:t>
      </w:r>
      <w:r w:rsidR="00DE0A5C">
        <w:rPr>
          <w:rFonts w:ascii="Cambria" w:eastAsia="Arial" w:hAnsi="Cambria" w:cs="Arial"/>
          <w:lang w:val="en-AU" w:eastAsia="en-GB"/>
        </w:rPr>
        <w:t>by the media based on reports issued by the police spokesperson. Since the year 2020, the author has monitored a series of deaths that occurred during police custody, where persons are taken by the police to a particular area, allegedly to retrieve evidence, and the detained person attempts to escape and/or grab the firearm of an officer, resulting in the police opening fire and shooting the detained person. This author has recorded at least eight such cases since 2020</w:t>
      </w:r>
      <w:r w:rsidR="00DE0A5C">
        <w:rPr>
          <w:rStyle w:val="FootnoteReference"/>
          <w:rFonts w:ascii="Cambria" w:eastAsia="Arial" w:hAnsi="Cambria" w:cs="Arial"/>
          <w:lang w:val="en-AU" w:eastAsia="en-GB"/>
        </w:rPr>
        <w:footnoteReference w:id="2"/>
      </w:r>
      <w:r w:rsidR="00DE0A5C">
        <w:rPr>
          <w:rFonts w:ascii="Cambria" w:eastAsia="Arial" w:hAnsi="Cambria" w:cs="Arial"/>
          <w:lang w:val="en-AU" w:eastAsia="en-GB"/>
        </w:rPr>
        <w:t>.</w:t>
      </w:r>
    </w:p>
    <w:p w14:paraId="197BF25D" w14:textId="430DAAA2" w:rsidR="00B91AFC" w:rsidRDefault="00B91AFC" w:rsidP="0014785D">
      <w:pPr>
        <w:spacing w:before="120" w:after="100"/>
        <w:contextualSpacing/>
        <w:jc w:val="both"/>
        <w:rPr>
          <w:rFonts w:ascii="Cambria" w:eastAsia="Arial" w:hAnsi="Cambria" w:cs="Arial"/>
          <w:lang w:val="en-AU" w:eastAsia="en-GB"/>
        </w:rPr>
      </w:pPr>
    </w:p>
    <w:p w14:paraId="7E57E250" w14:textId="52C3D2FF" w:rsidR="00B91AFC" w:rsidRPr="00E60752" w:rsidRDefault="00B91AFC" w:rsidP="0014785D">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The </w:t>
      </w:r>
      <w:r w:rsidR="001B7F8F">
        <w:rPr>
          <w:rFonts w:ascii="Cambria" w:eastAsia="Arial" w:hAnsi="Cambria" w:cs="Arial"/>
          <w:lang w:val="en-AU" w:eastAsia="en-GB"/>
        </w:rPr>
        <w:t>HRCSL</w:t>
      </w:r>
      <w:r>
        <w:rPr>
          <w:rFonts w:ascii="Cambria" w:eastAsia="Arial" w:hAnsi="Cambria" w:cs="Arial"/>
          <w:lang w:val="en-AU" w:eastAsia="en-GB"/>
        </w:rPr>
        <w:t xml:space="preserve"> posts the statistics of complaints it receives every calendar year of custodial deaths on its website.</w:t>
      </w:r>
      <w:r w:rsidR="0003480B">
        <w:rPr>
          <w:rStyle w:val="FootnoteReference"/>
          <w:rFonts w:ascii="Cambria" w:eastAsia="Arial" w:hAnsi="Cambria" w:cs="Arial"/>
          <w:lang w:val="en-AU" w:eastAsia="en-GB"/>
        </w:rPr>
        <w:footnoteReference w:id="3"/>
      </w:r>
      <w:r>
        <w:rPr>
          <w:rFonts w:ascii="Cambria" w:eastAsia="Arial" w:hAnsi="Cambria" w:cs="Arial"/>
          <w:lang w:val="en-AU" w:eastAsia="en-GB"/>
        </w:rPr>
        <w:t xml:space="preserve"> </w:t>
      </w:r>
    </w:p>
    <w:p w14:paraId="646F6E22" w14:textId="21E0F874" w:rsidR="0014785D" w:rsidRPr="0014785D" w:rsidRDefault="0014785D" w:rsidP="0014785D">
      <w:pPr>
        <w:spacing w:before="120" w:after="100"/>
        <w:contextualSpacing/>
        <w:jc w:val="both"/>
        <w:rPr>
          <w:rFonts w:ascii="Cambria" w:eastAsia="Arial" w:hAnsi="Cambria" w:cs="Arial"/>
          <w:lang w:val="en-AU" w:eastAsia="en-GB"/>
        </w:rPr>
      </w:pPr>
    </w:p>
    <w:p w14:paraId="4EA83569" w14:textId="77777777" w:rsidR="0014785D" w:rsidRPr="0014785D" w:rsidRDefault="0014785D" w:rsidP="0014785D">
      <w:pPr>
        <w:spacing w:before="120" w:after="100"/>
        <w:contextualSpacing/>
        <w:jc w:val="both"/>
        <w:rPr>
          <w:rFonts w:ascii="Cambria" w:eastAsia="Arial" w:hAnsi="Cambria" w:cs="Arial"/>
          <w:lang w:val="en-AU" w:eastAsia="en-GB"/>
        </w:rPr>
      </w:pPr>
    </w:p>
    <w:p w14:paraId="4B20875C" w14:textId="0DFE0DC0" w:rsidR="003C680E" w:rsidRPr="0014785D" w:rsidRDefault="003C680E" w:rsidP="0014785D">
      <w:pPr>
        <w:pStyle w:val="ListParagraph"/>
        <w:numPr>
          <w:ilvl w:val="0"/>
          <w:numId w:val="3"/>
        </w:numPr>
        <w:spacing w:before="120" w:after="100"/>
        <w:jc w:val="both"/>
        <w:rPr>
          <w:rFonts w:ascii="Cambria" w:eastAsia="Arial" w:hAnsi="Cambria" w:cs="Arial"/>
          <w:b/>
          <w:lang w:val="en-AU" w:eastAsia="en-GB"/>
        </w:rPr>
      </w:pPr>
      <w:r w:rsidRPr="0014785D">
        <w:rPr>
          <w:rFonts w:ascii="Cambria" w:eastAsia="Arial" w:hAnsi="Cambria" w:cs="Arial"/>
          <w:b/>
          <w:lang w:val="en-AU" w:eastAsia="en-GB"/>
        </w:rPr>
        <w:t xml:space="preserve">Measures in place, including policies and good practices for investigating, documenting and preventing deaths in custody, in particular: </w:t>
      </w:r>
    </w:p>
    <w:p w14:paraId="39F5AF9C" w14:textId="33DA6687" w:rsidR="003C680E" w:rsidRDefault="003C680E" w:rsidP="003C680E">
      <w:pPr>
        <w:numPr>
          <w:ilvl w:val="0"/>
          <w:numId w:val="2"/>
        </w:numPr>
        <w:spacing w:before="120" w:after="100"/>
        <w:contextualSpacing/>
        <w:jc w:val="both"/>
        <w:rPr>
          <w:rFonts w:ascii="Cambria" w:eastAsia="Arial" w:hAnsi="Cambria" w:cs="Arial"/>
          <w:b/>
          <w:lang w:val="en-AU" w:eastAsia="en-GB"/>
        </w:rPr>
      </w:pPr>
      <w:r w:rsidRPr="0014785D">
        <w:rPr>
          <w:rFonts w:ascii="Cambria" w:eastAsia="Arial" w:hAnsi="Cambria" w:cs="Arial"/>
          <w:b/>
          <w:lang w:val="en-AU" w:eastAsia="en-GB"/>
        </w:rPr>
        <w:t>Which legal provisions and requirements exist for cases of deaths in custody? (e.g. is an investigation into a death in custody mandatory or discretionary? Who is responsible for the decision and for the investigation?)</w:t>
      </w:r>
    </w:p>
    <w:p w14:paraId="2B904941" w14:textId="59571F60" w:rsidR="00170AB3" w:rsidRDefault="00170AB3" w:rsidP="00170AB3">
      <w:pPr>
        <w:spacing w:before="120" w:after="100"/>
        <w:contextualSpacing/>
        <w:jc w:val="both"/>
        <w:rPr>
          <w:rFonts w:ascii="Cambria" w:eastAsia="Arial" w:hAnsi="Cambria" w:cs="Arial"/>
          <w:b/>
          <w:lang w:val="en-AU" w:eastAsia="en-GB"/>
        </w:rPr>
      </w:pPr>
    </w:p>
    <w:p w14:paraId="4AB56F5D" w14:textId="77539194" w:rsidR="00170AB3" w:rsidRDefault="00170AB3" w:rsidP="00170AB3">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The </w:t>
      </w:r>
      <w:r w:rsidR="00EE57CB">
        <w:rPr>
          <w:rFonts w:ascii="Cambria" w:eastAsia="Arial" w:hAnsi="Cambria" w:cs="Arial"/>
          <w:lang w:val="en-AU" w:eastAsia="en-GB"/>
        </w:rPr>
        <w:t xml:space="preserve">following sections of the </w:t>
      </w:r>
      <w:r>
        <w:rPr>
          <w:rFonts w:ascii="Cambria" w:eastAsia="Arial" w:hAnsi="Cambria" w:cs="Arial"/>
          <w:lang w:val="en-AU" w:eastAsia="en-GB"/>
        </w:rPr>
        <w:t>Code of Criminal Procedure Act (No. 15 of 1979) govern the duty of the magistrate to inquire into deaths in custod</w:t>
      </w:r>
      <w:r w:rsidR="00EE57CB">
        <w:rPr>
          <w:rFonts w:ascii="Cambria" w:eastAsia="Arial" w:hAnsi="Cambria" w:cs="Arial"/>
          <w:lang w:val="en-AU" w:eastAsia="en-GB"/>
        </w:rPr>
        <w:t>y:</w:t>
      </w:r>
    </w:p>
    <w:p w14:paraId="5C04D7F8" w14:textId="77777777" w:rsidR="0003480B" w:rsidRDefault="0003480B" w:rsidP="00170AB3">
      <w:pPr>
        <w:spacing w:before="120" w:after="100"/>
        <w:contextualSpacing/>
        <w:jc w:val="both"/>
        <w:rPr>
          <w:rFonts w:ascii="Cambria" w:eastAsia="Arial" w:hAnsi="Cambria" w:cs="Arial"/>
          <w:lang w:val="en-AU" w:eastAsia="en-GB"/>
        </w:rPr>
      </w:pPr>
    </w:p>
    <w:p w14:paraId="30243F23" w14:textId="03D4AD80" w:rsidR="00170AB3" w:rsidRPr="00170AB3" w:rsidRDefault="004560BA" w:rsidP="0003480B">
      <w:pPr>
        <w:spacing w:before="120" w:after="100"/>
        <w:ind w:left="567" w:right="567"/>
        <w:contextualSpacing/>
        <w:jc w:val="both"/>
        <w:rPr>
          <w:rFonts w:ascii="Cambria" w:eastAsia="Arial" w:hAnsi="Cambria" w:cs="Arial"/>
          <w:lang w:val="en-AU" w:eastAsia="en-GB"/>
        </w:rPr>
      </w:pPr>
      <w:r>
        <w:rPr>
          <w:rFonts w:ascii="Cambria" w:eastAsia="Arial" w:hAnsi="Cambria" w:cs="Arial"/>
          <w:lang w:val="en-AU" w:eastAsia="en-GB"/>
        </w:rPr>
        <w:t>“</w:t>
      </w:r>
      <w:r w:rsidR="00170AB3">
        <w:rPr>
          <w:rFonts w:ascii="Cambria" w:eastAsia="Arial" w:hAnsi="Cambria" w:cs="Arial"/>
          <w:lang w:val="en-AU" w:eastAsia="en-GB"/>
        </w:rPr>
        <w:t xml:space="preserve">371. </w:t>
      </w:r>
      <w:r w:rsidR="00170AB3" w:rsidRPr="00170AB3">
        <w:rPr>
          <w:rFonts w:ascii="Cambria" w:eastAsia="Arial" w:hAnsi="Cambria" w:cs="Arial"/>
          <w:lang w:val="en-AU" w:eastAsia="en-GB"/>
        </w:rPr>
        <w:t>(1) When any person dies while in the custody of the police or in a mental or leprosy hospital or prison, the officer who had the custody of such person or was in charge of such hospital or prison, as the case may be, shall forthwith give information of such death to a Magistrate of the Magistrate’s Court within the local limits of whose jurisdiction the body is found, and such Magistrate shall view the body and hold an inquiry into the cause of death.</w:t>
      </w:r>
    </w:p>
    <w:p w14:paraId="7996FF4C" w14:textId="77777777" w:rsidR="00170AB3" w:rsidRPr="00170AB3" w:rsidRDefault="00170AB3" w:rsidP="0003480B">
      <w:pPr>
        <w:spacing w:before="120" w:after="100"/>
        <w:ind w:left="567" w:right="567"/>
        <w:contextualSpacing/>
        <w:jc w:val="both"/>
        <w:rPr>
          <w:rFonts w:ascii="Cambria" w:eastAsia="Arial" w:hAnsi="Cambria" w:cs="Arial"/>
          <w:lang w:val="en-AU" w:eastAsia="en-GB"/>
        </w:rPr>
      </w:pPr>
    </w:p>
    <w:p w14:paraId="30CD01CB" w14:textId="77777777" w:rsidR="00170AB3" w:rsidRPr="00170AB3" w:rsidRDefault="00170AB3" w:rsidP="0003480B">
      <w:pPr>
        <w:spacing w:before="120" w:after="100"/>
        <w:ind w:left="567" w:right="567"/>
        <w:contextualSpacing/>
        <w:jc w:val="both"/>
        <w:rPr>
          <w:rFonts w:ascii="Cambria" w:eastAsia="Arial" w:hAnsi="Cambria" w:cs="Arial"/>
          <w:lang w:val="en-AU" w:eastAsia="en-GB"/>
        </w:rPr>
      </w:pPr>
      <w:r w:rsidRPr="00170AB3">
        <w:rPr>
          <w:rFonts w:ascii="Cambria" w:eastAsia="Arial" w:hAnsi="Cambria" w:cs="Arial"/>
          <w:lang w:val="en-AU" w:eastAsia="en-GB"/>
        </w:rPr>
        <w:t>(2) For the purposes of an inquiry under this section a Magistrate shall have all the powers which he would have in holding an inquiry into an offence.</w:t>
      </w:r>
    </w:p>
    <w:p w14:paraId="5F14A4A9" w14:textId="77777777" w:rsidR="00EE57CB" w:rsidRDefault="00EE57CB" w:rsidP="0003480B">
      <w:pPr>
        <w:spacing w:before="120" w:after="100"/>
        <w:ind w:left="567" w:right="567"/>
        <w:contextualSpacing/>
        <w:jc w:val="both"/>
        <w:rPr>
          <w:rFonts w:ascii="Cambria" w:eastAsia="Arial" w:hAnsi="Cambria" w:cs="Arial"/>
          <w:lang w:val="en-AU" w:eastAsia="en-GB"/>
        </w:rPr>
      </w:pPr>
    </w:p>
    <w:p w14:paraId="19036849" w14:textId="7EE6D21C" w:rsidR="00170AB3" w:rsidRPr="00170AB3" w:rsidRDefault="00EE57CB" w:rsidP="0003480B">
      <w:pPr>
        <w:spacing w:before="120" w:after="100"/>
        <w:ind w:left="567" w:right="567"/>
        <w:contextualSpacing/>
        <w:jc w:val="both"/>
        <w:rPr>
          <w:rFonts w:ascii="Cambria" w:eastAsia="Arial" w:hAnsi="Cambria" w:cs="Arial"/>
          <w:lang w:val="en-AU" w:eastAsia="en-GB"/>
        </w:rPr>
      </w:pPr>
      <w:r>
        <w:rPr>
          <w:rFonts w:ascii="Cambria" w:eastAsia="Arial" w:hAnsi="Cambria" w:cs="Arial"/>
          <w:lang w:val="en-AU" w:eastAsia="en-GB"/>
        </w:rPr>
        <w:t xml:space="preserve">372. </w:t>
      </w:r>
      <w:r w:rsidR="00170AB3" w:rsidRPr="00170AB3">
        <w:rPr>
          <w:rFonts w:ascii="Cambria" w:eastAsia="Arial" w:hAnsi="Cambria" w:cs="Arial"/>
          <w:lang w:val="en-AU" w:eastAsia="en-GB"/>
        </w:rPr>
        <w:t>(1) The Magistrate or inquirer holding an inquiry prescribed under this Chapter shall record the evidence and his finding thereon.</w:t>
      </w:r>
    </w:p>
    <w:p w14:paraId="32C48A7E" w14:textId="77777777" w:rsidR="00170AB3" w:rsidRPr="00170AB3" w:rsidRDefault="00170AB3" w:rsidP="0003480B">
      <w:pPr>
        <w:spacing w:before="120" w:after="100"/>
        <w:ind w:left="567" w:right="567"/>
        <w:contextualSpacing/>
        <w:jc w:val="both"/>
        <w:rPr>
          <w:rFonts w:ascii="Cambria" w:eastAsia="Arial" w:hAnsi="Cambria" w:cs="Arial"/>
          <w:lang w:val="en-AU" w:eastAsia="en-GB"/>
        </w:rPr>
      </w:pPr>
    </w:p>
    <w:p w14:paraId="3901D2AC" w14:textId="77777777" w:rsidR="00170AB3" w:rsidRPr="00170AB3" w:rsidRDefault="00170AB3" w:rsidP="0003480B">
      <w:pPr>
        <w:spacing w:before="120" w:after="100"/>
        <w:ind w:left="567" w:right="567"/>
        <w:contextualSpacing/>
        <w:jc w:val="both"/>
        <w:rPr>
          <w:rFonts w:ascii="Cambria" w:eastAsia="Arial" w:hAnsi="Cambria" w:cs="Arial"/>
          <w:lang w:val="en-AU" w:eastAsia="en-GB"/>
        </w:rPr>
      </w:pPr>
      <w:r w:rsidRPr="00170AB3">
        <w:rPr>
          <w:rFonts w:ascii="Cambria" w:eastAsia="Arial" w:hAnsi="Cambria" w:cs="Arial"/>
          <w:lang w:val="en-AU" w:eastAsia="en-GB"/>
        </w:rPr>
        <w:t>(2) The place in which an inquiry of death under this Chapter is held shall be a place open to the public. But a Magistrate or inquirer conducting an inquiry of death may on special grounds of public policy or expediency in his discretion exclude the public at any stage of the inquiry from the place in which the inquiry is being held.</w:t>
      </w:r>
    </w:p>
    <w:p w14:paraId="15FBF497" w14:textId="77777777" w:rsidR="00170AB3" w:rsidRPr="00170AB3" w:rsidRDefault="00170AB3" w:rsidP="00170AB3">
      <w:pPr>
        <w:spacing w:before="120" w:after="100"/>
        <w:contextualSpacing/>
        <w:jc w:val="both"/>
        <w:rPr>
          <w:rFonts w:ascii="Cambria" w:eastAsia="Arial" w:hAnsi="Cambria" w:cs="Arial"/>
          <w:lang w:val="en-AU" w:eastAsia="en-GB"/>
        </w:rPr>
      </w:pPr>
    </w:p>
    <w:p w14:paraId="2A5979CF" w14:textId="35D09BFC" w:rsidR="00170AB3" w:rsidRPr="00170AB3" w:rsidRDefault="00EE57CB" w:rsidP="0003480B">
      <w:pPr>
        <w:spacing w:before="120" w:after="100"/>
        <w:ind w:left="567" w:right="567"/>
        <w:contextualSpacing/>
        <w:jc w:val="both"/>
        <w:rPr>
          <w:rFonts w:ascii="Cambria" w:eastAsia="Arial" w:hAnsi="Cambria" w:cs="Arial"/>
          <w:lang w:val="en-AU" w:eastAsia="en-GB"/>
        </w:rPr>
      </w:pPr>
      <w:r>
        <w:rPr>
          <w:rFonts w:ascii="Cambria" w:eastAsia="Arial" w:hAnsi="Cambria" w:cs="Arial"/>
          <w:lang w:val="en-AU" w:eastAsia="en-GB"/>
        </w:rPr>
        <w:t xml:space="preserve">373. </w:t>
      </w:r>
      <w:r w:rsidR="00170AB3" w:rsidRPr="00170AB3">
        <w:rPr>
          <w:rFonts w:ascii="Cambria" w:eastAsia="Arial" w:hAnsi="Cambria" w:cs="Arial"/>
          <w:lang w:val="en-AU" w:eastAsia="en-GB"/>
        </w:rPr>
        <w:t xml:space="preserve">(1) The Magistrate or any inquirer empowered in that behalf by the Minister shall, if he considers it expedient, call upon the Government medical officer of the </w:t>
      </w:r>
      <w:r w:rsidR="00170AB3" w:rsidRPr="00170AB3">
        <w:rPr>
          <w:rFonts w:ascii="Cambria" w:eastAsia="Arial" w:hAnsi="Cambria" w:cs="Arial"/>
          <w:lang w:val="en-AU" w:eastAsia="en-GB"/>
        </w:rPr>
        <w:lastRenderedPageBreak/>
        <w:t>district, or any other medical practitioner, to hold a post-mortem examination of the dead body, and to report to such Magistrate or inquirer regarding the cause of death.</w:t>
      </w:r>
    </w:p>
    <w:p w14:paraId="45A2CFEB" w14:textId="77777777" w:rsidR="00170AB3" w:rsidRPr="00170AB3" w:rsidRDefault="00170AB3" w:rsidP="0003480B">
      <w:pPr>
        <w:spacing w:before="120" w:after="100"/>
        <w:ind w:left="567" w:right="567"/>
        <w:contextualSpacing/>
        <w:jc w:val="both"/>
        <w:rPr>
          <w:rFonts w:ascii="Cambria" w:eastAsia="Arial" w:hAnsi="Cambria" w:cs="Arial"/>
          <w:lang w:val="en-AU" w:eastAsia="en-GB"/>
        </w:rPr>
      </w:pPr>
    </w:p>
    <w:p w14:paraId="692FA3DA" w14:textId="1A922E84" w:rsidR="00170AB3" w:rsidRDefault="00170AB3" w:rsidP="0003480B">
      <w:pPr>
        <w:spacing w:before="120" w:after="100"/>
        <w:ind w:left="567" w:right="567"/>
        <w:contextualSpacing/>
        <w:jc w:val="both"/>
        <w:rPr>
          <w:rFonts w:ascii="Cambria" w:eastAsia="Arial" w:hAnsi="Cambria" w:cs="Arial"/>
          <w:lang w:val="en-AU" w:eastAsia="en-GB"/>
        </w:rPr>
      </w:pPr>
      <w:r w:rsidRPr="00170AB3">
        <w:rPr>
          <w:rFonts w:ascii="Cambria" w:eastAsia="Arial" w:hAnsi="Cambria" w:cs="Arial"/>
          <w:lang w:val="en-AU" w:eastAsia="en-GB"/>
        </w:rPr>
        <w:t>(2) For the purposes of the post-mortem examination under subsection (1), the Magistrate may, if the dead body has already been buried, cause that body to be disinterred.</w:t>
      </w:r>
      <w:r w:rsidR="004560BA">
        <w:rPr>
          <w:rFonts w:ascii="Cambria" w:eastAsia="Arial" w:hAnsi="Cambria" w:cs="Arial"/>
          <w:lang w:val="en-AU" w:eastAsia="en-GB"/>
        </w:rPr>
        <w:t>”</w:t>
      </w:r>
      <w:r w:rsidRPr="00170AB3">
        <w:rPr>
          <w:rFonts w:ascii="Cambria" w:eastAsia="Arial" w:hAnsi="Cambria" w:cs="Arial"/>
          <w:lang w:val="en-AU" w:eastAsia="en-GB"/>
        </w:rPr>
        <w:t xml:space="preserve"> </w:t>
      </w:r>
    </w:p>
    <w:p w14:paraId="3C7F23F4" w14:textId="77777777" w:rsidR="00710884" w:rsidRDefault="00710884" w:rsidP="00170AB3">
      <w:pPr>
        <w:spacing w:before="120" w:after="100"/>
        <w:contextualSpacing/>
        <w:jc w:val="both"/>
        <w:rPr>
          <w:rFonts w:ascii="Cambria" w:eastAsia="Arial" w:hAnsi="Cambria" w:cs="Arial"/>
          <w:lang w:val="en-AU" w:eastAsia="en-GB"/>
        </w:rPr>
      </w:pPr>
    </w:p>
    <w:p w14:paraId="22CBBFB5" w14:textId="79CD4F87" w:rsidR="00DE0A5C" w:rsidRDefault="00DE0A5C" w:rsidP="00170AB3">
      <w:pPr>
        <w:spacing w:before="120" w:after="100"/>
        <w:contextualSpacing/>
        <w:jc w:val="both"/>
        <w:rPr>
          <w:rFonts w:ascii="Cambria" w:eastAsia="Arial" w:hAnsi="Cambria" w:cs="Arial"/>
          <w:lang w:val="en-AU" w:eastAsia="en-GB"/>
        </w:rPr>
      </w:pPr>
      <w:r>
        <w:rPr>
          <w:rFonts w:ascii="Cambria" w:eastAsia="Arial" w:hAnsi="Cambria" w:cs="Arial"/>
          <w:lang w:val="en-AU" w:eastAsia="en-GB"/>
        </w:rPr>
        <w:t>In ca</w:t>
      </w:r>
      <w:r w:rsidR="0019079F">
        <w:rPr>
          <w:rFonts w:ascii="Cambria" w:eastAsia="Arial" w:hAnsi="Cambria" w:cs="Arial"/>
          <w:lang w:val="en-AU" w:eastAsia="en-GB"/>
        </w:rPr>
        <w:t>ses where the death in custody may be</w:t>
      </w:r>
      <w:r>
        <w:rPr>
          <w:rFonts w:ascii="Cambria" w:eastAsia="Arial" w:hAnsi="Cambria" w:cs="Arial"/>
          <w:lang w:val="en-AU" w:eastAsia="en-GB"/>
        </w:rPr>
        <w:t xml:space="preserve"> due to torture, family members of the deceased may file a fundamental rights petition with the Supreme Court</w:t>
      </w:r>
      <w:r w:rsidR="00F26B25">
        <w:rPr>
          <w:rFonts w:ascii="Cambria" w:eastAsia="Arial" w:hAnsi="Cambria" w:cs="Arial"/>
          <w:lang w:val="en-AU" w:eastAsia="en-GB"/>
        </w:rPr>
        <w:t xml:space="preserve"> under Article 126 of the Constitution of Sri Lanka</w:t>
      </w:r>
      <w:r w:rsidR="00B43833">
        <w:rPr>
          <w:rFonts w:ascii="Cambria" w:eastAsia="Arial" w:hAnsi="Cambria" w:cs="Arial"/>
          <w:lang w:val="en-AU" w:eastAsia="en-GB"/>
        </w:rPr>
        <w:t xml:space="preserve"> alleging a violation of the </w:t>
      </w:r>
      <w:r w:rsidR="005602FC">
        <w:rPr>
          <w:rFonts w:ascii="Cambria" w:eastAsia="Arial" w:hAnsi="Cambria" w:cs="Arial"/>
          <w:lang w:val="en-AU" w:eastAsia="en-GB"/>
        </w:rPr>
        <w:t xml:space="preserve">implied right to life (Article 13(4) of the Constitution) and the </w:t>
      </w:r>
      <w:r w:rsidR="00B43833">
        <w:rPr>
          <w:rFonts w:ascii="Cambria" w:eastAsia="Arial" w:hAnsi="Cambria" w:cs="Arial"/>
          <w:lang w:val="en-AU" w:eastAsia="en-GB"/>
        </w:rPr>
        <w:t>right against torture guaranteed by Article 11 of the Constitution</w:t>
      </w:r>
      <w:r w:rsidR="009C0EA7">
        <w:rPr>
          <w:rFonts w:ascii="Cambria" w:eastAsia="Arial" w:hAnsi="Cambria" w:cs="Arial"/>
          <w:lang w:val="en-AU" w:eastAsia="en-GB"/>
        </w:rPr>
        <w:t>.</w:t>
      </w:r>
      <w:r w:rsidR="00B43833">
        <w:rPr>
          <w:rFonts w:ascii="Cambria" w:eastAsia="Arial" w:hAnsi="Cambria" w:cs="Arial"/>
          <w:lang w:val="en-AU" w:eastAsia="en-GB"/>
        </w:rPr>
        <w:t xml:space="preserve"> </w:t>
      </w:r>
    </w:p>
    <w:p w14:paraId="522BFBF2" w14:textId="7C6D4136" w:rsidR="00B43833" w:rsidRDefault="00B43833" w:rsidP="00170AB3">
      <w:pPr>
        <w:spacing w:before="120" w:after="100"/>
        <w:contextualSpacing/>
        <w:jc w:val="both"/>
        <w:rPr>
          <w:rFonts w:ascii="Cambria" w:eastAsia="Arial" w:hAnsi="Cambria" w:cs="Arial"/>
          <w:lang w:val="en-AU" w:eastAsia="en-GB"/>
        </w:rPr>
      </w:pPr>
    </w:p>
    <w:p w14:paraId="50162055" w14:textId="6D49A6DA" w:rsidR="004D1424" w:rsidRDefault="00B43833" w:rsidP="004D1424">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Under the </w:t>
      </w:r>
      <w:r w:rsidRPr="00B43833">
        <w:rPr>
          <w:rFonts w:ascii="Cambria" w:eastAsia="Arial" w:hAnsi="Cambria" w:cs="Arial"/>
          <w:lang w:val="en-AU" w:eastAsia="en-GB"/>
        </w:rPr>
        <w:t>Convention against Tort</w:t>
      </w:r>
      <w:r>
        <w:rPr>
          <w:rFonts w:ascii="Cambria" w:eastAsia="Arial" w:hAnsi="Cambria" w:cs="Arial"/>
          <w:lang w:val="en-AU" w:eastAsia="en-GB"/>
        </w:rPr>
        <w:t xml:space="preserve">ure and other Cruel, Inhuman or </w:t>
      </w:r>
      <w:r w:rsidRPr="00B43833">
        <w:rPr>
          <w:rFonts w:ascii="Cambria" w:eastAsia="Arial" w:hAnsi="Cambria" w:cs="Arial"/>
          <w:lang w:val="en-AU" w:eastAsia="en-GB"/>
        </w:rPr>
        <w:t>Degrading Treatment or Punishment Act, No. 22 of 1994, any person who attempts to</w:t>
      </w:r>
      <w:r>
        <w:rPr>
          <w:rFonts w:ascii="Cambria" w:eastAsia="Arial" w:hAnsi="Cambria" w:cs="Arial"/>
          <w:lang w:val="en-AU" w:eastAsia="en-GB"/>
        </w:rPr>
        <w:t xml:space="preserve"> </w:t>
      </w:r>
      <w:r w:rsidRPr="00B43833">
        <w:rPr>
          <w:rFonts w:ascii="Cambria" w:eastAsia="Arial" w:hAnsi="Cambria" w:cs="Arial"/>
          <w:lang w:val="en-AU" w:eastAsia="en-GB"/>
        </w:rPr>
        <w:t>commit, aids and abets to commit or conspires to commit torture, shall on conviction after</w:t>
      </w:r>
      <w:r>
        <w:rPr>
          <w:rFonts w:ascii="Cambria" w:eastAsia="Arial" w:hAnsi="Cambria" w:cs="Arial"/>
          <w:lang w:val="en-AU" w:eastAsia="en-GB"/>
        </w:rPr>
        <w:t xml:space="preserve"> </w:t>
      </w:r>
      <w:r w:rsidRPr="00B43833">
        <w:rPr>
          <w:rFonts w:ascii="Cambria" w:eastAsia="Arial" w:hAnsi="Cambria" w:cs="Arial"/>
          <w:lang w:val="en-AU" w:eastAsia="en-GB"/>
        </w:rPr>
        <w:t>trial by the High Court be punishable with imprisonment between seven to ten years and a</w:t>
      </w:r>
      <w:r>
        <w:rPr>
          <w:rFonts w:ascii="Cambria" w:eastAsia="Arial" w:hAnsi="Cambria" w:cs="Arial"/>
          <w:lang w:val="en-AU" w:eastAsia="en-GB"/>
        </w:rPr>
        <w:t xml:space="preserve"> </w:t>
      </w:r>
      <w:r w:rsidRPr="00B43833">
        <w:rPr>
          <w:rFonts w:ascii="Cambria" w:eastAsia="Arial" w:hAnsi="Cambria" w:cs="Arial"/>
          <w:lang w:val="en-AU" w:eastAsia="en-GB"/>
        </w:rPr>
        <w:t>fine between Rs. 10,000 and Rs. 50,000.</w:t>
      </w:r>
      <w:r>
        <w:rPr>
          <w:rFonts w:ascii="Cambria" w:eastAsia="Arial" w:hAnsi="Cambria" w:cs="Arial"/>
          <w:lang w:val="en-AU" w:eastAsia="en-GB"/>
        </w:rPr>
        <w:t xml:space="preserve"> In cases where a death in custody</w:t>
      </w:r>
      <w:r w:rsidR="0019079F">
        <w:rPr>
          <w:rFonts w:ascii="Cambria" w:eastAsia="Arial" w:hAnsi="Cambria" w:cs="Arial"/>
          <w:lang w:val="en-AU" w:eastAsia="en-GB"/>
        </w:rPr>
        <w:t xml:space="preserve"> may have occurred</w:t>
      </w:r>
      <w:r>
        <w:rPr>
          <w:rFonts w:ascii="Cambria" w:eastAsia="Arial" w:hAnsi="Cambria" w:cs="Arial"/>
          <w:lang w:val="en-AU" w:eastAsia="en-GB"/>
        </w:rPr>
        <w:t xml:space="preserve"> due to torture, </w:t>
      </w:r>
      <w:r w:rsidR="001B37DD">
        <w:rPr>
          <w:rFonts w:ascii="Cambria" w:eastAsia="Arial" w:hAnsi="Cambria" w:cs="Arial"/>
          <w:lang w:val="en-AU" w:eastAsia="en-GB"/>
        </w:rPr>
        <w:t>c</w:t>
      </w:r>
      <w:r w:rsidR="001B37DD" w:rsidRPr="001B37DD">
        <w:rPr>
          <w:rFonts w:ascii="Cambria" w:eastAsia="Arial" w:hAnsi="Cambria" w:cs="Arial"/>
          <w:lang w:val="en-AU" w:eastAsia="en-GB"/>
        </w:rPr>
        <w:t xml:space="preserve">omplaints </w:t>
      </w:r>
      <w:r w:rsidR="0019079F">
        <w:rPr>
          <w:rFonts w:ascii="Cambria" w:eastAsia="Arial" w:hAnsi="Cambria" w:cs="Arial"/>
          <w:lang w:val="en-AU" w:eastAsia="en-GB"/>
        </w:rPr>
        <w:t xml:space="preserve">under the Convention Against Torture Act against the officer responsible </w:t>
      </w:r>
      <w:proofErr w:type="gramStart"/>
      <w:r w:rsidR="001B37DD" w:rsidRPr="001B37DD">
        <w:rPr>
          <w:rFonts w:ascii="Cambria" w:eastAsia="Arial" w:hAnsi="Cambria" w:cs="Arial"/>
          <w:lang w:val="en-AU" w:eastAsia="en-GB"/>
        </w:rPr>
        <w:t>have to</w:t>
      </w:r>
      <w:proofErr w:type="gramEnd"/>
      <w:r w:rsidR="001B37DD">
        <w:rPr>
          <w:rFonts w:ascii="Cambria" w:eastAsia="Arial" w:hAnsi="Cambria" w:cs="Arial"/>
          <w:lang w:val="en-AU" w:eastAsia="en-GB"/>
        </w:rPr>
        <w:t xml:space="preserve"> be</w:t>
      </w:r>
      <w:r w:rsidR="004D1424">
        <w:rPr>
          <w:rFonts w:ascii="Cambria" w:eastAsia="Arial" w:hAnsi="Cambria" w:cs="Arial"/>
          <w:lang w:val="en-AU" w:eastAsia="en-GB"/>
        </w:rPr>
        <w:t xml:space="preserve"> lodged at a police station</w:t>
      </w:r>
      <w:r w:rsidR="0019079F">
        <w:rPr>
          <w:rFonts w:ascii="Cambria" w:eastAsia="Arial" w:hAnsi="Cambria" w:cs="Arial"/>
          <w:lang w:val="en-AU" w:eastAsia="en-GB"/>
        </w:rPr>
        <w:t xml:space="preserve"> </w:t>
      </w:r>
      <w:r w:rsidR="004D1424" w:rsidRPr="004D1424">
        <w:rPr>
          <w:rFonts w:ascii="Cambria" w:eastAsia="Arial" w:hAnsi="Cambria" w:cs="Arial"/>
          <w:lang w:val="en-AU" w:eastAsia="en-GB"/>
        </w:rPr>
        <w:t xml:space="preserve">and a Special Investigations Unit </w:t>
      </w:r>
      <w:r w:rsidR="0021165E">
        <w:rPr>
          <w:rFonts w:ascii="Cambria" w:eastAsia="Arial" w:hAnsi="Cambria" w:cs="Arial"/>
          <w:lang w:val="en-AU" w:eastAsia="en-GB"/>
        </w:rPr>
        <w:t xml:space="preserve">(SIU) </w:t>
      </w:r>
      <w:r w:rsidR="004D1424" w:rsidRPr="004D1424">
        <w:rPr>
          <w:rFonts w:ascii="Cambria" w:eastAsia="Arial" w:hAnsi="Cambria" w:cs="Arial"/>
          <w:lang w:val="en-AU" w:eastAsia="en-GB"/>
        </w:rPr>
        <w:t xml:space="preserve">which functions under the direct supervision of the Inspector General of </w:t>
      </w:r>
      <w:r w:rsidR="00B55C8E">
        <w:rPr>
          <w:rFonts w:ascii="Cambria" w:eastAsia="Arial" w:hAnsi="Cambria" w:cs="Arial"/>
          <w:lang w:val="en-AU" w:eastAsia="en-GB"/>
        </w:rPr>
        <w:t>Police (IGP)</w:t>
      </w:r>
      <w:r w:rsidR="004D1424" w:rsidRPr="004D1424">
        <w:rPr>
          <w:rFonts w:ascii="Cambria" w:eastAsia="Arial" w:hAnsi="Cambria" w:cs="Arial"/>
          <w:lang w:val="en-AU" w:eastAsia="en-GB"/>
        </w:rPr>
        <w:t xml:space="preserve"> w</w:t>
      </w:r>
      <w:r w:rsidR="00B55C8E">
        <w:rPr>
          <w:rFonts w:ascii="Cambria" w:eastAsia="Arial" w:hAnsi="Cambria" w:cs="Arial"/>
          <w:lang w:val="en-AU" w:eastAsia="en-GB"/>
        </w:rPr>
        <w:t>ill</w:t>
      </w:r>
      <w:r w:rsidR="004D1424" w:rsidRPr="004D1424">
        <w:rPr>
          <w:rFonts w:ascii="Cambria" w:eastAsia="Arial" w:hAnsi="Cambria" w:cs="Arial"/>
          <w:lang w:val="en-AU" w:eastAsia="en-GB"/>
        </w:rPr>
        <w:t xml:space="preserve"> be responsib</w:t>
      </w:r>
      <w:r w:rsidR="004D1424">
        <w:rPr>
          <w:rFonts w:ascii="Cambria" w:eastAsia="Arial" w:hAnsi="Cambria" w:cs="Arial"/>
          <w:lang w:val="en-AU" w:eastAsia="en-GB"/>
        </w:rPr>
        <w:t xml:space="preserve">le to conduct the investigation. In cases where such a death occurs in police custody, </w:t>
      </w:r>
      <w:r w:rsidR="004D1424" w:rsidRPr="001B37DD">
        <w:rPr>
          <w:rFonts w:ascii="Cambria" w:eastAsia="Arial" w:hAnsi="Cambria" w:cs="Arial"/>
          <w:lang w:val="en-AU" w:eastAsia="en-GB"/>
        </w:rPr>
        <w:t xml:space="preserve">police officers would </w:t>
      </w:r>
      <w:r w:rsidR="004D1424">
        <w:rPr>
          <w:rFonts w:ascii="Cambria" w:eastAsia="Arial" w:hAnsi="Cambria" w:cs="Arial"/>
          <w:lang w:val="en-AU" w:eastAsia="en-GB"/>
        </w:rPr>
        <w:t xml:space="preserve">then </w:t>
      </w:r>
      <w:r w:rsidR="004D1424" w:rsidRPr="001B37DD">
        <w:rPr>
          <w:rFonts w:ascii="Cambria" w:eastAsia="Arial" w:hAnsi="Cambria" w:cs="Arial"/>
          <w:lang w:val="en-AU" w:eastAsia="en-GB"/>
        </w:rPr>
        <w:t xml:space="preserve">be responsible </w:t>
      </w:r>
      <w:r w:rsidR="004D1424">
        <w:rPr>
          <w:rFonts w:ascii="Cambria" w:eastAsia="Arial" w:hAnsi="Cambria" w:cs="Arial"/>
          <w:lang w:val="en-AU" w:eastAsia="en-GB"/>
        </w:rPr>
        <w:t xml:space="preserve">for an investigation against a member of their own department. </w:t>
      </w:r>
      <w:r w:rsidR="004D1424" w:rsidRPr="004D1424">
        <w:rPr>
          <w:rFonts w:ascii="Cambria" w:eastAsia="Arial" w:hAnsi="Cambria" w:cs="Arial"/>
          <w:lang w:val="en-AU" w:eastAsia="en-GB"/>
        </w:rPr>
        <w:t>This can cause bias and conflict of interest because the Special Investigation Unit functions within the police department hierarchy.</w:t>
      </w:r>
    </w:p>
    <w:p w14:paraId="49424C8E" w14:textId="0F7FBD94" w:rsidR="0021165E" w:rsidRDefault="0021165E" w:rsidP="004D1424">
      <w:pPr>
        <w:spacing w:before="120" w:after="100"/>
        <w:contextualSpacing/>
        <w:jc w:val="both"/>
        <w:rPr>
          <w:rFonts w:ascii="Cambria" w:eastAsia="Arial" w:hAnsi="Cambria" w:cs="Arial"/>
          <w:lang w:val="en-AU" w:eastAsia="en-GB"/>
        </w:rPr>
      </w:pPr>
    </w:p>
    <w:p w14:paraId="21D9943D" w14:textId="77777777" w:rsidR="0021165E" w:rsidRDefault="0021165E" w:rsidP="0021165E">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In practice, investigations into custodial deaths rarely result in persons being held accountable. The progress of investigations is not made public and accessing information is unlikely to yield results. Families also file complaints with the Human Rights Commission of Sri Lanka but the Commission’s investigations are often hampered by lack of cooperation of the police, particularly not providing required information to the Commission. </w:t>
      </w:r>
    </w:p>
    <w:p w14:paraId="58CDAA76" w14:textId="77777777" w:rsidR="004D1424" w:rsidRDefault="004D1424" w:rsidP="001B37DD">
      <w:pPr>
        <w:spacing w:before="120" w:after="100"/>
        <w:contextualSpacing/>
        <w:jc w:val="both"/>
        <w:rPr>
          <w:rFonts w:ascii="Cambria" w:eastAsia="Arial" w:hAnsi="Cambria" w:cs="Arial"/>
          <w:lang w:val="en-AU" w:eastAsia="en-GB"/>
        </w:rPr>
      </w:pPr>
    </w:p>
    <w:p w14:paraId="3EA92ED7" w14:textId="311AB198" w:rsidR="001B37DD" w:rsidRPr="001B37DD" w:rsidRDefault="0019079F" w:rsidP="001B37DD">
      <w:pPr>
        <w:spacing w:before="120" w:after="100"/>
        <w:contextualSpacing/>
        <w:jc w:val="both"/>
        <w:rPr>
          <w:rFonts w:ascii="Cambria" w:eastAsia="Arial" w:hAnsi="Cambria" w:cs="Arial"/>
          <w:lang w:val="en-AU" w:eastAsia="en-GB"/>
        </w:rPr>
      </w:pPr>
      <w:r>
        <w:rPr>
          <w:rFonts w:ascii="Cambria" w:eastAsia="Arial" w:hAnsi="Cambria" w:cs="Arial"/>
          <w:lang w:val="en-AU" w:eastAsia="en-GB"/>
        </w:rPr>
        <w:t>T</w:t>
      </w:r>
      <w:r w:rsidR="001B37DD" w:rsidRPr="001B37DD">
        <w:rPr>
          <w:rFonts w:ascii="Cambria" w:eastAsia="Arial" w:hAnsi="Cambria" w:cs="Arial"/>
          <w:lang w:val="en-AU" w:eastAsia="en-GB"/>
        </w:rPr>
        <w:t>here</w:t>
      </w:r>
      <w:r>
        <w:rPr>
          <w:rFonts w:ascii="Cambria" w:eastAsia="Arial" w:hAnsi="Cambria" w:cs="Arial"/>
          <w:lang w:val="en-AU" w:eastAsia="en-GB"/>
        </w:rPr>
        <w:t xml:space="preserve"> also</w:t>
      </w:r>
      <w:r w:rsidR="001B37DD" w:rsidRPr="001B37DD">
        <w:rPr>
          <w:rFonts w:ascii="Cambria" w:eastAsia="Arial" w:hAnsi="Cambria" w:cs="Arial"/>
          <w:lang w:val="en-AU" w:eastAsia="en-GB"/>
        </w:rPr>
        <w:t xml:space="preserve"> exists a conflict of interest in the functions of the Attorney Generals Department</w:t>
      </w:r>
      <w:r w:rsidR="0021165E">
        <w:rPr>
          <w:rFonts w:ascii="Cambria" w:eastAsia="Arial" w:hAnsi="Cambria" w:cs="Arial"/>
          <w:lang w:val="en-AU" w:eastAsia="en-GB"/>
        </w:rPr>
        <w:t>,</w:t>
      </w:r>
      <w:r w:rsidR="001B37DD" w:rsidRPr="001B37DD">
        <w:rPr>
          <w:rFonts w:ascii="Cambria" w:eastAsia="Arial" w:hAnsi="Cambria" w:cs="Arial"/>
          <w:lang w:val="en-AU" w:eastAsia="en-GB"/>
        </w:rPr>
        <w:t xml:space="preserve"> which is the office responsible for criminal prosecutions</w:t>
      </w:r>
      <w:r>
        <w:rPr>
          <w:rFonts w:ascii="Cambria" w:eastAsia="Arial" w:hAnsi="Cambria" w:cs="Arial"/>
          <w:lang w:val="en-AU" w:eastAsia="en-GB"/>
        </w:rPr>
        <w:t xml:space="preserve"> under the Convention Against the Torture Act</w:t>
      </w:r>
      <w:r w:rsidR="001B37DD" w:rsidRPr="001B37DD">
        <w:rPr>
          <w:rFonts w:ascii="Cambria" w:eastAsia="Arial" w:hAnsi="Cambria" w:cs="Arial"/>
          <w:lang w:val="en-AU" w:eastAsia="en-GB"/>
        </w:rPr>
        <w:t>, which are undertaken based on investigations conducted by the p</w:t>
      </w:r>
      <w:r>
        <w:rPr>
          <w:rFonts w:ascii="Cambria" w:eastAsia="Arial" w:hAnsi="Cambria" w:cs="Arial"/>
          <w:lang w:val="en-AU" w:eastAsia="en-GB"/>
        </w:rPr>
        <w:t xml:space="preserve">olice officers. The same </w:t>
      </w:r>
      <w:r w:rsidR="00407F87">
        <w:rPr>
          <w:rFonts w:ascii="Cambria" w:eastAsia="Arial" w:hAnsi="Cambria" w:cs="Arial"/>
          <w:lang w:val="en-AU" w:eastAsia="en-GB"/>
        </w:rPr>
        <w:t>entity</w:t>
      </w:r>
      <w:r>
        <w:rPr>
          <w:rFonts w:ascii="Cambria" w:eastAsia="Arial" w:hAnsi="Cambria" w:cs="Arial"/>
          <w:lang w:val="en-AU" w:eastAsia="en-GB"/>
        </w:rPr>
        <w:t xml:space="preserve"> </w:t>
      </w:r>
      <w:r w:rsidR="0021165E">
        <w:rPr>
          <w:rFonts w:ascii="Cambria" w:eastAsia="Arial" w:hAnsi="Cambria" w:cs="Arial"/>
          <w:lang w:val="en-AU" w:eastAsia="en-GB"/>
        </w:rPr>
        <w:t>also functions as the advisor to the government and has also in man</w:t>
      </w:r>
      <w:r w:rsidR="009C0EA7">
        <w:rPr>
          <w:rFonts w:ascii="Cambria" w:eastAsia="Arial" w:hAnsi="Cambria" w:cs="Arial"/>
          <w:lang w:val="en-AU" w:eastAsia="en-GB"/>
        </w:rPr>
        <w:t>y</w:t>
      </w:r>
      <w:r w:rsidR="0021165E">
        <w:rPr>
          <w:rFonts w:ascii="Cambria" w:eastAsia="Arial" w:hAnsi="Cambria" w:cs="Arial"/>
          <w:lang w:val="en-AU" w:eastAsia="en-GB"/>
        </w:rPr>
        <w:t xml:space="preserve"> instances appeared for state officials named as respondents in </w:t>
      </w:r>
      <w:r w:rsidR="001B37DD" w:rsidRPr="001B37DD">
        <w:rPr>
          <w:rFonts w:ascii="Cambria" w:eastAsia="Arial" w:hAnsi="Cambria" w:cs="Arial"/>
          <w:lang w:val="en-AU" w:eastAsia="en-GB"/>
        </w:rPr>
        <w:t>fundamental rights petitions</w:t>
      </w:r>
      <w:r w:rsidR="009C0EA7">
        <w:rPr>
          <w:rFonts w:ascii="Cambria" w:eastAsia="Arial" w:hAnsi="Cambria" w:cs="Arial"/>
          <w:lang w:val="en-AU" w:eastAsia="en-GB"/>
        </w:rPr>
        <w:t xml:space="preserve">, including in cases filed alleging </w:t>
      </w:r>
      <w:r>
        <w:rPr>
          <w:rFonts w:ascii="Cambria" w:eastAsia="Arial" w:hAnsi="Cambria" w:cs="Arial"/>
          <w:lang w:val="en-AU" w:eastAsia="en-GB"/>
        </w:rPr>
        <w:t>torture.</w:t>
      </w:r>
    </w:p>
    <w:p w14:paraId="7B76CDEF" w14:textId="77777777" w:rsidR="001B37DD" w:rsidRPr="001B37DD" w:rsidRDefault="001B37DD" w:rsidP="001B37DD">
      <w:pPr>
        <w:spacing w:before="120" w:after="100"/>
        <w:contextualSpacing/>
        <w:jc w:val="both"/>
        <w:rPr>
          <w:rFonts w:ascii="Cambria" w:eastAsia="Arial" w:hAnsi="Cambria" w:cs="Arial"/>
          <w:lang w:val="en-AU" w:eastAsia="en-GB"/>
        </w:rPr>
      </w:pPr>
    </w:p>
    <w:p w14:paraId="3E2E87B0" w14:textId="335D99E0" w:rsidR="004D1424" w:rsidRPr="009C0EA7" w:rsidRDefault="0019079F" w:rsidP="009C0EA7">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In fundamental rights petitions where the Court has found a violation of the right against torture by a member of the police department, </w:t>
      </w:r>
      <w:r w:rsidR="001B37DD" w:rsidRPr="001B37DD">
        <w:rPr>
          <w:rFonts w:ascii="Cambria" w:eastAsia="Arial" w:hAnsi="Cambria" w:cs="Arial"/>
          <w:lang w:val="en-AU" w:eastAsia="en-GB"/>
        </w:rPr>
        <w:t xml:space="preserve">judges have </w:t>
      </w:r>
      <w:r w:rsidR="009C0EA7">
        <w:rPr>
          <w:rFonts w:ascii="Cambria" w:eastAsia="Arial" w:hAnsi="Cambria" w:cs="Arial"/>
          <w:lang w:val="en-AU" w:eastAsia="en-GB"/>
        </w:rPr>
        <w:t>directed</w:t>
      </w:r>
      <w:r w:rsidR="001B37DD" w:rsidRPr="001B37DD">
        <w:rPr>
          <w:rFonts w:ascii="Cambria" w:eastAsia="Arial" w:hAnsi="Cambria" w:cs="Arial"/>
          <w:lang w:val="en-AU" w:eastAsia="en-GB"/>
        </w:rPr>
        <w:t xml:space="preserve"> the Attorney General’s Department to</w:t>
      </w:r>
      <w:r w:rsidR="009C0EA7">
        <w:rPr>
          <w:rFonts w:ascii="Cambria" w:eastAsia="Arial" w:hAnsi="Cambria" w:cs="Arial"/>
          <w:lang w:val="en-AU" w:eastAsia="en-GB"/>
        </w:rPr>
        <w:t xml:space="preserve"> institute</w:t>
      </w:r>
      <w:r w:rsidR="001B37DD" w:rsidRPr="001B37DD">
        <w:rPr>
          <w:rFonts w:ascii="Cambria" w:eastAsia="Arial" w:hAnsi="Cambria" w:cs="Arial"/>
          <w:lang w:val="en-AU" w:eastAsia="en-GB"/>
        </w:rPr>
        <w:t xml:space="preserve"> action against the respondent under the Convention Against Torture Act</w:t>
      </w:r>
      <w:r w:rsidR="009C0EA7">
        <w:rPr>
          <w:rFonts w:ascii="Cambria" w:eastAsia="Arial" w:hAnsi="Cambria" w:cs="Arial"/>
          <w:lang w:val="en-AU" w:eastAsia="en-GB"/>
        </w:rPr>
        <w:t xml:space="preserve"> and </w:t>
      </w:r>
      <w:r w:rsidR="009C0EA7">
        <w:rPr>
          <w:rFonts w:ascii="Cambria" w:eastAsia="Arial" w:hAnsi="Cambria" w:cs="Arial"/>
          <w:lang w:val="en-AU" w:eastAsia="en-GB"/>
        </w:rPr>
        <w:t xml:space="preserve">the Penal Code. The state authorities found responsible may also be required to pay compensation. </w:t>
      </w:r>
      <w:r w:rsidR="001B37DD" w:rsidRPr="001B37DD">
        <w:rPr>
          <w:rFonts w:ascii="Cambria" w:eastAsia="Arial" w:hAnsi="Cambria" w:cs="Arial"/>
          <w:lang w:val="en-AU" w:eastAsia="en-GB"/>
        </w:rPr>
        <w:t xml:space="preserve">However, such investigations </w:t>
      </w:r>
      <w:r>
        <w:rPr>
          <w:rFonts w:ascii="Cambria" w:eastAsia="Arial" w:hAnsi="Cambria" w:cs="Arial"/>
          <w:lang w:val="en-AU" w:eastAsia="en-GB"/>
        </w:rPr>
        <w:t>have</w:t>
      </w:r>
      <w:r w:rsidR="001B37DD" w:rsidRPr="001B37DD">
        <w:rPr>
          <w:rFonts w:ascii="Cambria" w:eastAsia="Arial" w:hAnsi="Cambria" w:cs="Arial"/>
          <w:lang w:val="en-AU" w:eastAsia="en-GB"/>
        </w:rPr>
        <w:t xml:space="preserve"> rarely</w:t>
      </w:r>
      <w:r>
        <w:rPr>
          <w:rFonts w:ascii="Cambria" w:eastAsia="Arial" w:hAnsi="Cambria" w:cs="Arial"/>
          <w:lang w:val="en-AU" w:eastAsia="en-GB"/>
        </w:rPr>
        <w:t xml:space="preserve"> been</w:t>
      </w:r>
      <w:r w:rsidR="001B37DD" w:rsidRPr="001B37DD">
        <w:rPr>
          <w:rFonts w:ascii="Cambria" w:eastAsia="Arial" w:hAnsi="Cambria" w:cs="Arial"/>
          <w:lang w:val="en-AU" w:eastAsia="en-GB"/>
        </w:rPr>
        <w:t xml:space="preserve"> initiated</w:t>
      </w:r>
      <w:r>
        <w:rPr>
          <w:rFonts w:ascii="Cambria" w:eastAsia="Arial" w:hAnsi="Cambria" w:cs="Arial"/>
          <w:lang w:val="en-AU" w:eastAsia="en-GB"/>
        </w:rPr>
        <w:t xml:space="preserve"> by the Department of their own accord</w:t>
      </w:r>
      <w:r w:rsidR="001B37DD" w:rsidRPr="001B37DD">
        <w:rPr>
          <w:rFonts w:ascii="Cambria" w:eastAsia="Arial" w:hAnsi="Cambria" w:cs="Arial"/>
          <w:lang w:val="en-AU" w:eastAsia="en-GB"/>
        </w:rPr>
        <w:t>.</w:t>
      </w:r>
      <w:r w:rsidR="004D1424">
        <w:rPr>
          <w:rFonts w:ascii="Cambria" w:eastAsia="Arial" w:hAnsi="Cambria" w:cs="Arial"/>
          <w:lang w:val="en-AU" w:eastAsia="en-GB"/>
        </w:rPr>
        <w:t xml:space="preserve"> </w:t>
      </w:r>
      <w:r w:rsidR="004D1424">
        <w:rPr>
          <w:rFonts w:ascii="Cambria" w:hAnsi="Cambria"/>
        </w:rPr>
        <w:t>As noted by the Committee Against Torture in its Concluding Observations:</w:t>
      </w:r>
    </w:p>
    <w:p w14:paraId="1A18423B" w14:textId="77777777" w:rsidR="004D1424" w:rsidRDefault="004D1424" w:rsidP="004D1424">
      <w:pPr>
        <w:ind w:right="720"/>
        <w:jc w:val="both"/>
        <w:rPr>
          <w:rFonts w:ascii="Cambria" w:hAnsi="Cambria"/>
        </w:rPr>
      </w:pPr>
    </w:p>
    <w:p w14:paraId="2FB19C5D" w14:textId="73FBF898" w:rsidR="004D1424" w:rsidRDefault="004D1424" w:rsidP="004D1424">
      <w:pPr>
        <w:ind w:left="720" w:right="720"/>
        <w:jc w:val="both"/>
        <w:rPr>
          <w:rFonts w:ascii="Cambria" w:hAnsi="Cambria"/>
        </w:rPr>
      </w:pPr>
      <w:r>
        <w:rPr>
          <w:rFonts w:ascii="Cambria" w:hAnsi="Cambria"/>
        </w:rPr>
        <w:t>‘</w:t>
      </w:r>
      <w:r w:rsidR="00A06BB8">
        <w:rPr>
          <w:rFonts w:ascii="Cambria" w:hAnsi="Cambria"/>
        </w:rPr>
        <w:t>A</w:t>
      </w:r>
      <w:r>
        <w:rPr>
          <w:rFonts w:ascii="Cambria" w:hAnsi="Cambria"/>
        </w:rPr>
        <w:t>lthough the (Human Rights) Commission forwards all allegations of torture to the Attorney General’s Office for prosecution, the Office does not open ex officio investigations into those complaints, but rather refers them to the police for further investigation. Similarly, the Committee notes the State party’s confirmation that prosecutors generally do not launch investigations into torture ex officio, but rather only act in cases where a complaint of torture is first submitted to the police and investigated by them.’</w:t>
      </w:r>
      <w:r>
        <w:rPr>
          <w:rStyle w:val="FootnoteReference"/>
          <w:rFonts w:ascii="Cambria" w:hAnsi="Cambria"/>
        </w:rPr>
        <w:footnoteReference w:id="4"/>
      </w:r>
      <w:r>
        <w:rPr>
          <w:rFonts w:ascii="Cambria" w:hAnsi="Cambria"/>
        </w:rPr>
        <w:t xml:space="preserve"> </w:t>
      </w:r>
    </w:p>
    <w:p w14:paraId="066BADB5" w14:textId="75B682D4" w:rsidR="00B43833" w:rsidRPr="001B37DD" w:rsidRDefault="00B43833" w:rsidP="001B37DD">
      <w:pPr>
        <w:spacing w:before="120" w:after="100"/>
        <w:contextualSpacing/>
        <w:jc w:val="both"/>
        <w:rPr>
          <w:rFonts w:ascii="Cambria" w:eastAsia="Arial" w:hAnsi="Cambria" w:cs="Arial"/>
          <w:lang w:val="en-AU" w:eastAsia="en-GB"/>
        </w:rPr>
      </w:pPr>
    </w:p>
    <w:p w14:paraId="655A546A" w14:textId="5565656F" w:rsidR="00B43833" w:rsidRDefault="00B43833" w:rsidP="00170AB3">
      <w:pPr>
        <w:spacing w:before="120" w:after="100"/>
        <w:contextualSpacing/>
        <w:jc w:val="both"/>
        <w:rPr>
          <w:rFonts w:ascii="Cambria" w:eastAsia="Arial" w:hAnsi="Cambria" w:cs="Arial"/>
          <w:lang w:val="en-AU" w:eastAsia="en-GB"/>
        </w:rPr>
      </w:pPr>
    </w:p>
    <w:p w14:paraId="60D2EE2E" w14:textId="47FC6F90" w:rsidR="004560BA" w:rsidRPr="004560BA" w:rsidRDefault="004560BA" w:rsidP="00170AB3">
      <w:pPr>
        <w:spacing w:before="120" w:after="100"/>
        <w:contextualSpacing/>
        <w:jc w:val="both"/>
        <w:rPr>
          <w:rFonts w:ascii="Cambria" w:eastAsia="Arial" w:hAnsi="Cambria" w:cs="Arial"/>
          <w:u w:val="single"/>
          <w:lang w:val="en-AU" w:eastAsia="en-GB"/>
        </w:rPr>
      </w:pPr>
      <w:r w:rsidRPr="004560BA">
        <w:rPr>
          <w:rFonts w:ascii="Cambria" w:eastAsia="Arial" w:hAnsi="Cambria" w:cs="Arial"/>
          <w:u w:val="single"/>
          <w:lang w:val="en-AU" w:eastAsia="en-GB"/>
        </w:rPr>
        <w:t>Deaths in prison</w:t>
      </w:r>
    </w:p>
    <w:p w14:paraId="478075E9" w14:textId="26383C58" w:rsidR="004560BA" w:rsidRDefault="004560BA" w:rsidP="00170AB3">
      <w:pPr>
        <w:spacing w:before="120" w:after="100"/>
        <w:contextualSpacing/>
        <w:jc w:val="both"/>
        <w:rPr>
          <w:rFonts w:ascii="Cambria" w:eastAsia="Arial" w:hAnsi="Cambria" w:cs="Arial"/>
          <w:lang w:val="en-AU" w:eastAsia="en-GB"/>
        </w:rPr>
      </w:pPr>
    </w:p>
    <w:p w14:paraId="566FC77F" w14:textId="0D3D55F9" w:rsidR="004560BA" w:rsidRDefault="00547E02" w:rsidP="00170AB3">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The </w:t>
      </w:r>
      <w:r w:rsidR="001B7F8F">
        <w:rPr>
          <w:rFonts w:ascii="Cambria" w:eastAsia="Arial" w:hAnsi="Cambria" w:cs="Arial"/>
          <w:lang w:val="en-AU" w:eastAsia="en-GB"/>
        </w:rPr>
        <w:t>HRCSL</w:t>
      </w:r>
      <w:r w:rsidR="004560BA">
        <w:rPr>
          <w:rFonts w:ascii="Cambria" w:eastAsia="Arial" w:hAnsi="Cambria" w:cs="Arial"/>
          <w:lang w:val="en-AU" w:eastAsia="en-GB"/>
        </w:rPr>
        <w:t xml:space="preserve"> in the report of the first national study of prisons</w:t>
      </w:r>
      <w:r>
        <w:rPr>
          <w:rFonts w:ascii="Cambria" w:eastAsia="Arial" w:hAnsi="Cambria" w:cs="Arial"/>
          <w:lang w:val="en-AU" w:eastAsia="en-GB"/>
        </w:rPr>
        <w:t xml:space="preserve"> provided a detailed description of the procedure followed by prison authorities when deaths occur in prison. </w:t>
      </w:r>
    </w:p>
    <w:p w14:paraId="27B0FA35" w14:textId="4B7B9CCB" w:rsidR="00547E02" w:rsidRDefault="00547E02" w:rsidP="00170AB3">
      <w:pPr>
        <w:spacing w:before="120" w:after="100"/>
        <w:contextualSpacing/>
        <w:jc w:val="both"/>
        <w:rPr>
          <w:rFonts w:ascii="Cambria" w:eastAsia="Arial" w:hAnsi="Cambria" w:cs="Arial"/>
          <w:lang w:val="en-AU" w:eastAsia="en-GB"/>
        </w:rPr>
      </w:pPr>
    </w:p>
    <w:p w14:paraId="46A81B91" w14:textId="3CBD0623" w:rsidR="00B55C8E" w:rsidRDefault="00547E02" w:rsidP="00547E02">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As mentioned in the </w:t>
      </w:r>
      <w:hyperlink r:id="rId10" w:history="1">
        <w:r w:rsidRPr="00FE2CE7">
          <w:rPr>
            <w:rStyle w:val="Hyperlink"/>
            <w:rFonts w:ascii="Cambria" w:eastAsia="Arial" w:hAnsi="Cambria" w:cs="Arial"/>
            <w:lang w:val="en-AU" w:eastAsia="en-GB"/>
          </w:rPr>
          <w:t>report</w:t>
        </w:r>
      </w:hyperlink>
      <w:r>
        <w:rPr>
          <w:rFonts w:ascii="Cambria" w:eastAsia="Arial" w:hAnsi="Cambria" w:cs="Arial"/>
          <w:lang w:val="en-AU" w:eastAsia="en-GB"/>
        </w:rPr>
        <w:t xml:space="preserve">, </w:t>
      </w:r>
      <w:r w:rsidRPr="00547E02">
        <w:rPr>
          <w:rFonts w:ascii="Cambria" w:eastAsia="Arial" w:hAnsi="Cambria" w:cs="Arial"/>
          <w:lang w:val="en-AU" w:eastAsia="en-GB"/>
        </w:rPr>
        <w:t>Section 97 of the P</w:t>
      </w:r>
      <w:r>
        <w:rPr>
          <w:rFonts w:ascii="Cambria" w:eastAsia="Arial" w:hAnsi="Cambria" w:cs="Arial"/>
          <w:lang w:val="en-AU" w:eastAsia="en-GB"/>
        </w:rPr>
        <w:t xml:space="preserve">risons </w:t>
      </w:r>
      <w:r w:rsidRPr="00547E02">
        <w:rPr>
          <w:rFonts w:ascii="Cambria" w:eastAsia="Arial" w:hAnsi="Cambria" w:cs="Arial"/>
          <w:lang w:val="en-AU" w:eastAsia="en-GB"/>
        </w:rPr>
        <w:t>O</w:t>
      </w:r>
      <w:r>
        <w:rPr>
          <w:rFonts w:ascii="Cambria" w:eastAsia="Arial" w:hAnsi="Cambria" w:cs="Arial"/>
          <w:lang w:val="en-AU" w:eastAsia="en-GB"/>
        </w:rPr>
        <w:t>rdinance</w:t>
      </w:r>
      <w:r w:rsidRPr="00547E02">
        <w:rPr>
          <w:rFonts w:ascii="Cambria" w:eastAsia="Arial" w:hAnsi="Cambria" w:cs="Arial"/>
          <w:lang w:val="en-AU" w:eastAsia="en-GB"/>
        </w:rPr>
        <w:t xml:space="preserve"> states that in case any Magistrate or inquirer shall hold an inquest on</w:t>
      </w:r>
      <w:r>
        <w:rPr>
          <w:rFonts w:ascii="Cambria" w:eastAsia="Arial" w:hAnsi="Cambria" w:cs="Arial"/>
          <w:lang w:val="en-AU" w:eastAsia="en-GB"/>
        </w:rPr>
        <w:t xml:space="preserve"> </w:t>
      </w:r>
      <w:r w:rsidRPr="00547E02">
        <w:rPr>
          <w:rFonts w:ascii="Cambria" w:eastAsia="Arial" w:hAnsi="Cambria" w:cs="Arial"/>
          <w:lang w:val="en-AU" w:eastAsia="en-GB"/>
        </w:rPr>
        <w:t xml:space="preserve">the </w:t>
      </w:r>
      <w:r w:rsidR="00407F87">
        <w:rPr>
          <w:rFonts w:ascii="Cambria" w:eastAsia="Arial" w:hAnsi="Cambria" w:cs="Arial"/>
          <w:lang w:val="en-AU" w:eastAsia="en-GB"/>
        </w:rPr>
        <w:t>physical remains</w:t>
      </w:r>
      <w:r w:rsidRPr="00547E02">
        <w:rPr>
          <w:rFonts w:ascii="Cambria" w:eastAsia="Arial" w:hAnsi="Cambria" w:cs="Arial"/>
          <w:lang w:val="en-AU" w:eastAsia="en-GB"/>
        </w:rPr>
        <w:t xml:space="preserve"> of any </w:t>
      </w:r>
      <w:r w:rsidR="009C0EA7">
        <w:rPr>
          <w:rFonts w:ascii="Cambria" w:eastAsia="Arial" w:hAnsi="Cambria" w:cs="Arial"/>
          <w:lang w:val="en-AU" w:eastAsia="en-GB"/>
        </w:rPr>
        <w:t xml:space="preserve">incarcerated person </w:t>
      </w:r>
      <w:r w:rsidRPr="00547E02">
        <w:rPr>
          <w:rFonts w:ascii="Cambria" w:eastAsia="Arial" w:hAnsi="Cambria" w:cs="Arial"/>
          <w:lang w:val="en-AU" w:eastAsia="en-GB"/>
        </w:rPr>
        <w:t>who has died while in custody, no prison officer or prisoner or</w:t>
      </w:r>
      <w:r>
        <w:rPr>
          <w:rFonts w:ascii="Cambria" w:eastAsia="Arial" w:hAnsi="Cambria" w:cs="Arial"/>
          <w:lang w:val="en-AU" w:eastAsia="en-GB"/>
        </w:rPr>
        <w:t xml:space="preserve"> </w:t>
      </w:r>
      <w:r w:rsidRPr="00547E02">
        <w:rPr>
          <w:rFonts w:ascii="Cambria" w:eastAsia="Arial" w:hAnsi="Cambria" w:cs="Arial"/>
          <w:lang w:val="en-AU" w:eastAsia="en-GB"/>
        </w:rPr>
        <w:t>person engaged in any trade or dealing with the prison shall be an assessor at such inquest.</w:t>
      </w:r>
      <w:r>
        <w:rPr>
          <w:rFonts w:ascii="Cambria" w:eastAsia="Arial" w:hAnsi="Cambria" w:cs="Arial"/>
          <w:lang w:val="en-AU" w:eastAsia="en-GB"/>
        </w:rPr>
        <w:t xml:space="preserve"> </w:t>
      </w:r>
    </w:p>
    <w:p w14:paraId="55E795DA" w14:textId="77777777" w:rsidR="00B55C8E" w:rsidRDefault="00B55C8E" w:rsidP="00547E02">
      <w:pPr>
        <w:spacing w:before="120" w:after="100"/>
        <w:contextualSpacing/>
        <w:jc w:val="both"/>
        <w:rPr>
          <w:rFonts w:ascii="Cambria" w:eastAsia="Arial" w:hAnsi="Cambria" w:cs="Arial"/>
          <w:lang w:val="en-AU" w:eastAsia="en-GB"/>
        </w:rPr>
      </w:pPr>
    </w:p>
    <w:p w14:paraId="30D4F776" w14:textId="3A367307" w:rsidR="00547E02" w:rsidRDefault="00547E02" w:rsidP="00547E02">
      <w:pPr>
        <w:spacing w:before="120" w:after="100"/>
        <w:contextualSpacing/>
        <w:jc w:val="both"/>
        <w:rPr>
          <w:rFonts w:ascii="Cambria" w:eastAsia="Arial" w:hAnsi="Cambria" w:cs="Arial"/>
          <w:lang w:val="en-AU" w:eastAsia="en-GB"/>
        </w:rPr>
      </w:pPr>
      <w:r w:rsidRPr="00547E02">
        <w:rPr>
          <w:rFonts w:ascii="Cambria" w:eastAsia="Arial" w:hAnsi="Cambria" w:cs="Arial"/>
          <w:lang w:val="en-AU" w:eastAsia="en-GB"/>
        </w:rPr>
        <w:t>Section 396 of the D</w:t>
      </w:r>
      <w:r>
        <w:rPr>
          <w:rFonts w:ascii="Cambria" w:eastAsia="Arial" w:hAnsi="Cambria" w:cs="Arial"/>
          <w:lang w:val="en-AU" w:eastAsia="en-GB"/>
        </w:rPr>
        <w:t xml:space="preserve">epartment </w:t>
      </w:r>
      <w:r w:rsidRPr="00547E02">
        <w:rPr>
          <w:rFonts w:ascii="Cambria" w:eastAsia="Arial" w:hAnsi="Cambria" w:cs="Arial"/>
          <w:lang w:val="en-AU" w:eastAsia="en-GB"/>
        </w:rPr>
        <w:t>S</w:t>
      </w:r>
      <w:r>
        <w:rPr>
          <w:rFonts w:ascii="Cambria" w:eastAsia="Arial" w:hAnsi="Cambria" w:cs="Arial"/>
          <w:lang w:val="en-AU" w:eastAsia="en-GB"/>
        </w:rPr>
        <w:t xml:space="preserve">tanding </w:t>
      </w:r>
      <w:r w:rsidRPr="00547E02">
        <w:rPr>
          <w:rFonts w:ascii="Cambria" w:eastAsia="Arial" w:hAnsi="Cambria" w:cs="Arial"/>
          <w:lang w:val="en-AU" w:eastAsia="en-GB"/>
        </w:rPr>
        <w:t>O</w:t>
      </w:r>
      <w:r>
        <w:rPr>
          <w:rFonts w:ascii="Cambria" w:eastAsia="Arial" w:hAnsi="Cambria" w:cs="Arial"/>
          <w:lang w:val="en-AU" w:eastAsia="en-GB"/>
        </w:rPr>
        <w:t xml:space="preserve">rders require that </w:t>
      </w:r>
      <w:r w:rsidRPr="00547E02">
        <w:rPr>
          <w:rFonts w:ascii="Cambria" w:eastAsia="Arial" w:hAnsi="Cambria" w:cs="Arial"/>
          <w:lang w:val="en-AU" w:eastAsia="en-GB"/>
        </w:rPr>
        <w:t>on the death of a</w:t>
      </w:r>
      <w:r w:rsidR="009C0EA7">
        <w:rPr>
          <w:rFonts w:ascii="Cambria" w:eastAsia="Arial" w:hAnsi="Cambria" w:cs="Arial"/>
          <w:lang w:val="en-AU" w:eastAsia="en-GB"/>
        </w:rPr>
        <w:t xml:space="preserve">n incarcerated person, </w:t>
      </w:r>
      <w:r w:rsidRPr="00547E02">
        <w:rPr>
          <w:rFonts w:ascii="Cambria" w:eastAsia="Arial" w:hAnsi="Cambria" w:cs="Arial"/>
          <w:lang w:val="en-AU" w:eastAsia="en-GB"/>
        </w:rPr>
        <w:t>the S</w:t>
      </w:r>
      <w:r>
        <w:rPr>
          <w:rFonts w:ascii="Cambria" w:eastAsia="Arial" w:hAnsi="Cambria" w:cs="Arial"/>
          <w:lang w:val="en-AU" w:eastAsia="en-GB"/>
        </w:rPr>
        <w:t xml:space="preserve">uperintendent of the </w:t>
      </w:r>
      <w:r w:rsidRPr="00547E02">
        <w:rPr>
          <w:rFonts w:ascii="Cambria" w:eastAsia="Arial" w:hAnsi="Cambria" w:cs="Arial"/>
          <w:lang w:val="en-AU" w:eastAsia="en-GB"/>
        </w:rPr>
        <w:t>P</w:t>
      </w:r>
      <w:r>
        <w:rPr>
          <w:rFonts w:ascii="Cambria" w:eastAsia="Arial" w:hAnsi="Cambria" w:cs="Arial"/>
          <w:lang w:val="en-AU" w:eastAsia="en-GB"/>
        </w:rPr>
        <w:t xml:space="preserve">rison should </w:t>
      </w:r>
      <w:r w:rsidRPr="00547E02">
        <w:rPr>
          <w:rFonts w:ascii="Cambria" w:eastAsia="Arial" w:hAnsi="Cambria" w:cs="Arial"/>
          <w:lang w:val="en-AU" w:eastAsia="en-GB"/>
        </w:rPr>
        <w:t>inform the Magistrate of the Court within the</w:t>
      </w:r>
      <w:r>
        <w:rPr>
          <w:rFonts w:ascii="Cambria" w:eastAsia="Arial" w:hAnsi="Cambria" w:cs="Arial"/>
          <w:lang w:val="en-AU" w:eastAsia="en-GB"/>
        </w:rPr>
        <w:t xml:space="preserve"> </w:t>
      </w:r>
      <w:r w:rsidRPr="00547E02">
        <w:rPr>
          <w:rFonts w:ascii="Cambria" w:eastAsia="Arial" w:hAnsi="Cambria" w:cs="Arial"/>
          <w:lang w:val="en-AU" w:eastAsia="en-GB"/>
        </w:rPr>
        <w:t>limits of whose jurisdiction the prison is situated to hold an inquiry into the cause of death</w:t>
      </w:r>
      <w:r>
        <w:rPr>
          <w:rFonts w:ascii="Cambria" w:eastAsia="Arial" w:hAnsi="Cambria" w:cs="Arial"/>
          <w:lang w:val="en-AU" w:eastAsia="en-GB"/>
        </w:rPr>
        <w:t xml:space="preserve">. </w:t>
      </w:r>
      <w:r w:rsidRPr="00547E02">
        <w:rPr>
          <w:rFonts w:ascii="Cambria" w:eastAsia="Arial" w:hAnsi="Cambria" w:cs="Arial"/>
          <w:lang w:val="en-AU" w:eastAsia="en-GB"/>
        </w:rPr>
        <w:t xml:space="preserve">The Commission </w:t>
      </w:r>
      <w:r>
        <w:rPr>
          <w:rFonts w:ascii="Cambria" w:eastAsia="Arial" w:hAnsi="Cambria" w:cs="Arial"/>
          <w:lang w:val="en-AU" w:eastAsia="en-GB"/>
        </w:rPr>
        <w:t>highlighted</w:t>
      </w:r>
      <w:r w:rsidRPr="00547E02">
        <w:rPr>
          <w:rFonts w:ascii="Cambria" w:eastAsia="Arial" w:hAnsi="Cambria" w:cs="Arial"/>
          <w:lang w:val="en-AU" w:eastAsia="en-GB"/>
        </w:rPr>
        <w:t xml:space="preserve"> that a judicial investigation is carried out for every death in</w:t>
      </w:r>
      <w:r>
        <w:rPr>
          <w:rFonts w:ascii="Cambria" w:eastAsia="Arial" w:hAnsi="Cambria" w:cs="Arial"/>
          <w:lang w:val="en-AU" w:eastAsia="en-GB"/>
        </w:rPr>
        <w:t xml:space="preserve"> prison whereby </w:t>
      </w:r>
      <w:r w:rsidRPr="00547E02">
        <w:rPr>
          <w:rFonts w:ascii="Cambria" w:eastAsia="Arial" w:hAnsi="Cambria" w:cs="Arial"/>
          <w:lang w:val="en-AU" w:eastAsia="en-GB"/>
        </w:rPr>
        <w:t>evidence</w:t>
      </w:r>
      <w:r>
        <w:rPr>
          <w:rFonts w:ascii="Cambria" w:eastAsia="Arial" w:hAnsi="Cambria" w:cs="Arial"/>
          <w:lang w:val="en-AU" w:eastAsia="en-GB"/>
        </w:rPr>
        <w:t xml:space="preserve"> is called</w:t>
      </w:r>
      <w:r w:rsidRPr="00547E02">
        <w:rPr>
          <w:rFonts w:ascii="Cambria" w:eastAsia="Arial" w:hAnsi="Cambria" w:cs="Arial"/>
          <w:lang w:val="en-AU" w:eastAsia="en-GB"/>
        </w:rPr>
        <w:t xml:space="preserve"> from witnesses (</w:t>
      </w:r>
      <w:r w:rsidR="009C0EA7">
        <w:rPr>
          <w:rFonts w:ascii="Cambria" w:eastAsia="Arial" w:hAnsi="Cambria" w:cs="Arial"/>
          <w:lang w:val="en-AU" w:eastAsia="en-GB"/>
        </w:rPr>
        <w:t>incarcerated persons</w:t>
      </w:r>
      <w:r w:rsidRPr="00547E02">
        <w:rPr>
          <w:rFonts w:ascii="Cambria" w:eastAsia="Arial" w:hAnsi="Cambria" w:cs="Arial"/>
          <w:lang w:val="en-AU" w:eastAsia="en-GB"/>
        </w:rPr>
        <w:t>/officers) etc.</w:t>
      </w:r>
      <w:r>
        <w:rPr>
          <w:rFonts w:ascii="Cambria" w:eastAsia="Arial" w:hAnsi="Cambria" w:cs="Arial"/>
          <w:lang w:val="en-AU" w:eastAsia="en-GB"/>
        </w:rPr>
        <w:t xml:space="preserve"> </w:t>
      </w:r>
    </w:p>
    <w:p w14:paraId="0B349CBD" w14:textId="77777777" w:rsidR="00547E02" w:rsidRPr="00547E02" w:rsidRDefault="00547E02" w:rsidP="00547E02">
      <w:pPr>
        <w:spacing w:before="120" w:after="100"/>
        <w:contextualSpacing/>
        <w:jc w:val="both"/>
        <w:rPr>
          <w:rFonts w:ascii="Cambria" w:eastAsia="Arial" w:hAnsi="Cambria" w:cs="Arial"/>
          <w:lang w:val="en-AU" w:eastAsia="en-GB"/>
        </w:rPr>
      </w:pPr>
    </w:p>
    <w:p w14:paraId="603AF3E8" w14:textId="25955A05" w:rsidR="00547E02" w:rsidRDefault="00547E02" w:rsidP="00547E02">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The police station in the jurisdiction </w:t>
      </w:r>
      <w:r w:rsidR="00407F87">
        <w:rPr>
          <w:rFonts w:ascii="Cambria" w:eastAsia="Arial" w:hAnsi="Cambria" w:cs="Arial"/>
          <w:lang w:val="en-AU" w:eastAsia="en-GB"/>
        </w:rPr>
        <w:t xml:space="preserve">within </w:t>
      </w:r>
      <w:r>
        <w:rPr>
          <w:rFonts w:ascii="Cambria" w:eastAsia="Arial" w:hAnsi="Cambria" w:cs="Arial"/>
          <w:lang w:val="en-AU" w:eastAsia="en-GB"/>
        </w:rPr>
        <w:t>which the prison falls is also required to be informed</w:t>
      </w:r>
      <w:r w:rsidR="00A06BB8">
        <w:rPr>
          <w:rFonts w:ascii="Cambria" w:eastAsia="Arial" w:hAnsi="Cambria" w:cs="Arial"/>
          <w:lang w:val="en-AU" w:eastAsia="en-GB"/>
        </w:rPr>
        <w:t>, after which it reports the death to the relevant court. T</w:t>
      </w:r>
      <w:r>
        <w:rPr>
          <w:rFonts w:ascii="Cambria" w:eastAsia="Arial" w:hAnsi="Cambria" w:cs="Arial"/>
          <w:lang w:val="en-AU" w:eastAsia="en-GB"/>
        </w:rPr>
        <w:t xml:space="preserve">he magistrate </w:t>
      </w:r>
      <w:r w:rsidR="00A06BB8">
        <w:rPr>
          <w:rFonts w:ascii="Cambria" w:eastAsia="Arial" w:hAnsi="Cambria" w:cs="Arial"/>
          <w:lang w:val="en-AU" w:eastAsia="en-GB"/>
        </w:rPr>
        <w:t xml:space="preserve">then </w:t>
      </w:r>
      <w:r>
        <w:rPr>
          <w:rFonts w:ascii="Cambria" w:eastAsia="Arial" w:hAnsi="Cambria" w:cs="Arial"/>
          <w:lang w:val="en-AU" w:eastAsia="en-GB"/>
        </w:rPr>
        <w:t xml:space="preserve">visits the prison and </w:t>
      </w:r>
      <w:proofErr w:type="gramStart"/>
      <w:r>
        <w:rPr>
          <w:rFonts w:ascii="Cambria" w:eastAsia="Arial" w:hAnsi="Cambria" w:cs="Arial"/>
          <w:lang w:val="en-AU" w:eastAsia="en-GB"/>
        </w:rPr>
        <w:t xml:space="preserve">conducts an </w:t>
      </w:r>
      <w:r w:rsidR="002155EA">
        <w:rPr>
          <w:rFonts w:ascii="Cambria" w:eastAsia="Arial" w:hAnsi="Cambria" w:cs="Arial"/>
          <w:lang w:val="en-AU" w:eastAsia="en-GB"/>
        </w:rPr>
        <w:t>investigation</w:t>
      </w:r>
      <w:proofErr w:type="gramEnd"/>
      <w:r w:rsidR="002155EA">
        <w:rPr>
          <w:rFonts w:ascii="Cambria" w:eastAsia="Arial" w:hAnsi="Cambria" w:cs="Arial"/>
          <w:lang w:val="en-AU" w:eastAsia="en-GB"/>
        </w:rPr>
        <w:t>/inspection</w:t>
      </w:r>
      <w:r>
        <w:rPr>
          <w:rFonts w:ascii="Cambria" w:eastAsia="Arial" w:hAnsi="Cambria" w:cs="Arial"/>
          <w:lang w:val="en-AU" w:eastAsia="en-GB"/>
        </w:rPr>
        <w:t>.</w:t>
      </w:r>
      <w:r w:rsidR="002155EA">
        <w:rPr>
          <w:rFonts w:ascii="Cambria" w:eastAsia="Arial" w:hAnsi="Cambria" w:cs="Arial"/>
          <w:lang w:val="en-AU" w:eastAsia="en-GB"/>
        </w:rPr>
        <w:t xml:space="preserve"> The </w:t>
      </w:r>
      <w:r w:rsidR="00407F87">
        <w:rPr>
          <w:rFonts w:ascii="Cambria" w:eastAsia="Arial" w:hAnsi="Cambria" w:cs="Arial"/>
          <w:lang w:val="en-AU" w:eastAsia="en-GB"/>
        </w:rPr>
        <w:t>remains of the deceased</w:t>
      </w:r>
      <w:r w:rsidR="002155EA">
        <w:rPr>
          <w:rFonts w:ascii="Cambria" w:eastAsia="Arial" w:hAnsi="Cambria" w:cs="Arial"/>
          <w:lang w:val="en-AU" w:eastAsia="en-GB"/>
        </w:rPr>
        <w:t xml:space="preserve"> cannot be moved until the conclusion of the visit of the magistrate. However, the Commission observed that in several instances, a person who may have died in custody </w:t>
      </w:r>
      <w:r w:rsidR="00407F87">
        <w:rPr>
          <w:rFonts w:ascii="Cambria" w:eastAsia="Arial" w:hAnsi="Cambria" w:cs="Arial"/>
          <w:lang w:val="en-AU" w:eastAsia="en-GB"/>
        </w:rPr>
        <w:t>was</w:t>
      </w:r>
      <w:r w:rsidR="002155EA">
        <w:rPr>
          <w:rFonts w:ascii="Cambria" w:eastAsia="Arial" w:hAnsi="Cambria" w:cs="Arial"/>
          <w:lang w:val="en-AU" w:eastAsia="en-GB"/>
        </w:rPr>
        <w:t xml:space="preserve"> taken to hospital </w:t>
      </w:r>
      <w:r w:rsidR="008407A5">
        <w:rPr>
          <w:rFonts w:ascii="Cambria" w:eastAsia="Arial" w:hAnsi="Cambria" w:cs="Arial"/>
          <w:lang w:val="en-AU" w:eastAsia="en-GB"/>
        </w:rPr>
        <w:t xml:space="preserve">as the prison officers are not qualified to declare a person dead, and therefore key evidence may </w:t>
      </w:r>
      <w:r w:rsidR="00407F87">
        <w:rPr>
          <w:rFonts w:ascii="Cambria" w:eastAsia="Arial" w:hAnsi="Cambria" w:cs="Arial"/>
          <w:lang w:val="en-AU" w:eastAsia="en-GB"/>
        </w:rPr>
        <w:t xml:space="preserve">have </w:t>
      </w:r>
      <w:r w:rsidR="008407A5">
        <w:rPr>
          <w:rFonts w:ascii="Cambria" w:eastAsia="Arial" w:hAnsi="Cambria" w:cs="Arial"/>
          <w:lang w:val="en-AU" w:eastAsia="en-GB"/>
        </w:rPr>
        <w:t>be</w:t>
      </w:r>
      <w:r w:rsidR="00407F87">
        <w:rPr>
          <w:rFonts w:ascii="Cambria" w:eastAsia="Arial" w:hAnsi="Cambria" w:cs="Arial"/>
          <w:lang w:val="en-AU" w:eastAsia="en-GB"/>
        </w:rPr>
        <w:t>en</w:t>
      </w:r>
      <w:r w:rsidR="008407A5">
        <w:rPr>
          <w:rFonts w:ascii="Cambria" w:eastAsia="Arial" w:hAnsi="Cambria" w:cs="Arial"/>
          <w:lang w:val="en-AU" w:eastAsia="en-GB"/>
        </w:rPr>
        <w:t xml:space="preserve"> compromised when </w:t>
      </w:r>
      <w:r w:rsidR="00407F87">
        <w:rPr>
          <w:rFonts w:ascii="Cambria" w:eastAsia="Arial" w:hAnsi="Cambria" w:cs="Arial"/>
          <w:lang w:val="en-AU" w:eastAsia="en-GB"/>
        </w:rPr>
        <w:t>the</w:t>
      </w:r>
      <w:r w:rsidR="008407A5">
        <w:rPr>
          <w:rFonts w:ascii="Cambria" w:eastAsia="Arial" w:hAnsi="Cambria" w:cs="Arial"/>
          <w:lang w:val="en-AU" w:eastAsia="en-GB"/>
        </w:rPr>
        <w:t xml:space="preserve"> person </w:t>
      </w:r>
      <w:r w:rsidR="00407F87">
        <w:rPr>
          <w:rFonts w:ascii="Cambria" w:eastAsia="Arial" w:hAnsi="Cambria" w:cs="Arial"/>
          <w:lang w:val="en-AU" w:eastAsia="en-GB"/>
        </w:rPr>
        <w:t>was</w:t>
      </w:r>
      <w:r w:rsidR="008407A5">
        <w:rPr>
          <w:rFonts w:ascii="Cambria" w:eastAsia="Arial" w:hAnsi="Cambria" w:cs="Arial"/>
          <w:lang w:val="en-AU" w:eastAsia="en-GB"/>
        </w:rPr>
        <w:t xml:space="preserve"> removed from the </w:t>
      </w:r>
      <w:r w:rsidR="00407F87">
        <w:rPr>
          <w:rFonts w:ascii="Cambria" w:eastAsia="Arial" w:hAnsi="Cambria" w:cs="Arial"/>
          <w:lang w:val="en-AU" w:eastAsia="en-GB"/>
        </w:rPr>
        <w:t xml:space="preserve">location in which </w:t>
      </w:r>
      <w:r w:rsidR="008407A5">
        <w:rPr>
          <w:rFonts w:ascii="Cambria" w:eastAsia="Arial" w:hAnsi="Cambria" w:cs="Arial"/>
          <w:lang w:val="en-AU" w:eastAsia="en-GB"/>
        </w:rPr>
        <w:t xml:space="preserve">they were found. Similarly, the </w:t>
      </w:r>
      <w:r w:rsidR="00407F87">
        <w:rPr>
          <w:rFonts w:ascii="Cambria" w:eastAsia="Arial" w:hAnsi="Cambria" w:cs="Arial"/>
          <w:lang w:val="en-AU" w:eastAsia="en-GB"/>
        </w:rPr>
        <w:t>HRCSL</w:t>
      </w:r>
      <w:r w:rsidR="008407A5">
        <w:rPr>
          <w:rFonts w:ascii="Cambria" w:eastAsia="Arial" w:hAnsi="Cambria" w:cs="Arial"/>
          <w:lang w:val="en-AU" w:eastAsia="en-GB"/>
        </w:rPr>
        <w:t xml:space="preserve"> also reported that in some instance of deaths in prison, the magistrate </w:t>
      </w:r>
      <w:r w:rsidR="00407F87">
        <w:rPr>
          <w:rFonts w:ascii="Cambria" w:eastAsia="Arial" w:hAnsi="Cambria" w:cs="Arial"/>
          <w:lang w:val="en-AU" w:eastAsia="en-GB"/>
        </w:rPr>
        <w:t>did</w:t>
      </w:r>
      <w:r w:rsidR="008407A5">
        <w:rPr>
          <w:rFonts w:ascii="Cambria" w:eastAsia="Arial" w:hAnsi="Cambria" w:cs="Arial"/>
          <w:lang w:val="en-AU" w:eastAsia="en-GB"/>
        </w:rPr>
        <w:t xml:space="preserve"> not visit the prison immediately and delays of up to even a full day were recorded. Until the magistrate visits the prison, the prison officers </w:t>
      </w:r>
      <w:proofErr w:type="gramStart"/>
      <w:r w:rsidR="008407A5">
        <w:rPr>
          <w:rFonts w:ascii="Cambria" w:eastAsia="Arial" w:hAnsi="Cambria" w:cs="Arial"/>
          <w:lang w:val="en-AU" w:eastAsia="en-GB"/>
        </w:rPr>
        <w:t>are in charge of</w:t>
      </w:r>
      <w:proofErr w:type="gramEnd"/>
      <w:r w:rsidR="008407A5">
        <w:rPr>
          <w:rFonts w:ascii="Cambria" w:eastAsia="Arial" w:hAnsi="Cambria" w:cs="Arial"/>
          <w:lang w:val="en-AU" w:eastAsia="en-GB"/>
        </w:rPr>
        <w:t xml:space="preserve"> the </w:t>
      </w:r>
      <w:r w:rsidR="00407F87">
        <w:rPr>
          <w:rFonts w:ascii="Cambria" w:eastAsia="Arial" w:hAnsi="Cambria" w:cs="Arial"/>
          <w:lang w:val="en-AU" w:eastAsia="en-GB"/>
        </w:rPr>
        <w:t xml:space="preserve">remains of the deceased </w:t>
      </w:r>
      <w:r w:rsidR="008407A5">
        <w:rPr>
          <w:rFonts w:ascii="Cambria" w:eastAsia="Arial" w:hAnsi="Cambria" w:cs="Arial"/>
          <w:lang w:val="en-AU" w:eastAsia="en-GB"/>
        </w:rPr>
        <w:t>and in cases of deaths due to violence, the prison authorities may be able to tamper with key evidence until the arrival of the magistrate.</w:t>
      </w:r>
      <w:r w:rsidR="00FE2CE7">
        <w:rPr>
          <w:rStyle w:val="FootnoteReference"/>
          <w:rFonts w:ascii="Cambria" w:eastAsia="Arial" w:hAnsi="Cambria" w:cs="Arial"/>
          <w:lang w:val="en-AU" w:eastAsia="en-GB"/>
        </w:rPr>
        <w:footnoteReference w:id="5"/>
      </w:r>
      <w:r w:rsidR="008407A5">
        <w:rPr>
          <w:rFonts w:ascii="Cambria" w:eastAsia="Arial" w:hAnsi="Cambria" w:cs="Arial"/>
          <w:lang w:val="en-AU" w:eastAsia="en-GB"/>
        </w:rPr>
        <w:t xml:space="preserve"> </w:t>
      </w:r>
    </w:p>
    <w:p w14:paraId="245F4714" w14:textId="48B1FF8A" w:rsidR="001B7F8F" w:rsidRDefault="001B7F8F" w:rsidP="00547E02">
      <w:pPr>
        <w:spacing w:before="120" w:after="100"/>
        <w:contextualSpacing/>
        <w:jc w:val="both"/>
        <w:rPr>
          <w:rFonts w:ascii="Cambria" w:eastAsia="Arial" w:hAnsi="Cambria" w:cs="Arial"/>
          <w:lang w:val="en-AU" w:eastAsia="en-GB"/>
        </w:rPr>
      </w:pPr>
    </w:p>
    <w:p w14:paraId="53CCFDA9" w14:textId="77777777" w:rsidR="001B7F8F" w:rsidRPr="00D27B7B" w:rsidRDefault="001B7F8F" w:rsidP="001B7F8F">
      <w:pPr>
        <w:jc w:val="both"/>
        <w:rPr>
          <w:rFonts w:ascii="Cambria" w:hAnsi="Cambria"/>
        </w:rPr>
      </w:pPr>
    </w:p>
    <w:p w14:paraId="6FA53888" w14:textId="588C3804" w:rsidR="001B7F8F" w:rsidRDefault="00033F39" w:rsidP="001B7F8F">
      <w:pPr>
        <w:spacing w:before="120" w:after="100"/>
        <w:contextualSpacing/>
        <w:jc w:val="both"/>
        <w:rPr>
          <w:rFonts w:ascii="Cambria" w:eastAsia="Arial" w:hAnsi="Cambria" w:cs="Arial"/>
          <w:lang w:val="en-AU" w:eastAsia="en-GB"/>
        </w:rPr>
      </w:pPr>
      <w:r>
        <w:rPr>
          <w:rFonts w:ascii="Cambria" w:hAnsi="Cambria"/>
        </w:rPr>
        <w:lastRenderedPageBreak/>
        <w:t xml:space="preserve">HRCSL highlights that in </w:t>
      </w:r>
      <w:r w:rsidR="001B7F8F" w:rsidRPr="00D27B7B">
        <w:rPr>
          <w:rFonts w:ascii="Cambria" w:hAnsi="Cambria"/>
        </w:rPr>
        <w:t xml:space="preserve">instances where the cause of death was not conclusively determined, there </w:t>
      </w:r>
      <w:r>
        <w:rPr>
          <w:rFonts w:ascii="Cambria" w:hAnsi="Cambria"/>
        </w:rPr>
        <w:t>was</w:t>
      </w:r>
      <w:r w:rsidR="001B7F8F" w:rsidRPr="00D27B7B">
        <w:rPr>
          <w:rFonts w:ascii="Cambria" w:hAnsi="Cambria"/>
        </w:rPr>
        <w:t xml:space="preserve"> no indication whether further investigations were </w:t>
      </w:r>
      <w:r>
        <w:rPr>
          <w:rFonts w:ascii="Cambria" w:hAnsi="Cambria"/>
        </w:rPr>
        <w:t>conducted</w:t>
      </w:r>
      <w:r w:rsidR="001B7F8F" w:rsidRPr="00D27B7B">
        <w:rPr>
          <w:rFonts w:ascii="Cambria" w:hAnsi="Cambria"/>
        </w:rPr>
        <w:t xml:space="preserve"> to ascertain the cause of death. When inquired about this, </w:t>
      </w:r>
      <w:r>
        <w:rPr>
          <w:rFonts w:ascii="Cambria" w:hAnsi="Cambria"/>
        </w:rPr>
        <w:t>one prison</w:t>
      </w:r>
      <w:r w:rsidR="001B7F8F" w:rsidRPr="00D27B7B">
        <w:rPr>
          <w:rFonts w:ascii="Cambria" w:hAnsi="Cambria"/>
        </w:rPr>
        <w:t xml:space="preserve"> stated it was not their duty to ascertain the actual cause of death, which they stated lies with a court. This</w:t>
      </w:r>
      <w:r w:rsidR="001B7F8F">
        <w:rPr>
          <w:rFonts w:ascii="Cambria" w:hAnsi="Cambria"/>
        </w:rPr>
        <w:t>,</w:t>
      </w:r>
      <w:r w:rsidR="001B7F8F" w:rsidRPr="00D27B7B">
        <w:rPr>
          <w:rFonts w:ascii="Cambria" w:hAnsi="Cambria"/>
        </w:rPr>
        <w:t xml:space="preserve"> however</w:t>
      </w:r>
      <w:r w:rsidR="001B7F8F">
        <w:rPr>
          <w:rFonts w:ascii="Cambria" w:hAnsi="Cambria"/>
        </w:rPr>
        <w:t>,</w:t>
      </w:r>
      <w:r w:rsidR="001B7F8F" w:rsidRPr="00D27B7B">
        <w:rPr>
          <w:rFonts w:ascii="Cambria" w:hAnsi="Cambria"/>
        </w:rPr>
        <w:t xml:space="preserve"> does not absolve the prison administration from efficiently and accurately maintaining their documentation on the judicial investigation</w:t>
      </w:r>
      <w:r>
        <w:rPr>
          <w:rFonts w:ascii="Cambria" w:hAnsi="Cambria"/>
        </w:rPr>
        <w:t>,</w:t>
      </w:r>
      <w:r w:rsidR="001B7F8F" w:rsidRPr="00D27B7B">
        <w:rPr>
          <w:rFonts w:ascii="Cambria" w:hAnsi="Cambria"/>
        </w:rPr>
        <w:t xml:space="preserve"> and conclusion in the case so a complete record of the case and resultant investigative findings </w:t>
      </w:r>
      <w:r>
        <w:rPr>
          <w:rFonts w:ascii="Cambria" w:hAnsi="Cambria"/>
        </w:rPr>
        <w:t>is</w:t>
      </w:r>
      <w:r w:rsidR="001B7F8F" w:rsidRPr="00D27B7B">
        <w:rPr>
          <w:rFonts w:ascii="Cambria" w:hAnsi="Cambria"/>
        </w:rPr>
        <w:t xml:space="preserve"> in the possession of the prison and </w:t>
      </w:r>
      <w:r>
        <w:rPr>
          <w:rFonts w:ascii="Cambria" w:hAnsi="Cambria"/>
        </w:rPr>
        <w:t>the D</w:t>
      </w:r>
      <w:r w:rsidR="001B7F8F" w:rsidRPr="00D27B7B">
        <w:rPr>
          <w:rFonts w:ascii="Cambria" w:hAnsi="Cambria"/>
        </w:rPr>
        <w:t>OP.</w:t>
      </w:r>
    </w:p>
    <w:p w14:paraId="25431F86" w14:textId="77777777" w:rsidR="001B7F8F" w:rsidRDefault="001B7F8F" w:rsidP="00547E02">
      <w:pPr>
        <w:spacing w:before="120" w:after="100"/>
        <w:contextualSpacing/>
        <w:jc w:val="both"/>
        <w:rPr>
          <w:rFonts w:ascii="Cambria" w:eastAsia="Arial" w:hAnsi="Cambria" w:cs="Arial"/>
          <w:lang w:val="en-AU" w:eastAsia="en-GB"/>
        </w:rPr>
      </w:pPr>
    </w:p>
    <w:p w14:paraId="132101DC" w14:textId="3257E0BF" w:rsidR="001B7F8F" w:rsidRPr="00D27B7B" w:rsidRDefault="001B7F8F" w:rsidP="001B7F8F">
      <w:pPr>
        <w:jc w:val="both"/>
        <w:rPr>
          <w:rFonts w:ascii="Cambria" w:hAnsi="Cambria"/>
        </w:rPr>
      </w:pPr>
      <w:r w:rsidRPr="00D27B7B">
        <w:rPr>
          <w:rFonts w:ascii="Cambria" w:hAnsi="Cambria"/>
        </w:rPr>
        <w:t>The Commission observe</w:t>
      </w:r>
      <w:r>
        <w:rPr>
          <w:rFonts w:ascii="Cambria" w:hAnsi="Cambria"/>
        </w:rPr>
        <w:t>d</w:t>
      </w:r>
      <w:r w:rsidRPr="00D27B7B">
        <w:rPr>
          <w:rFonts w:ascii="Cambria" w:hAnsi="Cambria"/>
        </w:rPr>
        <w:t xml:space="preserve"> that the </w:t>
      </w:r>
      <w:proofErr w:type="gramStart"/>
      <w:r w:rsidRPr="00D27B7B">
        <w:rPr>
          <w:rFonts w:ascii="Cambria" w:hAnsi="Cambria"/>
        </w:rPr>
        <w:t>manner in which</w:t>
      </w:r>
      <w:proofErr w:type="gramEnd"/>
      <w:r w:rsidRPr="00D27B7B">
        <w:rPr>
          <w:rFonts w:ascii="Cambria" w:hAnsi="Cambria"/>
        </w:rPr>
        <w:t xml:space="preserve"> information is recorded by prisons in the case of a death in custody is piecemeal</w:t>
      </w:r>
      <w:r>
        <w:rPr>
          <w:rFonts w:ascii="Cambria" w:hAnsi="Cambria"/>
        </w:rPr>
        <w:t xml:space="preserve">. It </w:t>
      </w:r>
      <w:r w:rsidRPr="00D27B7B">
        <w:rPr>
          <w:rFonts w:ascii="Cambria" w:hAnsi="Cambria"/>
        </w:rPr>
        <w:t xml:space="preserve">does not aim to provide a </w:t>
      </w:r>
      <w:r>
        <w:rPr>
          <w:rFonts w:ascii="Cambria" w:hAnsi="Cambria"/>
        </w:rPr>
        <w:t xml:space="preserve">complete and comprehensive account that enables </w:t>
      </w:r>
      <w:r w:rsidRPr="00D27B7B">
        <w:rPr>
          <w:rFonts w:ascii="Cambria" w:hAnsi="Cambria"/>
        </w:rPr>
        <w:t>lessons</w:t>
      </w:r>
      <w:r>
        <w:rPr>
          <w:rFonts w:ascii="Cambria" w:hAnsi="Cambria"/>
        </w:rPr>
        <w:t xml:space="preserve"> to be learnt, </w:t>
      </w:r>
      <w:r w:rsidRPr="00D27B7B">
        <w:rPr>
          <w:rFonts w:ascii="Cambria" w:hAnsi="Cambria"/>
        </w:rPr>
        <w:t>patterns</w:t>
      </w:r>
      <w:r>
        <w:rPr>
          <w:rFonts w:ascii="Cambria" w:hAnsi="Cambria"/>
        </w:rPr>
        <w:t xml:space="preserve"> to</w:t>
      </w:r>
      <w:r w:rsidRPr="00D27B7B">
        <w:rPr>
          <w:rFonts w:ascii="Cambria" w:hAnsi="Cambria"/>
        </w:rPr>
        <w:t xml:space="preserve"> be identified, and practices devised to address them, particularly in the case of unnatural deaths.</w:t>
      </w:r>
    </w:p>
    <w:p w14:paraId="5F95DBE0" w14:textId="77777777" w:rsidR="001B7F8F" w:rsidRDefault="001B7F8F" w:rsidP="00547E02">
      <w:pPr>
        <w:spacing w:before="120" w:after="100"/>
        <w:contextualSpacing/>
        <w:jc w:val="both"/>
        <w:rPr>
          <w:rFonts w:ascii="Cambria" w:eastAsia="Arial" w:hAnsi="Cambria" w:cs="Arial"/>
          <w:lang w:val="en-AU" w:eastAsia="en-GB"/>
        </w:rPr>
      </w:pPr>
    </w:p>
    <w:p w14:paraId="21C6BDFD" w14:textId="77777777" w:rsidR="001B7F8F" w:rsidRDefault="001B7F8F" w:rsidP="00547E02">
      <w:pPr>
        <w:spacing w:before="120" w:after="100"/>
        <w:contextualSpacing/>
        <w:jc w:val="both"/>
        <w:rPr>
          <w:rFonts w:ascii="Cambria" w:eastAsia="Arial" w:hAnsi="Cambria" w:cs="Arial"/>
          <w:lang w:val="en-AU" w:eastAsia="en-GB"/>
        </w:rPr>
      </w:pPr>
    </w:p>
    <w:p w14:paraId="12BA71D8" w14:textId="77777777" w:rsidR="00182DB8" w:rsidRDefault="00182DB8" w:rsidP="00547E02">
      <w:pPr>
        <w:spacing w:before="120" w:after="100"/>
        <w:contextualSpacing/>
        <w:jc w:val="both"/>
        <w:rPr>
          <w:rFonts w:ascii="Cambria" w:eastAsia="Arial" w:hAnsi="Cambria" w:cs="Arial"/>
          <w:u w:val="single"/>
          <w:lang w:val="en-AU" w:eastAsia="en-GB"/>
        </w:rPr>
      </w:pPr>
      <w:r w:rsidRPr="00182DB8">
        <w:rPr>
          <w:rFonts w:ascii="Cambria" w:eastAsia="Arial" w:hAnsi="Cambria" w:cs="Arial"/>
          <w:u w:val="single"/>
          <w:lang w:val="en-AU" w:eastAsia="en-GB"/>
        </w:rPr>
        <w:t>Deaths in police custody</w:t>
      </w:r>
    </w:p>
    <w:p w14:paraId="55F9C3A9" w14:textId="77777777" w:rsidR="00182DB8" w:rsidRDefault="00182DB8" w:rsidP="00547E02">
      <w:pPr>
        <w:spacing w:before="120" w:after="100"/>
        <w:contextualSpacing/>
        <w:jc w:val="both"/>
        <w:rPr>
          <w:rFonts w:ascii="Cambria" w:eastAsia="Arial" w:hAnsi="Cambria" w:cs="Arial"/>
          <w:u w:val="single"/>
          <w:lang w:val="en-AU" w:eastAsia="en-GB"/>
        </w:rPr>
      </w:pPr>
    </w:p>
    <w:p w14:paraId="30393358" w14:textId="12493AC2" w:rsidR="00182DB8" w:rsidRPr="00182DB8" w:rsidRDefault="00182DB8" w:rsidP="00547E02">
      <w:pPr>
        <w:spacing w:before="120" w:after="100"/>
        <w:contextualSpacing/>
        <w:jc w:val="both"/>
        <w:rPr>
          <w:rFonts w:ascii="Cambria" w:eastAsia="Arial" w:hAnsi="Cambria" w:cs="Arial"/>
          <w:u w:val="single"/>
          <w:lang w:val="en-AU" w:eastAsia="en-GB"/>
        </w:rPr>
      </w:pPr>
      <w:r>
        <w:rPr>
          <w:rFonts w:ascii="Cambria" w:eastAsia="Arial" w:hAnsi="Cambria" w:cs="Arial"/>
          <w:lang w:val="en-AU" w:eastAsia="en-GB"/>
        </w:rPr>
        <w:t>Limited information exists in the public domain regarding the procedure for an investigation into a death</w:t>
      </w:r>
      <w:r w:rsidR="00151286">
        <w:rPr>
          <w:rFonts w:ascii="Cambria" w:eastAsia="Arial" w:hAnsi="Cambria" w:cs="Arial"/>
          <w:lang w:val="en-AU" w:eastAsia="en-GB"/>
        </w:rPr>
        <w:t xml:space="preserve"> that occurs</w:t>
      </w:r>
      <w:r>
        <w:rPr>
          <w:rFonts w:ascii="Cambria" w:eastAsia="Arial" w:hAnsi="Cambria" w:cs="Arial"/>
          <w:lang w:val="en-AU" w:eastAsia="en-GB"/>
        </w:rPr>
        <w:t xml:space="preserve"> in police custody.</w:t>
      </w:r>
      <w:r w:rsidR="00151286">
        <w:rPr>
          <w:rFonts w:ascii="Cambria" w:eastAsia="Arial" w:hAnsi="Cambria" w:cs="Arial"/>
          <w:lang w:val="en-AU" w:eastAsia="en-GB"/>
        </w:rPr>
        <w:t xml:space="preserve"> While the procedure outlined above under Section 373 of the Code of Criminal Procedure would be </w:t>
      </w:r>
      <w:r w:rsidR="00FE2CE7">
        <w:rPr>
          <w:rFonts w:ascii="Cambria" w:eastAsia="Arial" w:hAnsi="Cambria" w:cs="Arial"/>
          <w:lang w:val="en-AU" w:eastAsia="en-GB"/>
        </w:rPr>
        <w:t>followed</w:t>
      </w:r>
      <w:r w:rsidR="00151286">
        <w:rPr>
          <w:rFonts w:ascii="Cambria" w:eastAsia="Arial" w:hAnsi="Cambria" w:cs="Arial"/>
          <w:lang w:val="en-AU" w:eastAsia="en-GB"/>
        </w:rPr>
        <w:t xml:space="preserve">, it is unclear </w:t>
      </w:r>
      <w:r w:rsidR="00FE2CE7">
        <w:rPr>
          <w:rFonts w:ascii="Cambria" w:eastAsia="Arial" w:hAnsi="Cambria" w:cs="Arial"/>
          <w:lang w:val="en-AU" w:eastAsia="en-GB"/>
        </w:rPr>
        <w:t xml:space="preserve">what </w:t>
      </w:r>
      <w:r w:rsidR="00033F39">
        <w:rPr>
          <w:rFonts w:ascii="Cambria" w:eastAsia="Arial" w:hAnsi="Cambria" w:cs="Arial"/>
          <w:lang w:val="en-AU" w:eastAsia="en-GB"/>
        </w:rPr>
        <w:t xml:space="preserve">institutional </w:t>
      </w:r>
      <w:r w:rsidR="00FE2CE7">
        <w:rPr>
          <w:rFonts w:ascii="Cambria" w:eastAsia="Arial" w:hAnsi="Cambria" w:cs="Arial"/>
          <w:lang w:val="en-AU" w:eastAsia="en-GB"/>
        </w:rPr>
        <w:t>safeguards are in place to prevent police officers from tamper</w:t>
      </w:r>
      <w:r w:rsidR="00033F39">
        <w:rPr>
          <w:rFonts w:ascii="Cambria" w:eastAsia="Arial" w:hAnsi="Cambria" w:cs="Arial"/>
          <w:lang w:val="en-AU" w:eastAsia="en-GB"/>
        </w:rPr>
        <w:t>ing</w:t>
      </w:r>
      <w:r w:rsidR="00FE2CE7">
        <w:rPr>
          <w:rFonts w:ascii="Cambria" w:eastAsia="Arial" w:hAnsi="Cambria" w:cs="Arial"/>
          <w:lang w:val="en-AU" w:eastAsia="en-GB"/>
        </w:rPr>
        <w:t xml:space="preserve"> with evidence until the magistrate arrives at the scene. </w:t>
      </w:r>
    </w:p>
    <w:p w14:paraId="67059585" w14:textId="2BB7AB22" w:rsidR="00170AB3" w:rsidRDefault="00170AB3" w:rsidP="00170AB3">
      <w:pPr>
        <w:spacing w:before="120" w:after="100"/>
        <w:contextualSpacing/>
        <w:jc w:val="both"/>
        <w:rPr>
          <w:rFonts w:ascii="Cambria" w:eastAsia="Arial" w:hAnsi="Cambria" w:cs="Arial"/>
          <w:lang w:val="en-AU" w:eastAsia="en-GB"/>
        </w:rPr>
      </w:pPr>
    </w:p>
    <w:p w14:paraId="46578769" w14:textId="77777777" w:rsidR="00FE2CE7" w:rsidRPr="00FE2CE7" w:rsidRDefault="00FE2CE7" w:rsidP="00170AB3">
      <w:pPr>
        <w:spacing w:before="120" w:after="100"/>
        <w:contextualSpacing/>
        <w:jc w:val="both"/>
        <w:rPr>
          <w:rFonts w:ascii="Cambria" w:eastAsia="Arial" w:hAnsi="Cambria" w:cs="Arial"/>
          <w:lang w:val="en-AU" w:eastAsia="en-GB"/>
        </w:rPr>
      </w:pPr>
    </w:p>
    <w:p w14:paraId="215ECFB0" w14:textId="52AC5C78" w:rsidR="003C680E" w:rsidRDefault="003C680E" w:rsidP="003C680E">
      <w:pPr>
        <w:numPr>
          <w:ilvl w:val="0"/>
          <w:numId w:val="2"/>
        </w:numPr>
        <w:spacing w:before="120" w:after="100"/>
        <w:contextualSpacing/>
        <w:jc w:val="both"/>
        <w:rPr>
          <w:rFonts w:ascii="Cambria" w:eastAsia="Arial" w:hAnsi="Cambria" w:cs="Arial"/>
          <w:b/>
          <w:lang w:val="en-AU" w:eastAsia="en-GB"/>
        </w:rPr>
      </w:pPr>
      <w:r w:rsidRPr="0014785D">
        <w:rPr>
          <w:rFonts w:ascii="Cambria" w:eastAsia="Arial" w:hAnsi="Cambria" w:cs="Arial"/>
          <w:b/>
          <w:lang w:val="en-AU" w:eastAsia="en-GB"/>
        </w:rPr>
        <w:t>Investigation procedures and accountability mechanisms for deaths in custody (</w:t>
      </w:r>
      <w:proofErr w:type="gramStart"/>
      <w:r w:rsidRPr="0014785D">
        <w:rPr>
          <w:rFonts w:ascii="Cambria" w:eastAsia="Arial" w:hAnsi="Cambria" w:cs="Arial"/>
          <w:b/>
          <w:lang w:val="en-AU" w:eastAsia="en-GB"/>
        </w:rPr>
        <w:t>e.g.</w:t>
      </w:r>
      <w:proofErr w:type="gramEnd"/>
      <w:r w:rsidRPr="0014785D">
        <w:rPr>
          <w:rFonts w:ascii="Cambria" w:eastAsia="Arial" w:hAnsi="Cambria" w:cs="Arial"/>
          <w:b/>
          <w:lang w:val="en-AU" w:eastAsia="en-GB"/>
        </w:rPr>
        <w:t xml:space="preserve"> administrative, judicial or other investigatory body? External oversight?)</w:t>
      </w:r>
    </w:p>
    <w:p w14:paraId="39645657" w14:textId="0D18D24B" w:rsidR="004560BA" w:rsidRDefault="004560BA" w:rsidP="004560BA">
      <w:pPr>
        <w:spacing w:before="120" w:after="100"/>
        <w:contextualSpacing/>
        <w:jc w:val="both"/>
        <w:rPr>
          <w:rFonts w:ascii="Cambria" w:eastAsia="Arial" w:hAnsi="Cambria" w:cs="Arial"/>
          <w:b/>
          <w:lang w:val="en-AU" w:eastAsia="en-GB"/>
        </w:rPr>
      </w:pPr>
    </w:p>
    <w:p w14:paraId="4835B192" w14:textId="3EAEC002" w:rsidR="0019079F" w:rsidRDefault="0019079F" w:rsidP="0019079F">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The </w:t>
      </w:r>
      <w:r w:rsidR="00033F39">
        <w:rPr>
          <w:rFonts w:ascii="Cambria" w:eastAsia="Arial" w:hAnsi="Cambria" w:cs="Arial"/>
          <w:lang w:val="en-AU" w:eastAsia="en-GB"/>
        </w:rPr>
        <w:t>HRCSL</w:t>
      </w:r>
      <w:r>
        <w:rPr>
          <w:rFonts w:ascii="Cambria" w:eastAsia="Arial" w:hAnsi="Cambria" w:cs="Arial"/>
          <w:lang w:val="en-AU" w:eastAsia="en-GB"/>
        </w:rPr>
        <w:t xml:space="preserve"> reported that a preliminary inquiry is also conducted by the prison internally whereby a senior officer of the prison records the circumstances of every death that occurs in prison custody. A file is </w:t>
      </w:r>
      <w:proofErr w:type="gramStart"/>
      <w:r>
        <w:rPr>
          <w:rFonts w:ascii="Cambria" w:eastAsia="Arial" w:hAnsi="Cambria" w:cs="Arial"/>
          <w:lang w:val="en-AU" w:eastAsia="en-GB"/>
        </w:rPr>
        <w:t>maintained</w:t>
      </w:r>
      <w:proofErr w:type="gramEnd"/>
      <w:r>
        <w:rPr>
          <w:rFonts w:ascii="Cambria" w:eastAsia="Arial" w:hAnsi="Cambria" w:cs="Arial"/>
          <w:lang w:val="en-AU" w:eastAsia="en-GB"/>
        </w:rPr>
        <w:t xml:space="preserve"> and copies are sent to the Prison Headquarters, which include</w:t>
      </w:r>
      <w:r w:rsidR="00A7347B">
        <w:rPr>
          <w:rFonts w:ascii="Cambria" w:eastAsia="Arial" w:hAnsi="Cambria" w:cs="Arial"/>
          <w:lang w:val="en-AU" w:eastAsia="en-GB"/>
        </w:rPr>
        <w:t>s</w:t>
      </w:r>
      <w:r>
        <w:rPr>
          <w:rFonts w:ascii="Cambria" w:eastAsia="Arial" w:hAnsi="Cambria" w:cs="Arial"/>
          <w:lang w:val="en-AU" w:eastAsia="en-GB"/>
        </w:rPr>
        <w:t xml:space="preserve"> all documents pertaining to the death, including statements from witnesses, documents from the hospital, etc. </w:t>
      </w:r>
      <w:r w:rsidR="00CD489C">
        <w:rPr>
          <w:rFonts w:ascii="Cambria" w:eastAsia="Arial" w:hAnsi="Cambria" w:cs="Arial"/>
          <w:lang w:val="en-AU" w:eastAsia="en-GB"/>
        </w:rPr>
        <w:t xml:space="preserve">However, as highlighted above, several issues with the internal investigation process were observed by the Commission, including the instances where the General Hospital is recorded as the place of death, even though the person may have died in a prison ward. </w:t>
      </w:r>
    </w:p>
    <w:p w14:paraId="5A6054EC" w14:textId="3CA6B582" w:rsidR="00A7347B" w:rsidRDefault="00A7347B" w:rsidP="0019079F">
      <w:pPr>
        <w:spacing w:before="120" w:after="100"/>
        <w:contextualSpacing/>
        <w:jc w:val="both"/>
        <w:rPr>
          <w:rFonts w:ascii="Cambria" w:eastAsia="Arial" w:hAnsi="Cambria" w:cs="Arial"/>
          <w:lang w:val="en-AU" w:eastAsia="en-GB"/>
        </w:rPr>
      </w:pPr>
    </w:p>
    <w:p w14:paraId="19ECE967" w14:textId="30C2DD40" w:rsidR="00A7347B" w:rsidRPr="00A7347B" w:rsidRDefault="00A7347B" w:rsidP="0019079F">
      <w:pPr>
        <w:spacing w:before="120" w:after="100"/>
        <w:contextualSpacing/>
        <w:jc w:val="both"/>
        <w:rPr>
          <w:rFonts w:ascii="Cambria" w:hAnsi="Cambria"/>
        </w:rPr>
      </w:pPr>
      <w:r w:rsidRPr="00D27B7B">
        <w:rPr>
          <w:rFonts w:ascii="Cambria" w:hAnsi="Cambria"/>
        </w:rPr>
        <w:t xml:space="preserve">The </w:t>
      </w:r>
      <w:r>
        <w:rPr>
          <w:rFonts w:ascii="Cambria" w:hAnsi="Cambria"/>
        </w:rPr>
        <w:t>HRCSL states it</w:t>
      </w:r>
      <w:r w:rsidRPr="00D27B7B">
        <w:rPr>
          <w:rFonts w:ascii="Cambria" w:hAnsi="Cambria"/>
        </w:rPr>
        <w:t xml:space="preserve"> was informed by </w:t>
      </w:r>
      <w:r>
        <w:rPr>
          <w:rFonts w:ascii="Cambria" w:hAnsi="Cambria"/>
        </w:rPr>
        <w:t xml:space="preserve">prison </w:t>
      </w:r>
      <w:r w:rsidRPr="00D27B7B">
        <w:rPr>
          <w:rFonts w:ascii="Cambria" w:hAnsi="Cambria"/>
        </w:rPr>
        <w:t>officers</w:t>
      </w:r>
      <w:r>
        <w:rPr>
          <w:rFonts w:ascii="Cambria" w:hAnsi="Cambria"/>
        </w:rPr>
        <w:t xml:space="preserve"> of the largest prison in Sri Lanka</w:t>
      </w:r>
      <w:r w:rsidRPr="00D27B7B">
        <w:rPr>
          <w:rFonts w:ascii="Cambria" w:hAnsi="Cambria"/>
        </w:rPr>
        <w:t xml:space="preserve"> that if the doctor certifies it was a natural death, a ‘detailed’ preliminary inquiry would not be conducted; if the circumstances of the death suggest it was due to unnatural causes, then further statements from witnesses will be </w:t>
      </w:r>
      <w:r>
        <w:rPr>
          <w:rFonts w:ascii="Cambria" w:hAnsi="Cambria"/>
        </w:rPr>
        <w:t>obtained</w:t>
      </w:r>
      <w:r>
        <w:rPr>
          <w:rFonts w:ascii="Cambria" w:hAnsi="Cambria"/>
        </w:rPr>
        <w:t>.</w:t>
      </w:r>
    </w:p>
    <w:p w14:paraId="2F9E1356" w14:textId="46577FBA" w:rsidR="00CD489C" w:rsidRDefault="00CD489C" w:rsidP="0019079F">
      <w:pPr>
        <w:spacing w:before="120" w:after="100"/>
        <w:contextualSpacing/>
        <w:jc w:val="both"/>
        <w:rPr>
          <w:rFonts w:ascii="Cambria" w:eastAsia="Arial" w:hAnsi="Cambria" w:cs="Arial"/>
          <w:lang w:val="en-AU" w:eastAsia="en-GB"/>
        </w:rPr>
      </w:pPr>
    </w:p>
    <w:p w14:paraId="17FA33B8" w14:textId="7AF682DB" w:rsidR="00A06BB8" w:rsidRDefault="00A06BB8" w:rsidP="00A06BB8">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The </w:t>
      </w:r>
      <w:r w:rsidR="00033F39">
        <w:rPr>
          <w:rFonts w:ascii="Cambria" w:eastAsia="Arial" w:hAnsi="Cambria" w:cs="Arial"/>
          <w:lang w:val="en-AU" w:eastAsia="en-GB"/>
        </w:rPr>
        <w:t>HRCSL</w:t>
      </w:r>
      <w:r>
        <w:rPr>
          <w:rFonts w:ascii="Cambria" w:eastAsia="Arial" w:hAnsi="Cambria" w:cs="Arial"/>
          <w:lang w:val="en-AU" w:eastAsia="en-GB"/>
        </w:rPr>
        <w:t xml:space="preserve"> is mandated to monitor the welfare of persons in custody and can exercise unfettered access to any place of detention without prior notice. The Commission can also conduct an inquiry and investigate into complaints of fundamental rights violations</w:t>
      </w:r>
      <w:r>
        <w:rPr>
          <w:rStyle w:val="FootnoteReference"/>
          <w:rFonts w:ascii="Cambria" w:eastAsia="Arial" w:hAnsi="Cambria" w:cs="Arial"/>
          <w:lang w:val="en-AU" w:eastAsia="en-GB"/>
        </w:rPr>
        <w:footnoteReference w:id="6"/>
      </w:r>
      <w:r>
        <w:rPr>
          <w:rFonts w:ascii="Cambria" w:eastAsia="Arial" w:hAnsi="Cambria" w:cs="Arial"/>
          <w:lang w:val="en-AU" w:eastAsia="en-GB"/>
        </w:rPr>
        <w:t xml:space="preserve">, including the right against torture, inhuman and degrading treatment. The Commission is </w:t>
      </w:r>
      <w:r>
        <w:rPr>
          <w:rFonts w:ascii="Cambria" w:eastAsia="Arial" w:hAnsi="Cambria" w:cs="Arial"/>
          <w:lang w:val="en-AU" w:eastAsia="en-GB"/>
        </w:rPr>
        <w:lastRenderedPageBreak/>
        <w:t xml:space="preserve">therefore mandated to undertake an inquiry in cases of suspected unnatural deaths in custody. However, the Commission only responds in cases where a complaint into death in custody is lodged by a complainant such as a family member of the </w:t>
      </w:r>
      <w:proofErr w:type="gramStart"/>
      <w:r>
        <w:rPr>
          <w:rFonts w:ascii="Cambria" w:eastAsia="Arial" w:hAnsi="Cambria" w:cs="Arial"/>
          <w:lang w:val="en-AU" w:eastAsia="en-GB"/>
        </w:rPr>
        <w:t>deceased, or</w:t>
      </w:r>
      <w:proofErr w:type="gramEnd"/>
      <w:r>
        <w:rPr>
          <w:rFonts w:ascii="Cambria" w:eastAsia="Arial" w:hAnsi="Cambria" w:cs="Arial"/>
          <w:lang w:val="en-AU" w:eastAsia="en-GB"/>
        </w:rPr>
        <w:t xml:space="preserve"> conducts a </w:t>
      </w:r>
      <w:proofErr w:type="spellStart"/>
      <w:r>
        <w:rPr>
          <w:rFonts w:ascii="Cambria" w:eastAsia="Arial" w:hAnsi="Cambria" w:cs="Arial"/>
          <w:lang w:val="en-AU" w:eastAsia="en-GB"/>
        </w:rPr>
        <w:t>suo</w:t>
      </w:r>
      <w:proofErr w:type="spellEnd"/>
      <w:r>
        <w:rPr>
          <w:rFonts w:ascii="Cambria" w:eastAsia="Arial" w:hAnsi="Cambria" w:cs="Arial"/>
          <w:lang w:val="en-AU" w:eastAsia="en-GB"/>
        </w:rPr>
        <w:t xml:space="preserve"> moto investigation into a case of unnatural death in custody </w:t>
      </w:r>
      <w:r w:rsidR="00407F87">
        <w:rPr>
          <w:rFonts w:ascii="Cambria" w:eastAsia="Arial" w:hAnsi="Cambria" w:cs="Arial"/>
          <w:lang w:val="en-AU" w:eastAsia="en-GB"/>
        </w:rPr>
        <w:t>if/when</w:t>
      </w:r>
      <w:r>
        <w:rPr>
          <w:rFonts w:ascii="Cambria" w:eastAsia="Arial" w:hAnsi="Cambria" w:cs="Arial"/>
          <w:lang w:val="en-AU" w:eastAsia="en-GB"/>
        </w:rPr>
        <w:t xml:space="preserve"> the </w:t>
      </w:r>
      <w:r w:rsidR="00A7347B">
        <w:rPr>
          <w:rFonts w:ascii="Cambria" w:eastAsia="Arial" w:hAnsi="Cambria" w:cs="Arial"/>
          <w:lang w:val="en-AU" w:eastAsia="en-GB"/>
        </w:rPr>
        <w:t>Commission becomes aware of such death.</w:t>
      </w:r>
      <w:r>
        <w:rPr>
          <w:rFonts w:ascii="Cambria" w:eastAsia="Arial" w:hAnsi="Cambria" w:cs="Arial"/>
          <w:lang w:val="en-AU" w:eastAsia="en-GB"/>
        </w:rPr>
        <w:t xml:space="preserve"> Since the detaining authorities are not required to and do not inform the Commission when deaths in custody occur, the Commission is not able to conduct investigation</w:t>
      </w:r>
      <w:r w:rsidR="00407F87">
        <w:rPr>
          <w:rFonts w:ascii="Cambria" w:eastAsia="Arial" w:hAnsi="Cambria" w:cs="Arial"/>
          <w:lang w:val="en-AU" w:eastAsia="en-GB"/>
        </w:rPr>
        <w:t>s</w:t>
      </w:r>
      <w:r>
        <w:rPr>
          <w:rFonts w:ascii="Cambria" w:eastAsia="Arial" w:hAnsi="Cambria" w:cs="Arial"/>
          <w:lang w:val="en-AU" w:eastAsia="en-GB"/>
        </w:rPr>
        <w:t xml:space="preserve"> into every death. </w:t>
      </w:r>
    </w:p>
    <w:p w14:paraId="622A9DF2" w14:textId="77777777" w:rsidR="00A06BB8" w:rsidRDefault="00A06BB8" w:rsidP="0019079F">
      <w:pPr>
        <w:spacing w:before="120" w:after="100"/>
        <w:contextualSpacing/>
        <w:jc w:val="both"/>
        <w:rPr>
          <w:rFonts w:ascii="Cambria" w:eastAsia="Arial" w:hAnsi="Cambria" w:cs="Arial"/>
          <w:lang w:val="en-AU" w:eastAsia="en-GB"/>
        </w:rPr>
      </w:pPr>
    </w:p>
    <w:p w14:paraId="27E19EAA" w14:textId="6B699D89" w:rsidR="00CD489C" w:rsidRDefault="00CD489C" w:rsidP="0019079F">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Apart from the Human Rights Commission of Sri Lanka, a separate investigatory body to maintain external oversight of deaths of persons in custody does not exist. </w:t>
      </w:r>
    </w:p>
    <w:p w14:paraId="4DCD8415" w14:textId="77777777" w:rsidR="00A7347B" w:rsidRDefault="00A7347B" w:rsidP="0019079F">
      <w:pPr>
        <w:spacing w:before="120" w:after="100"/>
        <w:contextualSpacing/>
        <w:jc w:val="both"/>
        <w:rPr>
          <w:rFonts w:ascii="Cambria" w:eastAsia="Arial" w:hAnsi="Cambria" w:cs="Arial"/>
          <w:lang w:val="en-AU" w:eastAsia="en-GB"/>
        </w:rPr>
      </w:pPr>
    </w:p>
    <w:p w14:paraId="06041C64" w14:textId="45EB3FCB" w:rsidR="0019079F" w:rsidRPr="0019079F" w:rsidRDefault="0019079F" w:rsidP="004560BA">
      <w:pPr>
        <w:spacing w:before="120" w:after="100"/>
        <w:contextualSpacing/>
        <w:jc w:val="both"/>
        <w:rPr>
          <w:rFonts w:ascii="Cambria" w:eastAsia="Arial" w:hAnsi="Cambria" w:cs="Arial"/>
          <w:lang w:val="en-AU" w:eastAsia="en-GB"/>
        </w:rPr>
      </w:pPr>
    </w:p>
    <w:p w14:paraId="4D524883" w14:textId="2BF6E5C8" w:rsidR="003C680E" w:rsidRDefault="003C680E" w:rsidP="003C680E">
      <w:pPr>
        <w:numPr>
          <w:ilvl w:val="0"/>
          <w:numId w:val="2"/>
        </w:numPr>
        <w:spacing w:before="120" w:after="100"/>
        <w:contextualSpacing/>
        <w:jc w:val="both"/>
        <w:rPr>
          <w:rFonts w:ascii="Cambria" w:eastAsia="Arial" w:hAnsi="Cambria" w:cs="Arial"/>
          <w:b/>
          <w:lang w:val="en-AU" w:eastAsia="en-GB"/>
        </w:rPr>
      </w:pPr>
      <w:r w:rsidRPr="0014785D">
        <w:rPr>
          <w:rFonts w:ascii="Cambria" w:eastAsia="Arial" w:hAnsi="Cambria" w:cs="Arial"/>
          <w:b/>
          <w:lang w:val="en-AU" w:eastAsia="en-GB"/>
        </w:rPr>
        <w:t>What is the level of forensic medical involvement in the investigation of deaths in custody (e.g. is a full post-mortem investigation required in every death in custody)?</w:t>
      </w:r>
    </w:p>
    <w:p w14:paraId="39D9F9E8" w14:textId="77777777" w:rsidR="00547E02" w:rsidRDefault="00547E02" w:rsidP="00547E02">
      <w:pPr>
        <w:spacing w:before="120" w:after="100"/>
        <w:ind w:left="780"/>
        <w:contextualSpacing/>
        <w:jc w:val="both"/>
        <w:rPr>
          <w:rFonts w:ascii="Cambria" w:eastAsia="Arial" w:hAnsi="Cambria" w:cs="Arial"/>
          <w:b/>
          <w:lang w:val="en-AU" w:eastAsia="en-GB"/>
        </w:rPr>
      </w:pPr>
    </w:p>
    <w:p w14:paraId="582C1B44" w14:textId="30CB4E4B" w:rsidR="004560BA" w:rsidRPr="001B7F8F" w:rsidRDefault="001B7F8F" w:rsidP="004560BA">
      <w:pPr>
        <w:spacing w:before="120" w:after="100"/>
        <w:contextualSpacing/>
        <w:jc w:val="both"/>
        <w:rPr>
          <w:rFonts w:ascii="Cambria" w:hAnsi="Cambria"/>
        </w:rPr>
      </w:pPr>
      <w:r>
        <w:rPr>
          <w:rFonts w:ascii="Cambria" w:hAnsi="Cambria"/>
        </w:rPr>
        <w:t>A</w:t>
      </w:r>
      <w:r w:rsidRPr="00D27B7B">
        <w:rPr>
          <w:rFonts w:ascii="Cambria" w:hAnsi="Cambria"/>
        </w:rPr>
        <w:t xml:space="preserve"> post</w:t>
      </w:r>
      <w:r>
        <w:rPr>
          <w:rFonts w:ascii="Cambria" w:hAnsi="Cambria"/>
        </w:rPr>
        <w:t>-</w:t>
      </w:r>
      <w:r w:rsidRPr="00D27B7B">
        <w:rPr>
          <w:rFonts w:ascii="Cambria" w:hAnsi="Cambria"/>
        </w:rPr>
        <w:t>mortem will be conducted</w:t>
      </w:r>
      <w:r w:rsidR="00A7347B">
        <w:rPr>
          <w:rFonts w:ascii="Cambria" w:hAnsi="Cambria"/>
        </w:rPr>
        <w:t xml:space="preserve"> by the Judicial Medical Officer</w:t>
      </w:r>
      <w:r w:rsidRPr="00D27B7B">
        <w:rPr>
          <w:rFonts w:ascii="Cambria" w:hAnsi="Cambria"/>
        </w:rPr>
        <w:t xml:space="preserve"> </w:t>
      </w:r>
      <w:r>
        <w:rPr>
          <w:rFonts w:ascii="Cambria" w:hAnsi="Cambria"/>
        </w:rPr>
        <w:t xml:space="preserve">in </w:t>
      </w:r>
      <w:r w:rsidRPr="00D27B7B">
        <w:rPr>
          <w:rFonts w:ascii="Cambria" w:hAnsi="Cambria"/>
        </w:rPr>
        <w:t>every case of death in prison</w:t>
      </w:r>
      <w:r>
        <w:rPr>
          <w:rFonts w:ascii="Cambria" w:hAnsi="Cambria"/>
        </w:rPr>
        <w:t xml:space="preserve">. The Magistrate will issue the order for a post-mortem to be conducted after inspecting the </w:t>
      </w:r>
      <w:r w:rsidR="00407F87">
        <w:rPr>
          <w:rFonts w:ascii="Cambria" w:hAnsi="Cambria"/>
        </w:rPr>
        <w:t>physical remains of the deceased</w:t>
      </w:r>
      <w:r>
        <w:rPr>
          <w:rFonts w:ascii="Cambria" w:hAnsi="Cambria"/>
        </w:rPr>
        <w:t xml:space="preserve">. The </w:t>
      </w:r>
      <w:r w:rsidR="00407F87">
        <w:rPr>
          <w:rFonts w:ascii="Cambria" w:hAnsi="Cambria"/>
        </w:rPr>
        <w:t>remains of the deceased</w:t>
      </w:r>
      <w:r>
        <w:rPr>
          <w:rFonts w:ascii="Cambria" w:hAnsi="Cambria"/>
        </w:rPr>
        <w:t xml:space="preserve"> will be handed over to the family of the deceased following the completion of the post-mortem examination</w:t>
      </w:r>
      <w:r>
        <w:rPr>
          <w:rFonts w:ascii="Cambria" w:hAnsi="Cambria"/>
        </w:rPr>
        <w:t xml:space="preserve">. </w:t>
      </w:r>
      <w:r w:rsidR="00547E02">
        <w:rPr>
          <w:rFonts w:ascii="Cambria" w:eastAsia="Arial" w:hAnsi="Cambria" w:cs="Arial"/>
          <w:lang w:val="en-AU" w:eastAsia="en-GB"/>
        </w:rPr>
        <w:t>As mentioned</w:t>
      </w:r>
      <w:r w:rsidR="00A7347B">
        <w:rPr>
          <w:rFonts w:ascii="Cambria" w:eastAsia="Arial" w:hAnsi="Cambria" w:cs="Arial"/>
          <w:lang w:val="en-AU" w:eastAsia="en-GB"/>
        </w:rPr>
        <w:t xml:space="preserve"> in </w:t>
      </w:r>
      <w:r w:rsidR="00547E02">
        <w:rPr>
          <w:rFonts w:ascii="Cambria" w:eastAsia="Arial" w:hAnsi="Cambria" w:cs="Arial"/>
          <w:lang w:val="en-AU" w:eastAsia="en-GB"/>
        </w:rPr>
        <w:t xml:space="preserve">the </w:t>
      </w:r>
      <w:r w:rsidR="00A7347B">
        <w:rPr>
          <w:rFonts w:ascii="Cambria" w:eastAsia="Arial" w:hAnsi="Cambria" w:cs="Arial"/>
          <w:lang w:val="en-AU" w:eastAsia="en-GB"/>
        </w:rPr>
        <w:t xml:space="preserve">report of the HRCSL </w:t>
      </w:r>
      <w:r w:rsidR="00547E02">
        <w:rPr>
          <w:rFonts w:ascii="Cambria" w:eastAsia="Arial" w:hAnsi="Cambria" w:cs="Arial"/>
          <w:lang w:val="en-AU" w:eastAsia="en-GB"/>
        </w:rPr>
        <w:t xml:space="preserve">prison study, a full post-mortem examination is conducted for every death that occurs in prison. The report also states that post-mortem examinations are conducted </w:t>
      </w:r>
      <w:r w:rsidR="00547E02" w:rsidRPr="00547E02">
        <w:rPr>
          <w:rFonts w:ascii="Cambria" w:eastAsia="Arial" w:hAnsi="Cambria" w:cs="Arial"/>
          <w:lang w:val="en-AU" w:eastAsia="en-GB"/>
        </w:rPr>
        <w:t>even in the case of Muslim prisoners who u</w:t>
      </w:r>
      <w:r w:rsidR="00547E02">
        <w:rPr>
          <w:rFonts w:ascii="Cambria" w:eastAsia="Arial" w:hAnsi="Cambria" w:cs="Arial"/>
          <w:lang w:val="en-AU" w:eastAsia="en-GB"/>
        </w:rPr>
        <w:t xml:space="preserve">sually do not prefer to dissect </w:t>
      </w:r>
      <w:r w:rsidR="00547E02" w:rsidRPr="00547E02">
        <w:rPr>
          <w:rFonts w:ascii="Cambria" w:eastAsia="Arial" w:hAnsi="Cambria" w:cs="Arial"/>
          <w:lang w:val="en-AU" w:eastAsia="en-GB"/>
        </w:rPr>
        <w:t xml:space="preserve">the </w:t>
      </w:r>
      <w:r w:rsidR="00407F87">
        <w:rPr>
          <w:rFonts w:ascii="Cambria" w:eastAsia="Arial" w:hAnsi="Cambria" w:cs="Arial"/>
          <w:lang w:val="en-AU" w:eastAsia="en-GB"/>
        </w:rPr>
        <w:t>remains</w:t>
      </w:r>
      <w:r w:rsidR="00547E02" w:rsidRPr="00547E02">
        <w:rPr>
          <w:rFonts w:ascii="Cambria" w:eastAsia="Arial" w:hAnsi="Cambria" w:cs="Arial"/>
          <w:lang w:val="en-AU" w:eastAsia="en-GB"/>
        </w:rPr>
        <w:t>, and a person who has been terminally ill for a long period of time</w:t>
      </w:r>
      <w:r w:rsidR="00547E02">
        <w:rPr>
          <w:rFonts w:ascii="Cambria" w:eastAsia="Arial" w:hAnsi="Cambria" w:cs="Arial"/>
          <w:lang w:val="en-AU" w:eastAsia="en-GB"/>
        </w:rPr>
        <w:t>”.</w:t>
      </w:r>
      <w:r w:rsidR="00DF03AB">
        <w:rPr>
          <w:rStyle w:val="FootnoteReference"/>
          <w:rFonts w:ascii="Cambria" w:eastAsia="Arial" w:hAnsi="Cambria" w:cs="Arial"/>
          <w:lang w:val="en-AU" w:eastAsia="en-GB"/>
        </w:rPr>
        <w:footnoteReference w:id="7"/>
      </w:r>
    </w:p>
    <w:p w14:paraId="0ED079EF" w14:textId="6EE26FC8" w:rsidR="00547E02" w:rsidRDefault="00547E02" w:rsidP="004560BA">
      <w:pPr>
        <w:spacing w:before="120" w:after="100"/>
        <w:contextualSpacing/>
        <w:jc w:val="both"/>
        <w:rPr>
          <w:rFonts w:ascii="Cambria" w:eastAsia="Arial" w:hAnsi="Cambria" w:cs="Arial"/>
          <w:lang w:val="en-AU" w:eastAsia="en-GB"/>
        </w:rPr>
      </w:pPr>
    </w:p>
    <w:p w14:paraId="7FE74111" w14:textId="2FA76BD1" w:rsidR="00547E02" w:rsidRDefault="00547E02" w:rsidP="004560BA">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However, as indicated by </w:t>
      </w:r>
      <w:r w:rsidR="002155EA">
        <w:rPr>
          <w:rFonts w:ascii="Cambria" w:eastAsia="Arial" w:hAnsi="Cambria" w:cs="Arial"/>
          <w:lang w:val="en-AU" w:eastAsia="en-GB"/>
        </w:rPr>
        <w:t>Section 373 above, the magistrate is not required to call for a post-mortem examination by law, and “</w:t>
      </w:r>
      <w:r w:rsidR="002155EA" w:rsidRPr="002155EA">
        <w:rPr>
          <w:rFonts w:ascii="Cambria" w:eastAsia="Arial" w:hAnsi="Cambria" w:cs="Arial"/>
          <w:lang w:val="en-AU" w:eastAsia="en-GB"/>
        </w:rPr>
        <w:t>shall, if</w:t>
      </w:r>
      <w:r w:rsidR="002155EA">
        <w:rPr>
          <w:rFonts w:ascii="Cambria" w:eastAsia="Arial" w:hAnsi="Cambria" w:cs="Arial"/>
          <w:lang w:val="en-AU" w:eastAsia="en-GB"/>
        </w:rPr>
        <w:t xml:space="preserve"> he considers it expedient” call for a post-mortem examination. </w:t>
      </w:r>
    </w:p>
    <w:p w14:paraId="44DFEB85" w14:textId="5D5B28CD" w:rsidR="00033F39" w:rsidRDefault="00033F39" w:rsidP="004560BA">
      <w:pPr>
        <w:spacing w:before="120" w:after="100"/>
        <w:contextualSpacing/>
        <w:jc w:val="both"/>
        <w:rPr>
          <w:rFonts w:ascii="Cambria" w:eastAsia="Arial" w:hAnsi="Cambria" w:cs="Arial"/>
          <w:lang w:val="en-AU" w:eastAsia="en-GB"/>
        </w:rPr>
      </w:pPr>
    </w:p>
    <w:p w14:paraId="6733ECDF" w14:textId="77777777" w:rsidR="00033F39" w:rsidRPr="00D27B7B" w:rsidRDefault="00033F39" w:rsidP="00033F39">
      <w:pPr>
        <w:jc w:val="both"/>
        <w:rPr>
          <w:rFonts w:ascii="Cambria" w:hAnsi="Cambria"/>
        </w:rPr>
      </w:pPr>
      <w:r>
        <w:rPr>
          <w:rFonts w:ascii="Cambria" w:hAnsi="Cambria"/>
        </w:rPr>
        <w:t>The report of the prison study of HRCSL states that w</w:t>
      </w:r>
      <w:r w:rsidRPr="00D27B7B">
        <w:rPr>
          <w:rFonts w:ascii="Cambria" w:hAnsi="Cambria"/>
        </w:rPr>
        <w:t xml:space="preserve">hen the Cause of Death Forms issued by the Institute of Forensic Medicine and Toxicology were examined, it was noted that the response for the question ‘Immediate Cause of Death’ (in the Form, the JMO has the option to write the cause/probable cause of death under three types: immediate cause of death/underlying cause of death/contributory causes for death) was often “under investigation”. </w:t>
      </w:r>
      <w:r>
        <w:rPr>
          <w:rFonts w:ascii="Cambria" w:hAnsi="Cambria"/>
        </w:rPr>
        <w:t>In on prison</w:t>
      </w:r>
      <w:r w:rsidRPr="00D27B7B">
        <w:rPr>
          <w:rFonts w:ascii="Cambria" w:hAnsi="Cambria"/>
        </w:rPr>
        <w:t xml:space="preserve">, the death record logbook stated ‘an open decision was given’ </w:t>
      </w:r>
      <w:r>
        <w:rPr>
          <w:rFonts w:ascii="Cambria" w:hAnsi="Cambria"/>
        </w:rPr>
        <w:t xml:space="preserve">in </w:t>
      </w:r>
      <w:r w:rsidRPr="00D27B7B">
        <w:rPr>
          <w:rFonts w:ascii="Cambria" w:hAnsi="Cambria"/>
        </w:rPr>
        <w:t xml:space="preserve">the cause of death column in one case. </w:t>
      </w:r>
    </w:p>
    <w:p w14:paraId="0D39385D" w14:textId="77777777" w:rsidR="00033F39" w:rsidRDefault="00033F39" w:rsidP="004560BA">
      <w:pPr>
        <w:spacing w:before="120" w:after="100"/>
        <w:contextualSpacing/>
        <w:jc w:val="both"/>
        <w:rPr>
          <w:rFonts w:ascii="Cambria" w:eastAsia="Arial" w:hAnsi="Cambria" w:cs="Arial"/>
          <w:lang w:val="en-AU" w:eastAsia="en-GB"/>
        </w:rPr>
      </w:pPr>
    </w:p>
    <w:p w14:paraId="61AFE9B2" w14:textId="2F80B758" w:rsidR="00547E02" w:rsidRPr="00547E02" w:rsidRDefault="00547E02" w:rsidP="004560BA">
      <w:pPr>
        <w:spacing w:before="120" w:after="100"/>
        <w:contextualSpacing/>
        <w:jc w:val="both"/>
        <w:rPr>
          <w:rFonts w:ascii="Cambria" w:eastAsia="Arial" w:hAnsi="Cambria" w:cs="Arial"/>
          <w:lang w:val="en-AU" w:eastAsia="en-GB"/>
        </w:rPr>
      </w:pPr>
    </w:p>
    <w:p w14:paraId="68B49E8E" w14:textId="59454AE2" w:rsidR="003C680E" w:rsidRDefault="003C680E" w:rsidP="003C680E">
      <w:pPr>
        <w:numPr>
          <w:ilvl w:val="0"/>
          <w:numId w:val="2"/>
        </w:numPr>
        <w:spacing w:before="120" w:after="100"/>
        <w:contextualSpacing/>
        <w:jc w:val="both"/>
        <w:rPr>
          <w:rFonts w:ascii="Cambria" w:eastAsia="Arial" w:hAnsi="Cambria" w:cs="Arial"/>
          <w:b/>
          <w:lang w:val="en-AU" w:eastAsia="en-GB"/>
        </w:rPr>
      </w:pPr>
      <w:r w:rsidRPr="0014785D">
        <w:rPr>
          <w:rFonts w:ascii="Cambria" w:eastAsia="Arial" w:hAnsi="Cambria" w:cs="Arial"/>
          <w:b/>
          <w:lang w:val="en-AU" w:eastAsia="en-GB"/>
        </w:rPr>
        <w:t>Availability and use of national or international protocols? (e.g. do investigations follow the United Nations Principles on the Effective Prevention and Investigation of Extra-Legal, Arbitrary or Summary Executions (1989) and/or The Minnesota Protocol on the Investigation of Potentially Unlawful Death (2016)?)</w:t>
      </w:r>
    </w:p>
    <w:p w14:paraId="5256A1BB" w14:textId="77777777" w:rsidR="00DF03AB" w:rsidRDefault="00DF03AB" w:rsidP="00DF03AB">
      <w:pPr>
        <w:spacing w:before="120" w:after="100"/>
        <w:ind w:left="780"/>
        <w:contextualSpacing/>
        <w:jc w:val="both"/>
        <w:rPr>
          <w:rFonts w:ascii="Cambria" w:eastAsia="Arial" w:hAnsi="Cambria" w:cs="Arial"/>
          <w:b/>
          <w:lang w:val="en-AU" w:eastAsia="en-GB"/>
        </w:rPr>
      </w:pPr>
    </w:p>
    <w:p w14:paraId="4C8F4957" w14:textId="14FA3AFF" w:rsidR="004D1424" w:rsidRDefault="00DF03AB" w:rsidP="00D05E0C">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There is no information to suggest that the abovementioned international protocols are followed </w:t>
      </w:r>
      <w:r w:rsidR="00D05E0C">
        <w:rPr>
          <w:rFonts w:ascii="Cambria" w:eastAsia="Arial" w:hAnsi="Cambria" w:cs="Arial"/>
          <w:lang w:val="en-AU" w:eastAsia="en-GB"/>
        </w:rPr>
        <w:t xml:space="preserve">during investigation process, or that detaining authorities are even aware of the principals outlined in the two protocols. For instance, as outlined by Section 17 of the </w:t>
      </w:r>
      <w:r w:rsidR="00D05E0C" w:rsidRPr="00D05E0C">
        <w:rPr>
          <w:rFonts w:ascii="Cambria" w:eastAsia="Arial" w:hAnsi="Cambria" w:cs="Arial"/>
          <w:lang w:val="en-AU" w:eastAsia="en-GB"/>
        </w:rPr>
        <w:t>United Nations Principles on the Effective Prevention and Investigation of Extra-Legal, Arbitra</w:t>
      </w:r>
      <w:r w:rsidR="00D05E0C">
        <w:rPr>
          <w:rFonts w:ascii="Cambria" w:eastAsia="Arial" w:hAnsi="Cambria" w:cs="Arial"/>
          <w:lang w:val="en-AU" w:eastAsia="en-GB"/>
        </w:rPr>
        <w:t>ry or Summary Executions (1989), a</w:t>
      </w:r>
      <w:r w:rsidR="00D05E0C" w:rsidRPr="00D05E0C">
        <w:rPr>
          <w:rFonts w:ascii="Cambria" w:eastAsia="Arial" w:hAnsi="Cambria" w:cs="Arial"/>
          <w:lang w:val="en-AU" w:eastAsia="en-GB"/>
        </w:rPr>
        <w:t xml:space="preserve"> written report</w:t>
      </w:r>
      <w:r w:rsidR="00D05E0C">
        <w:rPr>
          <w:rFonts w:ascii="Cambria" w:eastAsia="Arial" w:hAnsi="Cambria" w:cs="Arial"/>
          <w:lang w:val="en-AU" w:eastAsia="en-GB"/>
        </w:rPr>
        <w:t xml:space="preserve"> on the findings of the investigations into deaths in custody should be made public. However, this is not followed as a practice in Sri Lanka by the responsible </w:t>
      </w:r>
      <w:r w:rsidR="00A7347B">
        <w:rPr>
          <w:rFonts w:ascii="Cambria" w:eastAsia="Arial" w:hAnsi="Cambria" w:cs="Arial"/>
          <w:lang w:val="en-AU" w:eastAsia="en-GB"/>
        </w:rPr>
        <w:t>state institution</w:t>
      </w:r>
      <w:r w:rsidR="00D05E0C">
        <w:rPr>
          <w:rFonts w:ascii="Cambria" w:eastAsia="Arial" w:hAnsi="Cambria" w:cs="Arial"/>
          <w:lang w:val="en-AU" w:eastAsia="en-GB"/>
        </w:rPr>
        <w:t xml:space="preserve">, and where the police department is concerned, even the total number of deaths in custody that occur each year are not released to the public. </w:t>
      </w:r>
    </w:p>
    <w:p w14:paraId="34C7C2B3" w14:textId="6E852105" w:rsidR="00D05E0C" w:rsidRDefault="00D05E0C" w:rsidP="00D05E0C">
      <w:pPr>
        <w:spacing w:before="120" w:after="100"/>
        <w:contextualSpacing/>
        <w:jc w:val="both"/>
        <w:rPr>
          <w:rFonts w:ascii="Cambria" w:eastAsia="Arial" w:hAnsi="Cambria" w:cs="Arial"/>
          <w:lang w:val="en-AU" w:eastAsia="en-GB"/>
        </w:rPr>
      </w:pPr>
    </w:p>
    <w:p w14:paraId="0450AE69" w14:textId="76FA6CFC" w:rsidR="00D05E0C" w:rsidRPr="00DF03AB" w:rsidRDefault="00D05E0C" w:rsidP="00D05E0C">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Furthermore, as required under the </w:t>
      </w:r>
      <w:r w:rsidRPr="00D05E0C">
        <w:rPr>
          <w:rFonts w:ascii="Cambria" w:eastAsia="Arial" w:hAnsi="Cambria" w:cs="Arial"/>
          <w:lang w:val="en-AU" w:eastAsia="en-GB"/>
        </w:rPr>
        <w:t>Minnesota Protocol on the Investigation of Pot</w:t>
      </w:r>
      <w:r>
        <w:rPr>
          <w:rFonts w:ascii="Cambria" w:eastAsia="Arial" w:hAnsi="Cambria" w:cs="Arial"/>
          <w:lang w:val="en-AU" w:eastAsia="en-GB"/>
        </w:rPr>
        <w:t xml:space="preserve">entially Unlawful Deaths, there is limited participation of the family of the victim in the investigation process, and provision of support and counselling to families of victims is non-existent. </w:t>
      </w:r>
    </w:p>
    <w:p w14:paraId="266BFCCC" w14:textId="77777777" w:rsidR="004D1424" w:rsidRDefault="004D1424" w:rsidP="004D1424">
      <w:pPr>
        <w:spacing w:before="120" w:after="100"/>
        <w:contextualSpacing/>
        <w:jc w:val="both"/>
        <w:rPr>
          <w:rFonts w:ascii="Cambria" w:eastAsia="Arial" w:hAnsi="Cambria" w:cs="Arial"/>
          <w:b/>
          <w:lang w:val="en-AU" w:eastAsia="en-GB"/>
        </w:rPr>
      </w:pPr>
    </w:p>
    <w:p w14:paraId="3D7F2B49" w14:textId="77777777" w:rsidR="004560BA" w:rsidRPr="0014785D" w:rsidRDefault="004560BA" w:rsidP="004560BA">
      <w:pPr>
        <w:spacing w:before="120" w:after="100"/>
        <w:contextualSpacing/>
        <w:jc w:val="both"/>
        <w:rPr>
          <w:rFonts w:ascii="Cambria" w:eastAsia="Arial" w:hAnsi="Cambria" w:cs="Arial"/>
          <w:b/>
          <w:lang w:val="en-AU" w:eastAsia="en-GB"/>
        </w:rPr>
      </w:pPr>
    </w:p>
    <w:p w14:paraId="7433AD09" w14:textId="4D265A45" w:rsidR="003C680E" w:rsidRDefault="003C680E" w:rsidP="003C680E">
      <w:pPr>
        <w:numPr>
          <w:ilvl w:val="0"/>
          <w:numId w:val="2"/>
        </w:numPr>
        <w:spacing w:before="120" w:after="100"/>
        <w:contextualSpacing/>
        <w:jc w:val="both"/>
        <w:rPr>
          <w:rFonts w:ascii="Cambria" w:eastAsia="Arial" w:hAnsi="Cambria" w:cs="Arial"/>
          <w:b/>
          <w:lang w:val="en-AU" w:eastAsia="en-GB"/>
        </w:rPr>
      </w:pPr>
      <w:r w:rsidRPr="0014785D">
        <w:rPr>
          <w:rFonts w:ascii="Cambria" w:eastAsia="Arial" w:hAnsi="Cambria" w:cs="Arial"/>
          <w:b/>
          <w:lang w:val="en-AU" w:eastAsia="en-GB"/>
        </w:rPr>
        <w:t>Are there procedures in place for facilitating the participation of victims’ families and their access to effective remedies?</w:t>
      </w:r>
    </w:p>
    <w:p w14:paraId="5361EC45" w14:textId="3B06E45B" w:rsidR="00CD489C" w:rsidRDefault="00CD489C" w:rsidP="00CD489C">
      <w:pPr>
        <w:spacing w:before="120" w:after="100"/>
        <w:contextualSpacing/>
        <w:jc w:val="both"/>
        <w:rPr>
          <w:rFonts w:ascii="Cambria" w:eastAsia="Arial" w:hAnsi="Cambria" w:cs="Arial"/>
          <w:lang w:val="en-AU" w:eastAsia="en-GB"/>
        </w:rPr>
      </w:pPr>
    </w:p>
    <w:p w14:paraId="239441B8" w14:textId="77777777" w:rsidR="00A5626E" w:rsidRDefault="00CD489C" w:rsidP="00CD489C">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There is no information to suggest that victim’s families are able to participate in the investigation process, nor that any support or counselling is provided to the families of victims of torture. </w:t>
      </w:r>
    </w:p>
    <w:p w14:paraId="561DCB7A" w14:textId="77777777" w:rsidR="00A5626E" w:rsidRDefault="00A5626E" w:rsidP="00CD489C">
      <w:pPr>
        <w:spacing w:before="120" w:after="100"/>
        <w:contextualSpacing/>
        <w:jc w:val="both"/>
        <w:rPr>
          <w:rFonts w:ascii="Cambria" w:eastAsia="Arial" w:hAnsi="Cambria" w:cs="Arial"/>
          <w:lang w:val="en-AU" w:eastAsia="en-GB"/>
        </w:rPr>
      </w:pPr>
    </w:p>
    <w:p w14:paraId="12735459" w14:textId="09A9E75F" w:rsidR="00CD489C" w:rsidRPr="00CD489C" w:rsidRDefault="00CD489C" w:rsidP="00CD489C">
      <w:pPr>
        <w:spacing w:before="120" w:after="100"/>
        <w:contextualSpacing/>
        <w:jc w:val="both"/>
        <w:rPr>
          <w:rFonts w:ascii="Cambria" w:eastAsia="Arial" w:hAnsi="Cambria" w:cs="Arial"/>
          <w:lang w:val="en-AU" w:eastAsia="en-GB"/>
        </w:rPr>
      </w:pPr>
      <w:r>
        <w:rPr>
          <w:rFonts w:ascii="Cambria" w:eastAsia="Arial" w:hAnsi="Cambria" w:cs="Arial"/>
          <w:lang w:val="en-AU" w:eastAsia="en-GB"/>
        </w:rPr>
        <w:t xml:space="preserve">The families of victim may seek remedies by lodging a fundamental rights petition with the Supreme Court or a complaint with the Human Rights Commission of Sri Lanka. </w:t>
      </w:r>
    </w:p>
    <w:p w14:paraId="3360BB56" w14:textId="77777777" w:rsidR="00F554B1" w:rsidRPr="0014785D" w:rsidRDefault="00F554B1">
      <w:pPr>
        <w:rPr>
          <w:rFonts w:ascii="Cambria" w:hAnsi="Cambria"/>
        </w:rPr>
      </w:pPr>
    </w:p>
    <w:sectPr w:rsidR="00F554B1" w:rsidRPr="0014785D" w:rsidSect="00710884">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6009" w14:textId="77777777" w:rsidR="00C2682A" w:rsidRDefault="00C2682A" w:rsidP="00FE2CE7">
      <w:r>
        <w:separator/>
      </w:r>
    </w:p>
  </w:endnote>
  <w:endnote w:type="continuationSeparator" w:id="0">
    <w:p w14:paraId="4CBE4E39" w14:textId="77777777" w:rsidR="00C2682A" w:rsidRDefault="00C2682A" w:rsidP="00F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4870837"/>
      <w:docPartObj>
        <w:docPartGallery w:val="Page Numbers (Bottom of Page)"/>
        <w:docPartUnique/>
      </w:docPartObj>
    </w:sdtPr>
    <w:sdtContent>
      <w:p w14:paraId="735F2E32" w14:textId="4F063A3D" w:rsidR="00710884" w:rsidRDefault="00710884" w:rsidP="00FF54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7B9863B" w14:textId="77777777" w:rsidR="00710884" w:rsidRDefault="00710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964983"/>
      <w:docPartObj>
        <w:docPartGallery w:val="Page Numbers (Bottom of Page)"/>
        <w:docPartUnique/>
      </w:docPartObj>
    </w:sdtPr>
    <w:sdtContent>
      <w:p w14:paraId="382F8B54" w14:textId="10BD491C" w:rsidR="00710884" w:rsidRDefault="00710884" w:rsidP="00FF54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61981652" w14:textId="32951BB2" w:rsidR="00F75D80" w:rsidRDefault="00F75D80">
    <w:pPr>
      <w:pStyle w:val="Footer"/>
    </w:pPr>
  </w:p>
  <w:p w14:paraId="032B3043" w14:textId="77777777" w:rsidR="00F75D80" w:rsidRDefault="00F75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1868" w14:textId="77777777" w:rsidR="00C2682A" w:rsidRDefault="00C2682A" w:rsidP="00FE2CE7">
      <w:r>
        <w:separator/>
      </w:r>
    </w:p>
  </w:footnote>
  <w:footnote w:type="continuationSeparator" w:id="0">
    <w:p w14:paraId="71B37978" w14:textId="77777777" w:rsidR="00C2682A" w:rsidRDefault="00C2682A" w:rsidP="00FE2CE7">
      <w:r>
        <w:continuationSeparator/>
      </w:r>
    </w:p>
  </w:footnote>
  <w:footnote w:id="1">
    <w:p w14:paraId="3F71394B" w14:textId="62455DD0" w:rsidR="00882EF3" w:rsidRDefault="00882EF3">
      <w:pPr>
        <w:pStyle w:val="FootnoteText"/>
      </w:pPr>
      <w:r>
        <w:rPr>
          <w:rStyle w:val="FootnoteReference"/>
        </w:rPr>
        <w:footnoteRef/>
      </w:r>
      <w:r>
        <w:t xml:space="preserve"> </w:t>
      </w:r>
      <w:r w:rsidRPr="00882EF3">
        <w:rPr>
          <w:rFonts w:ascii="Cambria" w:hAnsi="Cambria"/>
        </w:rPr>
        <w:t>https://www.hrcsl.lk/wp-content/uploads/2020/01/Prison-Report-Final-2.pdf</w:t>
      </w:r>
    </w:p>
  </w:footnote>
  <w:footnote w:id="2">
    <w:p w14:paraId="022B870D" w14:textId="0AA5ED6D" w:rsidR="00DE0A5C" w:rsidRPr="0003480B" w:rsidRDefault="00DE0A5C">
      <w:pPr>
        <w:pStyle w:val="FootnoteText"/>
        <w:rPr>
          <w:rFonts w:ascii="Cambria" w:hAnsi="Cambria"/>
        </w:rPr>
      </w:pPr>
      <w:r w:rsidRPr="0003480B">
        <w:rPr>
          <w:rStyle w:val="FootnoteReference"/>
          <w:rFonts w:ascii="Cambria" w:hAnsi="Cambria"/>
        </w:rPr>
        <w:footnoteRef/>
      </w:r>
      <w:r w:rsidRPr="0003480B">
        <w:rPr>
          <w:rFonts w:ascii="Cambria" w:hAnsi="Cambria"/>
        </w:rPr>
        <w:t xml:space="preserve"> https://docs.google.com/spreadsheets/d/1tY-fpw6bOaCtylhEkU7nq7ZC8UyYGRGG/edit#gid=976172112</w:t>
      </w:r>
    </w:p>
  </w:footnote>
  <w:footnote w:id="3">
    <w:p w14:paraId="1E4F9D43" w14:textId="6E98CF3F" w:rsidR="0003480B" w:rsidRDefault="0003480B">
      <w:pPr>
        <w:pStyle w:val="FootnoteText"/>
      </w:pPr>
      <w:r w:rsidRPr="0003480B">
        <w:rPr>
          <w:rStyle w:val="FootnoteReference"/>
          <w:rFonts w:ascii="Cambria" w:hAnsi="Cambria"/>
        </w:rPr>
        <w:footnoteRef/>
      </w:r>
      <w:r w:rsidRPr="0003480B">
        <w:rPr>
          <w:rFonts w:ascii="Cambria" w:hAnsi="Cambria"/>
        </w:rPr>
        <w:t xml:space="preserve"> </w:t>
      </w:r>
      <w:r w:rsidRPr="0003480B">
        <w:rPr>
          <w:rFonts w:ascii="Cambria" w:hAnsi="Cambria"/>
        </w:rPr>
        <w:t>https://www.hrcsl.lk/reports/331/</w:t>
      </w:r>
    </w:p>
  </w:footnote>
  <w:footnote w:id="4">
    <w:p w14:paraId="4BC867D6" w14:textId="77777777" w:rsidR="004D1424" w:rsidRDefault="004D1424" w:rsidP="004D1424">
      <w:pPr>
        <w:pStyle w:val="FootnoteText"/>
        <w:jc w:val="both"/>
        <w:rPr>
          <w:rFonts w:ascii="Cambria" w:hAnsi="Cambria"/>
          <w:lang w:val="en-GB"/>
        </w:rPr>
      </w:pPr>
      <w:r>
        <w:rPr>
          <w:rStyle w:val="FootnoteReference"/>
          <w:rFonts w:ascii="Cambria" w:hAnsi="Cambria"/>
        </w:rPr>
        <w:footnoteRef/>
      </w:r>
      <w:r>
        <w:rPr>
          <w:rFonts w:ascii="Cambria" w:hAnsi="Cambria"/>
        </w:rPr>
        <w:t xml:space="preserve"> Concluding observations on the fifth periodic report of Sri Lanka, Committee Against Torture – November 2016</w:t>
      </w:r>
    </w:p>
  </w:footnote>
  <w:footnote w:id="5">
    <w:p w14:paraId="590CD2DB" w14:textId="7894E5CC" w:rsidR="00FE2CE7" w:rsidRDefault="00FE2CE7">
      <w:pPr>
        <w:pStyle w:val="FootnoteText"/>
      </w:pPr>
      <w:r>
        <w:rPr>
          <w:rStyle w:val="FootnoteReference"/>
        </w:rPr>
        <w:footnoteRef/>
      </w:r>
      <w:r>
        <w:t xml:space="preserve"> National Study of Prisons (2020), </w:t>
      </w:r>
      <w:r w:rsidRPr="00FE2CE7">
        <w:rPr>
          <w:i/>
        </w:rPr>
        <w:t>Human Rights Commission of Sri Lanka</w:t>
      </w:r>
      <w:r>
        <w:rPr>
          <w:i/>
        </w:rPr>
        <w:t xml:space="preserve">, </w:t>
      </w:r>
      <w:r w:rsidR="00E60752">
        <w:t xml:space="preserve">chapter: Death in Prisons. </w:t>
      </w:r>
      <w:hyperlink r:id="rId1" w:history="1">
        <w:r w:rsidR="00E60752" w:rsidRPr="00AB3805">
          <w:rPr>
            <w:rStyle w:val="Hyperlink"/>
          </w:rPr>
          <w:t>https://www.hrcsl.lk/wp-content/uploads/2020/01/Prison-Report-Final-2.pdf</w:t>
        </w:r>
      </w:hyperlink>
      <w:r w:rsidR="00E60752">
        <w:t xml:space="preserve"> </w:t>
      </w:r>
    </w:p>
  </w:footnote>
  <w:footnote w:id="6">
    <w:p w14:paraId="749ED569" w14:textId="77777777" w:rsidR="00A06BB8" w:rsidRDefault="00A06BB8" w:rsidP="00A06BB8">
      <w:pPr>
        <w:pStyle w:val="FootnoteText"/>
      </w:pPr>
      <w:r>
        <w:rPr>
          <w:rStyle w:val="FootnoteReference"/>
        </w:rPr>
        <w:footnoteRef/>
      </w:r>
      <w:r>
        <w:t xml:space="preserve"> Section 10 of the Human Rights Commission Act (No. 21 of 1996)</w:t>
      </w:r>
    </w:p>
  </w:footnote>
  <w:footnote w:id="7">
    <w:p w14:paraId="64C20024" w14:textId="68CF29FC" w:rsidR="00DF03AB" w:rsidRDefault="00DF03AB" w:rsidP="00DF03AB">
      <w:pPr>
        <w:pStyle w:val="FootnoteText"/>
      </w:pPr>
      <w:r>
        <w:rPr>
          <w:rStyle w:val="FootnoteReference"/>
        </w:rPr>
        <w:footnoteRef/>
      </w:r>
      <w:r>
        <w:t xml:space="preserve"> National Study of Prisons (2020), </w:t>
      </w:r>
      <w:r w:rsidRPr="00FE2CE7">
        <w:rPr>
          <w:i/>
        </w:rPr>
        <w:t>Human Rights Commission of Sri Lanka</w:t>
      </w:r>
      <w:r>
        <w:rPr>
          <w:i/>
        </w:rPr>
        <w:t xml:space="preserve">, </w:t>
      </w:r>
      <w:r>
        <w:t xml:space="preserve">chapter: Death in Prisons. </w:t>
      </w:r>
      <w:hyperlink r:id="rId2" w:history="1">
        <w:r w:rsidRPr="00AB3805">
          <w:rPr>
            <w:rStyle w:val="Hyperlink"/>
          </w:rPr>
          <w:t>https://www.hrcsl.lk/wp-content/uploads/2020/01/Prison-Report-Final-2.pdf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C1AD3"/>
    <w:multiLevelType w:val="hybridMultilevel"/>
    <w:tmpl w:val="78609520"/>
    <w:lvl w:ilvl="0" w:tplc="B9CC6F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9ED7FC6"/>
    <w:multiLevelType w:val="hybridMultilevel"/>
    <w:tmpl w:val="5A2E0A66"/>
    <w:lvl w:ilvl="0" w:tplc="1DBC2EA2">
      <w:start w:val="1"/>
      <w:numFmt w:val="bullet"/>
      <w:lvlText w:val=""/>
      <w:lvlJc w:val="left"/>
      <w:pPr>
        <w:ind w:left="780" w:hanging="360"/>
      </w:pPr>
      <w:rPr>
        <w:rFonts w:ascii="Symbol" w:hAnsi="Symbol" w:hint="default"/>
      </w:rPr>
    </w:lvl>
    <w:lvl w:ilvl="1" w:tplc="830E0E18" w:tentative="1">
      <w:start w:val="1"/>
      <w:numFmt w:val="lowerLetter"/>
      <w:lvlText w:val="%2."/>
      <w:lvlJc w:val="left"/>
      <w:pPr>
        <w:ind w:left="1500" w:hanging="360"/>
      </w:pPr>
    </w:lvl>
    <w:lvl w:ilvl="2" w:tplc="24E48164" w:tentative="1">
      <w:start w:val="1"/>
      <w:numFmt w:val="lowerRoman"/>
      <w:lvlText w:val="%3."/>
      <w:lvlJc w:val="right"/>
      <w:pPr>
        <w:ind w:left="2220" w:hanging="180"/>
      </w:pPr>
    </w:lvl>
    <w:lvl w:ilvl="3" w:tplc="57EA39EC" w:tentative="1">
      <w:start w:val="1"/>
      <w:numFmt w:val="decimal"/>
      <w:lvlText w:val="%4."/>
      <w:lvlJc w:val="left"/>
      <w:pPr>
        <w:ind w:left="2940" w:hanging="360"/>
      </w:pPr>
    </w:lvl>
    <w:lvl w:ilvl="4" w:tplc="9D7072FA" w:tentative="1">
      <w:start w:val="1"/>
      <w:numFmt w:val="lowerLetter"/>
      <w:lvlText w:val="%5."/>
      <w:lvlJc w:val="left"/>
      <w:pPr>
        <w:ind w:left="3660" w:hanging="360"/>
      </w:pPr>
    </w:lvl>
    <w:lvl w:ilvl="5" w:tplc="8230FB38" w:tentative="1">
      <w:start w:val="1"/>
      <w:numFmt w:val="lowerRoman"/>
      <w:lvlText w:val="%6."/>
      <w:lvlJc w:val="right"/>
      <w:pPr>
        <w:ind w:left="4380" w:hanging="180"/>
      </w:pPr>
    </w:lvl>
    <w:lvl w:ilvl="6" w:tplc="37203BA8" w:tentative="1">
      <w:start w:val="1"/>
      <w:numFmt w:val="decimal"/>
      <w:lvlText w:val="%7."/>
      <w:lvlJc w:val="left"/>
      <w:pPr>
        <w:ind w:left="5100" w:hanging="360"/>
      </w:pPr>
    </w:lvl>
    <w:lvl w:ilvl="7" w:tplc="F496E9D6" w:tentative="1">
      <w:start w:val="1"/>
      <w:numFmt w:val="lowerLetter"/>
      <w:lvlText w:val="%8."/>
      <w:lvlJc w:val="left"/>
      <w:pPr>
        <w:ind w:left="5820" w:hanging="360"/>
      </w:pPr>
    </w:lvl>
    <w:lvl w:ilvl="8" w:tplc="4C1060C6" w:tentative="1">
      <w:start w:val="1"/>
      <w:numFmt w:val="lowerRoman"/>
      <w:lvlText w:val="%9."/>
      <w:lvlJc w:val="right"/>
      <w:pPr>
        <w:ind w:left="6540" w:hanging="180"/>
      </w:pPr>
    </w:lvl>
  </w:abstractNum>
  <w:abstractNum w:abstractNumId="2" w15:restartNumberingAfterBreak="0">
    <w:nsid w:val="5A552B16"/>
    <w:multiLevelType w:val="hybridMultilevel"/>
    <w:tmpl w:val="55F2969C"/>
    <w:lvl w:ilvl="0" w:tplc="6CE87232">
      <w:start w:val="1"/>
      <w:numFmt w:val="decimal"/>
      <w:lvlText w:val="%1)"/>
      <w:lvlJc w:val="left"/>
      <w:pPr>
        <w:ind w:left="420" w:hanging="360"/>
      </w:pPr>
      <w:rPr>
        <w:rFonts w:hint="default"/>
      </w:rPr>
    </w:lvl>
    <w:lvl w:ilvl="1" w:tplc="4A7CFB9E" w:tentative="1">
      <w:start w:val="1"/>
      <w:numFmt w:val="lowerLetter"/>
      <w:lvlText w:val="%2."/>
      <w:lvlJc w:val="left"/>
      <w:pPr>
        <w:ind w:left="1140" w:hanging="360"/>
      </w:pPr>
    </w:lvl>
    <w:lvl w:ilvl="2" w:tplc="82D213AC" w:tentative="1">
      <w:start w:val="1"/>
      <w:numFmt w:val="lowerRoman"/>
      <w:lvlText w:val="%3."/>
      <w:lvlJc w:val="right"/>
      <w:pPr>
        <w:ind w:left="1860" w:hanging="180"/>
      </w:pPr>
    </w:lvl>
    <w:lvl w:ilvl="3" w:tplc="0A500CFC" w:tentative="1">
      <w:start w:val="1"/>
      <w:numFmt w:val="decimal"/>
      <w:lvlText w:val="%4."/>
      <w:lvlJc w:val="left"/>
      <w:pPr>
        <w:ind w:left="2580" w:hanging="360"/>
      </w:pPr>
    </w:lvl>
    <w:lvl w:ilvl="4" w:tplc="66C87598" w:tentative="1">
      <w:start w:val="1"/>
      <w:numFmt w:val="lowerLetter"/>
      <w:lvlText w:val="%5."/>
      <w:lvlJc w:val="left"/>
      <w:pPr>
        <w:ind w:left="3300" w:hanging="360"/>
      </w:pPr>
    </w:lvl>
    <w:lvl w:ilvl="5" w:tplc="AC76D0E2" w:tentative="1">
      <w:start w:val="1"/>
      <w:numFmt w:val="lowerRoman"/>
      <w:lvlText w:val="%6."/>
      <w:lvlJc w:val="right"/>
      <w:pPr>
        <w:ind w:left="4020" w:hanging="180"/>
      </w:pPr>
    </w:lvl>
    <w:lvl w:ilvl="6" w:tplc="16A88038" w:tentative="1">
      <w:start w:val="1"/>
      <w:numFmt w:val="decimal"/>
      <w:lvlText w:val="%7."/>
      <w:lvlJc w:val="left"/>
      <w:pPr>
        <w:ind w:left="4740" w:hanging="360"/>
      </w:pPr>
    </w:lvl>
    <w:lvl w:ilvl="7" w:tplc="63DECFC8" w:tentative="1">
      <w:start w:val="1"/>
      <w:numFmt w:val="lowerLetter"/>
      <w:lvlText w:val="%8."/>
      <w:lvlJc w:val="left"/>
      <w:pPr>
        <w:ind w:left="5460" w:hanging="360"/>
      </w:pPr>
    </w:lvl>
    <w:lvl w:ilvl="8" w:tplc="BF3CF172" w:tentative="1">
      <w:start w:val="1"/>
      <w:numFmt w:val="lowerRoman"/>
      <w:lvlText w:val="%9."/>
      <w:lvlJc w:val="right"/>
      <w:pPr>
        <w:ind w:left="6180" w:hanging="180"/>
      </w:pPr>
    </w:lvl>
  </w:abstractNum>
  <w:num w:numId="1" w16cid:durableId="334579067">
    <w:abstractNumId w:val="2"/>
  </w:num>
  <w:num w:numId="2" w16cid:durableId="2122606332">
    <w:abstractNumId w:val="1"/>
  </w:num>
  <w:num w:numId="3" w16cid:durableId="148612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0E"/>
    <w:rsid w:val="00033F39"/>
    <w:rsid w:val="0003480B"/>
    <w:rsid w:val="000812C4"/>
    <w:rsid w:val="000B33CA"/>
    <w:rsid w:val="0014785D"/>
    <w:rsid w:val="00151286"/>
    <w:rsid w:val="00170AB3"/>
    <w:rsid w:val="00173254"/>
    <w:rsid w:val="00182DB8"/>
    <w:rsid w:val="0019079F"/>
    <w:rsid w:val="001B37DD"/>
    <w:rsid w:val="001B7F8F"/>
    <w:rsid w:val="0021165E"/>
    <w:rsid w:val="002155EA"/>
    <w:rsid w:val="003C680E"/>
    <w:rsid w:val="00407F87"/>
    <w:rsid w:val="004560BA"/>
    <w:rsid w:val="004D1424"/>
    <w:rsid w:val="00547E02"/>
    <w:rsid w:val="005602FC"/>
    <w:rsid w:val="00581EF0"/>
    <w:rsid w:val="00710884"/>
    <w:rsid w:val="007553F3"/>
    <w:rsid w:val="007B1D3E"/>
    <w:rsid w:val="007E0392"/>
    <w:rsid w:val="008407A5"/>
    <w:rsid w:val="00882EF3"/>
    <w:rsid w:val="009C0EA7"/>
    <w:rsid w:val="00A06BB8"/>
    <w:rsid w:val="00A5626E"/>
    <w:rsid w:val="00A5677B"/>
    <w:rsid w:val="00A7347B"/>
    <w:rsid w:val="00B43833"/>
    <w:rsid w:val="00B55C8E"/>
    <w:rsid w:val="00B91AFC"/>
    <w:rsid w:val="00BB669C"/>
    <w:rsid w:val="00C2682A"/>
    <w:rsid w:val="00CD489C"/>
    <w:rsid w:val="00CE03B2"/>
    <w:rsid w:val="00D05E0C"/>
    <w:rsid w:val="00DE0A5C"/>
    <w:rsid w:val="00DF03AB"/>
    <w:rsid w:val="00E45497"/>
    <w:rsid w:val="00E60752"/>
    <w:rsid w:val="00E968C1"/>
    <w:rsid w:val="00EB15EA"/>
    <w:rsid w:val="00EE57CB"/>
    <w:rsid w:val="00EF6DDB"/>
    <w:rsid w:val="00F26B25"/>
    <w:rsid w:val="00F554B1"/>
    <w:rsid w:val="00F75D80"/>
    <w:rsid w:val="00FE2CE7"/>
    <w:rsid w:val="00FE6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3203"/>
  <w15:chartTrackingRefBased/>
  <w15:docId w15:val="{AFB1C249-F0A3-4425-AC89-32CAE3FF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80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85D"/>
    <w:pPr>
      <w:ind w:left="720"/>
      <w:contextualSpacing/>
    </w:pPr>
  </w:style>
  <w:style w:type="character" w:styleId="Hyperlink">
    <w:name w:val="Hyperlink"/>
    <w:basedOn w:val="DefaultParagraphFont"/>
    <w:uiPriority w:val="99"/>
    <w:unhideWhenUsed/>
    <w:rsid w:val="0014785D"/>
    <w:rPr>
      <w:color w:val="0563C1" w:themeColor="hyperlink"/>
      <w:u w:val="single"/>
    </w:rPr>
  </w:style>
  <w:style w:type="paragraph" w:styleId="FootnoteText">
    <w:name w:val="footnote text"/>
    <w:basedOn w:val="Normal"/>
    <w:link w:val="FootnoteTextChar"/>
    <w:uiPriority w:val="99"/>
    <w:semiHidden/>
    <w:unhideWhenUsed/>
    <w:rsid w:val="00FE2CE7"/>
    <w:rPr>
      <w:sz w:val="20"/>
      <w:szCs w:val="20"/>
    </w:rPr>
  </w:style>
  <w:style w:type="character" w:customStyle="1" w:styleId="FootnoteTextChar">
    <w:name w:val="Footnote Text Char"/>
    <w:basedOn w:val="DefaultParagraphFont"/>
    <w:link w:val="FootnoteText"/>
    <w:uiPriority w:val="99"/>
    <w:semiHidden/>
    <w:rsid w:val="00FE2CE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E2CE7"/>
    <w:rPr>
      <w:vertAlign w:val="superscript"/>
    </w:rPr>
  </w:style>
  <w:style w:type="paragraph" w:styleId="Header">
    <w:name w:val="header"/>
    <w:basedOn w:val="Normal"/>
    <w:link w:val="HeaderChar"/>
    <w:uiPriority w:val="99"/>
    <w:unhideWhenUsed/>
    <w:rsid w:val="00F75D80"/>
    <w:pPr>
      <w:tabs>
        <w:tab w:val="center" w:pos="4680"/>
        <w:tab w:val="right" w:pos="9360"/>
      </w:tabs>
    </w:pPr>
  </w:style>
  <w:style w:type="character" w:customStyle="1" w:styleId="HeaderChar">
    <w:name w:val="Header Char"/>
    <w:basedOn w:val="DefaultParagraphFont"/>
    <w:link w:val="Header"/>
    <w:uiPriority w:val="99"/>
    <w:rsid w:val="00F75D80"/>
    <w:rPr>
      <w:rFonts w:ascii="Times New Roman" w:eastAsia="Times New Roman" w:hAnsi="Times New Roman" w:cs="Times New Roman"/>
    </w:rPr>
  </w:style>
  <w:style w:type="paragraph" w:styleId="Footer">
    <w:name w:val="footer"/>
    <w:basedOn w:val="Normal"/>
    <w:link w:val="FooterChar"/>
    <w:uiPriority w:val="99"/>
    <w:unhideWhenUsed/>
    <w:rsid w:val="00F75D80"/>
    <w:pPr>
      <w:tabs>
        <w:tab w:val="center" w:pos="4680"/>
        <w:tab w:val="right" w:pos="9360"/>
      </w:tabs>
    </w:pPr>
  </w:style>
  <w:style w:type="character" w:customStyle="1" w:styleId="FooterChar">
    <w:name w:val="Footer Char"/>
    <w:basedOn w:val="DefaultParagraphFont"/>
    <w:link w:val="Footer"/>
    <w:uiPriority w:val="99"/>
    <w:rsid w:val="00F75D80"/>
    <w:rPr>
      <w:rFonts w:ascii="Times New Roman" w:eastAsia="Times New Roman" w:hAnsi="Times New Roman" w:cs="Times New Roman"/>
    </w:rPr>
  </w:style>
  <w:style w:type="character" w:styleId="PageNumber">
    <w:name w:val="page number"/>
    <w:basedOn w:val="DefaultParagraphFont"/>
    <w:uiPriority w:val="99"/>
    <w:semiHidden/>
    <w:unhideWhenUsed/>
    <w:rsid w:val="0071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hrcsl.lk/wp-content/uploads/2020/01/Prison-Report-Final-2.pdf" TargetMode="External"/><Relationship Id="rId4" Type="http://schemas.openxmlformats.org/officeDocument/2006/relationships/settings" Target="settings.xml"/><Relationship Id="rId9" Type="http://schemas.openxmlformats.org/officeDocument/2006/relationships/hyperlink" Target="http://prisons.gov.lk/web/wp-content/uploads/2022/12/prison-statistics-2022.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rcsl.lk/wp-content/uploads/2020/01/Prison-Report-Final-2.pdf" TargetMode="External"/><Relationship Id="rId1" Type="http://schemas.openxmlformats.org/officeDocument/2006/relationships/hyperlink" Target="https://www.hrcsl.lk/wp-content/uploads/2020/01/Prison-Report-Final-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Ambika Satkunanathan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3E8E697-481E-4373-A4C8-07105B408A94}">
  <ds:schemaRefs>
    <ds:schemaRef ds:uri="http://schemas.openxmlformats.org/officeDocument/2006/bibliography"/>
  </ds:schemaRefs>
</ds:datastoreItem>
</file>

<file path=customXml/itemProps2.xml><?xml version="1.0" encoding="utf-8"?>
<ds:datastoreItem xmlns:ds="http://schemas.openxmlformats.org/officeDocument/2006/customXml" ds:itemID="{55480D14-BD60-496D-9B64-BD03A9854CCC}"/>
</file>

<file path=customXml/itemProps3.xml><?xml version="1.0" encoding="utf-8"?>
<ds:datastoreItem xmlns:ds="http://schemas.openxmlformats.org/officeDocument/2006/customXml" ds:itemID="{32869DD5-76BF-4349-AB18-76F2490CFDAE}"/>
</file>

<file path=customXml/itemProps4.xml><?xml version="1.0" encoding="utf-8"?>
<ds:datastoreItem xmlns:ds="http://schemas.openxmlformats.org/officeDocument/2006/customXml" ds:itemID="{BDDED38E-01E2-47BD-B833-973D83174D0B}"/>
</file>

<file path=docProps/app.xml><?xml version="1.0" encoding="utf-8"?>
<Properties xmlns="http://schemas.openxmlformats.org/officeDocument/2006/extended-properties" xmlns:vt="http://schemas.openxmlformats.org/officeDocument/2006/docPropsVTypes">
  <Template>Normal.dotm</Template>
  <TotalTime>240</TotalTime>
  <Pages>8</Pages>
  <Words>2846</Words>
  <Characters>15027</Characters>
  <Application>Microsoft Office Word</Application>
  <DocSecurity>0</DocSecurity>
  <Lines>300</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Ambika Satkunanathan</cp:lastModifiedBy>
  <cp:revision>21</cp:revision>
  <dcterms:created xsi:type="dcterms:W3CDTF">2023-02-08T09:40:00Z</dcterms:created>
  <dcterms:modified xsi:type="dcterms:W3CDTF">2023-03-07T07:31:00Z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