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4BB3A" w14:textId="12F08D52" w:rsidR="008956AB" w:rsidRDefault="00991D05" w:rsidP="008130DC">
      <w:pPr>
        <w:spacing w:after="0"/>
        <w:jc w:val="center"/>
        <w:rPr>
          <w:b/>
          <w:bCs/>
        </w:rPr>
      </w:pPr>
      <w:r w:rsidRPr="009C07BE">
        <w:rPr>
          <w:rFonts w:cs="Arial"/>
          <w:b/>
          <w:bCs/>
          <w:noProof/>
          <w:sz w:val="20"/>
          <w:szCs w:val="20"/>
        </w:rPr>
        <w:drawing>
          <wp:anchor distT="0" distB="0" distL="114300" distR="114300" simplePos="0" relativeHeight="251659264" behindDoc="0" locked="0" layoutInCell="1" allowOverlap="1" wp14:anchorId="099B64B0" wp14:editId="70CF587F">
            <wp:simplePos x="0" y="0"/>
            <wp:positionH relativeFrom="margin">
              <wp:posOffset>-730250</wp:posOffset>
            </wp:positionH>
            <wp:positionV relativeFrom="paragraph">
              <wp:posOffset>-763270</wp:posOffset>
            </wp:positionV>
            <wp:extent cx="922655" cy="9912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APDC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2655" cy="991235"/>
                    </a:xfrm>
                    <a:prstGeom prst="rect">
                      <a:avLst/>
                    </a:prstGeom>
                  </pic:spPr>
                </pic:pic>
              </a:graphicData>
            </a:graphic>
          </wp:anchor>
        </w:drawing>
      </w:r>
      <w:r w:rsidR="008956AB">
        <w:rPr>
          <w:b/>
          <w:bCs/>
        </w:rPr>
        <w:t>Independent Advisory Panel on Deaths in Custody</w:t>
      </w:r>
    </w:p>
    <w:p w14:paraId="54A021BD" w14:textId="0DE2F4A9" w:rsidR="008956AB" w:rsidRPr="008956AB" w:rsidRDefault="008956AB" w:rsidP="008130DC">
      <w:pPr>
        <w:spacing w:after="0"/>
        <w:jc w:val="center"/>
        <w:rPr>
          <w:b/>
          <w:bCs/>
        </w:rPr>
      </w:pPr>
      <w:r>
        <w:rPr>
          <w:b/>
          <w:bCs/>
        </w:rPr>
        <w:t>Response to call for evidence on deaths in custody</w:t>
      </w:r>
    </w:p>
    <w:p w14:paraId="5815C398" w14:textId="77777777" w:rsidR="009E31AB" w:rsidRPr="008F421D" w:rsidRDefault="009E31AB" w:rsidP="008130DC">
      <w:pPr>
        <w:pStyle w:val="ListParagraph"/>
        <w:ind w:left="357"/>
        <w:contextualSpacing w:val="0"/>
      </w:pPr>
    </w:p>
    <w:p w14:paraId="36517D71" w14:textId="69CBC602" w:rsidR="008F421D" w:rsidRPr="008130DC" w:rsidRDefault="008F421D" w:rsidP="008130DC">
      <w:pPr>
        <w:rPr>
          <w:b/>
          <w:bCs/>
        </w:rPr>
      </w:pPr>
      <w:r w:rsidRPr="008130DC">
        <w:rPr>
          <w:b/>
          <w:bCs/>
        </w:rPr>
        <w:t>Introduction</w:t>
      </w:r>
    </w:p>
    <w:p w14:paraId="1169C7B6" w14:textId="542BFB38" w:rsidR="00331063" w:rsidRPr="00331063" w:rsidRDefault="00D70349" w:rsidP="00331063">
      <w:pPr>
        <w:pStyle w:val="ListParagraph"/>
        <w:numPr>
          <w:ilvl w:val="0"/>
          <w:numId w:val="4"/>
        </w:numPr>
        <w:ind w:left="357" w:hanging="357"/>
        <w:contextualSpacing w:val="0"/>
      </w:pPr>
      <w:r w:rsidRPr="00331063">
        <w:rPr>
          <w:rFonts w:cs="Arial"/>
        </w:rPr>
        <w:t xml:space="preserve">The role of the Independent Advisory Panel on Deaths in Custody (IAPDC) is to advise Ministers and officials </w:t>
      </w:r>
      <w:r w:rsidR="00331063" w:rsidRPr="00331063">
        <w:rPr>
          <w:rFonts w:cs="Arial"/>
        </w:rPr>
        <w:t xml:space="preserve">in England and Wales </w:t>
      </w:r>
      <w:r w:rsidRPr="00331063">
        <w:rPr>
          <w:rFonts w:cs="Arial"/>
        </w:rPr>
        <w:t xml:space="preserve">on how they can meet their human rights obligations to prevent deaths and protect the lives of people detained in state custody. </w:t>
      </w:r>
    </w:p>
    <w:p w14:paraId="204F773F" w14:textId="25146F97" w:rsidR="00965B35" w:rsidRDefault="00D70349" w:rsidP="009A5912">
      <w:pPr>
        <w:pStyle w:val="ListParagraph"/>
        <w:numPr>
          <w:ilvl w:val="0"/>
          <w:numId w:val="4"/>
        </w:numPr>
        <w:ind w:left="357" w:hanging="357"/>
        <w:contextualSpacing w:val="0"/>
      </w:pPr>
      <w:r w:rsidRPr="00331063">
        <w:rPr>
          <w:rFonts w:cs="Arial"/>
        </w:rPr>
        <w:t xml:space="preserve">The IAPDC welcomes the opportunity to submit evidence to the United Nations Special Rapporteur </w:t>
      </w:r>
      <w:r w:rsidR="002E2069" w:rsidRPr="00331063">
        <w:rPr>
          <w:rFonts w:cs="Arial"/>
        </w:rPr>
        <w:t>on extrajudicial, summary, or arbitrary executions</w:t>
      </w:r>
      <w:r w:rsidRPr="00331063">
        <w:rPr>
          <w:rFonts w:cs="Arial"/>
        </w:rPr>
        <w:t>.</w:t>
      </w:r>
      <w:r w:rsidR="00331063">
        <w:rPr>
          <w:rFonts w:cs="Arial"/>
        </w:rPr>
        <w:t xml:space="preserve"> We have focused our submission on the first request for information around existing practices for data gathering. </w:t>
      </w:r>
      <w:r w:rsidR="00965B35">
        <w:t>The IAPDC’s submission set</w:t>
      </w:r>
      <w:r w:rsidR="00965B35">
        <w:t>s</w:t>
      </w:r>
      <w:r w:rsidR="00965B35">
        <w:t xml:space="preserve"> out the key</w:t>
      </w:r>
      <w:r w:rsidR="00965B35">
        <w:t xml:space="preserve"> current</w:t>
      </w:r>
      <w:r w:rsidR="00965B35">
        <w:t xml:space="preserve"> data, the way</w:t>
      </w:r>
      <w:r w:rsidR="00965B35">
        <w:t>s</w:t>
      </w:r>
      <w:r w:rsidR="00965B35">
        <w:t xml:space="preserve"> in which this data is collected and published, and some of the key issues</w:t>
      </w:r>
      <w:r w:rsidR="008F421D">
        <w:t xml:space="preserve"> </w:t>
      </w:r>
      <w:r w:rsidR="00965B35">
        <w:t xml:space="preserve">the Panel encounters in </w:t>
      </w:r>
      <w:r w:rsidR="008F421D">
        <w:t>making use of the</w:t>
      </w:r>
      <w:r w:rsidR="00965B35">
        <w:t xml:space="preserve"> data to understand, and direct interventions toward, deaths in custody.</w:t>
      </w:r>
    </w:p>
    <w:p w14:paraId="0445C034" w14:textId="029D11AF" w:rsidR="009A5912" w:rsidRDefault="00EC26DD" w:rsidP="009A5912">
      <w:pPr>
        <w:pStyle w:val="ListParagraph"/>
        <w:numPr>
          <w:ilvl w:val="0"/>
          <w:numId w:val="4"/>
        </w:numPr>
        <w:ind w:left="357" w:hanging="357"/>
        <w:contextualSpacing w:val="0"/>
      </w:pPr>
      <w:r>
        <w:t xml:space="preserve">There </w:t>
      </w:r>
      <w:r w:rsidR="00331063">
        <w:t>exists a</w:t>
      </w:r>
      <w:r>
        <w:t xml:space="preserve"> range of practices for gathering, analysi</w:t>
      </w:r>
      <w:r w:rsidR="008F421D">
        <w:t>ng</w:t>
      </w:r>
      <w:r>
        <w:t xml:space="preserve">, and reporting </w:t>
      </w:r>
      <w:r w:rsidR="008F421D">
        <w:t xml:space="preserve">deaths in detention data </w:t>
      </w:r>
      <w:r>
        <w:t xml:space="preserve">across the different custody </w:t>
      </w:r>
      <w:r w:rsidR="00965B35">
        <w:t>settings</w:t>
      </w:r>
      <w:r w:rsidR="00965B35">
        <w:t xml:space="preserve"> </w:t>
      </w:r>
      <w:r>
        <w:t xml:space="preserve">covered by the IAPDC’s remit – prisons, </w:t>
      </w:r>
      <w:r w:rsidR="00331063">
        <w:t>immigration detention</w:t>
      </w:r>
      <w:r>
        <w:t>, police custody, and detention</w:t>
      </w:r>
      <w:r w:rsidR="00331063">
        <w:t xml:space="preserve"> of patients </w:t>
      </w:r>
      <w:r>
        <w:t xml:space="preserve">under the Mental Health Act </w:t>
      </w:r>
      <w:r w:rsidR="00E719F6">
        <w:t xml:space="preserve">1983 </w:t>
      </w:r>
      <w:r>
        <w:t>(MHA).</w:t>
      </w:r>
      <w:r w:rsidR="00811117">
        <w:t xml:space="preserve"> </w:t>
      </w:r>
    </w:p>
    <w:p w14:paraId="0E8F1B05" w14:textId="754F6174" w:rsidR="00965B35" w:rsidRDefault="00965B35" w:rsidP="009A5912">
      <w:pPr>
        <w:pStyle w:val="ListParagraph"/>
        <w:numPr>
          <w:ilvl w:val="0"/>
          <w:numId w:val="4"/>
        </w:numPr>
        <w:ind w:left="357" w:hanging="357"/>
        <w:contextualSpacing w:val="0"/>
      </w:pPr>
      <w:r>
        <w:t xml:space="preserve">Data on deaths in detention should be updated and published frequently and be fully disaggregated (included according to protected characteristics and detention type). </w:t>
      </w:r>
      <w:r w:rsidR="008F421D">
        <w:t xml:space="preserve">Services should take steps to </w:t>
      </w:r>
      <w:r>
        <w:t>underst</w:t>
      </w:r>
      <w:r w:rsidR="008F421D">
        <w:t>an</w:t>
      </w:r>
      <w:r>
        <w:t xml:space="preserve">d </w:t>
      </w:r>
      <w:r w:rsidR="008F421D">
        <w:t xml:space="preserve">and sharing findings on cause of death </w:t>
      </w:r>
      <w:r>
        <w:t>as early as possible. Where possible</w:t>
      </w:r>
      <w:r w:rsidR="008F421D">
        <w:t>,</w:t>
      </w:r>
      <w:r>
        <w:t xml:space="preserve"> deaths data should be published by rate, meaning that information on population sizes and time spent in detention</w:t>
      </w:r>
      <w:r w:rsidR="008F421D">
        <w:t xml:space="preserve"> should </w:t>
      </w:r>
      <w:r>
        <w:t>also be made available.</w:t>
      </w:r>
    </w:p>
    <w:p w14:paraId="201F4F9B" w14:textId="0592EE7E" w:rsidR="009A5912" w:rsidRDefault="00331063" w:rsidP="00361EEB">
      <w:pPr>
        <w:pStyle w:val="ListParagraph"/>
        <w:numPr>
          <w:ilvl w:val="0"/>
          <w:numId w:val="4"/>
        </w:numPr>
        <w:ind w:left="357" w:hanging="357"/>
        <w:contextualSpacing w:val="0"/>
      </w:pPr>
      <w:r>
        <w:t xml:space="preserve">While total numbers are useful, it is </w:t>
      </w:r>
      <w:r w:rsidR="008F421D">
        <w:t xml:space="preserve">often </w:t>
      </w:r>
      <w:r>
        <w:t>more revealing to understand rates of death according to population</w:t>
      </w:r>
      <w:r w:rsidR="008F421D">
        <w:t>s in detention</w:t>
      </w:r>
      <w:r>
        <w:t xml:space="preserve"> to allow for more consistent comparison across time and settings. </w:t>
      </w:r>
      <w:r w:rsidR="008F421D">
        <w:t>Ground-breaking</w:t>
      </w:r>
      <w:r w:rsidR="009A5912">
        <w:t xml:space="preserve"> research by the Panel in 2021</w:t>
      </w:r>
      <w:r w:rsidR="00605276">
        <w:t xml:space="preserve"> examining</w:t>
      </w:r>
      <w:r>
        <w:t xml:space="preserve"> data on custody deaths between 2016 and 2019 </w:t>
      </w:r>
      <w:r w:rsidR="009A5912">
        <w:t>identified the following key findings</w:t>
      </w:r>
      <w:r>
        <w:t>:</w:t>
      </w:r>
    </w:p>
    <w:p w14:paraId="65DD7DEA" w14:textId="556EEA71" w:rsidR="009A5912" w:rsidRDefault="009A5912" w:rsidP="009A5912">
      <w:pPr>
        <w:pStyle w:val="ListParagraph"/>
        <w:numPr>
          <w:ilvl w:val="0"/>
          <w:numId w:val="3"/>
        </w:numPr>
      </w:pPr>
      <w:r>
        <w:t>Around one in five deaths in detention are self-inflicted</w:t>
      </w:r>
      <w:r w:rsidR="00331063">
        <w:t>.</w:t>
      </w:r>
      <w:r>
        <w:t xml:space="preserve"> </w:t>
      </w:r>
    </w:p>
    <w:p w14:paraId="2A608A81" w14:textId="46685D81" w:rsidR="009A5912" w:rsidRDefault="009A5912" w:rsidP="009A5912">
      <w:pPr>
        <w:pStyle w:val="ListParagraph"/>
        <w:numPr>
          <w:ilvl w:val="0"/>
          <w:numId w:val="3"/>
        </w:numPr>
      </w:pPr>
      <w:r>
        <w:t xml:space="preserve">Deaths in all custodial settings are much higher than </w:t>
      </w:r>
      <w:r w:rsidR="008F421D">
        <w:t xml:space="preserve">the </w:t>
      </w:r>
      <w:r>
        <w:t>background all-cause mortality for the general population of similar age and sex</w:t>
      </w:r>
      <w:r w:rsidR="00331063">
        <w:t>.</w:t>
      </w:r>
    </w:p>
    <w:p w14:paraId="1E7FC8BB" w14:textId="27C37354" w:rsidR="009A5912" w:rsidRDefault="009A5912" w:rsidP="009A5912">
      <w:pPr>
        <w:pStyle w:val="ListParagraph"/>
        <w:numPr>
          <w:ilvl w:val="0"/>
          <w:numId w:val="3"/>
        </w:numPr>
      </w:pPr>
      <w:r>
        <w:t>Most deaths took place in prisons. The highest rate of deaths is in psychiatric hospitals</w:t>
      </w:r>
      <w:r w:rsidR="00331063">
        <w:t>.</w:t>
      </w:r>
    </w:p>
    <w:p w14:paraId="51D71204" w14:textId="2CD7E665" w:rsidR="009A5912" w:rsidRDefault="009A5912" w:rsidP="009A5912">
      <w:pPr>
        <w:pStyle w:val="ListParagraph"/>
        <w:numPr>
          <w:ilvl w:val="0"/>
          <w:numId w:val="3"/>
        </w:numPr>
      </w:pPr>
      <w:r>
        <w:t xml:space="preserve">While there were more deaths </w:t>
      </w:r>
      <w:r w:rsidR="00965B35">
        <w:t>of</w:t>
      </w:r>
      <w:r>
        <w:t xml:space="preserve"> men than women in all settings, when the accompanying rates are considered, the difference in deaths between men and women </w:t>
      </w:r>
      <w:r w:rsidR="00331063">
        <w:t xml:space="preserve">is </w:t>
      </w:r>
      <w:r>
        <w:t>narrowed</w:t>
      </w:r>
      <w:r w:rsidR="00331063">
        <w:t>.</w:t>
      </w:r>
    </w:p>
    <w:p w14:paraId="139DBEFC" w14:textId="29D01F0F" w:rsidR="009A5912" w:rsidRDefault="009A5912" w:rsidP="009A5912">
      <w:pPr>
        <w:pStyle w:val="ListParagraph"/>
        <w:numPr>
          <w:ilvl w:val="0"/>
          <w:numId w:val="3"/>
        </w:numPr>
      </w:pPr>
      <w:r>
        <w:t>The proportion of deaths due to natural causes increased in the older age groups, and there were relatively more self-inflicted deaths in the younger age groups.</w:t>
      </w:r>
      <w:r w:rsidR="00B14CDA" w:rsidRPr="00412E3C">
        <w:rPr>
          <w:rStyle w:val="EndnoteReference"/>
          <w:rFonts w:cs="Arial"/>
          <w:color w:val="000000"/>
        </w:rPr>
        <w:endnoteReference w:id="1"/>
      </w:r>
    </w:p>
    <w:p w14:paraId="3659D9C7" w14:textId="7CC32F96" w:rsidR="00017212" w:rsidRDefault="00EC26DD" w:rsidP="00EC26DD">
      <w:r>
        <w:rPr>
          <w:b/>
          <w:bCs/>
        </w:rPr>
        <w:t>Data on deaths within prisons</w:t>
      </w:r>
    </w:p>
    <w:p w14:paraId="271AB871" w14:textId="212BEA3C" w:rsidR="00422A02" w:rsidRPr="00422A02" w:rsidRDefault="00422A02" w:rsidP="00EC26DD">
      <w:pPr>
        <w:rPr>
          <w:i/>
          <w:iCs/>
        </w:rPr>
      </w:pPr>
      <w:r>
        <w:rPr>
          <w:i/>
          <w:iCs/>
        </w:rPr>
        <w:t>Numbers</w:t>
      </w:r>
    </w:p>
    <w:p w14:paraId="3F42BDF5" w14:textId="56B25E27" w:rsidR="008F421D" w:rsidRPr="008130DC" w:rsidRDefault="00965B35" w:rsidP="00025072">
      <w:pPr>
        <w:pStyle w:val="ListParagraph"/>
        <w:numPr>
          <w:ilvl w:val="0"/>
          <w:numId w:val="4"/>
        </w:numPr>
        <w:ind w:left="357" w:hanging="357"/>
        <w:contextualSpacing w:val="0"/>
        <w:rPr>
          <w:rFonts w:eastAsia="Times New Roman" w:cs="Arial"/>
          <w:lang w:val="en-AU" w:eastAsia="en-GB"/>
        </w:rPr>
      </w:pPr>
      <w:r>
        <w:t>HM Prison and Probation Service (</w:t>
      </w:r>
      <w:r w:rsidR="00E719F6">
        <w:t>HMPPS</w:t>
      </w:r>
      <w:r>
        <w:t>)</w:t>
      </w:r>
      <w:r w:rsidR="00E719F6">
        <w:t xml:space="preserve"> collects and publishes data on deaths within prison custody. </w:t>
      </w:r>
      <w:r w:rsidR="00331063">
        <w:t xml:space="preserve">In the 12 months </w:t>
      </w:r>
      <w:r w:rsidR="00E719F6">
        <w:t xml:space="preserve">to December 2022 there were </w:t>
      </w:r>
      <w:r w:rsidR="00E50B8E">
        <w:t>301 deaths</w:t>
      </w:r>
      <w:r w:rsidR="00331063">
        <w:t xml:space="preserve">, of which </w:t>
      </w:r>
      <w:r w:rsidR="00E719F6">
        <w:t xml:space="preserve">74 were self-inflicted and 187 </w:t>
      </w:r>
      <w:r>
        <w:t xml:space="preserve">were </w:t>
      </w:r>
      <w:r w:rsidR="00E719F6">
        <w:t xml:space="preserve">from ‘natural </w:t>
      </w:r>
      <w:proofErr w:type="gramStart"/>
      <w:r w:rsidR="00E719F6">
        <w:t>causes’</w:t>
      </w:r>
      <w:proofErr w:type="gramEnd"/>
      <w:r w:rsidR="00E719F6">
        <w:t>.</w:t>
      </w:r>
      <w:r w:rsidR="009941E9">
        <w:t xml:space="preserve"> There was </w:t>
      </w:r>
      <w:r w:rsidR="00025072">
        <w:t xml:space="preserve">one </w:t>
      </w:r>
      <w:r w:rsidR="009941E9">
        <w:t>homicide</w:t>
      </w:r>
      <w:r w:rsidR="00025072">
        <w:t xml:space="preserve"> and 39 deaths recorded as ‘Other’ (see paragraph </w:t>
      </w:r>
      <w:r w:rsidR="008F421D">
        <w:t>12</w:t>
      </w:r>
      <w:r w:rsidR="00025072">
        <w:t>)</w:t>
      </w:r>
      <w:r w:rsidR="009941E9">
        <w:t>.</w:t>
      </w:r>
      <w:r w:rsidR="00E719F6">
        <w:rPr>
          <w:rStyle w:val="EndnoteReference"/>
        </w:rPr>
        <w:endnoteReference w:id="2"/>
      </w:r>
      <w:r w:rsidR="00FB3E9D">
        <w:t xml:space="preserve"> </w:t>
      </w:r>
    </w:p>
    <w:p w14:paraId="02D0CF6B" w14:textId="5356AD49" w:rsidR="00025072" w:rsidRDefault="00FB3E9D" w:rsidP="00025072">
      <w:pPr>
        <w:pStyle w:val="ListParagraph"/>
        <w:numPr>
          <w:ilvl w:val="0"/>
          <w:numId w:val="4"/>
        </w:numPr>
        <w:ind w:left="357" w:hanging="357"/>
        <w:contextualSpacing w:val="0"/>
        <w:rPr>
          <w:rFonts w:eastAsia="Times New Roman" w:cs="Arial"/>
          <w:lang w:val="en-AU" w:eastAsia="en-GB"/>
        </w:rPr>
      </w:pPr>
      <w:r>
        <w:t xml:space="preserve">This data is disaggregated </w:t>
      </w:r>
      <w:r w:rsidR="00025072">
        <w:t>by categories including gender</w:t>
      </w:r>
      <w:r>
        <w:t>, age, prisoner category (</w:t>
      </w:r>
      <w:proofErr w:type="gramStart"/>
      <w:r>
        <w:t>e.g.</w:t>
      </w:r>
      <w:proofErr w:type="gramEnd"/>
      <w:r>
        <w:t xml:space="preserve"> remand status), establishment (e.g. security classification, male/female estate), nationality, time in custody, sentence length and type, offence, and method of self-inflicted death, among others. </w:t>
      </w:r>
      <w:r w:rsidR="00025072">
        <w:rPr>
          <w:rFonts w:eastAsia="Times New Roman" w:cs="Arial"/>
          <w:lang w:val="en-AU" w:eastAsia="en-GB"/>
        </w:rPr>
        <w:t xml:space="preserve">Data on ethnicity is currently published for self-inflicted </w:t>
      </w:r>
      <w:r w:rsidR="00025072">
        <w:rPr>
          <w:rFonts w:eastAsia="Times New Roman" w:cs="Arial"/>
          <w:lang w:val="en-AU" w:eastAsia="en-GB"/>
        </w:rPr>
        <w:lastRenderedPageBreak/>
        <w:t>deaths only, though the IAPDC understands there are plans to make this information available for all deaths going forwards.</w:t>
      </w:r>
    </w:p>
    <w:p w14:paraId="4CD5E45C" w14:textId="77777777" w:rsidR="008F421D" w:rsidRPr="009A5912" w:rsidRDefault="008F421D" w:rsidP="008F421D">
      <w:pPr>
        <w:pStyle w:val="ListParagraph"/>
        <w:numPr>
          <w:ilvl w:val="0"/>
          <w:numId w:val="4"/>
        </w:numPr>
        <w:ind w:left="357" w:hanging="357"/>
        <w:contextualSpacing w:val="0"/>
        <w:rPr>
          <w:rFonts w:eastAsia="Times New Roman" w:cs="Arial"/>
          <w:lang w:val="en-AU" w:eastAsia="en-GB"/>
        </w:rPr>
      </w:pPr>
      <w:r>
        <w:t xml:space="preserve">Importantly, HMPPS also publishes rates of deaths per 1,000 prisoners. </w:t>
      </w:r>
      <w:r w:rsidRPr="00965B35">
        <w:t>In the 12 months to December 2022</w:t>
      </w:r>
      <w:r>
        <w:t xml:space="preserve"> this </w:t>
      </w:r>
      <w:r w:rsidRPr="00965B35">
        <w:t xml:space="preserve">rate </w:t>
      </w:r>
      <w:r>
        <w:t>was</w:t>
      </w:r>
      <w:r w:rsidRPr="00965B35">
        <w:t xml:space="preserve"> 3.7 per 1,000 prisoners</w:t>
      </w:r>
      <w:r>
        <w:t xml:space="preserve">. </w:t>
      </w:r>
    </w:p>
    <w:p w14:paraId="7371E875" w14:textId="354A1938" w:rsidR="00FB3E9D" w:rsidRDefault="009941E9" w:rsidP="009A5912">
      <w:pPr>
        <w:pStyle w:val="ListParagraph"/>
        <w:numPr>
          <w:ilvl w:val="0"/>
          <w:numId w:val="4"/>
        </w:numPr>
      </w:pPr>
      <w:r>
        <w:t>T</w:t>
      </w:r>
      <w:r w:rsidR="00E74E52">
        <w:t xml:space="preserve">he numbers of deaths remain high, with over 100 more deaths in 2022 than </w:t>
      </w:r>
      <w:r w:rsidR="00025072">
        <w:t>ten</w:t>
      </w:r>
      <w:r w:rsidR="00E74E52">
        <w:t xml:space="preserve"> years prior. While</w:t>
      </w:r>
      <w:r>
        <w:t xml:space="preserve"> the</w:t>
      </w:r>
      <w:r w:rsidR="00E74E52">
        <w:t xml:space="preserve"> number of self-inflicted deaths ha</w:t>
      </w:r>
      <w:r>
        <w:t>s</w:t>
      </w:r>
      <w:r w:rsidR="00E74E52">
        <w:t xml:space="preserve"> decreased since a high of 111 in 2016, </w:t>
      </w:r>
      <w:r>
        <w:t xml:space="preserve">this </w:t>
      </w:r>
      <w:r w:rsidR="00E74E52">
        <w:t xml:space="preserve">still significantly higher than </w:t>
      </w:r>
      <w:r w:rsidR="00025072">
        <w:t xml:space="preserve">ten </w:t>
      </w:r>
      <w:r>
        <w:t>years prior</w:t>
      </w:r>
      <w:r w:rsidR="00E74E52">
        <w:t xml:space="preserve">. </w:t>
      </w:r>
      <w:r w:rsidR="00025072">
        <w:t>D</w:t>
      </w:r>
      <w:r w:rsidR="00E74E52">
        <w:t>eaths</w:t>
      </w:r>
      <w:r w:rsidR="00025072">
        <w:t xml:space="preserve"> from </w:t>
      </w:r>
      <w:r w:rsidR="008F421D">
        <w:t>‘</w:t>
      </w:r>
      <w:r w:rsidR="00025072">
        <w:t>natural</w:t>
      </w:r>
      <w:r w:rsidR="008F421D">
        <w:t>’</w:t>
      </w:r>
      <w:r w:rsidR="00025072">
        <w:t xml:space="preserve"> causes</w:t>
      </w:r>
      <w:r w:rsidR="00E74E52">
        <w:t xml:space="preserve"> remain high, </w:t>
      </w:r>
      <w:proofErr w:type="gramStart"/>
      <w:r w:rsidR="00E74E52">
        <w:t>similar to</w:t>
      </w:r>
      <w:proofErr w:type="gramEnd"/>
      <w:r w:rsidR="00E74E52">
        <w:t xml:space="preserve"> the previous high in 2016</w:t>
      </w:r>
      <w:r w:rsidR="00025072">
        <w:t xml:space="preserve"> (this category can be viewed as somewhat misleading in that it does not</w:t>
      </w:r>
      <w:r w:rsidR="008F421D">
        <w:t xml:space="preserve"> capture those deaths which inquests and investigations suggest were </w:t>
      </w:r>
      <w:r w:rsidR="00025072">
        <w:t>caused by physical health issues</w:t>
      </w:r>
      <w:r w:rsidR="008F421D">
        <w:t xml:space="preserve"> but likely avoidable</w:t>
      </w:r>
      <w:r w:rsidR="00025072">
        <w:t>).</w:t>
      </w:r>
      <w:r w:rsidR="008F421D">
        <w:t xml:space="preserve"> Overdoses and other substance-related deaths are rising. </w:t>
      </w:r>
      <w:r>
        <w:t xml:space="preserve">Homicides remain </w:t>
      </w:r>
      <w:r w:rsidR="008F421D">
        <w:t>infrequent</w:t>
      </w:r>
      <w:r>
        <w:t>.</w:t>
      </w:r>
    </w:p>
    <w:p w14:paraId="4726B8EC" w14:textId="026E4C72" w:rsidR="009A5912" w:rsidRPr="009A5912" w:rsidRDefault="00422A02" w:rsidP="009A5912">
      <w:pPr>
        <w:rPr>
          <w:i/>
          <w:iCs/>
        </w:rPr>
      </w:pPr>
      <w:r w:rsidRPr="00422A02">
        <w:rPr>
          <w:i/>
          <w:iCs/>
        </w:rPr>
        <w:t>Methodology</w:t>
      </w:r>
    </w:p>
    <w:p w14:paraId="33F61B6E" w14:textId="2E7E838F" w:rsidR="00025072" w:rsidRPr="00025072" w:rsidRDefault="00025072" w:rsidP="009A5912">
      <w:pPr>
        <w:pStyle w:val="ListParagraph"/>
        <w:numPr>
          <w:ilvl w:val="0"/>
          <w:numId w:val="4"/>
        </w:numPr>
        <w:ind w:left="357" w:hanging="357"/>
        <w:contextualSpacing w:val="0"/>
        <w:rPr>
          <w:rFonts w:eastAsia="Times New Roman" w:cs="Arial"/>
          <w:lang w:val="en-AU" w:eastAsia="en-GB"/>
        </w:rPr>
      </w:pPr>
      <w:proofErr w:type="gramStart"/>
      <w:r>
        <w:rPr>
          <w:rFonts w:eastAsia="Times New Roman" w:cs="Arial"/>
          <w:lang w:val="en-AU" w:eastAsia="en-GB"/>
        </w:rPr>
        <w:t>Deaths</w:t>
      </w:r>
      <w:proofErr w:type="gramEnd"/>
      <w:r>
        <w:rPr>
          <w:rFonts w:eastAsia="Times New Roman" w:cs="Arial"/>
          <w:lang w:val="en-AU" w:eastAsia="en-GB"/>
        </w:rPr>
        <w:t xml:space="preserve"> data published by HMPPS is viewed as a best practice example in the context of other detention settings in England and Wales.</w:t>
      </w:r>
    </w:p>
    <w:p w14:paraId="79C984AB" w14:textId="0515E4C5" w:rsidR="009A5912" w:rsidRPr="009A5912" w:rsidRDefault="009941E9" w:rsidP="009A5912">
      <w:pPr>
        <w:pStyle w:val="ListParagraph"/>
        <w:numPr>
          <w:ilvl w:val="0"/>
          <w:numId w:val="4"/>
        </w:numPr>
        <w:ind w:left="357" w:hanging="357"/>
        <w:contextualSpacing w:val="0"/>
        <w:rPr>
          <w:rFonts w:eastAsia="Times New Roman" w:cs="Arial"/>
          <w:lang w:val="en-AU" w:eastAsia="en-GB"/>
        </w:rPr>
      </w:pPr>
      <w:r>
        <w:t xml:space="preserve">As the </w:t>
      </w:r>
      <w:proofErr w:type="spellStart"/>
      <w:r>
        <w:t>MoJ’s</w:t>
      </w:r>
      <w:proofErr w:type="spellEnd"/>
      <w:r>
        <w:t xml:space="preserve"> guide to HMPPS’s Safety in Custody Statistics states, “A death in prison custody is defined as ‘any death of a person in prison custody arising from an incident in or, on rare occasions, immediately prior to prison custody’.”</w:t>
      </w:r>
      <w:r>
        <w:rPr>
          <w:rStyle w:val="EndnoteReference"/>
        </w:rPr>
        <w:endnoteReference w:id="3"/>
      </w:r>
    </w:p>
    <w:p w14:paraId="1F888619" w14:textId="4689C3E4" w:rsidR="009A5912" w:rsidRPr="00025072" w:rsidRDefault="00D30E5B" w:rsidP="009A5912">
      <w:pPr>
        <w:pStyle w:val="ListParagraph"/>
        <w:numPr>
          <w:ilvl w:val="0"/>
          <w:numId w:val="4"/>
        </w:numPr>
        <w:ind w:left="357" w:hanging="357"/>
        <w:contextualSpacing w:val="0"/>
        <w:rPr>
          <w:rFonts w:eastAsia="Times New Roman" w:cs="Arial"/>
          <w:lang w:val="en-AU" w:eastAsia="en-GB"/>
        </w:rPr>
      </w:pPr>
      <w:r w:rsidRPr="009A5912">
        <w:rPr>
          <w:rFonts w:eastAsia="Times New Roman" w:cs="Arial"/>
          <w:color w:val="000000" w:themeColor="text1"/>
          <w:lang w:eastAsia="en-GB"/>
        </w:rPr>
        <w:t xml:space="preserve">Cause of death information is initially provided </w:t>
      </w:r>
      <w:proofErr w:type="gramStart"/>
      <w:r w:rsidRPr="009A5912">
        <w:rPr>
          <w:rFonts w:eastAsia="Times New Roman" w:cs="Arial"/>
          <w:color w:val="000000" w:themeColor="text1"/>
          <w:lang w:eastAsia="en-GB"/>
        </w:rPr>
        <w:t>on the basis of</w:t>
      </w:r>
      <w:proofErr w:type="gramEnd"/>
      <w:r w:rsidRPr="009A5912">
        <w:rPr>
          <w:rFonts w:eastAsia="Times New Roman" w:cs="Arial"/>
          <w:color w:val="000000" w:themeColor="text1"/>
          <w:lang w:eastAsia="en-GB"/>
        </w:rPr>
        <w:t xml:space="preserve"> post-mortem results to classify deaths as ‘self-inflicted’ or ‘natural’ at an early stage, with these figures liable to change after </w:t>
      </w:r>
      <w:r w:rsidR="00E74E52" w:rsidRPr="009A5912">
        <w:rPr>
          <w:rFonts w:eastAsia="Times New Roman" w:cs="Arial"/>
          <w:color w:val="000000" w:themeColor="text1"/>
          <w:lang w:eastAsia="en-GB"/>
        </w:rPr>
        <w:t>the conclusion of further investigations such as inquests.</w:t>
      </w:r>
      <w:r w:rsidR="009941E9" w:rsidRPr="009A5912">
        <w:rPr>
          <w:rFonts w:eastAsia="Times New Roman" w:cs="Arial"/>
          <w:color w:val="000000" w:themeColor="text1"/>
          <w:lang w:eastAsia="en-GB"/>
        </w:rPr>
        <w:t xml:space="preserve"> As the </w:t>
      </w:r>
      <w:proofErr w:type="spellStart"/>
      <w:r w:rsidR="009941E9" w:rsidRPr="009A5912">
        <w:rPr>
          <w:rFonts w:eastAsia="Times New Roman" w:cs="Arial"/>
          <w:color w:val="000000" w:themeColor="text1"/>
          <w:lang w:eastAsia="en-GB"/>
        </w:rPr>
        <w:t>MoJ’s</w:t>
      </w:r>
      <w:proofErr w:type="spellEnd"/>
      <w:r w:rsidR="009941E9" w:rsidRPr="009A5912">
        <w:rPr>
          <w:rFonts w:eastAsia="Times New Roman" w:cs="Arial"/>
          <w:color w:val="000000" w:themeColor="text1"/>
          <w:lang w:eastAsia="en-GB"/>
        </w:rPr>
        <w:t xml:space="preserve"> guide states, “</w:t>
      </w:r>
      <w:r w:rsidR="009941E9">
        <w:t xml:space="preserve">Natural cause deaths include any death of a person as a result of a naturally occurring disease process”, while “[s]elf-inflicted deaths are any death of a person who has apparently taken his or her own life irrespective of intent. This not only includes suicides but also accidental deaths </w:t>
      </w:r>
      <w:proofErr w:type="gramStart"/>
      <w:r w:rsidR="009941E9">
        <w:t>as a result of</w:t>
      </w:r>
      <w:proofErr w:type="gramEnd"/>
      <w:r w:rsidR="009941E9">
        <w:t xml:space="preserve"> the person’s own actions. This classification is used because it is not always known whether a person intended to commit suicide.” Further, “‘Other’ deaths include any death of a person whose death cannot easily be classified as natural causes, self-inflicted or homicide. The category includes accidents and cases where the cause of death is unknown even after </w:t>
      </w:r>
      <w:proofErr w:type="gramStart"/>
      <w:r w:rsidR="009941E9">
        <w:t>all of</w:t>
      </w:r>
      <w:proofErr w:type="gramEnd"/>
      <w:r w:rsidR="009941E9">
        <w:t xml:space="preserve"> the investigations have been concluded.”</w:t>
      </w:r>
    </w:p>
    <w:p w14:paraId="2069D939" w14:textId="75C14820" w:rsidR="009941E9" w:rsidRPr="009A5912" w:rsidRDefault="008F421D" w:rsidP="009A5912">
      <w:pPr>
        <w:pStyle w:val="ListParagraph"/>
        <w:numPr>
          <w:ilvl w:val="0"/>
          <w:numId w:val="4"/>
        </w:numPr>
        <w:ind w:left="357" w:hanging="357"/>
        <w:contextualSpacing w:val="0"/>
        <w:rPr>
          <w:rFonts w:eastAsia="Times New Roman" w:cs="Arial"/>
          <w:lang w:val="en-AU" w:eastAsia="en-GB"/>
        </w:rPr>
      </w:pPr>
      <w:r>
        <w:rPr>
          <w:rFonts w:eastAsia="Times New Roman" w:cs="Arial"/>
          <w:lang w:val="en-AU" w:eastAsia="en-GB"/>
        </w:rPr>
        <w:t xml:space="preserve">Headline data is published via </w:t>
      </w:r>
      <w:r w:rsidR="00D30E5B" w:rsidRPr="009A5912">
        <w:rPr>
          <w:rFonts w:eastAsia="Times New Roman" w:cs="Arial"/>
          <w:color w:val="000000" w:themeColor="text1"/>
          <w:lang w:eastAsia="en-GB"/>
        </w:rPr>
        <w:t>quarterly statistical updates</w:t>
      </w:r>
      <w:r w:rsidR="00025072">
        <w:rPr>
          <w:rFonts w:eastAsia="Times New Roman" w:cs="Arial"/>
          <w:color w:val="000000" w:themeColor="text1"/>
          <w:lang w:eastAsia="en-GB"/>
        </w:rPr>
        <w:t>, with a full detailed breakdown o</w:t>
      </w:r>
      <w:r>
        <w:rPr>
          <w:rFonts w:eastAsia="Times New Roman" w:cs="Arial"/>
          <w:color w:val="000000" w:themeColor="text1"/>
          <w:lang w:eastAsia="en-GB"/>
        </w:rPr>
        <w:t>n</w:t>
      </w:r>
      <w:r w:rsidR="00025072">
        <w:rPr>
          <w:rFonts w:eastAsia="Times New Roman" w:cs="Arial"/>
          <w:color w:val="000000" w:themeColor="text1"/>
          <w:lang w:eastAsia="en-GB"/>
        </w:rPr>
        <w:t xml:space="preserve"> deaths </w:t>
      </w:r>
      <w:r>
        <w:rPr>
          <w:rFonts w:eastAsia="Times New Roman" w:cs="Arial"/>
          <w:color w:val="000000" w:themeColor="text1"/>
          <w:lang w:eastAsia="en-GB"/>
        </w:rPr>
        <w:t>published annually</w:t>
      </w:r>
      <w:r w:rsidR="00025072">
        <w:rPr>
          <w:rFonts w:eastAsia="Times New Roman" w:cs="Arial"/>
          <w:color w:val="000000" w:themeColor="text1"/>
          <w:lang w:eastAsia="en-GB"/>
        </w:rPr>
        <w:t>. Data is published which captures deaths</w:t>
      </w:r>
      <w:r>
        <w:rPr>
          <w:rFonts w:eastAsia="Times New Roman" w:cs="Arial"/>
          <w:color w:val="000000" w:themeColor="text1"/>
          <w:lang w:eastAsia="en-GB"/>
        </w:rPr>
        <w:t xml:space="preserve"> which have occurred</w:t>
      </w:r>
      <w:r w:rsidR="00025072">
        <w:rPr>
          <w:rFonts w:eastAsia="Times New Roman" w:cs="Arial"/>
          <w:color w:val="000000" w:themeColor="text1"/>
          <w:lang w:eastAsia="en-GB"/>
        </w:rPr>
        <w:t xml:space="preserve"> u</w:t>
      </w:r>
      <w:r>
        <w:rPr>
          <w:rFonts w:eastAsia="Times New Roman" w:cs="Arial"/>
          <w:color w:val="000000" w:themeColor="text1"/>
          <w:lang w:eastAsia="en-GB"/>
        </w:rPr>
        <w:t xml:space="preserve">p to one </w:t>
      </w:r>
      <w:r w:rsidR="00025072">
        <w:rPr>
          <w:rFonts w:eastAsia="Times New Roman" w:cs="Arial"/>
          <w:color w:val="000000" w:themeColor="text1"/>
          <w:lang w:eastAsia="en-GB"/>
        </w:rPr>
        <w:t>month before publication. More ‘r</w:t>
      </w:r>
      <w:r w:rsidR="00D30E5B" w:rsidRPr="009A5912">
        <w:rPr>
          <w:rFonts w:eastAsia="Times New Roman" w:cs="Arial"/>
          <w:color w:val="000000" w:themeColor="text1"/>
          <w:lang w:eastAsia="en-GB"/>
        </w:rPr>
        <w:t>eal-time</w:t>
      </w:r>
      <w:r w:rsidR="00025072">
        <w:rPr>
          <w:rFonts w:eastAsia="Times New Roman" w:cs="Arial"/>
          <w:color w:val="000000" w:themeColor="text1"/>
          <w:lang w:eastAsia="en-GB"/>
        </w:rPr>
        <w:t xml:space="preserve">’ information is provided to key partners and stakeholders. </w:t>
      </w:r>
    </w:p>
    <w:p w14:paraId="5B70EE78" w14:textId="7B4CCF4B" w:rsidR="00F82669" w:rsidRDefault="00EC26DD" w:rsidP="00EC26DD">
      <w:r>
        <w:rPr>
          <w:b/>
          <w:bCs/>
        </w:rPr>
        <w:t xml:space="preserve">Data on deaths </w:t>
      </w:r>
      <w:r w:rsidR="00025072">
        <w:rPr>
          <w:b/>
          <w:bCs/>
        </w:rPr>
        <w:t>i</w:t>
      </w:r>
      <w:r>
        <w:rPr>
          <w:b/>
          <w:bCs/>
        </w:rPr>
        <w:t>n</w:t>
      </w:r>
      <w:r w:rsidR="00025072">
        <w:rPr>
          <w:b/>
          <w:bCs/>
        </w:rPr>
        <w:t xml:space="preserve"> or following</w:t>
      </w:r>
      <w:r>
        <w:rPr>
          <w:b/>
          <w:bCs/>
        </w:rPr>
        <w:t xml:space="preserve"> police custody</w:t>
      </w:r>
    </w:p>
    <w:p w14:paraId="1129D20E" w14:textId="2D80F813" w:rsidR="00913265" w:rsidRPr="00913265" w:rsidRDefault="00913265" w:rsidP="00073647">
      <w:pPr>
        <w:rPr>
          <w:i/>
          <w:iCs/>
        </w:rPr>
      </w:pPr>
      <w:r>
        <w:rPr>
          <w:i/>
          <w:iCs/>
        </w:rPr>
        <w:t>Numbers</w:t>
      </w:r>
    </w:p>
    <w:p w14:paraId="327E33CF" w14:textId="173A03B7" w:rsidR="009A5912" w:rsidRDefault="00E719F6" w:rsidP="009A5912">
      <w:pPr>
        <w:pStyle w:val="ListParagraph"/>
        <w:numPr>
          <w:ilvl w:val="0"/>
          <w:numId w:val="4"/>
        </w:numPr>
        <w:ind w:left="357" w:hanging="357"/>
        <w:contextualSpacing w:val="0"/>
      </w:pPr>
      <w:r>
        <w:t xml:space="preserve">The Independent Office for Police Conduct (IOPC) collects and publishes data on deaths </w:t>
      </w:r>
      <w:r w:rsidR="00025072">
        <w:t>in or following</w:t>
      </w:r>
      <w:r w:rsidR="00025072">
        <w:t xml:space="preserve"> </w:t>
      </w:r>
      <w:r>
        <w:t>prison custody</w:t>
      </w:r>
      <w:r w:rsidR="00025072">
        <w:t>. T</w:t>
      </w:r>
      <w:r>
        <w:t xml:space="preserve">he latest statistics </w:t>
      </w:r>
      <w:r w:rsidR="00025072">
        <w:t>show</w:t>
      </w:r>
      <w:r>
        <w:t xml:space="preserve"> there were 11 deaths</w:t>
      </w:r>
      <w:r w:rsidR="00025072">
        <w:t xml:space="preserve"> in 2021/22</w:t>
      </w:r>
      <w:r>
        <w:t xml:space="preserve">, a decrease of </w:t>
      </w:r>
      <w:r w:rsidR="00025072">
        <w:t>eight</w:t>
      </w:r>
      <w:r>
        <w:t xml:space="preserve"> from the previous year.</w:t>
      </w:r>
      <w:r w:rsidR="00E50B8E">
        <w:rPr>
          <w:rStyle w:val="EndnoteReference"/>
        </w:rPr>
        <w:endnoteReference w:id="4"/>
      </w:r>
      <w:r>
        <w:t xml:space="preserve"> </w:t>
      </w:r>
      <w:r w:rsidR="00AF603B">
        <w:t>There were also 56 apparent suicides following release from police custody, one more than the previous year, and maintaining what has remained a concerning trend</w:t>
      </w:r>
      <w:r w:rsidR="009E31AB">
        <w:t>.</w:t>
      </w:r>
    </w:p>
    <w:p w14:paraId="466742BE" w14:textId="49BEDC64" w:rsidR="009A5912" w:rsidRDefault="00AF603B" w:rsidP="009A5912">
      <w:pPr>
        <w:pStyle w:val="ListParagraph"/>
        <w:numPr>
          <w:ilvl w:val="0"/>
          <w:numId w:val="4"/>
        </w:numPr>
        <w:ind w:left="357" w:hanging="357"/>
        <w:contextualSpacing w:val="0"/>
      </w:pPr>
      <w:r>
        <w:t>Of police custody deaths, t</w:t>
      </w:r>
      <w:r w:rsidR="00E719F6">
        <w:t>hree people died in a police cell, a continuation of a long</w:t>
      </w:r>
      <w:r w:rsidR="00E50B8E">
        <w:t>-</w:t>
      </w:r>
      <w:r w:rsidR="00E719F6">
        <w:t>term reduction since the 1990s from earlier years.</w:t>
      </w:r>
      <w:r w:rsidR="00E50B8E">
        <w:rPr>
          <w:rStyle w:val="EndnoteReference"/>
        </w:rPr>
        <w:endnoteReference w:id="5"/>
      </w:r>
      <w:r w:rsidR="00744C01">
        <w:t xml:space="preserve"> </w:t>
      </w:r>
      <w:r>
        <w:t>T</w:t>
      </w:r>
      <w:r w:rsidR="00744C01">
        <w:t xml:space="preserve">hree died </w:t>
      </w:r>
      <w:proofErr w:type="gramStart"/>
      <w:r w:rsidR="00744C01">
        <w:t>as a result of</w:t>
      </w:r>
      <w:proofErr w:type="gramEnd"/>
      <w:r w:rsidR="00744C01">
        <w:t xml:space="preserve"> natural causes</w:t>
      </w:r>
      <w:r>
        <w:t xml:space="preserve"> and </w:t>
      </w:r>
      <w:r w:rsidR="009E31AB">
        <w:t>four</w:t>
      </w:r>
      <w:r>
        <w:t xml:space="preserve"> involved restraint, while </w:t>
      </w:r>
      <w:r w:rsidR="009E31AB">
        <w:t>six</w:t>
      </w:r>
      <w:r>
        <w:t xml:space="preserve"> people were identified as having mental health concerns and </w:t>
      </w:r>
      <w:r w:rsidR="009E31AB">
        <w:t>nine</w:t>
      </w:r>
      <w:r>
        <w:t xml:space="preserve"> were known to have a link to alcohol and/or drugs.</w:t>
      </w:r>
    </w:p>
    <w:p w14:paraId="71088962" w14:textId="34FA483D" w:rsidR="00913265" w:rsidRPr="00E50B8E" w:rsidRDefault="00913265" w:rsidP="009A5912">
      <w:pPr>
        <w:pStyle w:val="ListParagraph"/>
        <w:numPr>
          <w:ilvl w:val="0"/>
          <w:numId w:val="4"/>
        </w:numPr>
        <w:ind w:left="357" w:hanging="357"/>
        <w:contextualSpacing w:val="0"/>
      </w:pPr>
      <w:r w:rsidRPr="00E50B8E">
        <w:t xml:space="preserve">Of the 11 who died in police custody, </w:t>
      </w:r>
      <w:r w:rsidR="008F421D">
        <w:t>ten</w:t>
      </w:r>
      <w:r w:rsidRPr="00E50B8E">
        <w:t xml:space="preserve"> individuals were </w:t>
      </w:r>
      <w:proofErr w:type="gramStart"/>
      <w:r w:rsidRPr="00E50B8E">
        <w:t>White</w:t>
      </w:r>
      <w:proofErr w:type="gramEnd"/>
      <w:r w:rsidRPr="00E50B8E">
        <w:t xml:space="preserve"> and one was Black</w:t>
      </w:r>
      <w:r w:rsidR="00965B35">
        <w:t>. O</w:t>
      </w:r>
      <w:r w:rsidRPr="00E50B8E">
        <w:t>f deaths in or following custody where restraint was used, three were White and one was Black. Of the seven deaths</w:t>
      </w:r>
      <w:r>
        <w:t xml:space="preserve"> included within</w:t>
      </w:r>
      <w:r w:rsidR="008F421D">
        <w:t xml:space="preserve"> the</w:t>
      </w:r>
      <w:r>
        <w:t xml:space="preserve"> ‘Other deaths’</w:t>
      </w:r>
      <w:r w:rsidR="008F421D">
        <w:t xml:space="preserve"> category (see paragraph </w:t>
      </w:r>
      <w:r w:rsidR="008F421D">
        <w:lastRenderedPageBreak/>
        <w:t>21)</w:t>
      </w:r>
      <w:r>
        <w:t xml:space="preserve"> and which</w:t>
      </w:r>
      <w:r w:rsidRPr="00E50B8E">
        <w:t xml:space="preserve"> involv</w:t>
      </w:r>
      <w:r>
        <w:t>ed</w:t>
      </w:r>
      <w:r w:rsidRPr="00E50B8E">
        <w:t xml:space="preserve"> use of force, five of th</w:t>
      </w:r>
      <w:r>
        <w:t>ose who died</w:t>
      </w:r>
      <w:r w:rsidRPr="00E50B8E">
        <w:t xml:space="preserve"> were White, one was Black, and one was Asian.</w:t>
      </w:r>
      <w:r>
        <w:t xml:space="preserve">  </w:t>
      </w:r>
    </w:p>
    <w:p w14:paraId="379883E4" w14:textId="415B728E" w:rsidR="00913265" w:rsidRDefault="00913265" w:rsidP="00073647">
      <w:r>
        <w:rPr>
          <w:i/>
          <w:iCs/>
        </w:rPr>
        <w:t>Methodology</w:t>
      </w:r>
    </w:p>
    <w:p w14:paraId="6B0BFE56" w14:textId="77777777" w:rsidR="009A5912" w:rsidRDefault="008B2B7D" w:rsidP="009A5912">
      <w:pPr>
        <w:pStyle w:val="ListParagraph"/>
        <w:numPr>
          <w:ilvl w:val="0"/>
          <w:numId w:val="4"/>
        </w:numPr>
        <w:ind w:left="357" w:hanging="357"/>
        <w:contextualSpacing w:val="0"/>
      </w:pPr>
      <w:r>
        <w:t>As the IOPC explain in their guidance on their data collection practices, “Under the Police Reform Act 2002, forces in England and Wales have a statutory duty to refer to the IOPC any complaint or incident involving a death which has occurred during or following police contact, and where there is an allegation or indication that the police contact, be it direct or indirect, contributed to the death.”</w:t>
      </w:r>
      <w:r>
        <w:rPr>
          <w:rStyle w:val="EndnoteReference"/>
        </w:rPr>
        <w:endnoteReference w:id="6"/>
      </w:r>
      <w:r w:rsidR="003663C9">
        <w:t xml:space="preserve"> </w:t>
      </w:r>
    </w:p>
    <w:p w14:paraId="1AA720AD" w14:textId="77777777" w:rsidR="009A5912" w:rsidRDefault="003663C9" w:rsidP="009A5912">
      <w:pPr>
        <w:pStyle w:val="ListParagraph"/>
        <w:numPr>
          <w:ilvl w:val="0"/>
          <w:numId w:val="4"/>
        </w:numPr>
        <w:ind w:left="357" w:hanging="357"/>
        <w:contextualSpacing w:val="0"/>
      </w:pPr>
      <w:r>
        <w:t xml:space="preserve">Following a referral, “The research team examines the circumstances of all death cases identified to determine whether they meet the criteria for inclusion in the annual death report. Cases are categorised based on the information available from referral documents, investigation reports, </w:t>
      </w:r>
      <w:proofErr w:type="gramStart"/>
      <w:r>
        <w:t>post mortems</w:t>
      </w:r>
      <w:proofErr w:type="gramEnd"/>
      <w:r>
        <w:t xml:space="preserve"> and inquest verdicts. Where information is unknown or unclear from the data available to the research team, for example on cause of death, this will be sought from IOPC colleagues and police forces.” </w:t>
      </w:r>
    </w:p>
    <w:p w14:paraId="4FCAFF3F" w14:textId="77777777" w:rsidR="009A5912" w:rsidRDefault="003663C9" w:rsidP="009A5912">
      <w:pPr>
        <w:pStyle w:val="ListParagraph"/>
        <w:numPr>
          <w:ilvl w:val="0"/>
          <w:numId w:val="4"/>
        </w:numPr>
        <w:ind w:left="357" w:hanging="357"/>
        <w:contextualSpacing w:val="0"/>
      </w:pPr>
      <w:r>
        <w:t>In addition, “All cases included in the report are validated with the relevant IPCC/IOPC investigator (where applicable), and police force or appropriate authority. The purpose of this is to provide missing data where possible and flag any cases that are not listed but are considered to meet the criteria for inclusion. These cases will then be checked by the research team.”</w:t>
      </w:r>
    </w:p>
    <w:p w14:paraId="37A613AA" w14:textId="77777777" w:rsidR="009A5912" w:rsidRDefault="00691E12" w:rsidP="009A5912">
      <w:pPr>
        <w:pStyle w:val="ListParagraph"/>
        <w:numPr>
          <w:ilvl w:val="0"/>
          <w:numId w:val="4"/>
        </w:numPr>
        <w:ind w:left="357" w:hanging="357"/>
        <w:contextualSpacing w:val="0"/>
      </w:pPr>
      <w:r>
        <w:t>The category of ‘deaths in or following police custody’, “[</w:t>
      </w:r>
      <w:proofErr w:type="spellStart"/>
      <w:r>
        <w:t>i</w:t>
      </w:r>
      <w:proofErr w:type="spellEnd"/>
      <w:r>
        <w:t>]</w:t>
      </w:r>
      <w:proofErr w:type="spellStart"/>
      <w:r>
        <w:t>ncludes</w:t>
      </w:r>
      <w:proofErr w:type="spellEnd"/>
      <w:r>
        <w:t xml:space="preserve"> deaths that happen while a person is being arrested or taken into detention. It includes deaths of people who have been arrested or have been detained by police under the Mental Health Act 1983. The death may have taken place on police, private or medical premises, in a public place, or in a police or other vehicle.” This does not include suicides that occur after a person is released from police custody, deaths where the police are called to assist medical staff to restrain individuals who are at no point under arrest, or “deaths of individuals who have been transferred to the care of another agency and subsequently die while in their care, of injuries or illness not identified or sustained while in police custody.”</w:t>
      </w:r>
    </w:p>
    <w:p w14:paraId="256D3CC7" w14:textId="00B22E18" w:rsidR="009A5912" w:rsidRDefault="00E50B8E" w:rsidP="009A5912">
      <w:pPr>
        <w:pStyle w:val="ListParagraph"/>
        <w:numPr>
          <w:ilvl w:val="0"/>
          <w:numId w:val="4"/>
        </w:numPr>
        <w:ind w:left="357" w:hanging="357"/>
        <w:contextualSpacing w:val="0"/>
      </w:pPr>
      <w:r>
        <w:t xml:space="preserve">In addition to these reported deaths, the IOPC classify a wider range of deaths within a further category </w:t>
      </w:r>
      <w:r w:rsidR="00542FCD">
        <w:t>named</w:t>
      </w:r>
      <w:r>
        <w:t xml:space="preserve"> ‘Other deaths following police contact’, which comprises 107 further deaths. This category contains a wide variety of deaths related to police contact in a range of different ways, including those who died while evading arrest or who died while police were seeking to do welfare checks related to those individuals. </w:t>
      </w:r>
      <w:r w:rsidR="00811117">
        <w:t xml:space="preserve">They are </w:t>
      </w:r>
      <w:proofErr w:type="gramStart"/>
      <w:r w:rsidR="00811117">
        <w:t>collected together</w:t>
      </w:r>
      <w:proofErr w:type="gramEnd"/>
      <w:r w:rsidR="00811117">
        <w:t xml:space="preserve"> on the basis that they are all other deaths, outside of police custody, which the IOPC determined required independent investigation. </w:t>
      </w:r>
    </w:p>
    <w:p w14:paraId="452F283F" w14:textId="57F6782D" w:rsidR="00811117" w:rsidRDefault="00811117" w:rsidP="009A5912">
      <w:pPr>
        <w:pStyle w:val="ListParagraph"/>
        <w:numPr>
          <w:ilvl w:val="0"/>
          <w:numId w:val="4"/>
        </w:numPr>
        <w:ind w:left="357" w:hanging="357"/>
        <w:contextualSpacing w:val="0"/>
      </w:pPr>
      <w:r>
        <w:t>However</w:t>
      </w:r>
      <w:r w:rsidR="00AF603B">
        <w:t>,</w:t>
      </w:r>
      <w:r>
        <w:t xml:space="preserve"> concerns have been raised, including by the IAPDC, that this category includes concerning examples of police contact deaths</w:t>
      </w:r>
      <w:r w:rsidR="00913265">
        <w:t xml:space="preserve"> – cases such as the manslaughter killing of Dalian Atkinson by a police officer, but whose deaths is not recorded as part of custody-related deaths for the fact that he was not arrested.</w:t>
      </w:r>
      <w:r w:rsidR="00913265">
        <w:rPr>
          <w:rStyle w:val="EndnoteReference"/>
        </w:rPr>
        <w:endnoteReference w:id="7"/>
      </w:r>
      <w:r>
        <w:t xml:space="preserve"> </w:t>
      </w:r>
      <w:r w:rsidR="00913265">
        <w:t>The</w:t>
      </w:r>
      <w:r>
        <w:t xml:space="preserve"> classification</w:t>
      </w:r>
      <w:r w:rsidR="00913265">
        <w:t xml:space="preserve"> of this category</w:t>
      </w:r>
      <w:r>
        <w:t xml:space="preserve"> remain opaque, as do what themes and learning are drawn from it.</w:t>
      </w:r>
      <w:r>
        <w:rPr>
          <w:rStyle w:val="EndnoteReference"/>
        </w:rPr>
        <w:endnoteReference w:id="8"/>
      </w:r>
    </w:p>
    <w:p w14:paraId="026CDA37" w14:textId="4E9F11B4" w:rsidR="00A65AB9" w:rsidRPr="00A65AB9" w:rsidRDefault="00EC26DD" w:rsidP="00EC26DD">
      <w:pPr>
        <w:rPr>
          <w:b/>
          <w:bCs/>
        </w:rPr>
      </w:pPr>
      <w:r>
        <w:rPr>
          <w:b/>
          <w:bCs/>
        </w:rPr>
        <w:t xml:space="preserve">Data on deaths within </w:t>
      </w:r>
      <w:r w:rsidR="00965B35">
        <w:rPr>
          <w:b/>
          <w:bCs/>
        </w:rPr>
        <w:t xml:space="preserve">Mental Health Act </w:t>
      </w:r>
      <w:r>
        <w:rPr>
          <w:b/>
          <w:bCs/>
        </w:rPr>
        <w:t>detention</w:t>
      </w:r>
    </w:p>
    <w:p w14:paraId="38E3C367" w14:textId="0CF459BC" w:rsidR="00913265" w:rsidRPr="00913265" w:rsidRDefault="00913265" w:rsidP="0048796B">
      <w:pPr>
        <w:rPr>
          <w:i/>
          <w:iCs/>
        </w:rPr>
      </w:pPr>
      <w:r>
        <w:rPr>
          <w:i/>
          <w:iCs/>
        </w:rPr>
        <w:t>Numbers</w:t>
      </w:r>
    </w:p>
    <w:p w14:paraId="6CD44EF3" w14:textId="6B4C2C93" w:rsidR="0048796B" w:rsidRDefault="00E719F6" w:rsidP="009A5912">
      <w:pPr>
        <w:pStyle w:val="ListParagraph"/>
        <w:numPr>
          <w:ilvl w:val="0"/>
          <w:numId w:val="4"/>
        </w:numPr>
      </w:pPr>
      <w:r w:rsidRPr="0048796B">
        <w:t xml:space="preserve">The Care Quality Commission (CQC) reported that 270 people died </w:t>
      </w:r>
      <w:r w:rsidR="009E31AB">
        <w:t>during</w:t>
      </w:r>
      <w:r w:rsidRPr="0048796B">
        <w:t xml:space="preserve"> detention</w:t>
      </w:r>
      <w:r w:rsidR="009E31AB">
        <w:t xml:space="preserve"> under the MHA</w:t>
      </w:r>
      <w:r w:rsidRPr="0048796B">
        <w:t xml:space="preserve"> during the year 2021/22.</w:t>
      </w:r>
      <w:bookmarkStart w:id="0" w:name="_ftnref6"/>
      <w:bookmarkEnd w:id="0"/>
      <w:r w:rsidRPr="0048796B">
        <w:rPr>
          <w:vertAlign w:val="superscript"/>
        </w:rPr>
        <w:endnoteReference w:id="9"/>
      </w:r>
      <w:r w:rsidRPr="0048796B">
        <w:t xml:space="preserve"> </w:t>
      </w:r>
      <w:r w:rsidR="0048796B">
        <w:t xml:space="preserve">Of these, </w:t>
      </w:r>
      <w:r w:rsidR="0048796B" w:rsidRPr="0048796B">
        <w:t xml:space="preserve">165 were classified as ‘natural’, 50 as ‘unnatural’, and 55’ as ‘undetermined’. </w:t>
      </w:r>
      <w:r w:rsidR="009E31AB">
        <w:t xml:space="preserve">15 </w:t>
      </w:r>
      <w:r w:rsidR="0048796B">
        <w:t xml:space="preserve">deaths involved the use of restraint. 192 of </w:t>
      </w:r>
      <w:r w:rsidR="0048796B">
        <w:lastRenderedPageBreak/>
        <w:t xml:space="preserve">these deaths were White, while 46 were Black or of another ethnic minority group. However, </w:t>
      </w:r>
      <w:r w:rsidR="00913265">
        <w:t>ethnicity was not recorded</w:t>
      </w:r>
      <w:r w:rsidR="009E31AB">
        <w:t xml:space="preserve"> for 32 deaths.</w:t>
      </w:r>
    </w:p>
    <w:p w14:paraId="5A1A7285" w14:textId="77777777" w:rsidR="009E31AB" w:rsidRPr="008130DC" w:rsidRDefault="009E31AB" w:rsidP="008130DC">
      <w:pPr>
        <w:pStyle w:val="ListParagraph"/>
        <w:ind w:left="360"/>
      </w:pPr>
    </w:p>
    <w:p w14:paraId="0FB4872B" w14:textId="39237E00" w:rsidR="009E31AB" w:rsidRDefault="009E31AB" w:rsidP="009A5912">
      <w:pPr>
        <w:pStyle w:val="ListParagraph"/>
        <w:numPr>
          <w:ilvl w:val="0"/>
          <w:numId w:val="4"/>
        </w:numPr>
      </w:pPr>
      <w:r>
        <w:rPr>
          <w:rFonts w:cs="Arial"/>
          <w:color w:val="000000"/>
        </w:rPr>
        <w:t>The IAPDC’s research from</w:t>
      </w:r>
      <w:r w:rsidRPr="009A5912">
        <w:rPr>
          <w:rFonts w:cs="Arial"/>
          <w:color w:val="000000"/>
        </w:rPr>
        <w:t xml:space="preserve"> 2021 found that people detained under the MHA have the highest mortality rate of those in custody, three times higher than the mortality rate in prisons.</w:t>
      </w:r>
      <w:r w:rsidRPr="00412E3C">
        <w:rPr>
          <w:rStyle w:val="EndnoteReference"/>
          <w:rFonts w:cs="Arial"/>
          <w:color w:val="000000"/>
        </w:rPr>
        <w:endnoteReference w:id="10"/>
      </w:r>
      <w:r w:rsidRPr="009A5912">
        <w:rPr>
          <w:rFonts w:cs="Arial"/>
          <w:color w:val="000000"/>
        </w:rPr>
        <w:t> </w:t>
      </w:r>
    </w:p>
    <w:p w14:paraId="157A7E9C" w14:textId="395D95B1" w:rsidR="00913265" w:rsidRDefault="00913265" w:rsidP="0048796B">
      <w:r>
        <w:rPr>
          <w:i/>
          <w:iCs/>
        </w:rPr>
        <w:t>Methodology</w:t>
      </w:r>
    </w:p>
    <w:p w14:paraId="3712CAE5" w14:textId="6456FECF" w:rsidR="00542FCD" w:rsidRDefault="00913265" w:rsidP="009A5912">
      <w:pPr>
        <w:pStyle w:val="ListParagraph"/>
        <w:numPr>
          <w:ilvl w:val="0"/>
          <w:numId w:val="4"/>
        </w:numPr>
        <w:ind w:left="357" w:hanging="357"/>
        <w:contextualSpacing w:val="0"/>
      </w:pPr>
      <w:r>
        <w:t>The CQC receive this data directly from providers, which are legally required to notify CQC of any deaths within their care as soon as possible after they take place. However, t</w:t>
      </w:r>
      <w:r w:rsidR="0048796B" w:rsidRPr="0048796B">
        <w:t xml:space="preserve">his data </w:t>
      </w:r>
      <w:r w:rsidR="00542FCD">
        <w:t xml:space="preserve">is limited in several </w:t>
      </w:r>
      <w:proofErr w:type="gramStart"/>
      <w:r w:rsidR="00542FCD">
        <w:t>key ways</w:t>
      </w:r>
      <w:proofErr w:type="gramEnd"/>
      <w:r w:rsidR="0048796B" w:rsidRPr="0048796B">
        <w:t>.</w:t>
      </w:r>
    </w:p>
    <w:p w14:paraId="27D18BB1" w14:textId="32D8BED5" w:rsidR="009A5912" w:rsidRPr="009A5912" w:rsidRDefault="009E31AB" w:rsidP="009A5912">
      <w:pPr>
        <w:pStyle w:val="ListParagraph"/>
        <w:numPr>
          <w:ilvl w:val="0"/>
          <w:numId w:val="4"/>
        </w:numPr>
        <w:ind w:left="357" w:hanging="357"/>
        <w:contextualSpacing w:val="0"/>
      </w:pPr>
      <w:r>
        <w:rPr>
          <w:rFonts w:cs="Arial"/>
          <w:color w:val="000000"/>
        </w:rPr>
        <w:t>A</w:t>
      </w:r>
      <w:r w:rsidR="00D235C5" w:rsidRPr="009A5912">
        <w:rPr>
          <w:rFonts w:cs="Arial"/>
          <w:color w:val="000000"/>
        </w:rPr>
        <w:t xml:space="preserve">vailable data </w:t>
      </w:r>
      <w:r>
        <w:rPr>
          <w:rFonts w:cs="Arial"/>
          <w:color w:val="000000"/>
        </w:rPr>
        <w:t>is</w:t>
      </w:r>
      <w:r w:rsidR="00D235C5" w:rsidRPr="009A5912">
        <w:rPr>
          <w:rFonts w:cs="Arial"/>
          <w:color w:val="000000"/>
        </w:rPr>
        <w:t xml:space="preserve"> patchy</w:t>
      </w:r>
      <w:r>
        <w:rPr>
          <w:rFonts w:cs="Arial"/>
          <w:color w:val="000000"/>
        </w:rPr>
        <w:t xml:space="preserve"> and</w:t>
      </w:r>
      <w:r w:rsidR="00D235C5" w:rsidRPr="009A5912">
        <w:rPr>
          <w:rFonts w:cs="Arial"/>
          <w:color w:val="000000"/>
        </w:rPr>
        <w:t xml:space="preserve"> reliant on a yearly, rather than rolling, publication of figures that contain </w:t>
      </w:r>
      <w:proofErr w:type="gramStart"/>
      <w:r w:rsidR="00D235C5" w:rsidRPr="009A5912">
        <w:rPr>
          <w:rFonts w:cs="Arial"/>
          <w:color w:val="000000"/>
        </w:rPr>
        <w:t>a large number of</w:t>
      </w:r>
      <w:proofErr w:type="gramEnd"/>
      <w:r w:rsidR="00D235C5" w:rsidRPr="009A5912">
        <w:rPr>
          <w:rFonts w:cs="Arial"/>
          <w:color w:val="000000"/>
        </w:rPr>
        <w:t xml:space="preserve"> deaths about </w:t>
      </w:r>
      <w:r>
        <w:rPr>
          <w:rFonts w:cs="Arial"/>
          <w:color w:val="000000"/>
        </w:rPr>
        <w:t xml:space="preserve">which </w:t>
      </w:r>
      <w:r w:rsidR="00D235C5" w:rsidRPr="009A5912">
        <w:rPr>
          <w:rFonts w:cs="Arial"/>
          <w:color w:val="000000"/>
        </w:rPr>
        <w:t>little is known. This makes it difficult to understand the full picture of deaths of those detained under the MHA, and therefore how to target interventions to reduce them.</w:t>
      </w:r>
    </w:p>
    <w:p w14:paraId="2EB69445" w14:textId="034A6979" w:rsidR="009A5912" w:rsidRDefault="009E31AB" w:rsidP="009A5912">
      <w:pPr>
        <w:pStyle w:val="ListParagraph"/>
        <w:numPr>
          <w:ilvl w:val="0"/>
          <w:numId w:val="4"/>
        </w:numPr>
        <w:ind w:left="357" w:hanging="357"/>
        <w:contextualSpacing w:val="0"/>
      </w:pPr>
      <w:r>
        <w:t>T</w:t>
      </w:r>
      <w:r w:rsidR="00913265">
        <w:t>he data is only reported once a year in the CQC’s annual ‘Monitoring the Mental Health Act’ report. This means that Government departments, such as the Department of Health and Social Care, are unable to provide to Parliament or the public rolling, updated figures across the year to give an accurate picture of deaths, and instead rely on one set of figures released once per year.</w:t>
      </w:r>
    </w:p>
    <w:p w14:paraId="19EB98EF" w14:textId="58BCF2CA" w:rsidR="009A5912" w:rsidRDefault="00913265" w:rsidP="009A5912">
      <w:pPr>
        <w:pStyle w:val="ListParagraph"/>
        <w:numPr>
          <w:ilvl w:val="0"/>
          <w:numId w:val="4"/>
        </w:numPr>
        <w:ind w:left="357" w:hanging="357"/>
        <w:contextualSpacing w:val="0"/>
      </w:pPr>
      <w:r>
        <w:t xml:space="preserve">In addition, </w:t>
      </w:r>
      <w:r w:rsidR="0048796B">
        <w:t xml:space="preserve">there are </w:t>
      </w:r>
      <w:proofErr w:type="gramStart"/>
      <w:r w:rsidR="0048796B">
        <w:t>a large number of</w:t>
      </w:r>
      <w:proofErr w:type="gramEnd"/>
      <w:r w:rsidR="0048796B">
        <w:t xml:space="preserve"> deaths that are classified as</w:t>
      </w:r>
      <w:r w:rsidR="009E31AB">
        <w:t xml:space="preserve"> being </w:t>
      </w:r>
      <w:r w:rsidR="0048796B">
        <w:t xml:space="preserve">of ‘Undetermined’ cause – indeed for the last reporting year </w:t>
      </w:r>
      <w:r w:rsidR="0048796B" w:rsidRPr="0048796B">
        <w:t>20% of deaths were not known</w:t>
      </w:r>
      <w:r w:rsidR="0048796B">
        <w:t xml:space="preserve">. </w:t>
      </w:r>
      <w:r w:rsidR="009237AC">
        <w:t>This is likely because</w:t>
      </w:r>
      <w:r w:rsidR="009E31AB">
        <w:t>,</w:t>
      </w:r>
      <w:r w:rsidR="009237AC">
        <w:t xml:space="preserve"> unlike HMPPS, which largely relies on the outcome of post-mortems, </w:t>
      </w:r>
      <w:r w:rsidR="00BC4FF2">
        <w:t xml:space="preserve">we understand that the </w:t>
      </w:r>
      <w:r w:rsidR="009237AC">
        <w:t xml:space="preserve">CQC </w:t>
      </w:r>
      <w:r w:rsidR="00BC4FF2">
        <w:t xml:space="preserve">largely </w:t>
      </w:r>
      <w:r w:rsidR="009237AC">
        <w:t xml:space="preserve">relies on the </w:t>
      </w:r>
      <w:r>
        <w:t>findings</w:t>
      </w:r>
      <w:r w:rsidR="009237AC">
        <w:t xml:space="preserve"> of inquests, which can often take several years to report. While mental health providers are required to notify CQC of all deaths in their facilities, it appears that </w:t>
      </w:r>
      <w:r w:rsidR="009E31AB">
        <w:t xml:space="preserve">the </w:t>
      </w:r>
      <w:r w:rsidR="009237AC">
        <w:t>CQC are often notified of deaths</w:t>
      </w:r>
      <w:r>
        <w:t xml:space="preserve"> without key information, such as cause of death, relying on </w:t>
      </w:r>
      <w:r w:rsidR="009E31AB">
        <w:t xml:space="preserve">the </w:t>
      </w:r>
      <w:r>
        <w:t>CQC to follow up to identify cause of death many months later at the conclusion of an inquest – something which they may not always be successful in doing.</w:t>
      </w:r>
    </w:p>
    <w:p w14:paraId="4FAC4DA1" w14:textId="231A991E" w:rsidR="009A5912" w:rsidRDefault="009E31AB" w:rsidP="009A5912">
      <w:pPr>
        <w:pStyle w:val="ListParagraph"/>
        <w:numPr>
          <w:ilvl w:val="0"/>
          <w:numId w:val="4"/>
        </w:numPr>
        <w:ind w:left="357" w:hanging="357"/>
        <w:contextualSpacing w:val="0"/>
      </w:pPr>
      <w:r>
        <w:t xml:space="preserve">There are also issues around the disaggregation of deaths. </w:t>
      </w:r>
      <w:proofErr w:type="gramStart"/>
      <w:r w:rsidR="0048796B" w:rsidRPr="0048796B">
        <w:t>A large number of</w:t>
      </w:r>
      <w:proofErr w:type="gramEnd"/>
      <w:r w:rsidR="0048796B" w:rsidRPr="0048796B">
        <w:t xml:space="preserve"> these deaths are not recorded by ethnicity – for example, the Panel’s 2021 analysis identified that half of the women who died in detention in 2019 did not have their ethnicity recorded</w:t>
      </w:r>
      <w:r w:rsidR="0048796B">
        <w:t>.</w:t>
      </w:r>
      <w:r w:rsidR="0048796B" w:rsidRPr="00412E3C">
        <w:rPr>
          <w:rStyle w:val="EndnoteReference"/>
          <w:rFonts w:cs="Arial"/>
          <w:color w:val="000000"/>
        </w:rPr>
        <w:endnoteReference w:id="11"/>
      </w:r>
      <w:r w:rsidR="0048796B">
        <w:t xml:space="preserve"> This makes it extremely difficult to identify to what extent individuals may be dying in disproportionate numbers or </w:t>
      </w:r>
      <w:r>
        <w:t xml:space="preserve">at </w:t>
      </w:r>
      <w:r w:rsidR="0048796B">
        <w:t>a disproportionate rate</w:t>
      </w:r>
      <w:r>
        <w:t xml:space="preserve"> and </w:t>
      </w:r>
      <w:r w:rsidR="0048796B">
        <w:t xml:space="preserve">how interventions </w:t>
      </w:r>
      <w:r>
        <w:t>should be subsequently targeted</w:t>
      </w:r>
      <w:r w:rsidR="0048796B">
        <w:t>.</w:t>
      </w:r>
    </w:p>
    <w:p w14:paraId="36346412" w14:textId="4E70D78F" w:rsidR="009E31AB" w:rsidRDefault="009E31AB" w:rsidP="009A5912">
      <w:pPr>
        <w:pStyle w:val="ListParagraph"/>
        <w:numPr>
          <w:ilvl w:val="0"/>
          <w:numId w:val="4"/>
        </w:numPr>
        <w:ind w:left="357" w:hanging="357"/>
        <w:contextualSpacing w:val="0"/>
      </w:pPr>
      <w:r>
        <w:t>T</w:t>
      </w:r>
      <w:r w:rsidR="0048796B">
        <w:t xml:space="preserve">he available data does not disaggregate for vital categories such as service or ward type to enable us to know in which parts of the mental health treatment estate the largest numbers or rates of deaths are taking place. The data is also likely to miss entirely individuals who die only shortly after leaving MHA detention to be treated in a general hospital, as well as children who die while detained on a </w:t>
      </w:r>
      <w:r w:rsidR="0048796B" w:rsidRPr="009A5912">
        <w:rPr>
          <w:i/>
          <w:iCs/>
        </w:rPr>
        <w:t>de facto</w:t>
      </w:r>
      <w:r w:rsidR="0048796B">
        <w:t xml:space="preserve"> basis, outside the legal framework of the MHA.</w:t>
      </w:r>
    </w:p>
    <w:p w14:paraId="5865FD6D" w14:textId="16A7CC47" w:rsidR="0048796B" w:rsidRPr="0048796B" w:rsidRDefault="009E31AB" w:rsidP="009A5912">
      <w:pPr>
        <w:pStyle w:val="ListParagraph"/>
        <w:numPr>
          <w:ilvl w:val="0"/>
          <w:numId w:val="4"/>
        </w:numPr>
        <w:ind w:left="357" w:hanging="357"/>
        <w:contextualSpacing w:val="0"/>
      </w:pPr>
      <w:r>
        <w:t xml:space="preserve">Information on </w:t>
      </w:r>
      <w:r w:rsidR="00550D5B">
        <w:t>length of stay or population size in detention</w:t>
      </w:r>
      <w:r>
        <w:t xml:space="preserve"> is also not robustly available. This</w:t>
      </w:r>
      <w:r w:rsidR="00550D5B">
        <w:t xml:space="preserve"> makes it difficult to calculate rates of deaths within MHA settings, something that is vital to understanding risk and safety within these settings.</w:t>
      </w:r>
    </w:p>
    <w:p w14:paraId="56E6A3E1" w14:textId="3E546BC7" w:rsidR="00EC26DD" w:rsidRPr="00EC26DD" w:rsidRDefault="00EC26DD" w:rsidP="00EC26DD">
      <w:pPr>
        <w:rPr>
          <w:b/>
          <w:bCs/>
        </w:rPr>
      </w:pPr>
      <w:r>
        <w:rPr>
          <w:b/>
          <w:bCs/>
        </w:rPr>
        <w:t xml:space="preserve">Data on deaths within </w:t>
      </w:r>
      <w:r w:rsidR="009E31AB">
        <w:rPr>
          <w:b/>
          <w:bCs/>
        </w:rPr>
        <w:t>immigration detention</w:t>
      </w:r>
    </w:p>
    <w:p w14:paraId="6AD8091D" w14:textId="5632540E" w:rsidR="00073647" w:rsidRPr="00AF603B" w:rsidRDefault="00AF603B" w:rsidP="00073647">
      <w:pPr>
        <w:rPr>
          <w:i/>
          <w:iCs/>
        </w:rPr>
      </w:pPr>
      <w:r w:rsidRPr="00AF603B">
        <w:rPr>
          <w:i/>
          <w:iCs/>
        </w:rPr>
        <w:t xml:space="preserve">Numbers </w:t>
      </w:r>
    </w:p>
    <w:p w14:paraId="580906C4" w14:textId="47B77CAC" w:rsidR="009E31AB" w:rsidRDefault="00AF603B" w:rsidP="009A5912">
      <w:pPr>
        <w:pStyle w:val="ListParagraph"/>
        <w:numPr>
          <w:ilvl w:val="0"/>
          <w:numId w:val="4"/>
        </w:numPr>
      </w:pPr>
      <w:r>
        <w:t xml:space="preserve">There </w:t>
      </w:r>
      <w:r w:rsidR="009A5912">
        <w:t>was</w:t>
      </w:r>
      <w:r>
        <w:t xml:space="preserve"> </w:t>
      </w:r>
      <w:r w:rsidR="00856B9D">
        <w:t>one</w:t>
      </w:r>
      <w:r w:rsidR="009A5912">
        <w:t xml:space="preserve"> death in</w:t>
      </w:r>
      <w:r w:rsidR="00856B9D">
        <w:t xml:space="preserve"> </w:t>
      </w:r>
      <w:r>
        <w:t>2021</w:t>
      </w:r>
      <w:r w:rsidR="009A5912">
        <w:t>, which was self-inflicted</w:t>
      </w:r>
      <w:r>
        <w:t xml:space="preserve">. </w:t>
      </w:r>
      <w:r w:rsidR="00083411">
        <w:t xml:space="preserve">Numbers of deaths within </w:t>
      </w:r>
      <w:r w:rsidR="009E31AB">
        <w:t>the immigration estate</w:t>
      </w:r>
      <w:r w:rsidR="00083411">
        <w:t xml:space="preserve"> have remained very low in recent years.</w:t>
      </w:r>
      <w:r w:rsidR="00877FB1">
        <w:rPr>
          <w:rStyle w:val="EndnoteReference"/>
        </w:rPr>
        <w:endnoteReference w:id="12"/>
      </w:r>
      <w:r w:rsidR="008B2B7D">
        <w:t xml:space="preserve"> </w:t>
      </w:r>
    </w:p>
    <w:p w14:paraId="0452B526" w14:textId="77777777" w:rsidR="009E31AB" w:rsidRDefault="009E31AB" w:rsidP="008130DC">
      <w:pPr>
        <w:pStyle w:val="ListParagraph"/>
        <w:ind w:left="360"/>
      </w:pPr>
    </w:p>
    <w:p w14:paraId="63CF7B7E" w14:textId="69F30C21" w:rsidR="00AF603B" w:rsidRDefault="009E31AB" w:rsidP="009A5912">
      <w:pPr>
        <w:pStyle w:val="ListParagraph"/>
        <w:numPr>
          <w:ilvl w:val="0"/>
          <w:numId w:val="4"/>
        </w:numPr>
      </w:pPr>
      <w:r>
        <w:lastRenderedPageBreak/>
        <w:t>D</w:t>
      </w:r>
      <w:r w:rsidR="008B2B7D">
        <w:t>ata</w:t>
      </w:r>
      <w:r>
        <w:t xml:space="preserve"> published by the Home Office</w:t>
      </w:r>
      <w:r w:rsidR="008B2B7D">
        <w:t xml:space="preserve"> includes the individuals’ sex, ages, nationalit</w:t>
      </w:r>
      <w:r>
        <w:t>y</w:t>
      </w:r>
      <w:r w:rsidR="008B2B7D">
        <w:t>, causes of death (natural, self-inflicted, homicide, or ‘other’), place of incident, and place of death.</w:t>
      </w:r>
    </w:p>
    <w:p w14:paraId="0120214A" w14:textId="247A8DE2" w:rsidR="00AF603B" w:rsidRPr="00AF603B" w:rsidRDefault="00AF603B" w:rsidP="00073647">
      <w:r>
        <w:rPr>
          <w:i/>
          <w:iCs/>
        </w:rPr>
        <w:t>Methodology</w:t>
      </w:r>
    </w:p>
    <w:p w14:paraId="3AD16A0D" w14:textId="335694C3" w:rsidR="008B2B7D" w:rsidRDefault="00083411" w:rsidP="009A5912">
      <w:pPr>
        <w:pStyle w:val="ListParagraph"/>
        <w:numPr>
          <w:ilvl w:val="0"/>
          <w:numId w:val="4"/>
        </w:numPr>
      </w:pPr>
      <w:r w:rsidRPr="00083411">
        <w:t>This data includes people who died while detained under immigration powers in an immigration removal centre (IRC), short-term holding facility (STHF), pre-departure accommodation (PDA) or under</w:t>
      </w:r>
      <w:r>
        <w:t xml:space="preserve"> escort, or where they left detention </w:t>
      </w:r>
      <w:proofErr w:type="gramStart"/>
      <w:r>
        <w:t>as a result of</w:t>
      </w:r>
      <w:proofErr w:type="gramEnd"/>
      <w:r>
        <w:t xml:space="preserve"> an incident occurring within detention.</w:t>
      </w:r>
      <w:r w:rsidR="008B2B7D">
        <w:t xml:space="preserve"> Cause of death is initially based on the “best assessment of the Home Office”, until further information becomes available, such as following the conclusion of an inquest (which may lead to revisions to the published data over time). Where it cannot be easily identified, it is classified as ‘Other’.</w:t>
      </w:r>
    </w:p>
    <w:sectPr w:rsidR="008B2B7D">
      <w:footerReference w:type="default" r:id="rId9"/>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F6A9E" w14:textId="77777777" w:rsidR="00F30504" w:rsidRDefault="00F30504" w:rsidP="00E719F6">
      <w:pPr>
        <w:spacing w:after="0"/>
      </w:pPr>
      <w:r>
        <w:separator/>
      </w:r>
    </w:p>
  </w:endnote>
  <w:endnote w:type="continuationSeparator" w:id="0">
    <w:p w14:paraId="00B06D97" w14:textId="77777777" w:rsidR="00F30504" w:rsidRDefault="00F30504" w:rsidP="00E719F6">
      <w:pPr>
        <w:spacing w:after="0"/>
      </w:pPr>
      <w:r>
        <w:continuationSeparator/>
      </w:r>
    </w:p>
  </w:endnote>
  <w:endnote w:id="1">
    <w:p w14:paraId="3670FEB9" w14:textId="77777777" w:rsidR="00B14CDA" w:rsidRPr="009941E9" w:rsidRDefault="00B14CDA" w:rsidP="00B14CDA">
      <w:pPr>
        <w:pStyle w:val="EndnoteText"/>
        <w:rPr>
          <w:rFonts w:cs="Arial"/>
          <w:sz w:val="18"/>
          <w:szCs w:val="18"/>
        </w:rPr>
      </w:pPr>
      <w:r w:rsidRPr="009941E9">
        <w:rPr>
          <w:rStyle w:val="EndnoteReference"/>
          <w:rFonts w:cs="Arial"/>
          <w:sz w:val="18"/>
          <w:szCs w:val="18"/>
        </w:rPr>
        <w:endnoteRef/>
      </w:r>
      <w:r w:rsidRPr="009941E9">
        <w:rPr>
          <w:rFonts w:cs="Arial"/>
          <w:sz w:val="18"/>
          <w:szCs w:val="18"/>
        </w:rPr>
        <w:t xml:space="preserve"> I</w:t>
      </w:r>
      <w:r w:rsidRPr="009941E9">
        <w:rPr>
          <w:rFonts w:cs="Arial"/>
          <w:color w:val="000000"/>
          <w:sz w:val="18"/>
          <w:szCs w:val="18"/>
        </w:rPr>
        <w:t>APDC, ‘Statistical analysis of recorded deaths in custody between 2016 and 2019’, November 2021, available </w:t>
      </w:r>
      <w:hyperlink r:id="rId1" w:history="1">
        <w:r w:rsidRPr="009941E9">
          <w:rPr>
            <w:rStyle w:val="Hyperlink"/>
            <w:rFonts w:cs="Arial"/>
            <w:sz w:val="18"/>
            <w:szCs w:val="18"/>
          </w:rPr>
          <w:t>here</w:t>
        </w:r>
      </w:hyperlink>
      <w:r w:rsidRPr="009941E9">
        <w:rPr>
          <w:rFonts w:cs="Arial"/>
          <w:sz w:val="18"/>
          <w:szCs w:val="18"/>
        </w:rPr>
        <w:t xml:space="preserve">. </w:t>
      </w:r>
    </w:p>
  </w:endnote>
  <w:endnote w:id="2">
    <w:p w14:paraId="041FD591" w14:textId="01B0D573" w:rsidR="00E719F6" w:rsidRPr="009941E9" w:rsidRDefault="00E719F6">
      <w:pPr>
        <w:pStyle w:val="EndnoteText"/>
        <w:rPr>
          <w:sz w:val="18"/>
          <w:szCs w:val="18"/>
        </w:rPr>
      </w:pPr>
      <w:r w:rsidRPr="009941E9">
        <w:rPr>
          <w:rStyle w:val="EndnoteReference"/>
          <w:sz w:val="18"/>
          <w:szCs w:val="18"/>
        </w:rPr>
        <w:endnoteRef/>
      </w:r>
      <w:r w:rsidRPr="009941E9">
        <w:rPr>
          <w:sz w:val="18"/>
          <w:szCs w:val="18"/>
        </w:rPr>
        <w:t xml:space="preserve"> Ministry of Justice and HMPPS, ‘Safety in Custody Statistics, England and Wales: Deaths in Prison Custody to December 2022’, 26 January 2023, available </w:t>
      </w:r>
      <w:hyperlink r:id="rId2" w:history="1">
        <w:r w:rsidRPr="009941E9">
          <w:rPr>
            <w:rStyle w:val="Hyperlink"/>
            <w:sz w:val="18"/>
            <w:szCs w:val="18"/>
          </w:rPr>
          <w:t>here</w:t>
        </w:r>
      </w:hyperlink>
      <w:r w:rsidRPr="009941E9">
        <w:rPr>
          <w:sz w:val="18"/>
          <w:szCs w:val="18"/>
        </w:rPr>
        <w:t>.</w:t>
      </w:r>
    </w:p>
  </w:endnote>
  <w:endnote w:id="3">
    <w:p w14:paraId="5F2B6A2C" w14:textId="44DA780B" w:rsidR="009941E9" w:rsidRPr="009941E9" w:rsidRDefault="009941E9">
      <w:pPr>
        <w:pStyle w:val="EndnoteText"/>
        <w:rPr>
          <w:sz w:val="18"/>
          <w:szCs w:val="18"/>
        </w:rPr>
      </w:pPr>
      <w:r w:rsidRPr="009941E9">
        <w:rPr>
          <w:rStyle w:val="EndnoteReference"/>
          <w:sz w:val="18"/>
          <w:szCs w:val="18"/>
        </w:rPr>
        <w:endnoteRef/>
      </w:r>
      <w:r w:rsidRPr="009941E9">
        <w:rPr>
          <w:sz w:val="18"/>
          <w:szCs w:val="18"/>
        </w:rPr>
        <w:t xml:space="preserve"> MoJ, ‘Guide to Safety in Custody Statistics’, January 2023, available </w:t>
      </w:r>
      <w:hyperlink r:id="rId3" w:history="1">
        <w:r w:rsidRPr="009941E9">
          <w:rPr>
            <w:rStyle w:val="Hyperlink"/>
            <w:sz w:val="18"/>
            <w:szCs w:val="18"/>
          </w:rPr>
          <w:t>here</w:t>
        </w:r>
      </w:hyperlink>
      <w:r w:rsidRPr="009941E9">
        <w:rPr>
          <w:rStyle w:val="Hyperlink"/>
          <w:sz w:val="18"/>
          <w:szCs w:val="18"/>
        </w:rPr>
        <w:t>.</w:t>
      </w:r>
    </w:p>
  </w:endnote>
  <w:endnote w:id="4">
    <w:p w14:paraId="75668341" w14:textId="77777777" w:rsidR="00E50B8E" w:rsidRPr="009941E9" w:rsidRDefault="00E50B8E" w:rsidP="00E50B8E">
      <w:pPr>
        <w:pStyle w:val="EndnoteText"/>
        <w:rPr>
          <w:sz w:val="18"/>
          <w:szCs w:val="18"/>
        </w:rPr>
      </w:pPr>
      <w:r w:rsidRPr="009941E9">
        <w:rPr>
          <w:rStyle w:val="EndnoteReference"/>
          <w:sz w:val="18"/>
          <w:szCs w:val="18"/>
        </w:rPr>
        <w:endnoteRef/>
      </w:r>
      <w:r w:rsidRPr="009941E9">
        <w:rPr>
          <w:sz w:val="18"/>
          <w:szCs w:val="18"/>
        </w:rPr>
        <w:t xml:space="preserve"> IOPC, ‘IOPC publishes figures on deaths during or following police contact for 2021/22’, 28 September 2022, available </w:t>
      </w:r>
      <w:hyperlink r:id="rId4" w:history="1">
        <w:r w:rsidRPr="009941E9">
          <w:rPr>
            <w:rStyle w:val="Hyperlink"/>
            <w:sz w:val="18"/>
            <w:szCs w:val="18"/>
          </w:rPr>
          <w:t>here</w:t>
        </w:r>
      </w:hyperlink>
      <w:r w:rsidRPr="009941E9">
        <w:rPr>
          <w:sz w:val="18"/>
          <w:szCs w:val="18"/>
        </w:rPr>
        <w:t>.</w:t>
      </w:r>
    </w:p>
  </w:endnote>
  <w:endnote w:id="5">
    <w:p w14:paraId="73F522AE" w14:textId="008579E9" w:rsidR="00E50B8E" w:rsidRPr="009941E9" w:rsidRDefault="00E50B8E">
      <w:pPr>
        <w:pStyle w:val="EndnoteText"/>
        <w:rPr>
          <w:sz w:val="18"/>
          <w:szCs w:val="18"/>
        </w:rPr>
      </w:pPr>
      <w:r w:rsidRPr="009941E9">
        <w:rPr>
          <w:rStyle w:val="EndnoteReference"/>
          <w:sz w:val="18"/>
          <w:szCs w:val="18"/>
        </w:rPr>
        <w:endnoteRef/>
      </w:r>
      <w:r w:rsidRPr="009941E9">
        <w:rPr>
          <w:sz w:val="18"/>
          <w:szCs w:val="18"/>
        </w:rPr>
        <w:t xml:space="preserve"> In 2020/21, three people died in a police cell, in 2019/20 one person died in a police cell, in 2018/19 there were no such deaths, and in 2017/18 there were three such deaths.</w:t>
      </w:r>
    </w:p>
  </w:endnote>
  <w:endnote w:id="6">
    <w:p w14:paraId="76CCA096" w14:textId="73B1CE27" w:rsidR="008B2B7D" w:rsidRPr="009941E9" w:rsidRDefault="008B2B7D">
      <w:pPr>
        <w:pStyle w:val="EndnoteText"/>
        <w:rPr>
          <w:sz w:val="18"/>
          <w:szCs w:val="18"/>
        </w:rPr>
      </w:pPr>
      <w:r w:rsidRPr="009941E9">
        <w:rPr>
          <w:rStyle w:val="EndnoteReference"/>
          <w:sz w:val="18"/>
          <w:szCs w:val="18"/>
        </w:rPr>
        <w:endnoteRef/>
      </w:r>
      <w:r w:rsidRPr="009941E9">
        <w:rPr>
          <w:sz w:val="18"/>
          <w:szCs w:val="18"/>
        </w:rPr>
        <w:t xml:space="preserve"> IOPC, ‘Deaths during or following police contact annual report guidance’, January 2018, available </w:t>
      </w:r>
      <w:hyperlink r:id="rId5" w:history="1">
        <w:r w:rsidRPr="009941E9">
          <w:rPr>
            <w:rStyle w:val="Hyperlink"/>
            <w:sz w:val="18"/>
            <w:szCs w:val="18"/>
          </w:rPr>
          <w:t>here</w:t>
        </w:r>
      </w:hyperlink>
      <w:r w:rsidRPr="009941E9">
        <w:rPr>
          <w:sz w:val="18"/>
          <w:szCs w:val="18"/>
        </w:rPr>
        <w:t>.</w:t>
      </w:r>
    </w:p>
  </w:endnote>
  <w:endnote w:id="7">
    <w:p w14:paraId="48C16374" w14:textId="42349C77" w:rsidR="00913265" w:rsidRPr="009941E9" w:rsidRDefault="00913265" w:rsidP="00913265">
      <w:pPr>
        <w:pStyle w:val="Heading1"/>
        <w:shd w:val="clear" w:color="auto" w:fill="FFFFFF"/>
        <w:spacing w:before="0" w:beforeAutospacing="0" w:after="0" w:afterAutospacing="0"/>
        <w:textAlignment w:val="baseline"/>
        <w:rPr>
          <w:rFonts w:ascii="Arial" w:hAnsi="Arial" w:cs="Arial"/>
          <w:b w:val="0"/>
          <w:bCs w:val="0"/>
          <w:color w:val="121212"/>
          <w:sz w:val="18"/>
          <w:szCs w:val="18"/>
        </w:rPr>
      </w:pPr>
      <w:r w:rsidRPr="009941E9">
        <w:rPr>
          <w:rStyle w:val="EndnoteReference"/>
          <w:rFonts w:ascii="Arial" w:hAnsi="Arial" w:cs="Arial"/>
          <w:sz w:val="18"/>
          <w:szCs w:val="18"/>
        </w:rPr>
        <w:endnoteRef/>
      </w:r>
      <w:r w:rsidRPr="009941E9">
        <w:rPr>
          <w:rFonts w:ascii="Arial" w:hAnsi="Arial" w:cs="Arial"/>
          <w:sz w:val="18"/>
          <w:szCs w:val="18"/>
        </w:rPr>
        <w:t xml:space="preserve"> </w:t>
      </w:r>
      <w:r w:rsidRPr="009941E9">
        <w:rPr>
          <w:rFonts w:ascii="Arial" w:hAnsi="Arial" w:cs="Arial"/>
          <w:b w:val="0"/>
          <w:bCs w:val="0"/>
          <w:sz w:val="18"/>
          <w:szCs w:val="18"/>
        </w:rPr>
        <w:t>Guardian, ‘</w:t>
      </w:r>
      <w:r w:rsidRPr="009941E9">
        <w:rPr>
          <w:rFonts w:ascii="Arial" w:hAnsi="Arial" w:cs="Arial"/>
          <w:b w:val="0"/>
          <w:bCs w:val="0"/>
          <w:color w:val="121212"/>
          <w:sz w:val="18"/>
          <w:szCs w:val="18"/>
        </w:rPr>
        <w:t>Police formally apologise over Dalian Atkinson death after officer’s conviction</w:t>
      </w:r>
      <w:r w:rsidRPr="009941E9">
        <w:rPr>
          <w:rFonts w:ascii="Arial" w:hAnsi="Arial" w:cs="Arial"/>
          <w:b w:val="0"/>
          <w:bCs w:val="0"/>
          <w:sz w:val="18"/>
          <w:szCs w:val="18"/>
        </w:rPr>
        <w:t xml:space="preserve">’, 26 December 2021, available </w:t>
      </w:r>
      <w:hyperlink r:id="rId6" w:history="1">
        <w:r w:rsidRPr="009941E9">
          <w:rPr>
            <w:rStyle w:val="Hyperlink"/>
            <w:rFonts w:ascii="Arial" w:hAnsi="Arial" w:cs="Arial"/>
            <w:b w:val="0"/>
            <w:bCs w:val="0"/>
            <w:sz w:val="18"/>
            <w:szCs w:val="18"/>
          </w:rPr>
          <w:t>here</w:t>
        </w:r>
      </w:hyperlink>
      <w:r w:rsidRPr="009941E9">
        <w:rPr>
          <w:rFonts w:ascii="Arial" w:hAnsi="Arial" w:cs="Arial"/>
          <w:b w:val="0"/>
          <w:bCs w:val="0"/>
          <w:sz w:val="18"/>
          <w:szCs w:val="18"/>
        </w:rPr>
        <w:t>.</w:t>
      </w:r>
    </w:p>
  </w:endnote>
  <w:endnote w:id="8">
    <w:p w14:paraId="1F0415D0" w14:textId="5F2209B0" w:rsidR="00811117" w:rsidRPr="009941E9" w:rsidRDefault="00811117">
      <w:pPr>
        <w:pStyle w:val="EndnoteText"/>
        <w:rPr>
          <w:sz w:val="18"/>
          <w:szCs w:val="18"/>
        </w:rPr>
      </w:pPr>
      <w:r w:rsidRPr="009941E9">
        <w:rPr>
          <w:rStyle w:val="EndnoteReference"/>
          <w:sz w:val="18"/>
          <w:szCs w:val="18"/>
        </w:rPr>
        <w:endnoteRef/>
      </w:r>
      <w:r w:rsidRPr="009941E9">
        <w:rPr>
          <w:sz w:val="18"/>
          <w:szCs w:val="18"/>
        </w:rPr>
        <w:t xml:space="preserve"> IAPDC, ‘Preventing deaths at point of arrest, during and after police custody: a review of police practice submitted to the Independent Advisory Panel on Deaths in Custody by Police and Crime Commissioners and associated bodies’, December 2022, available </w:t>
      </w:r>
      <w:hyperlink r:id="rId7" w:history="1">
        <w:r w:rsidRPr="009941E9">
          <w:rPr>
            <w:rStyle w:val="Hyperlink"/>
            <w:sz w:val="18"/>
            <w:szCs w:val="18"/>
          </w:rPr>
          <w:t>here</w:t>
        </w:r>
      </w:hyperlink>
      <w:r w:rsidRPr="009941E9">
        <w:rPr>
          <w:sz w:val="18"/>
          <w:szCs w:val="18"/>
        </w:rPr>
        <w:t>.</w:t>
      </w:r>
    </w:p>
  </w:endnote>
  <w:endnote w:id="9">
    <w:p w14:paraId="2D6BDC8E" w14:textId="77777777" w:rsidR="00E719F6" w:rsidRPr="009941E9" w:rsidRDefault="00E719F6" w:rsidP="00E719F6">
      <w:pPr>
        <w:pStyle w:val="EndnoteText"/>
        <w:rPr>
          <w:rFonts w:cs="Arial"/>
          <w:sz w:val="18"/>
          <w:szCs w:val="18"/>
        </w:rPr>
      </w:pPr>
      <w:r w:rsidRPr="009941E9">
        <w:rPr>
          <w:rStyle w:val="EndnoteReference"/>
          <w:rFonts w:cs="Arial"/>
          <w:sz w:val="18"/>
          <w:szCs w:val="18"/>
        </w:rPr>
        <w:endnoteRef/>
      </w:r>
      <w:r w:rsidRPr="009941E9">
        <w:rPr>
          <w:rFonts w:cs="Arial"/>
          <w:sz w:val="18"/>
          <w:szCs w:val="18"/>
        </w:rPr>
        <w:t xml:space="preserve"> CQC, ‘Monitoring the Mental Health Act in 2021/22’, 1 December 2022, available </w:t>
      </w:r>
      <w:hyperlink r:id="rId8" w:history="1">
        <w:r w:rsidRPr="009941E9">
          <w:rPr>
            <w:rStyle w:val="Hyperlink"/>
            <w:rFonts w:cs="Arial"/>
            <w:sz w:val="18"/>
            <w:szCs w:val="18"/>
          </w:rPr>
          <w:t>here</w:t>
        </w:r>
      </w:hyperlink>
      <w:r w:rsidRPr="009941E9">
        <w:rPr>
          <w:rFonts w:cs="Arial"/>
          <w:sz w:val="18"/>
          <w:szCs w:val="18"/>
        </w:rPr>
        <w:t>.</w:t>
      </w:r>
    </w:p>
  </w:endnote>
  <w:endnote w:id="10">
    <w:p w14:paraId="207E4324" w14:textId="77777777" w:rsidR="009E31AB" w:rsidRPr="009941E9" w:rsidRDefault="009E31AB" w:rsidP="009E31AB">
      <w:pPr>
        <w:pStyle w:val="EndnoteText"/>
        <w:rPr>
          <w:rFonts w:cs="Arial"/>
          <w:sz w:val="18"/>
          <w:szCs w:val="18"/>
        </w:rPr>
      </w:pPr>
      <w:r w:rsidRPr="009941E9">
        <w:rPr>
          <w:rStyle w:val="EndnoteReference"/>
          <w:rFonts w:cs="Arial"/>
          <w:sz w:val="18"/>
          <w:szCs w:val="18"/>
        </w:rPr>
        <w:endnoteRef/>
      </w:r>
      <w:r w:rsidRPr="009941E9">
        <w:rPr>
          <w:rFonts w:cs="Arial"/>
          <w:sz w:val="18"/>
          <w:szCs w:val="18"/>
        </w:rPr>
        <w:t xml:space="preserve"> I</w:t>
      </w:r>
      <w:r w:rsidRPr="009941E9">
        <w:rPr>
          <w:rFonts w:cs="Arial"/>
          <w:color w:val="000000"/>
          <w:sz w:val="18"/>
          <w:szCs w:val="18"/>
        </w:rPr>
        <w:t>APDC, ‘Statistical analysis of recorded deaths in custody between 2016 and 2019’, November 2021, available </w:t>
      </w:r>
      <w:hyperlink r:id="rId9" w:history="1">
        <w:r w:rsidRPr="009941E9">
          <w:rPr>
            <w:rStyle w:val="Hyperlink"/>
            <w:rFonts w:cs="Arial"/>
            <w:sz w:val="18"/>
            <w:szCs w:val="18"/>
          </w:rPr>
          <w:t>here</w:t>
        </w:r>
      </w:hyperlink>
      <w:r w:rsidRPr="009941E9">
        <w:rPr>
          <w:rFonts w:cs="Arial"/>
          <w:sz w:val="18"/>
          <w:szCs w:val="18"/>
        </w:rPr>
        <w:t xml:space="preserve">. </w:t>
      </w:r>
    </w:p>
  </w:endnote>
  <w:endnote w:id="11">
    <w:p w14:paraId="5228B0C6" w14:textId="77777777" w:rsidR="0048796B" w:rsidRPr="009941E9" w:rsidRDefault="0048796B" w:rsidP="0048796B">
      <w:pPr>
        <w:pStyle w:val="EndnoteText"/>
        <w:rPr>
          <w:rFonts w:cs="Arial"/>
          <w:sz w:val="18"/>
          <w:szCs w:val="18"/>
        </w:rPr>
      </w:pPr>
      <w:r w:rsidRPr="009941E9">
        <w:rPr>
          <w:rStyle w:val="EndnoteReference"/>
          <w:rFonts w:cs="Arial"/>
          <w:sz w:val="18"/>
          <w:szCs w:val="18"/>
        </w:rPr>
        <w:endnoteRef/>
      </w:r>
      <w:r w:rsidRPr="009941E9">
        <w:rPr>
          <w:rFonts w:cs="Arial"/>
          <w:sz w:val="18"/>
          <w:szCs w:val="18"/>
        </w:rPr>
        <w:t xml:space="preserve"> I</w:t>
      </w:r>
      <w:r w:rsidRPr="009941E9">
        <w:rPr>
          <w:rFonts w:cs="Arial"/>
          <w:color w:val="000000"/>
          <w:sz w:val="18"/>
          <w:szCs w:val="18"/>
        </w:rPr>
        <w:t>APDC, ‘Statistical analysis of recorded deaths in custody between 2016 and 2019’, November 2021, available </w:t>
      </w:r>
      <w:hyperlink r:id="rId10" w:history="1">
        <w:r w:rsidRPr="009941E9">
          <w:rPr>
            <w:rStyle w:val="Hyperlink"/>
            <w:rFonts w:cs="Arial"/>
            <w:sz w:val="18"/>
            <w:szCs w:val="18"/>
          </w:rPr>
          <w:t>here</w:t>
        </w:r>
      </w:hyperlink>
      <w:r w:rsidRPr="009941E9">
        <w:rPr>
          <w:rFonts w:cs="Arial"/>
          <w:sz w:val="18"/>
          <w:szCs w:val="18"/>
        </w:rPr>
        <w:t xml:space="preserve">. </w:t>
      </w:r>
    </w:p>
  </w:endnote>
  <w:endnote w:id="12">
    <w:p w14:paraId="5E92351F" w14:textId="541D5B35" w:rsidR="00877FB1" w:rsidRPr="009941E9" w:rsidRDefault="00877FB1">
      <w:pPr>
        <w:pStyle w:val="EndnoteText"/>
        <w:rPr>
          <w:sz w:val="18"/>
          <w:szCs w:val="18"/>
        </w:rPr>
      </w:pPr>
      <w:r w:rsidRPr="009941E9">
        <w:rPr>
          <w:rStyle w:val="EndnoteReference"/>
          <w:sz w:val="18"/>
          <w:szCs w:val="18"/>
        </w:rPr>
        <w:endnoteRef/>
      </w:r>
      <w:r w:rsidRPr="009941E9">
        <w:rPr>
          <w:sz w:val="18"/>
          <w:szCs w:val="18"/>
        </w:rPr>
        <w:t xml:space="preserve"> For details of this data </w:t>
      </w:r>
      <w:r w:rsidR="00422A02" w:rsidRPr="009941E9">
        <w:rPr>
          <w:sz w:val="18"/>
          <w:szCs w:val="18"/>
        </w:rPr>
        <w:t>and its methodology f</w:t>
      </w:r>
      <w:r w:rsidR="008B2B7D" w:rsidRPr="009941E9">
        <w:rPr>
          <w:sz w:val="18"/>
          <w:szCs w:val="18"/>
        </w:rPr>
        <w:t>or 2021</w:t>
      </w:r>
      <w:r w:rsidRPr="009941E9">
        <w:rPr>
          <w:sz w:val="18"/>
          <w:szCs w:val="18"/>
        </w:rPr>
        <w:t xml:space="preserve">, please see </w:t>
      </w:r>
      <w:hyperlink r:id="rId11" w:history="1">
        <w:r w:rsidRPr="009941E9">
          <w:rPr>
            <w:rStyle w:val="Hyperlink"/>
            <w:sz w:val="18"/>
            <w:szCs w:val="18"/>
          </w:rPr>
          <w:t>here</w:t>
        </w:r>
      </w:hyperlink>
      <w:r w:rsidRPr="009941E9">
        <w:rPr>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282100"/>
      <w:docPartObj>
        <w:docPartGallery w:val="Page Numbers (Bottom of Page)"/>
        <w:docPartUnique/>
      </w:docPartObj>
    </w:sdtPr>
    <w:sdtEndPr>
      <w:rPr>
        <w:noProof/>
      </w:rPr>
    </w:sdtEndPr>
    <w:sdtContent>
      <w:p w14:paraId="5ED241ED" w14:textId="57D058C6" w:rsidR="009E31AB" w:rsidRDefault="009E31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276948" w14:textId="77777777" w:rsidR="009E31AB" w:rsidRDefault="009E3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92E98" w14:textId="77777777" w:rsidR="00F30504" w:rsidRDefault="00F30504" w:rsidP="00E719F6">
      <w:pPr>
        <w:spacing w:after="0"/>
      </w:pPr>
      <w:r>
        <w:separator/>
      </w:r>
    </w:p>
  </w:footnote>
  <w:footnote w:type="continuationSeparator" w:id="0">
    <w:p w14:paraId="3BFD7D6C" w14:textId="77777777" w:rsidR="00F30504" w:rsidRDefault="00F30504" w:rsidP="00E719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4E4"/>
    <w:multiLevelType w:val="hybridMultilevel"/>
    <w:tmpl w:val="9BA0EBDE"/>
    <w:lvl w:ilvl="0" w:tplc="0809000F">
      <w:start w:val="1"/>
      <w:numFmt w:val="decimal"/>
      <w:lvlText w:val="%1."/>
      <w:lvlJc w:val="left"/>
      <w:pPr>
        <w:ind w:left="-2136" w:hanging="360"/>
      </w:pPr>
    </w:lvl>
    <w:lvl w:ilvl="1" w:tplc="08090019" w:tentative="1">
      <w:start w:val="1"/>
      <w:numFmt w:val="lowerLetter"/>
      <w:lvlText w:val="%2."/>
      <w:lvlJc w:val="left"/>
      <w:pPr>
        <w:ind w:left="-1416" w:hanging="360"/>
      </w:pPr>
    </w:lvl>
    <w:lvl w:ilvl="2" w:tplc="0809001B" w:tentative="1">
      <w:start w:val="1"/>
      <w:numFmt w:val="lowerRoman"/>
      <w:lvlText w:val="%3."/>
      <w:lvlJc w:val="right"/>
      <w:pPr>
        <w:ind w:left="-696" w:hanging="180"/>
      </w:pPr>
    </w:lvl>
    <w:lvl w:ilvl="3" w:tplc="0809000F" w:tentative="1">
      <w:start w:val="1"/>
      <w:numFmt w:val="decimal"/>
      <w:lvlText w:val="%4."/>
      <w:lvlJc w:val="left"/>
      <w:pPr>
        <w:ind w:left="24" w:hanging="360"/>
      </w:pPr>
    </w:lvl>
    <w:lvl w:ilvl="4" w:tplc="08090019" w:tentative="1">
      <w:start w:val="1"/>
      <w:numFmt w:val="lowerLetter"/>
      <w:lvlText w:val="%5."/>
      <w:lvlJc w:val="left"/>
      <w:pPr>
        <w:ind w:left="744" w:hanging="360"/>
      </w:pPr>
    </w:lvl>
    <w:lvl w:ilvl="5" w:tplc="0809001B" w:tentative="1">
      <w:start w:val="1"/>
      <w:numFmt w:val="lowerRoman"/>
      <w:lvlText w:val="%6."/>
      <w:lvlJc w:val="right"/>
      <w:pPr>
        <w:ind w:left="1464" w:hanging="180"/>
      </w:pPr>
    </w:lvl>
    <w:lvl w:ilvl="6" w:tplc="0809000F" w:tentative="1">
      <w:start w:val="1"/>
      <w:numFmt w:val="decimal"/>
      <w:lvlText w:val="%7."/>
      <w:lvlJc w:val="left"/>
      <w:pPr>
        <w:ind w:left="2184" w:hanging="360"/>
      </w:pPr>
    </w:lvl>
    <w:lvl w:ilvl="7" w:tplc="08090019" w:tentative="1">
      <w:start w:val="1"/>
      <w:numFmt w:val="lowerLetter"/>
      <w:lvlText w:val="%8."/>
      <w:lvlJc w:val="left"/>
      <w:pPr>
        <w:ind w:left="2904" w:hanging="360"/>
      </w:pPr>
    </w:lvl>
    <w:lvl w:ilvl="8" w:tplc="0809001B" w:tentative="1">
      <w:start w:val="1"/>
      <w:numFmt w:val="lowerRoman"/>
      <w:lvlText w:val="%9."/>
      <w:lvlJc w:val="right"/>
      <w:pPr>
        <w:ind w:left="3624" w:hanging="180"/>
      </w:pPr>
    </w:lvl>
  </w:abstractNum>
  <w:abstractNum w:abstractNumId="1" w15:restartNumberingAfterBreak="0">
    <w:nsid w:val="162E1B73"/>
    <w:multiLevelType w:val="hybridMultilevel"/>
    <w:tmpl w:val="A81A8A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256868"/>
    <w:multiLevelType w:val="hybridMultilevel"/>
    <w:tmpl w:val="699E6C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A552B16"/>
    <w:multiLevelType w:val="hybridMultilevel"/>
    <w:tmpl w:val="55F2969C"/>
    <w:lvl w:ilvl="0" w:tplc="6CE87232">
      <w:start w:val="1"/>
      <w:numFmt w:val="decimal"/>
      <w:lvlText w:val="%1)"/>
      <w:lvlJc w:val="left"/>
      <w:pPr>
        <w:ind w:left="420" w:hanging="360"/>
      </w:pPr>
    </w:lvl>
    <w:lvl w:ilvl="1" w:tplc="4A7CFB9E">
      <w:start w:val="1"/>
      <w:numFmt w:val="lowerLetter"/>
      <w:lvlText w:val="%2."/>
      <w:lvlJc w:val="left"/>
      <w:pPr>
        <w:ind w:left="1140" w:hanging="360"/>
      </w:pPr>
    </w:lvl>
    <w:lvl w:ilvl="2" w:tplc="82D213AC">
      <w:start w:val="1"/>
      <w:numFmt w:val="lowerRoman"/>
      <w:lvlText w:val="%3."/>
      <w:lvlJc w:val="right"/>
      <w:pPr>
        <w:ind w:left="1860" w:hanging="180"/>
      </w:pPr>
    </w:lvl>
    <w:lvl w:ilvl="3" w:tplc="0A500CFC">
      <w:start w:val="1"/>
      <w:numFmt w:val="decimal"/>
      <w:lvlText w:val="%4."/>
      <w:lvlJc w:val="left"/>
      <w:pPr>
        <w:ind w:left="2580" w:hanging="360"/>
      </w:pPr>
    </w:lvl>
    <w:lvl w:ilvl="4" w:tplc="66C87598">
      <w:start w:val="1"/>
      <w:numFmt w:val="lowerLetter"/>
      <w:lvlText w:val="%5."/>
      <w:lvlJc w:val="left"/>
      <w:pPr>
        <w:ind w:left="3300" w:hanging="360"/>
      </w:pPr>
    </w:lvl>
    <w:lvl w:ilvl="5" w:tplc="AC76D0E2">
      <w:start w:val="1"/>
      <w:numFmt w:val="lowerRoman"/>
      <w:lvlText w:val="%6."/>
      <w:lvlJc w:val="right"/>
      <w:pPr>
        <w:ind w:left="4020" w:hanging="180"/>
      </w:pPr>
    </w:lvl>
    <w:lvl w:ilvl="6" w:tplc="16A88038">
      <w:start w:val="1"/>
      <w:numFmt w:val="decimal"/>
      <w:lvlText w:val="%7."/>
      <w:lvlJc w:val="left"/>
      <w:pPr>
        <w:ind w:left="4740" w:hanging="360"/>
      </w:pPr>
    </w:lvl>
    <w:lvl w:ilvl="7" w:tplc="63DECFC8">
      <w:start w:val="1"/>
      <w:numFmt w:val="lowerLetter"/>
      <w:lvlText w:val="%8."/>
      <w:lvlJc w:val="left"/>
      <w:pPr>
        <w:ind w:left="5460" w:hanging="360"/>
      </w:pPr>
    </w:lvl>
    <w:lvl w:ilvl="8" w:tplc="BF3CF172">
      <w:start w:val="1"/>
      <w:numFmt w:val="lowerRoman"/>
      <w:lvlText w:val="%9."/>
      <w:lvlJc w:val="right"/>
      <w:pPr>
        <w:ind w:left="6180" w:hanging="180"/>
      </w:pPr>
    </w:lvl>
  </w:abstractNum>
  <w:abstractNum w:abstractNumId="4" w15:restartNumberingAfterBreak="0">
    <w:nsid w:val="699E1F47"/>
    <w:multiLevelType w:val="multilevel"/>
    <w:tmpl w:val="2F66B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636046"/>
    <w:multiLevelType w:val="hybridMultilevel"/>
    <w:tmpl w:val="6F1C0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6AB"/>
    <w:rsid w:val="00017212"/>
    <w:rsid w:val="00025072"/>
    <w:rsid w:val="00073647"/>
    <w:rsid w:val="00083411"/>
    <w:rsid w:val="00137F6C"/>
    <w:rsid w:val="001D0D29"/>
    <w:rsid w:val="00290C35"/>
    <w:rsid w:val="002E2069"/>
    <w:rsid w:val="00316670"/>
    <w:rsid w:val="00331063"/>
    <w:rsid w:val="003663C9"/>
    <w:rsid w:val="00422A02"/>
    <w:rsid w:val="00454E83"/>
    <w:rsid w:val="0048796B"/>
    <w:rsid w:val="00513CFF"/>
    <w:rsid w:val="00542FCD"/>
    <w:rsid w:val="00550D5B"/>
    <w:rsid w:val="00605276"/>
    <w:rsid w:val="00691E12"/>
    <w:rsid w:val="006D77E7"/>
    <w:rsid w:val="00744C01"/>
    <w:rsid w:val="007B3C6F"/>
    <w:rsid w:val="007C1432"/>
    <w:rsid w:val="00811117"/>
    <w:rsid w:val="008130DC"/>
    <w:rsid w:val="00856B9D"/>
    <w:rsid w:val="00877FB1"/>
    <w:rsid w:val="008956AB"/>
    <w:rsid w:val="008B2B7D"/>
    <w:rsid w:val="008F421D"/>
    <w:rsid w:val="00913265"/>
    <w:rsid w:val="009237AC"/>
    <w:rsid w:val="00965B35"/>
    <w:rsid w:val="00991D05"/>
    <w:rsid w:val="009941E9"/>
    <w:rsid w:val="009A3450"/>
    <w:rsid w:val="009A5912"/>
    <w:rsid w:val="009C6B1E"/>
    <w:rsid w:val="009E31AB"/>
    <w:rsid w:val="00A14F5F"/>
    <w:rsid w:val="00A37D85"/>
    <w:rsid w:val="00A54C49"/>
    <w:rsid w:val="00A65AB9"/>
    <w:rsid w:val="00AF603B"/>
    <w:rsid w:val="00B14CDA"/>
    <w:rsid w:val="00B50C3E"/>
    <w:rsid w:val="00B54F02"/>
    <w:rsid w:val="00BC4FF2"/>
    <w:rsid w:val="00D235C5"/>
    <w:rsid w:val="00D30E5B"/>
    <w:rsid w:val="00D51405"/>
    <w:rsid w:val="00D521E0"/>
    <w:rsid w:val="00D70349"/>
    <w:rsid w:val="00E50B8E"/>
    <w:rsid w:val="00E719F6"/>
    <w:rsid w:val="00E74E52"/>
    <w:rsid w:val="00EA70D0"/>
    <w:rsid w:val="00EC26DD"/>
    <w:rsid w:val="00F30504"/>
    <w:rsid w:val="00F82669"/>
    <w:rsid w:val="00FB3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CF55F"/>
  <w15:chartTrackingRefBased/>
  <w15:docId w15:val="{4DF5F8FC-2151-4E28-A8DB-AA24605DF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405"/>
    <w:pPr>
      <w:spacing w:line="240" w:lineRule="auto"/>
    </w:pPr>
    <w:rPr>
      <w:rFonts w:ascii="Arial" w:hAnsi="Arial"/>
    </w:rPr>
  </w:style>
  <w:style w:type="paragraph" w:styleId="Heading1">
    <w:name w:val="heading 1"/>
    <w:basedOn w:val="Normal"/>
    <w:link w:val="Heading1Char"/>
    <w:uiPriority w:val="9"/>
    <w:qFormat/>
    <w:rsid w:val="00913265"/>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719F6"/>
    <w:pPr>
      <w:spacing w:after="0"/>
    </w:pPr>
    <w:rPr>
      <w:sz w:val="20"/>
      <w:szCs w:val="20"/>
    </w:rPr>
  </w:style>
  <w:style w:type="character" w:customStyle="1" w:styleId="EndnoteTextChar">
    <w:name w:val="Endnote Text Char"/>
    <w:basedOn w:val="DefaultParagraphFont"/>
    <w:link w:val="EndnoteText"/>
    <w:uiPriority w:val="99"/>
    <w:semiHidden/>
    <w:rsid w:val="00E719F6"/>
    <w:rPr>
      <w:rFonts w:ascii="Arial" w:hAnsi="Arial"/>
      <w:sz w:val="20"/>
      <w:szCs w:val="20"/>
    </w:rPr>
  </w:style>
  <w:style w:type="character" w:styleId="EndnoteReference">
    <w:name w:val="endnote reference"/>
    <w:basedOn w:val="DefaultParagraphFont"/>
    <w:uiPriority w:val="99"/>
    <w:semiHidden/>
    <w:unhideWhenUsed/>
    <w:rsid w:val="00E719F6"/>
    <w:rPr>
      <w:vertAlign w:val="superscript"/>
    </w:rPr>
  </w:style>
  <w:style w:type="character" w:styleId="Hyperlink">
    <w:name w:val="Hyperlink"/>
    <w:basedOn w:val="DefaultParagraphFont"/>
    <w:uiPriority w:val="99"/>
    <w:unhideWhenUsed/>
    <w:rsid w:val="00E719F6"/>
    <w:rPr>
      <w:color w:val="0563C1" w:themeColor="hyperlink"/>
      <w:u w:val="single"/>
    </w:rPr>
  </w:style>
  <w:style w:type="character" w:styleId="UnresolvedMention">
    <w:name w:val="Unresolved Mention"/>
    <w:basedOn w:val="DefaultParagraphFont"/>
    <w:uiPriority w:val="99"/>
    <w:semiHidden/>
    <w:unhideWhenUsed/>
    <w:rsid w:val="00E719F6"/>
    <w:rPr>
      <w:color w:val="605E5C"/>
      <w:shd w:val="clear" w:color="auto" w:fill="E1DFDD"/>
    </w:rPr>
  </w:style>
  <w:style w:type="paragraph" w:styleId="NormalWeb">
    <w:name w:val="Normal (Web)"/>
    <w:basedOn w:val="Normal"/>
    <w:uiPriority w:val="99"/>
    <w:semiHidden/>
    <w:unhideWhenUsed/>
    <w:rsid w:val="00E50B8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Default">
    <w:name w:val="Default"/>
    <w:rsid w:val="0048796B"/>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913265"/>
    <w:pPr>
      <w:spacing w:after="0"/>
    </w:pPr>
    <w:rPr>
      <w:sz w:val="20"/>
      <w:szCs w:val="20"/>
    </w:rPr>
  </w:style>
  <w:style w:type="character" w:customStyle="1" w:styleId="FootnoteTextChar">
    <w:name w:val="Footnote Text Char"/>
    <w:basedOn w:val="DefaultParagraphFont"/>
    <w:link w:val="FootnoteText"/>
    <w:uiPriority w:val="99"/>
    <w:semiHidden/>
    <w:rsid w:val="00913265"/>
    <w:rPr>
      <w:rFonts w:ascii="Arial" w:hAnsi="Arial"/>
      <w:sz w:val="20"/>
      <w:szCs w:val="20"/>
    </w:rPr>
  </w:style>
  <w:style w:type="character" w:styleId="FootnoteReference">
    <w:name w:val="footnote reference"/>
    <w:basedOn w:val="DefaultParagraphFont"/>
    <w:uiPriority w:val="99"/>
    <w:semiHidden/>
    <w:unhideWhenUsed/>
    <w:rsid w:val="00913265"/>
    <w:rPr>
      <w:vertAlign w:val="superscript"/>
    </w:rPr>
  </w:style>
  <w:style w:type="character" w:customStyle="1" w:styleId="Heading1Char">
    <w:name w:val="Heading 1 Char"/>
    <w:basedOn w:val="DefaultParagraphFont"/>
    <w:link w:val="Heading1"/>
    <w:uiPriority w:val="9"/>
    <w:rsid w:val="00913265"/>
    <w:rPr>
      <w:rFonts w:ascii="Times New Roman" w:eastAsia="Times New Roman" w:hAnsi="Times New Roman" w:cs="Times New Roman"/>
      <w:b/>
      <w:bCs/>
      <w:kern w:val="36"/>
      <w:sz w:val="48"/>
      <w:szCs w:val="48"/>
      <w:lang w:eastAsia="en-GB"/>
    </w:rPr>
  </w:style>
  <w:style w:type="character" w:styleId="CommentReference">
    <w:name w:val="annotation reference"/>
    <w:basedOn w:val="DefaultParagraphFont"/>
    <w:uiPriority w:val="99"/>
    <w:semiHidden/>
    <w:unhideWhenUsed/>
    <w:rsid w:val="00083411"/>
    <w:rPr>
      <w:sz w:val="16"/>
      <w:szCs w:val="16"/>
    </w:rPr>
  </w:style>
  <w:style w:type="paragraph" w:styleId="CommentText">
    <w:name w:val="annotation text"/>
    <w:basedOn w:val="Normal"/>
    <w:link w:val="CommentTextChar"/>
    <w:uiPriority w:val="99"/>
    <w:semiHidden/>
    <w:unhideWhenUsed/>
    <w:rsid w:val="00083411"/>
    <w:rPr>
      <w:sz w:val="20"/>
      <w:szCs w:val="20"/>
    </w:rPr>
  </w:style>
  <w:style w:type="character" w:customStyle="1" w:styleId="CommentTextChar">
    <w:name w:val="Comment Text Char"/>
    <w:basedOn w:val="DefaultParagraphFont"/>
    <w:link w:val="CommentText"/>
    <w:uiPriority w:val="99"/>
    <w:semiHidden/>
    <w:rsid w:val="0008341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83411"/>
    <w:rPr>
      <w:b/>
      <w:bCs/>
    </w:rPr>
  </w:style>
  <w:style w:type="character" w:customStyle="1" w:styleId="CommentSubjectChar">
    <w:name w:val="Comment Subject Char"/>
    <w:basedOn w:val="CommentTextChar"/>
    <w:link w:val="CommentSubject"/>
    <w:uiPriority w:val="99"/>
    <w:semiHidden/>
    <w:rsid w:val="00083411"/>
    <w:rPr>
      <w:rFonts w:ascii="Arial" w:hAnsi="Arial"/>
      <w:b/>
      <w:bCs/>
      <w:sz w:val="20"/>
      <w:szCs w:val="20"/>
    </w:rPr>
  </w:style>
  <w:style w:type="character" w:styleId="FollowedHyperlink">
    <w:name w:val="FollowedHyperlink"/>
    <w:basedOn w:val="DefaultParagraphFont"/>
    <w:uiPriority w:val="99"/>
    <w:semiHidden/>
    <w:unhideWhenUsed/>
    <w:rsid w:val="009941E9"/>
    <w:rPr>
      <w:color w:val="954F72" w:themeColor="followedHyperlink"/>
      <w:u w:val="single"/>
    </w:rPr>
  </w:style>
  <w:style w:type="paragraph" w:styleId="ListParagraph">
    <w:name w:val="List Paragraph"/>
    <w:basedOn w:val="Normal"/>
    <w:uiPriority w:val="34"/>
    <w:qFormat/>
    <w:rsid w:val="009A5912"/>
    <w:pPr>
      <w:ind w:left="720"/>
      <w:contextualSpacing/>
    </w:pPr>
  </w:style>
  <w:style w:type="paragraph" w:styleId="Revision">
    <w:name w:val="Revision"/>
    <w:hidden/>
    <w:uiPriority w:val="99"/>
    <w:semiHidden/>
    <w:rsid w:val="00B54F02"/>
    <w:pPr>
      <w:spacing w:after="0" w:line="240" w:lineRule="auto"/>
    </w:pPr>
    <w:rPr>
      <w:rFonts w:ascii="Arial" w:hAnsi="Arial"/>
    </w:rPr>
  </w:style>
  <w:style w:type="paragraph" w:styleId="Header">
    <w:name w:val="header"/>
    <w:basedOn w:val="Normal"/>
    <w:link w:val="HeaderChar"/>
    <w:uiPriority w:val="99"/>
    <w:unhideWhenUsed/>
    <w:rsid w:val="009E31AB"/>
    <w:pPr>
      <w:tabs>
        <w:tab w:val="center" w:pos="4513"/>
        <w:tab w:val="right" w:pos="9026"/>
      </w:tabs>
      <w:spacing w:after="0"/>
    </w:pPr>
  </w:style>
  <w:style w:type="character" w:customStyle="1" w:styleId="HeaderChar">
    <w:name w:val="Header Char"/>
    <w:basedOn w:val="DefaultParagraphFont"/>
    <w:link w:val="Header"/>
    <w:uiPriority w:val="99"/>
    <w:rsid w:val="009E31AB"/>
    <w:rPr>
      <w:rFonts w:ascii="Arial" w:hAnsi="Arial"/>
    </w:rPr>
  </w:style>
  <w:style w:type="paragraph" w:styleId="Footer">
    <w:name w:val="footer"/>
    <w:basedOn w:val="Normal"/>
    <w:link w:val="FooterChar"/>
    <w:uiPriority w:val="99"/>
    <w:unhideWhenUsed/>
    <w:rsid w:val="009E31AB"/>
    <w:pPr>
      <w:tabs>
        <w:tab w:val="center" w:pos="4513"/>
        <w:tab w:val="right" w:pos="9026"/>
      </w:tabs>
      <w:spacing w:after="0"/>
    </w:pPr>
  </w:style>
  <w:style w:type="character" w:customStyle="1" w:styleId="FooterChar">
    <w:name w:val="Footer Char"/>
    <w:basedOn w:val="DefaultParagraphFont"/>
    <w:link w:val="Footer"/>
    <w:uiPriority w:val="99"/>
    <w:rsid w:val="009E31A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4811">
      <w:bodyDiv w:val="1"/>
      <w:marLeft w:val="0"/>
      <w:marRight w:val="0"/>
      <w:marTop w:val="0"/>
      <w:marBottom w:val="0"/>
      <w:divBdr>
        <w:top w:val="none" w:sz="0" w:space="0" w:color="auto"/>
        <w:left w:val="none" w:sz="0" w:space="0" w:color="auto"/>
        <w:bottom w:val="none" w:sz="0" w:space="0" w:color="auto"/>
        <w:right w:val="none" w:sz="0" w:space="0" w:color="auto"/>
      </w:divBdr>
    </w:div>
    <w:div w:id="102463358">
      <w:bodyDiv w:val="1"/>
      <w:marLeft w:val="0"/>
      <w:marRight w:val="0"/>
      <w:marTop w:val="0"/>
      <w:marBottom w:val="0"/>
      <w:divBdr>
        <w:top w:val="none" w:sz="0" w:space="0" w:color="auto"/>
        <w:left w:val="none" w:sz="0" w:space="0" w:color="auto"/>
        <w:bottom w:val="none" w:sz="0" w:space="0" w:color="auto"/>
        <w:right w:val="none" w:sz="0" w:space="0" w:color="auto"/>
      </w:divBdr>
    </w:div>
    <w:div w:id="603881133">
      <w:bodyDiv w:val="1"/>
      <w:marLeft w:val="0"/>
      <w:marRight w:val="0"/>
      <w:marTop w:val="0"/>
      <w:marBottom w:val="0"/>
      <w:divBdr>
        <w:top w:val="none" w:sz="0" w:space="0" w:color="auto"/>
        <w:left w:val="none" w:sz="0" w:space="0" w:color="auto"/>
        <w:bottom w:val="none" w:sz="0" w:space="0" w:color="auto"/>
        <w:right w:val="none" w:sz="0" w:space="0" w:color="auto"/>
      </w:divBdr>
    </w:div>
    <w:div w:id="863598830">
      <w:bodyDiv w:val="1"/>
      <w:marLeft w:val="0"/>
      <w:marRight w:val="0"/>
      <w:marTop w:val="0"/>
      <w:marBottom w:val="0"/>
      <w:divBdr>
        <w:top w:val="none" w:sz="0" w:space="0" w:color="auto"/>
        <w:left w:val="none" w:sz="0" w:space="0" w:color="auto"/>
        <w:bottom w:val="none" w:sz="0" w:space="0" w:color="auto"/>
        <w:right w:val="none" w:sz="0" w:space="0" w:color="auto"/>
      </w:divBdr>
    </w:div>
    <w:div w:id="127258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endnotes.xml.rels><?xml version="1.0" encoding="UTF-8" standalone="yes"?>
<Relationships xmlns="http://schemas.openxmlformats.org/package/2006/relationships"><Relationship Id="rId8" Type="http://schemas.openxmlformats.org/officeDocument/2006/relationships/hyperlink" Target="https://www.cqc.org.uk/publications/monitoring-mental-health-act/2021-2022" TargetMode="External"/><Relationship Id="rId3" Type="http://schemas.openxmlformats.org/officeDocument/2006/relationships/hyperlink" Target="https://assets.publishing.service.gov.uk/government/uploads/system/uploads/attachment_data/file/1131416/Guide_to_Safety_in_Custody_Statistics_January_2023.pdf" TargetMode="External"/><Relationship Id="rId7" Type="http://schemas.openxmlformats.org/officeDocument/2006/relationships/hyperlink" Target="https://static1.squarespace.com/static/5c5ae65ed86cc93b6c1e19a3/t/6388b91b75841a78d6f60a5d/1669904667925/IAPDC+-+Police+prevention+of+deaths+report+December+-+final+draft+as+published+EMBARGOED.pdf" TargetMode="External"/><Relationship Id="rId2" Type="http://schemas.openxmlformats.org/officeDocument/2006/relationships/hyperlink" Target="https://www.gov.uk/government/statistics/safety-in-custody-quarterly-update-to-september-2022/safety-in-custody-statistics-england-and-wales-deaths-in-prison-custody-to-december-2022-assaults-and-self-harm-to-september-2022" TargetMode="External"/><Relationship Id="rId1" Type="http://schemas.openxmlformats.org/officeDocument/2006/relationships/hyperlink" Target="https://static1.squarespace.com/static/5c5ae65ed86cc93b6c1e19a3/t/61a10d3c3b53df1223948194/1637944636899/IAPDC+statistical+analysis+report+-+November+2021.pdf" TargetMode="External"/><Relationship Id="rId6" Type="http://schemas.openxmlformats.org/officeDocument/2006/relationships/hyperlink" Target="https://www.theguardian.com/uk-news/2021/dec/26/police-formally-apologise-over-dalian-atkinson-death-after-officers-conviction" TargetMode="External"/><Relationship Id="rId11" Type="http://schemas.openxmlformats.org/officeDocument/2006/relationships/hyperlink" Target="https://assets.publishing.service.gov.uk/government/uploads/system/uploads/attachment_data/file/1098047/detention-summary-jun-2022-tables.ods" TargetMode="External"/><Relationship Id="rId5" Type="http://schemas.openxmlformats.org/officeDocument/2006/relationships/hyperlink" Target="https://www.policeconduct.gov.uk/sites/default/files/Documents/statistics/Guidance_IOPC_Annual_Death_Report.pdf" TargetMode="External"/><Relationship Id="rId10" Type="http://schemas.openxmlformats.org/officeDocument/2006/relationships/hyperlink" Target="https://static1.squarespace.com/static/5c5ae65ed86cc93b6c1e19a3/t/61a10d3c3b53df1223948194/1637944636899/IAPDC+statistical+analysis+report+-+November+2021.pdf" TargetMode="External"/><Relationship Id="rId4" Type="http://schemas.openxmlformats.org/officeDocument/2006/relationships/hyperlink" Target="https://www.policeconduct.gov.uk/news/iopc-publishes-figures-deaths-during-or-following-police-contact-202122" TargetMode="External"/><Relationship Id="rId9" Type="http://schemas.openxmlformats.org/officeDocument/2006/relationships/hyperlink" Target="https://static1.squarespace.com/static/5c5ae65ed86cc93b6c1e19a3/t/61a10d3c3b53df1223948194/1637944636899/IAPDC+statistical+analysis+report+-+November+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Independent Advisory Panel on Deaths in Custody</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267CB426-0704-4A23-A115-DB3A9D92388D}">
  <ds:schemaRefs>
    <ds:schemaRef ds:uri="http://schemas.openxmlformats.org/officeDocument/2006/bibliography"/>
  </ds:schemaRefs>
</ds:datastoreItem>
</file>

<file path=customXml/itemProps2.xml><?xml version="1.0" encoding="utf-8"?>
<ds:datastoreItem xmlns:ds="http://schemas.openxmlformats.org/officeDocument/2006/customXml" ds:itemID="{35530BF3-6EB0-4F86-BB3C-B1F1965C3BDE}"/>
</file>

<file path=customXml/itemProps3.xml><?xml version="1.0" encoding="utf-8"?>
<ds:datastoreItem xmlns:ds="http://schemas.openxmlformats.org/officeDocument/2006/customXml" ds:itemID="{729DCBA7-F8FF-42D3-AF10-10B10566F28B}"/>
</file>

<file path=customXml/itemProps4.xml><?xml version="1.0" encoding="utf-8"?>
<ds:datastoreItem xmlns:ds="http://schemas.openxmlformats.org/officeDocument/2006/customXml" ds:itemID="{58E1B9BB-A3C7-48DF-9538-F9F0B5E82030}"/>
</file>

<file path=docProps/app.xml><?xml version="1.0" encoding="utf-8"?>
<Properties xmlns="http://schemas.openxmlformats.org/officeDocument/2006/extended-properties" xmlns:vt="http://schemas.openxmlformats.org/officeDocument/2006/docPropsVTypes">
  <Template>Normal.dotm</Template>
  <TotalTime>96</TotalTime>
  <Pages>5</Pages>
  <Words>2164</Words>
  <Characters>12338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14474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Johnston-Hawke, Sam</dc:creator>
  <cp:keywords/>
  <dc:description/>
  <cp:lastModifiedBy>Barber, Piers</cp:lastModifiedBy>
  <cp:revision>8</cp:revision>
  <dcterms:created xsi:type="dcterms:W3CDTF">2023-03-13T12:19:00Z</dcterms:created>
  <dcterms:modified xsi:type="dcterms:W3CDTF">2023-03-13T14:50:00Z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