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43" w:rsidRDefault="002015EA" w:rsidP="002015EA">
      <w:pPr>
        <w:jc w:val="center"/>
        <w:rPr>
          <w:rFonts w:asciiTheme="majorBidi" w:hAnsiTheme="majorBidi" w:cstheme="majorBidi"/>
          <w:b/>
          <w:bCs/>
          <w:sz w:val="24"/>
          <w:szCs w:val="24"/>
        </w:rPr>
      </w:pPr>
      <w:r w:rsidRPr="002015EA">
        <w:rPr>
          <w:rFonts w:asciiTheme="majorBidi" w:hAnsiTheme="majorBidi" w:cstheme="majorBidi"/>
          <w:b/>
          <w:bCs/>
          <w:sz w:val="24"/>
          <w:szCs w:val="24"/>
        </w:rPr>
        <w:t>Upholding Human Rights: Recommendations for Protecting the Deceased and Investigating Unlawful Killings</w:t>
      </w:r>
    </w:p>
    <w:p w:rsidR="00183819" w:rsidRDefault="00183819" w:rsidP="00183819">
      <w:pPr>
        <w:spacing w:after="0" w:line="240" w:lineRule="auto"/>
        <w:jc w:val="right"/>
        <w:rPr>
          <w:rFonts w:asciiTheme="majorBidi" w:hAnsiTheme="majorBidi" w:cstheme="majorBidi"/>
          <w:b/>
          <w:bCs/>
          <w:sz w:val="24"/>
          <w:szCs w:val="24"/>
        </w:rPr>
      </w:pPr>
      <w:r>
        <w:rPr>
          <w:rFonts w:asciiTheme="majorBidi" w:hAnsiTheme="majorBidi" w:cstheme="majorBidi"/>
          <w:b/>
          <w:bCs/>
          <w:sz w:val="24"/>
          <w:szCs w:val="24"/>
        </w:rPr>
        <w:t>Dr. Sheikh Inam Ul Mansoor</w:t>
      </w:r>
    </w:p>
    <w:p w:rsidR="00183819" w:rsidRPr="00F20AEF" w:rsidRDefault="00183819" w:rsidP="00183819">
      <w:pPr>
        <w:spacing w:after="0" w:line="240" w:lineRule="auto"/>
        <w:jc w:val="right"/>
        <w:rPr>
          <w:rFonts w:asciiTheme="majorBidi" w:hAnsiTheme="majorBidi" w:cstheme="majorBidi"/>
          <w:sz w:val="24"/>
          <w:szCs w:val="24"/>
        </w:rPr>
      </w:pPr>
      <w:r w:rsidRPr="00F20AEF">
        <w:rPr>
          <w:rFonts w:asciiTheme="majorBidi" w:hAnsiTheme="majorBidi" w:cstheme="majorBidi"/>
          <w:sz w:val="24"/>
          <w:szCs w:val="24"/>
        </w:rPr>
        <w:t>Assistant Professor Law</w:t>
      </w:r>
    </w:p>
    <w:p w:rsidR="00183819" w:rsidRPr="00F20AEF" w:rsidRDefault="00183819" w:rsidP="00183819">
      <w:pPr>
        <w:spacing w:after="0" w:line="240" w:lineRule="auto"/>
        <w:jc w:val="right"/>
        <w:rPr>
          <w:rFonts w:asciiTheme="majorBidi" w:hAnsiTheme="majorBidi" w:cstheme="majorBidi"/>
          <w:sz w:val="24"/>
          <w:szCs w:val="24"/>
        </w:rPr>
      </w:pPr>
      <w:r w:rsidRPr="00F20AEF">
        <w:rPr>
          <w:rFonts w:asciiTheme="majorBidi" w:hAnsiTheme="majorBidi" w:cstheme="majorBidi"/>
          <w:sz w:val="24"/>
          <w:szCs w:val="24"/>
        </w:rPr>
        <w:t>School of Legal Studies,</w:t>
      </w:r>
    </w:p>
    <w:p w:rsidR="00183819" w:rsidRPr="00F20AEF" w:rsidRDefault="00183819" w:rsidP="00183819">
      <w:pPr>
        <w:spacing w:after="0" w:line="240" w:lineRule="auto"/>
        <w:jc w:val="right"/>
        <w:rPr>
          <w:rFonts w:asciiTheme="majorBidi" w:hAnsiTheme="majorBidi" w:cstheme="majorBidi"/>
          <w:b/>
          <w:bCs/>
          <w:sz w:val="24"/>
          <w:szCs w:val="24"/>
        </w:rPr>
      </w:pPr>
      <w:r w:rsidRPr="00F20AEF">
        <w:rPr>
          <w:rFonts w:asciiTheme="majorBidi" w:hAnsiTheme="majorBidi" w:cstheme="majorBidi"/>
          <w:sz w:val="24"/>
          <w:szCs w:val="24"/>
        </w:rPr>
        <w:t>REVA University Bangalore</w:t>
      </w:r>
    </w:p>
    <w:p w:rsidR="00CC5143" w:rsidRPr="00CC5143" w:rsidRDefault="00CC5143" w:rsidP="00CC5143">
      <w:pPr>
        <w:jc w:val="both"/>
        <w:rPr>
          <w:rFonts w:asciiTheme="majorBidi" w:hAnsiTheme="majorBidi" w:cstheme="majorBidi"/>
          <w:b/>
          <w:bCs/>
          <w:sz w:val="24"/>
          <w:szCs w:val="24"/>
        </w:rPr>
      </w:pPr>
      <w:bookmarkStart w:id="0" w:name="_GoBack"/>
      <w:bookmarkEnd w:id="0"/>
      <w:r w:rsidRPr="00CC5143">
        <w:rPr>
          <w:rFonts w:asciiTheme="majorBidi" w:hAnsiTheme="majorBidi" w:cstheme="majorBidi"/>
          <w:b/>
          <w:bCs/>
          <w:sz w:val="24"/>
          <w:szCs w:val="24"/>
        </w:rPr>
        <w:t>Introduction</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The protection of deceased individuals and their human remains, particularly victims of potentially unlawful killings, is a critical aspect of upholding human rights and fostering a just and compassionate society. This report delves into the multifaceted dimensions of safeguarding the dignity, legal rights, and memory of those who have passed away under circumstances that warrant special attention. In this introduction, we provide a brief overview of the background, purpose, and scope of the report, setting the stage for a comprehensive exploration of the legal, ethical, and practical considerations associated with the protection of human remains.</w:t>
      </w:r>
      <w:r>
        <w:rPr>
          <w:rFonts w:asciiTheme="majorBidi" w:hAnsiTheme="majorBidi" w:cstheme="majorBidi"/>
          <w:sz w:val="24"/>
          <w:szCs w:val="24"/>
        </w:rPr>
        <w:t xml:space="preserve"> </w:t>
      </w:r>
      <w:r w:rsidRPr="00CC5143">
        <w:rPr>
          <w:rFonts w:asciiTheme="majorBidi" w:hAnsiTheme="majorBidi" w:cstheme="majorBidi"/>
          <w:sz w:val="24"/>
          <w:szCs w:val="24"/>
        </w:rPr>
        <w:t>The treatment of the deceased has long been a reflection of societal values, cultural beliefs, and ethical principles. Respect for the dignity of the deceased is not only a fundamental aspect of various religious and cultural traditions but is also enshrined in international human rights instruments. Despite these foundations, instances of potentially unlawful killings, whether in conflict zones, crime scenes, or under suspicious circumstances, present unique challenges that demand a focused examination of legal frameworks and protective measures.</w:t>
      </w:r>
    </w:p>
    <w:p w:rsidR="001A76E2"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 xml:space="preserve">This report aims to </w:t>
      </w:r>
      <w:proofErr w:type="spellStart"/>
      <w:r w:rsidRPr="00CC5143">
        <w:rPr>
          <w:rFonts w:asciiTheme="majorBidi" w:hAnsiTheme="majorBidi" w:cstheme="majorBidi"/>
          <w:sz w:val="24"/>
          <w:szCs w:val="24"/>
        </w:rPr>
        <w:t>analyze</w:t>
      </w:r>
      <w:proofErr w:type="spellEnd"/>
      <w:r w:rsidRPr="00CC5143">
        <w:rPr>
          <w:rFonts w:asciiTheme="majorBidi" w:hAnsiTheme="majorBidi" w:cstheme="majorBidi"/>
          <w:sz w:val="24"/>
          <w:szCs w:val="24"/>
        </w:rPr>
        <w:t xml:space="preserve"> and contextualize the legal and ethical considerations surrounding the protection of human remains, with a specific focus on victims of potentially unlawful killings. By exploring international human rights instruments, national legislations, and emerging best practices, we seek to contribute to a nuanced understanding of the complexities associated with post-mortem rights and the need for robust legal frameworks.</w:t>
      </w:r>
      <w:r>
        <w:rPr>
          <w:rFonts w:asciiTheme="majorBidi" w:hAnsiTheme="majorBidi" w:cstheme="majorBidi"/>
          <w:sz w:val="24"/>
          <w:szCs w:val="24"/>
        </w:rPr>
        <w:t xml:space="preserve"> </w:t>
      </w:r>
      <w:r w:rsidRPr="00CC5143">
        <w:rPr>
          <w:rFonts w:asciiTheme="majorBidi" w:hAnsiTheme="majorBidi" w:cstheme="majorBidi"/>
          <w:sz w:val="24"/>
          <w:szCs w:val="24"/>
        </w:rPr>
        <w:t>The scope of this report encompasses a broad examination of issues related to the protection of deceased individuals, with a primary emphasis on victims of potentially unlawful killings. We will delve into the legal obligations and responsibilities at both the international and national levels, explore the challenges associated with investigations and documentation, and highlight the importance of providing support to the families and communities affected by such incidents. Additionally, this report will incorporate case studies to illustrate real-world scenarios and conclude with a set of recommendations aimed at advancing the protection of the deceased and their human remains in a global context.</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Legal Framework</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The protection of human remains, especially those of victims of potentially unlawful killings, is anchored in a robust network of international human rights instruments. The Universal Declaration of Human Rights (UDHR), adopted in 1948, sets the foundation by emphasizing the inherent dignity and equal rights of all individuals, even in death. The International Covenant on Civil and Political Rights (ICCPR) further delineates specific legal protections, emphasizing the right to life and the prohibition of arbitrary deprivation of life.</w:t>
      </w:r>
      <w:r>
        <w:rPr>
          <w:rFonts w:asciiTheme="majorBidi" w:hAnsiTheme="majorBidi" w:cstheme="majorBidi"/>
          <w:sz w:val="24"/>
          <w:szCs w:val="24"/>
        </w:rPr>
        <w:t xml:space="preserve"> </w:t>
      </w:r>
      <w:r w:rsidRPr="00CC5143">
        <w:rPr>
          <w:rFonts w:asciiTheme="majorBidi" w:hAnsiTheme="majorBidi" w:cstheme="majorBidi"/>
          <w:sz w:val="24"/>
          <w:szCs w:val="24"/>
        </w:rPr>
        <w:t xml:space="preserve">In addition to these foundational documents, various treaties and conventions contribute to the global legal framework for the protection of human remains. These include, but are not limited to, the Convention </w:t>
      </w:r>
      <w:proofErr w:type="gramStart"/>
      <w:r w:rsidRPr="00CC5143">
        <w:rPr>
          <w:rFonts w:asciiTheme="majorBidi" w:hAnsiTheme="majorBidi" w:cstheme="majorBidi"/>
          <w:sz w:val="24"/>
          <w:szCs w:val="24"/>
        </w:rPr>
        <w:t>Against</w:t>
      </w:r>
      <w:proofErr w:type="gramEnd"/>
      <w:r w:rsidRPr="00CC5143">
        <w:rPr>
          <w:rFonts w:asciiTheme="majorBidi" w:hAnsiTheme="majorBidi" w:cstheme="majorBidi"/>
          <w:sz w:val="24"/>
          <w:szCs w:val="24"/>
        </w:rPr>
        <w:t xml:space="preserve"> Torture and Other Cruel, Inhuman or Degrading Treatment or Punishment </w:t>
      </w:r>
      <w:r w:rsidRPr="00CC5143">
        <w:rPr>
          <w:rFonts w:asciiTheme="majorBidi" w:hAnsiTheme="majorBidi" w:cstheme="majorBidi"/>
          <w:sz w:val="24"/>
          <w:szCs w:val="24"/>
        </w:rPr>
        <w:lastRenderedPageBreak/>
        <w:t>(CAT), the Geneva Conventions, and regional instruments such as the European Convention on Human Rights.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Complementing international standards, individual nations establish their legal frameworks to address the protection of human remains within their jurisdictions. This section provides an overview of the legal landscape, examining how national legislations articulate post-mortem rights, define procedures for investigating potentially unlawful killings, and regulate the handling and transport of human remains.</w:t>
      </w:r>
      <w:r>
        <w:rPr>
          <w:rFonts w:asciiTheme="majorBidi" w:hAnsiTheme="majorBidi" w:cstheme="majorBidi"/>
          <w:sz w:val="24"/>
          <w:szCs w:val="24"/>
        </w:rPr>
        <w:t xml:space="preserve"> </w:t>
      </w:r>
      <w:r w:rsidRPr="00CC5143">
        <w:rPr>
          <w:rFonts w:asciiTheme="majorBidi" w:hAnsiTheme="majorBidi" w:cstheme="majorBidi"/>
          <w:sz w:val="24"/>
          <w:szCs w:val="24"/>
        </w:rPr>
        <w:t>Understanding the variances in national laws is crucial, as legal approaches can differ significantly based on cultural, historical, and political contexts. The effectiveness of legal frameworks at the national level plays a pivotal role in ensuring the enforcement of international standards and fostering a consistent commitment to the protection of human remains worldwide.</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Protection of Human Remains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The fundamental principle guiding the protection of human remains is the respect for the inherent dignity of the deceased. This principle is deeply rooted in cultural and religious traditions and is enshrined in international human rights instruments. Various belief systems emphasize the sanctity of the human body, even in death, highlighting the need for ethical considerations in handling and preserving human remains.</w:t>
      </w:r>
      <w:r>
        <w:rPr>
          <w:rFonts w:asciiTheme="majorBidi" w:hAnsiTheme="majorBidi" w:cstheme="majorBidi"/>
          <w:sz w:val="24"/>
          <w:szCs w:val="24"/>
        </w:rPr>
        <w:t xml:space="preserve"> </w:t>
      </w:r>
      <w:r w:rsidRPr="00CC5143">
        <w:rPr>
          <w:rFonts w:asciiTheme="majorBidi" w:hAnsiTheme="majorBidi" w:cstheme="majorBidi"/>
          <w:sz w:val="24"/>
          <w:szCs w:val="24"/>
        </w:rPr>
        <w:t>Cultural and religious perspectives influence the rituals and practices surrounding death, burial, and mourning. Understanding and respecting these diverse perspectives are critical elements in any framework aimed at protecting human remains. Therefore, legal and ethical guidelines should be sensitive to the rich tapestry of global cultural and religious practices, ensuring that they promote both the protection of human remains and the cultural rights of communities.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The protection of human remains extends to the procedures involved in their handling and transport. International guidelines and standards govern these practices to ensure the preservation of the deceased's dignity and the prevention of potential desecration. This includes protocols for the preparation of remains, transportation methods, and the maintenance of proper documentation.</w:t>
      </w:r>
      <w:r>
        <w:rPr>
          <w:rFonts w:asciiTheme="majorBidi" w:hAnsiTheme="majorBidi" w:cstheme="majorBidi"/>
          <w:sz w:val="24"/>
          <w:szCs w:val="24"/>
        </w:rPr>
        <w:t xml:space="preserve"> </w:t>
      </w:r>
      <w:r w:rsidRPr="00CC5143">
        <w:rPr>
          <w:rFonts w:asciiTheme="majorBidi" w:hAnsiTheme="majorBidi" w:cstheme="majorBidi"/>
          <w:sz w:val="24"/>
          <w:szCs w:val="24"/>
        </w:rPr>
        <w:t>National regulations further refine these international standards, considering specific cultural, religious, and legal contexts. Proper handling and transport not only uphold the respect owed to the deceased but also play a crucial role in forensic investigations and the preservation of evidence, especially in cases involving potentially unlawful killings.</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IV. Investigation and Documentation</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A. Procedures for Investigating Potentially Unlawful Killings</w:t>
      </w:r>
    </w:p>
    <w:p w:rsidR="00CC5143" w:rsidRPr="00CC5143" w:rsidRDefault="00CC5143" w:rsidP="00CC5143">
      <w:pPr>
        <w:pStyle w:val="ListParagraph"/>
        <w:numPr>
          <w:ilvl w:val="0"/>
          <w:numId w:val="1"/>
        </w:numPr>
        <w:jc w:val="both"/>
        <w:rPr>
          <w:rFonts w:asciiTheme="majorBidi" w:hAnsiTheme="majorBidi" w:cstheme="majorBidi"/>
          <w:b/>
          <w:bCs/>
          <w:i/>
          <w:iCs/>
          <w:sz w:val="24"/>
          <w:szCs w:val="24"/>
        </w:rPr>
      </w:pPr>
      <w:r w:rsidRPr="00CC5143">
        <w:rPr>
          <w:rFonts w:asciiTheme="majorBidi" w:hAnsiTheme="majorBidi" w:cstheme="majorBidi"/>
          <w:b/>
          <w:bCs/>
          <w:i/>
          <w:iCs/>
          <w:sz w:val="24"/>
          <w:szCs w:val="24"/>
        </w:rPr>
        <w:t>Forensic Investigations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Investigating potentially unlawful killings demands rigorous forensic procedures to ascertain the circumstances surrounding a person's death. Forensic investigations involve the systematic collection, analysis, and interpretation of physical evidence to establish the cause and manner of death. This may include autopsies, ballistics analysis, and forensic anthropology, among other specialized techniques.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Ensuring a thorough and impartial investigation is essential in uncovering the truth behind potentially unlawful killings. International human rights instruments emphasize the right to life and the prohibition of extrajudicial, arbitrary, or summary executions. Investigative procedures must adhere to these principles, holding individuals and entities accountable for any violations.</w:t>
      </w:r>
    </w:p>
    <w:p w:rsidR="00CC5143" w:rsidRPr="00CC5143" w:rsidRDefault="00CC5143" w:rsidP="00CC5143">
      <w:pPr>
        <w:pStyle w:val="ListParagraph"/>
        <w:numPr>
          <w:ilvl w:val="0"/>
          <w:numId w:val="1"/>
        </w:numPr>
        <w:jc w:val="both"/>
        <w:rPr>
          <w:rFonts w:asciiTheme="majorBidi" w:hAnsiTheme="majorBidi" w:cstheme="majorBidi"/>
          <w:b/>
          <w:bCs/>
          <w:i/>
          <w:iCs/>
          <w:sz w:val="24"/>
          <w:szCs w:val="24"/>
        </w:rPr>
      </w:pPr>
      <w:r w:rsidRPr="00CC5143">
        <w:rPr>
          <w:rFonts w:asciiTheme="majorBidi" w:hAnsiTheme="majorBidi" w:cstheme="majorBidi"/>
          <w:b/>
          <w:bCs/>
          <w:i/>
          <w:iCs/>
          <w:sz w:val="24"/>
          <w:szCs w:val="24"/>
        </w:rPr>
        <w:lastRenderedPageBreak/>
        <w:t>Autopsy Protocols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Autopsies play a central role in determining the cause of death and identifying any signs of foul play. Establishing standardized autopsy protocols is crucial to maintaining consistency and credibility in investigations. This includes guidelines for the examination of wounds, toxicology screenings, and the documentation of findings.</w:t>
      </w:r>
      <w:r>
        <w:rPr>
          <w:rFonts w:asciiTheme="majorBidi" w:hAnsiTheme="majorBidi" w:cstheme="majorBidi"/>
          <w:sz w:val="24"/>
          <w:szCs w:val="24"/>
        </w:rPr>
        <w:t xml:space="preserve"> </w:t>
      </w:r>
      <w:r w:rsidRPr="00CC5143">
        <w:rPr>
          <w:rFonts w:asciiTheme="majorBidi" w:hAnsiTheme="majorBidi" w:cstheme="majorBidi"/>
          <w:sz w:val="24"/>
          <w:szCs w:val="24"/>
        </w:rPr>
        <w:t>Autopsy procedures should not only adhere to scientific and medical standards but should also consider cultural and religious sensitivities. Respect for the deceased and their families, coupled with a commitment to truth and justice, underpins the ethical conduct of autopsies in the context of potentially unlawful killings.</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B. Documentation of Evidence</w:t>
      </w:r>
    </w:p>
    <w:p w:rsidR="00CC5143" w:rsidRPr="00CC5143" w:rsidRDefault="00CC5143" w:rsidP="00CC5143">
      <w:pPr>
        <w:pStyle w:val="ListParagraph"/>
        <w:numPr>
          <w:ilvl w:val="0"/>
          <w:numId w:val="1"/>
        </w:numPr>
        <w:jc w:val="both"/>
        <w:rPr>
          <w:rFonts w:asciiTheme="majorBidi" w:hAnsiTheme="majorBidi" w:cstheme="majorBidi"/>
          <w:b/>
          <w:bCs/>
          <w:i/>
          <w:iCs/>
          <w:sz w:val="24"/>
          <w:szCs w:val="24"/>
        </w:rPr>
      </w:pPr>
      <w:r w:rsidRPr="00CC5143">
        <w:rPr>
          <w:rFonts w:asciiTheme="majorBidi" w:hAnsiTheme="majorBidi" w:cstheme="majorBidi"/>
          <w:b/>
          <w:bCs/>
          <w:i/>
          <w:iCs/>
          <w:sz w:val="24"/>
          <w:szCs w:val="24"/>
        </w:rPr>
        <w:t>Preservation of Crime Scenes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Preserving the integrity of crime scenes is vital in ensuring the accuracy and reliability of evidence collected during investigations. International best practices stress the importance of securing and documenting crime scenes promptly. This involves the careful collection and preservation of physical evidence, such as biological samples, weapons, and personal belongings.</w:t>
      </w:r>
    </w:p>
    <w:p w:rsidR="00CC5143" w:rsidRPr="00CC5143" w:rsidRDefault="00CC5143" w:rsidP="00CC5143">
      <w:pPr>
        <w:pStyle w:val="ListParagraph"/>
        <w:numPr>
          <w:ilvl w:val="0"/>
          <w:numId w:val="1"/>
        </w:numPr>
        <w:jc w:val="both"/>
        <w:rPr>
          <w:rFonts w:asciiTheme="majorBidi" w:hAnsiTheme="majorBidi" w:cstheme="majorBidi"/>
          <w:b/>
          <w:bCs/>
          <w:i/>
          <w:iCs/>
          <w:sz w:val="24"/>
          <w:szCs w:val="24"/>
        </w:rPr>
      </w:pPr>
      <w:r w:rsidRPr="00CC5143">
        <w:rPr>
          <w:rFonts w:asciiTheme="majorBidi" w:hAnsiTheme="majorBidi" w:cstheme="majorBidi"/>
          <w:b/>
          <w:bCs/>
          <w:i/>
          <w:iCs/>
          <w:sz w:val="24"/>
          <w:szCs w:val="24"/>
        </w:rPr>
        <w:t>Use of Technology in Evidence Collection</w:t>
      </w:r>
    </w:p>
    <w:p w:rsid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 xml:space="preserve">Advancements in technology, including forensic imaging, DNA analysis, and digital evidence processing, significantly enhance the ability to document and </w:t>
      </w:r>
      <w:proofErr w:type="spellStart"/>
      <w:r w:rsidRPr="00CC5143">
        <w:rPr>
          <w:rFonts w:asciiTheme="majorBidi" w:hAnsiTheme="majorBidi" w:cstheme="majorBidi"/>
          <w:sz w:val="24"/>
          <w:szCs w:val="24"/>
        </w:rPr>
        <w:t>analyze</w:t>
      </w:r>
      <w:proofErr w:type="spellEnd"/>
      <w:r w:rsidRPr="00CC5143">
        <w:rPr>
          <w:rFonts w:asciiTheme="majorBidi" w:hAnsiTheme="majorBidi" w:cstheme="majorBidi"/>
          <w:sz w:val="24"/>
          <w:szCs w:val="24"/>
        </w:rPr>
        <w:t xml:space="preserve"> evidence. Integrating these technologies into investigative procedures not only expedites the process but also improves the precision and reliability of findings.</w:t>
      </w:r>
      <w:r>
        <w:rPr>
          <w:rFonts w:asciiTheme="majorBidi" w:hAnsiTheme="majorBidi" w:cstheme="majorBidi"/>
          <w:sz w:val="24"/>
          <w:szCs w:val="24"/>
        </w:rPr>
        <w:t xml:space="preserve"> </w:t>
      </w:r>
      <w:r w:rsidRPr="00CC5143">
        <w:rPr>
          <w:rFonts w:asciiTheme="majorBidi" w:hAnsiTheme="majorBidi" w:cstheme="majorBidi"/>
          <w:sz w:val="24"/>
          <w:szCs w:val="24"/>
        </w:rPr>
        <w:t>The effective documentation of evidence serves not only to establish facts surrounding a death but also to facilitate accountability and justice. This section of the report will delve into the complexities of investigative procedures, emphasizing the critical role they play in protecting the rights of the deceased and their families, particularly in cases of potentially unlawful killings.</w:t>
      </w:r>
    </w:p>
    <w:p w:rsidR="00CC5143" w:rsidRDefault="00CC5143" w:rsidP="00CC5143">
      <w:pPr>
        <w:jc w:val="both"/>
        <w:rPr>
          <w:rFonts w:asciiTheme="majorBidi" w:hAnsiTheme="majorBidi" w:cstheme="majorBidi"/>
          <w:sz w:val="24"/>
          <w:szCs w:val="24"/>
        </w:rPr>
      </w:pP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V. Support for Victims' Families</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A. Psychological and Emotional Support</w:t>
      </w:r>
    </w:p>
    <w:p w:rsidR="00CC5143" w:rsidRPr="00CC5143" w:rsidRDefault="00CC5143" w:rsidP="00CC5143">
      <w:pPr>
        <w:pStyle w:val="ListParagraph"/>
        <w:numPr>
          <w:ilvl w:val="0"/>
          <w:numId w:val="1"/>
        </w:numPr>
        <w:jc w:val="both"/>
        <w:rPr>
          <w:rFonts w:asciiTheme="majorBidi" w:hAnsiTheme="majorBidi" w:cstheme="majorBidi"/>
          <w:b/>
          <w:bCs/>
          <w:i/>
          <w:iCs/>
          <w:sz w:val="24"/>
          <w:szCs w:val="24"/>
        </w:rPr>
      </w:pPr>
      <w:proofErr w:type="spellStart"/>
      <w:r w:rsidRPr="00CC5143">
        <w:rPr>
          <w:rFonts w:asciiTheme="majorBidi" w:hAnsiTheme="majorBidi" w:cstheme="majorBidi"/>
          <w:b/>
          <w:bCs/>
          <w:i/>
          <w:iCs/>
          <w:sz w:val="24"/>
          <w:szCs w:val="24"/>
        </w:rPr>
        <w:t>Counseling</w:t>
      </w:r>
      <w:proofErr w:type="spellEnd"/>
      <w:r w:rsidRPr="00CC5143">
        <w:rPr>
          <w:rFonts w:asciiTheme="majorBidi" w:hAnsiTheme="majorBidi" w:cstheme="majorBidi"/>
          <w:b/>
          <w:bCs/>
          <w:i/>
          <w:iCs/>
          <w:sz w:val="24"/>
          <w:szCs w:val="24"/>
        </w:rPr>
        <w:t xml:space="preserve"> Services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 xml:space="preserve">The impact of losing a loved one, especially under circumstances involving potentially unlawful killings, can be emotionally devastating. Providing psychological and emotional support for the families of victims is paramount. This involves offering </w:t>
      </w:r>
      <w:proofErr w:type="spellStart"/>
      <w:r w:rsidRPr="00CC5143">
        <w:rPr>
          <w:rFonts w:asciiTheme="majorBidi" w:hAnsiTheme="majorBidi" w:cstheme="majorBidi"/>
          <w:sz w:val="24"/>
          <w:szCs w:val="24"/>
        </w:rPr>
        <w:t>counseling</w:t>
      </w:r>
      <w:proofErr w:type="spellEnd"/>
      <w:r w:rsidRPr="00CC5143">
        <w:rPr>
          <w:rFonts w:asciiTheme="majorBidi" w:hAnsiTheme="majorBidi" w:cstheme="majorBidi"/>
          <w:sz w:val="24"/>
          <w:szCs w:val="24"/>
        </w:rPr>
        <w:t xml:space="preserve"> services tailored to address grief, trauma, and the unique challenges associated with sudden and violent deaths.</w:t>
      </w:r>
      <w:r>
        <w:rPr>
          <w:rFonts w:asciiTheme="majorBidi" w:hAnsiTheme="majorBidi" w:cstheme="majorBidi"/>
          <w:sz w:val="24"/>
          <w:szCs w:val="24"/>
        </w:rPr>
        <w:t xml:space="preserve"> </w:t>
      </w:r>
      <w:proofErr w:type="spellStart"/>
      <w:r w:rsidRPr="00CC5143">
        <w:rPr>
          <w:rFonts w:asciiTheme="majorBidi" w:hAnsiTheme="majorBidi" w:cstheme="majorBidi"/>
          <w:sz w:val="24"/>
          <w:szCs w:val="24"/>
        </w:rPr>
        <w:t>Counseling</w:t>
      </w:r>
      <w:proofErr w:type="spellEnd"/>
      <w:r w:rsidRPr="00CC5143">
        <w:rPr>
          <w:rFonts w:asciiTheme="majorBidi" w:hAnsiTheme="majorBidi" w:cstheme="majorBidi"/>
          <w:sz w:val="24"/>
          <w:szCs w:val="24"/>
        </w:rPr>
        <w:t xml:space="preserve"> initiatives should be culturally sensitive, recognizing the diverse ways individuals and communities cope with loss. Collaborative efforts between mental health professionals, community leaders, and support organizations can create a network of assistance to help families navigate the emotional aftermath of such incidents.</w:t>
      </w:r>
    </w:p>
    <w:p w:rsidR="00CC5143" w:rsidRPr="00CC5143" w:rsidRDefault="00CC5143" w:rsidP="00CC5143">
      <w:pPr>
        <w:jc w:val="both"/>
        <w:rPr>
          <w:rFonts w:asciiTheme="majorBidi" w:hAnsiTheme="majorBidi" w:cstheme="majorBidi"/>
          <w:b/>
          <w:bCs/>
          <w:i/>
          <w:iCs/>
          <w:sz w:val="24"/>
          <w:szCs w:val="24"/>
        </w:rPr>
      </w:pPr>
      <w:r w:rsidRPr="00CC5143">
        <w:rPr>
          <w:rFonts w:asciiTheme="majorBidi" w:hAnsiTheme="majorBidi" w:cstheme="majorBidi"/>
          <w:b/>
          <w:bCs/>
          <w:i/>
          <w:iCs/>
          <w:sz w:val="24"/>
          <w:szCs w:val="24"/>
        </w:rPr>
        <w:t>Community Outreach Programs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lastRenderedPageBreak/>
        <w:t>Extended communities affected by potentially unlawful killings also require support. Community outreach programs aim to foster solidarity, resilience, and healing. These initiatives may include awareness campaigns, group therapy sessions, and educational programs to empower communities in coping with the aftermath of tragic events.</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B. Access to Information</w:t>
      </w:r>
    </w:p>
    <w:p w:rsidR="00CC5143" w:rsidRPr="00CC5143" w:rsidRDefault="00CC5143" w:rsidP="00CC5143">
      <w:pPr>
        <w:jc w:val="both"/>
        <w:rPr>
          <w:rFonts w:asciiTheme="majorBidi" w:hAnsiTheme="majorBidi" w:cstheme="majorBidi"/>
          <w:b/>
          <w:bCs/>
          <w:i/>
          <w:iCs/>
          <w:sz w:val="24"/>
          <w:szCs w:val="24"/>
        </w:rPr>
      </w:pPr>
      <w:r w:rsidRPr="00CC5143">
        <w:rPr>
          <w:rFonts w:asciiTheme="majorBidi" w:hAnsiTheme="majorBidi" w:cstheme="majorBidi"/>
          <w:b/>
          <w:bCs/>
          <w:i/>
          <w:iCs/>
          <w:sz w:val="24"/>
          <w:szCs w:val="24"/>
        </w:rPr>
        <w:t>Transparency in Investigations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Ensuring transparency in investigations is crucial for building trust between authorities and victims' families. Regular and clear communication about the progress of investigations, findings, and legal proceedings can help alleviate uncertainty and provide a sense of justice for those impacted.</w:t>
      </w:r>
    </w:p>
    <w:p w:rsidR="00CC5143" w:rsidRPr="00CC5143" w:rsidRDefault="00CC5143" w:rsidP="00CC5143">
      <w:pPr>
        <w:jc w:val="both"/>
        <w:rPr>
          <w:rFonts w:asciiTheme="majorBidi" w:hAnsiTheme="majorBidi" w:cstheme="majorBidi"/>
          <w:b/>
          <w:bCs/>
          <w:i/>
          <w:iCs/>
          <w:sz w:val="24"/>
          <w:szCs w:val="24"/>
        </w:rPr>
      </w:pPr>
      <w:r w:rsidRPr="00CC5143">
        <w:rPr>
          <w:rFonts w:asciiTheme="majorBidi" w:hAnsiTheme="majorBidi" w:cstheme="majorBidi"/>
          <w:b/>
          <w:bCs/>
          <w:i/>
          <w:iCs/>
          <w:sz w:val="24"/>
          <w:szCs w:val="24"/>
        </w:rPr>
        <w:t>Communication with Affected Families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Establishing channels for open and compassionate communication with affected families is essential. This involves addressing their concerns, providing updates on investigations, and offering avenues for families to express their needs and preferences. Facilitating a two-way dialogue helps create an environment of mutual understanding and respect.</w:t>
      </w:r>
    </w:p>
    <w:p w:rsidR="00CC5143" w:rsidRDefault="00CC5143" w:rsidP="00CC5143">
      <w:pPr>
        <w:jc w:val="both"/>
        <w:rPr>
          <w:rFonts w:asciiTheme="majorBidi" w:hAnsiTheme="majorBidi" w:cstheme="majorBidi"/>
          <w:sz w:val="24"/>
          <w:szCs w:val="24"/>
        </w:rPr>
      </w:pP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VI. Challenges and Obstacles</w:t>
      </w:r>
    </w:p>
    <w:p w:rsidR="00CC5143" w:rsidRPr="00CC5143" w:rsidRDefault="00CC5143" w:rsidP="00CC5143">
      <w:pPr>
        <w:jc w:val="both"/>
        <w:rPr>
          <w:rFonts w:asciiTheme="majorBidi" w:hAnsiTheme="majorBidi" w:cstheme="majorBidi"/>
          <w:b/>
          <w:bCs/>
          <w:sz w:val="24"/>
          <w:szCs w:val="24"/>
        </w:rPr>
      </w:pPr>
      <w:r w:rsidRPr="00CC5143">
        <w:rPr>
          <w:rFonts w:asciiTheme="majorBidi" w:hAnsiTheme="majorBidi" w:cstheme="majorBidi"/>
          <w:b/>
          <w:bCs/>
          <w:sz w:val="24"/>
          <w:szCs w:val="24"/>
        </w:rPr>
        <w:t>A. Legal and Jurisdictional Issues</w:t>
      </w:r>
    </w:p>
    <w:p w:rsidR="00CC5143" w:rsidRPr="002015EA" w:rsidRDefault="00CC5143"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Cross-Border Cases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The handling of cases involving potentially unlawful killings becomes increasingly complex when they span multiple jurisdictions. Legal frameworks may vary, creating challenges in coordinating investigations and ensuring consistent adherence to international human rights standards. Overcoming obstacles related to jurisdictional issues requires enhanced international collaboration and the development of mechanisms to address legal gaps.</w:t>
      </w:r>
    </w:p>
    <w:p w:rsidR="00CC5143" w:rsidRPr="002015EA" w:rsidRDefault="00CC5143"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Lack of International Cooperation</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The lack of robust international cooperation poses a significant obstacle in cases where potentially unlawful killings have transnational implications. Disparities in legal systems, extradition processes, and diplomatic challenges can hinder the pursuit of justice. Strengthening international cooperation mechanisms is essential for addressing these challenges and ensuring accountability for perpetrators.</w:t>
      </w:r>
    </w:p>
    <w:p w:rsidR="00CC5143" w:rsidRPr="002015EA" w:rsidRDefault="00CC5143" w:rsidP="00CC5143">
      <w:pPr>
        <w:jc w:val="both"/>
        <w:rPr>
          <w:rFonts w:asciiTheme="majorBidi" w:hAnsiTheme="majorBidi" w:cstheme="majorBidi"/>
          <w:b/>
          <w:bCs/>
          <w:sz w:val="24"/>
          <w:szCs w:val="24"/>
        </w:rPr>
      </w:pPr>
      <w:r w:rsidRPr="002015EA">
        <w:rPr>
          <w:rFonts w:asciiTheme="majorBidi" w:hAnsiTheme="majorBidi" w:cstheme="majorBidi"/>
          <w:b/>
          <w:bCs/>
          <w:sz w:val="24"/>
          <w:szCs w:val="24"/>
        </w:rPr>
        <w:t>B. Cultural and Social Challenges</w:t>
      </w:r>
    </w:p>
    <w:p w:rsidR="00CC5143" w:rsidRPr="002015EA" w:rsidRDefault="00CC5143" w:rsidP="00CC5143">
      <w:pPr>
        <w:jc w:val="both"/>
        <w:rPr>
          <w:rFonts w:asciiTheme="majorBidi" w:hAnsiTheme="majorBidi" w:cstheme="majorBidi"/>
          <w:b/>
          <w:bCs/>
          <w:i/>
          <w:iCs/>
          <w:sz w:val="24"/>
          <w:szCs w:val="24"/>
        </w:rPr>
      </w:pPr>
      <w:r w:rsidRPr="002015EA">
        <w:rPr>
          <w:rFonts w:asciiTheme="majorBidi" w:hAnsiTheme="majorBidi" w:cstheme="majorBidi"/>
          <w:b/>
          <w:bCs/>
          <w:i/>
          <w:iCs/>
          <w:sz w:val="24"/>
          <w:szCs w:val="24"/>
        </w:rPr>
        <w:t>Stigma and Taboos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Cultural and societal stigmas surrounding death, particularly in cases of potentially unlawful killings, may impede open discussions and investigations. Overcoming cultural barriers requires culturally competent approaches that respect diverse belief systems while promoting transparency and accountability.</w:t>
      </w:r>
    </w:p>
    <w:p w:rsidR="00CC5143" w:rsidRPr="002015EA" w:rsidRDefault="00CC5143"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Sensitivity in Dealing with Human Remains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lastRenderedPageBreak/>
        <w:t>Balancing the need for forensic investigations with cultural and religious considerations surrounding the handling of human remains poses a delicate challenge. Respecting the deceased and their families while upholding the pursuit of justice requires nuanced approaches that acknowledge and address these sensitivities.</w:t>
      </w:r>
    </w:p>
    <w:p w:rsidR="00CC5143" w:rsidRPr="00CC5143" w:rsidRDefault="00CC5143" w:rsidP="00CC5143">
      <w:pPr>
        <w:jc w:val="both"/>
        <w:rPr>
          <w:rFonts w:asciiTheme="majorBidi" w:hAnsiTheme="majorBidi" w:cstheme="majorBidi"/>
          <w:sz w:val="24"/>
          <w:szCs w:val="24"/>
        </w:rPr>
      </w:pPr>
      <w:r w:rsidRPr="00CC5143">
        <w:rPr>
          <w:rFonts w:asciiTheme="majorBidi" w:hAnsiTheme="majorBidi" w:cstheme="majorBidi"/>
          <w:sz w:val="24"/>
          <w:szCs w:val="24"/>
        </w:rPr>
        <w:t>In navigating the challenges and obstacles associated with the protection of human remains, investigations, and support for victims' families, this section of the report will delve into the complexities of legal, jurisdictional, cultural, and social factors. By identifying these challenges, the report aims to inform recommendations and strategies that address the unique difficulties encountered in safeguarding the rights and dignity of the deceased in cases of potentially unlawful killings.</w:t>
      </w:r>
    </w:p>
    <w:p w:rsidR="002015EA" w:rsidRPr="002015EA" w:rsidRDefault="002015EA" w:rsidP="002015EA">
      <w:pPr>
        <w:jc w:val="both"/>
        <w:rPr>
          <w:rFonts w:asciiTheme="majorBidi" w:hAnsiTheme="majorBidi" w:cstheme="majorBidi"/>
          <w:b/>
          <w:bCs/>
          <w:sz w:val="24"/>
          <w:szCs w:val="24"/>
        </w:rPr>
      </w:pPr>
      <w:r w:rsidRPr="002015EA">
        <w:rPr>
          <w:rFonts w:asciiTheme="majorBidi" w:hAnsiTheme="majorBidi" w:cstheme="majorBidi"/>
          <w:b/>
          <w:bCs/>
          <w:sz w:val="24"/>
          <w:szCs w:val="24"/>
        </w:rPr>
        <w:t>VIII. Recommendations</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Establishing Multilateral Task Forces</w:t>
      </w: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Develop multilateral task forces or joint investigative bodies to address cross-border cases of unlawful killings. These entities should facilitate collaboration between nations, enhance information-sharing, and streamline the coordination of investigations.</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Harmonizing Legal Standards</w:t>
      </w: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Work towards the harmonization of international legal standards related to the protection of human remains and the investigation of unlawful killings. This includes promoting consistency in definitions, procedures, and penalties to ensure a unified global approach.</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Legislative Reforms</w:t>
      </w: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Encourage nations to review and update their legislation regarding the protection of human remains and the investigation of potentially unlawful killings. Emphasize the incorporation of international human rights standards into domestic laws.</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Training and Capacity Building</w:t>
      </w: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Provide training and capacity-building programs for law enforcement, forensic experts, and judicial personnel. This includes education on human rights principles, forensic techniques, and cultural sensitivity to enhance the effectiveness of investigations.</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Comprehensive Victim Support Programs</w:t>
      </w: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Develop comprehensive victim support programs that encompass psychological, emotional, and legal assistance. These programs should be culturally sensitive and accessible to ensure that the families of victims receive adequate support throughout the investigative process.</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Establishing Victim Liaison Units</w:t>
      </w:r>
    </w:p>
    <w:p w:rsidR="002015EA" w:rsidRPr="002015EA" w:rsidRDefault="002015EA" w:rsidP="002015EA">
      <w:pPr>
        <w:jc w:val="both"/>
        <w:rPr>
          <w:rFonts w:asciiTheme="majorBidi" w:hAnsiTheme="majorBidi" w:cstheme="majorBidi"/>
          <w:sz w:val="24"/>
          <w:szCs w:val="24"/>
        </w:rPr>
      </w:pP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Introduce victim liaison units within law enforcement agencies to maintain open communication with affected families. These units should serve as a bridge between investigative authorities and the families, providing regular updates and addressing their concerns.</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lastRenderedPageBreak/>
        <w:t>Research and Development</w:t>
      </w: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Invest in research and development of cutting-edge forensic technologies to enhance the accuracy and efficiency of investigations. Embrace innovations such as advanced DNA analysis, digital forensics, and other emerging techniques.</w:t>
      </w:r>
    </w:p>
    <w:p w:rsidR="002015EA" w:rsidRPr="002015EA" w:rsidRDefault="002015EA" w:rsidP="002015EA">
      <w:pPr>
        <w:pStyle w:val="ListParagraph"/>
        <w:numPr>
          <w:ilvl w:val="0"/>
          <w:numId w:val="1"/>
        </w:numPr>
        <w:jc w:val="both"/>
        <w:rPr>
          <w:rFonts w:asciiTheme="majorBidi" w:hAnsiTheme="majorBidi" w:cstheme="majorBidi"/>
          <w:b/>
          <w:bCs/>
          <w:i/>
          <w:iCs/>
          <w:sz w:val="24"/>
          <w:szCs w:val="24"/>
        </w:rPr>
      </w:pPr>
      <w:r w:rsidRPr="002015EA">
        <w:rPr>
          <w:rFonts w:asciiTheme="majorBidi" w:hAnsiTheme="majorBidi" w:cstheme="majorBidi"/>
          <w:b/>
          <w:bCs/>
          <w:i/>
          <w:iCs/>
          <w:sz w:val="24"/>
          <w:szCs w:val="24"/>
        </w:rPr>
        <w:t>International Forensic Standards</w:t>
      </w:r>
    </w:p>
    <w:p w:rsidR="002015EA" w:rsidRPr="002015EA"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Establish international forensic standards to guide practitioners in the collection, analysis, and documentation of evidence. Standardization can improve the reliability of forensic findings and facilitate international cooperation in investigations.</w:t>
      </w:r>
    </w:p>
    <w:p w:rsidR="00CC5143" w:rsidRPr="00CC5143" w:rsidRDefault="002015EA" w:rsidP="002015EA">
      <w:pPr>
        <w:jc w:val="both"/>
        <w:rPr>
          <w:rFonts w:asciiTheme="majorBidi" w:hAnsiTheme="majorBidi" w:cstheme="majorBidi"/>
          <w:sz w:val="24"/>
          <w:szCs w:val="24"/>
        </w:rPr>
      </w:pPr>
      <w:r w:rsidRPr="002015EA">
        <w:rPr>
          <w:rFonts w:asciiTheme="majorBidi" w:hAnsiTheme="majorBidi" w:cstheme="majorBidi"/>
          <w:sz w:val="24"/>
          <w:szCs w:val="24"/>
        </w:rPr>
        <w:t>By implementing these recommendations, stakeholders can contribute to a more effective, transparent, and compassionate approach to the protection of human remains and the investigation of potentially unlawful killings. These measures aim to address the identified challenges and promote a coordinated global effort towards upholding the rights and dignity of the deceased and their families.</w:t>
      </w:r>
    </w:p>
    <w:p w:rsidR="00CC5143" w:rsidRPr="00CC5143" w:rsidRDefault="00CC5143" w:rsidP="00CC5143">
      <w:pPr>
        <w:jc w:val="both"/>
        <w:rPr>
          <w:rFonts w:asciiTheme="majorBidi" w:hAnsiTheme="majorBidi" w:cstheme="majorBidi"/>
          <w:sz w:val="24"/>
          <w:szCs w:val="24"/>
        </w:rPr>
      </w:pPr>
    </w:p>
    <w:p w:rsidR="00CC5143" w:rsidRPr="00CC5143" w:rsidRDefault="00CC5143" w:rsidP="00CC5143">
      <w:pPr>
        <w:jc w:val="both"/>
        <w:rPr>
          <w:rFonts w:asciiTheme="majorBidi" w:hAnsiTheme="majorBidi" w:cstheme="majorBidi"/>
          <w:sz w:val="24"/>
          <w:szCs w:val="24"/>
        </w:rPr>
      </w:pPr>
    </w:p>
    <w:sectPr w:rsidR="00CC5143" w:rsidRPr="00CC5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492"/>
    <w:multiLevelType w:val="hybridMultilevel"/>
    <w:tmpl w:val="69F0B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43"/>
    <w:rsid w:val="00183819"/>
    <w:rsid w:val="001A76E2"/>
    <w:rsid w:val="002015EA"/>
    <w:rsid w:val="00CC514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549C"/>
  <w15:chartTrackingRefBased/>
  <w15:docId w15:val="{94CB110F-94C5-455E-80DA-55F58E5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Dr. Sheikh Inam Ul Mansoor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07AAEAF-71AE-449F-9623-C6B7D7E96728}"/>
</file>

<file path=customXml/itemProps2.xml><?xml version="1.0" encoding="utf-8"?>
<ds:datastoreItem xmlns:ds="http://schemas.openxmlformats.org/officeDocument/2006/customXml" ds:itemID="{9F2EEB9F-31F5-4339-B90A-4AA0C06196CD}"/>
</file>

<file path=customXml/itemProps3.xml><?xml version="1.0" encoding="utf-8"?>
<ds:datastoreItem xmlns:ds="http://schemas.openxmlformats.org/officeDocument/2006/customXml" ds:itemID="{AEC667F3-885B-4D88-BE25-3CAA50FA44D0}"/>
</file>

<file path=docProps/app.xml><?xml version="1.0" encoding="utf-8"?>
<Properties xmlns="http://schemas.openxmlformats.org/officeDocument/2006/extended-properties" xmlns:vt="http://schemas.openxmlformats.org/officeDocument/2006/docPropsVTypes">
  <Template>Normal</Template>
  <TotalTime>27</TotalTime>
  <Pages>6</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2024-01-09T09:29:00Z</dcterms:created>
  <dcterms:modified xsi:type="dcterms:W3CDTF">2024-01-09T09:56:00Z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