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CC8" w:rsidRDefault="007F2CC8" w:rsidP="00393BA3">
      <w:pPr>
        <w:autoSpaceDE w:val="0"/>
        <w:autoSpaceDN w:val="0"/>
        <w:adjustRightInd w:val="0"/>
        <w:spacing w:before="240" w:line="276" w:lineRule="auto"/>
        <w:jc w:val="center"/>
        <w:rPr>
          <w:rFonts w:asciiTheme="minorHAnsi" w:eastAsia="Calibri" w:hAnsiTheme="minorHAnsi" w:cstheme="minorHAnsi"/>
          <w:b/>
          <w:sz w:val="22"/>
          <w:szCs w:val="22"/>
          <w:lang w:eastAsia="en-US"/>
        </w:rPr>
      </w:pPr>
    </w:p>
    <w:p w:rsidR="0047677B" w:rsidRDefault="0047677B" w:rsidP="00393BA3">
      <w:pPr>
        <w:autoSpaceDE w:val="0"/>
        <w:autoSpaceDN w:val="0"/>
        <w:adjustRightInd w:val="0"/>
        <w:spacing w:before="240" w:line="276" w:lineRule="auto"/>
        <w:jc w:val="center"/>
        <w:rPr>
          <w:rFonts w:asciiTheme="minorHAnsi" w:eastAsia="Calibri" w:hAnsiTheme="minorHAnsi" w:cstheme="minorHAnsi"/>
          <w:b/>
          <w:sz w:val="22"/>
          <w:szCs w:val="22"/>
          <w:lang w:eastAsia="en-US"/>
        </w:rPr>
      </w:pPr>
      <w:bookmarkStart w:id="0" w:name="_GoBack"/>
      <w:bookmarkEnd w:id="0"/>
      <w:r w:rsidRPr="00184E7F">
        <w:rPr>
          <w:rFonts w:asciiTheme="minorHAnsi" w:eastAsia="Calibri" w:hAnsiTheme="minorHAnsi" w:cstheme="minorHAnsi"/>
          <w:b/>
          <w:sz w:val="22"/>
          <w:szCs w:val="22"/>
          <w:lang w:eastAsia="en-US"/>
        </w:rPr>
        <w:t>CONTRIBUCIONES DE ESPAÑA AL INFORME DE</w:t>
      </w:r>
      <w:r w:rsidR="009A0C98" w:rsidRPr="00184E7F">
        <w:rPr>
          <w:rFonts w:asciiTheme="minorHAnsi" w:eastAsia="Calibri" w:hAnsiTheme="minorHAnsi" w:cstheme="minorHAnsi"/>
          <w:b/>
          <w:sz w:val="22"/>
          <w:szCs w:val="22"/>
          <w:lang w:eastAsia="en-US"/>
        </w:rPr>
        <w:t>L RELATOR</w:t>
      </w:r>
      <w:r w:rsidRPr="00184E7F">
        <w:rPr>
          <w:rFonts w:asciiTheme="minorHAnsi" w:eastAsia="Calibri" w:hAnsiTheme="minorHAnsi" w:cstheme="minorHAnsi"/>
          <w:b/>
          <w:sz w:val="22"/>
          <w:szCs w:val="22"/>
          <w:lang w:eastAsia="en-US"/>
        </w:rPr>
        <w:t xml:space="preserve"> ESPECIAL SOBRE</w:t>
      </w:r>
      <w:r w:rsidR="009A0C98" w:rsidRPr="00184E7F">
        <w:rPr>
          <w:rFonts w:asciiTheme="minorHAnsi" w:eastAsia="Calibri" w:hAnsiTheme="minorHAnsi" w:cstheme="minorHAnsi"/>
          <w:b/>
          <w:sz w:val="22"/>
          <w:szCs w:val="22"/>
          <w:lang w:eastAsia="en-US"/>
        </w:rPr>
        <w:t xml:space="preserve"> EJECUCIONES EXTRAJUDICIALES, SUMARIAS O ARBITRARIAS SOBRE </w:t>
      </w:r>
      <w:r w:rsidR="00BC5D18">
        <w:rPr>
          <w:rFonts w:asciiTheme="minorHAnsi" w:eastAsia="Calibri" w:hAnsiTheme="minorHAnsi" w:cstheme="minorHAnsi"/>
          <w:b/>
          <w:sz w:val="22"/>
          <w:szCs w:val="22"/>
          <w:lang w:eastAsia="en-US"/>
        </w:rPr>
        <w:t>“</w:t>
      </w:r>
      <w:r w:rsidR="009A0C98" w:rsidRPr="00184E7F">
        <w:rPr>
          <w:rFonts w:asciiTheme="minorHAnsi" w:eastAsia="Calibri" w:hAnsiTheme="minorHAnsi" w:cstheme="minorHAnsi"/>
          <w:b/>
          <w:sz w:val="22"/>
          <w:szCs w:val="22"/>
          <w:lang w:eastAsia="en-US"/>
        </w:rPr>
        <w:t>ASESINATOS DE PERSONAS LGBTQI+</w:t>
      </w:r>
      <w:r w:rsidR="00BC5D18">
        <w:rPr>
          <w:rFonts w:asciiTheme="minorHAnsi" w:eastAsia="Calibri" w:hAnsiTheme="minorHAnsi" w:cstheme="minorHAnsi"/>
          <w:b/>
          <w:sz w:val="22"/>
          <w:szCs w:val="22"/>
          <w:lang w:eastAsia="en-US"/>
        </w:rPr>
        <w:t xml:space="preserve"> POR RAZÓN DE ORIENTACIÓN SEXUAL, IDENTIDAD DE GÉNERO O CARACTERÍSTICAS SEXUALES”, “PRINCIPALES PROBLEMAS Y DESAFÍOS RELATIVOS A LA PROTECCIÓN DE LAS PERSONAS LGBTQI+” Y</w:t>
      </w:r>
      <w:r w:rsidR="009A0C98" w:rsidRPr="00184E7F">
        <w:rPr>
          <w:rFonts w:asciiTheme="minorHAnsi" w:eastAsia="Calibri" w:hAnsiTheme="minorHAnsi" w:cstheme="minorHAnsi"/>
          <w:b/>
          <w:sz w:val="22"/>
          <w:szCs w:val="22"/>
          <w:lang w:eastAsia="en-US"/>
        </w:rPr>
        <w:t xml:space="preserve"> </w:t>
      </w:r>
      <w:r w:rsidR="00BC5D18">
        <w:rPr>
          <w:rFonts w:asciiTheme="minorHAnsi" w:eastAsia="Calibri" w:hAnsiTheme="minorHAnsi" w:cstheme="minorHAnsi"/>
          <w:b/>
          <w:sz w:val="22"/>
          <w:szCs w:val="22"/>
          <w:lang w:eastAsia="en-US"/>
        </w:rPr>
        <w:t>“</w:t>
      </w:r>
      <w:r w:rsidR="009A0C98" w:rsidRPr="00184E7F">
        <w:rPr>
          <w:rFonts w:asciiTheme="minorHAnsi" w:eastAsia="Calibri" w:hAnsiTheme="minorHAnsi" w:cstheme="minorHAnsi"/>
          <w:b/>
          <w:sz w:val="22"/>
          <w:szCs w:val="22"/>
          <w:lang w:eastAsia="en-US"/>
        </w:rPr>
        <w:t>LAS MEJORES PRÁCTICAS BASADAS EN PRUEBAS PARA MEJORAR LA PROTECCIÓN DE SU DERECHO A LA VIDA</w:t>
      </w:r>
      <w:r w:rsidR="00BC5D18">
        <w:rPr>
          <w:rFonts w:asciiTheme="minorHAnsi" w:eastAsia="Calibri" w:hAnsiTheme="minorHAnsi" w:cstheme="minorHAnsi"/>
          <w:b/>
          <w:sz w:val="22"/>
          <w:szCs w:val="22"/>
          <w:lang w:eastAsia="en-US"/>
        </w:rPr>
        <w:t>”</w:t>
      </w:r>
    </w:p>
    <w:p w:rsidR="007F2CC8" w:rsidRPr="00184E7F" w:rsidRDefault="007F2CC8" w:rsidP="00393BA3">
      <w:pPr>
        <w:autoSpaceDE w:val="0"/>
        <w:autoSpaceDN w:val="0"/>
        <w:adjustRightInd w:val="0"/>
        <w:spacing w:before="240" w:line="276" w:lineRule="auto"/>
        <w:jc w:val="center"/>
        <w:rPr>
          <w:rFonts w:asciiTheme="minorHAnsi" w:eastAsia="Calibri" w:hAnsiTheme="minorHAnsi" w:cstheme="minorHAnsi"/>
          <w:b/>
          <w:sz w:val="22"/>
          <w:szCs w:val="22"/>
          <w:lang w:eastAsia="en-US"/>
        </w:rPr>
      </w:pPr>
    </w:p>
    <w:p w:rsidR="00184E7F" w:rsidRPr="006F7490" w:rsidRDefault="006F7490" w:rsidP="00184E7F">
      <w:pPr>
        <w:autoSpaceDE w:val="0"/>
        <w:autoSpaceDN w:val="0"/>
        <w:adjustRightInd w:val="0"/>
        <w:spacing w:before="240" w:line="276" w:lineRule="auto"/>
        <w:ind w:firstLine="709"/>
        <w:jc w:val="both"/>
        <w:rPr>
          <w:rFonts w:asciiTheme="minorHAnsi" w:eastAsia="Calibri" w:hAnsiTheme="minorHAnsi" w:cstheme="minorHAnsi"/>
          <w:sz w:val="22"/>
          <w:szCs w:val="22"/>
          <w:lang w:eastAsia="en-US"/>
        </w:rPr>
      </w:pPr>
      <w:r w:rsidRPr="006F7490">
        <w:rPr>
          <w:rFonts w:asciiTheme="minorHAnsi" w:eastAsia="Calibri" w:hAnsiTheme="minorHAnsi" w:cstheme="minorHAnsi"/>
          <w:sz w:val="22"/>
          <w:szCs w:val="22"/>
          <w:lang w:eastAsia="en-US"/>
        </w:rPr>
        <w:t>Atendiendo a la solicitud de información enviada por la Oficina del Alto Comisionado de las Naciones Unid</w:t>
      </w:r>
      <w:r>
        <w:rPr>
          <w:rFonts w:asciiTheme="minorHAnsi" w:eastAsia="Calibri" w:hAnsiTheme="minorHAnsi" w:cstheme="minorHAnsi"/>
          <w:sz w:val="22"/>
          <w:szCs w:val="22"/>
          <w:lang w:eastAsia="en-US"/>
        </w:rPr>
        <w:t>as</w:t>
      </w:r>
      <w:r w:rsidR="002D2F9E">
        <w:rPr>
          <w:rFonts w:asciiTheme="minorHAnsi" w:eastAsia="Calibri" w:hAnsiTheme="minorHAnsi" w:cstheme="minorHAnsi"/>
          <w:sz w:val="22"/>
          <w:szCs w:val="22"/>
          <w:lang w:eastAsia="en-US"/>
        </w:rPr>
        <w:t xml:space="preserve"> para los Derechos Humanos del</w:t>
      </w:r>
      <w:r w:rsidRPr="006F7490">
        <w:rPr>
          <w:rFonts w:asciiTheme="minorHAnsi" w:eastAsia="Calibri" w:hAnsiTheme="minorHAnsi" w:cstheme="minorHAnsi"/>
          <w:sz w:val="22"/>
          <w:szCs w:val="22"/>
          <w:lang w:eastAsia="en-US"/>
        </w:rPr>
        <w:t xml:space="preserve"> Relator Especial </w:t>
      </w:r>
      <w:r w:rsidR="00393BA3">
        <w:rPr>
          <w:rFonts w:asciiTheme="minorHAnsi" w:eastAsia="Calibri" w:hAnsiTheme="minorHAnsi" w:cstheme="minorHAnsi"/>
          <w:sz w:val="22"/>
          <w:szCs w:val="22"/>
          <w:lang w:eastAsia="en-US"/>
        </w:rPr>
        <w:t xml:space="preserve">sobre </w:t>
      </w:r>
      <w:r w:rsidR="00184E7F">
        <w:rPr>
          <w:rFonts w:asciiTheme="minorHAnsi" w:eastAsia="Calibri" w:hAnsiTheme="minorHAnsi" w:cstheme="minorHAnsi"/>
          <w:sz w:val="22"/>
          <w:szCs w:val="22"/>
          <w:lang w:eastAsia="en-US"/>
        </w:rPr>
        <w:t>“</w:t>
      </w:r>
      <w:r w:rsidR="002D2F9E">
        <w:rPr>
          <w:rFonts w:asciiTheme="minorHAnsi" w:eastAsia="Calibri" w:hAnsiTheme="minorHAnsi" w:cstheme="minorHAnsi"/>
          <w:sz w:val="22"/>
          <w:szCs w:val="22"/>
          <w:lang w:eastAsia="en-US"/>
        </w:rPr>
        <w:t xml:space="preserve">ejecuciones extrajudiciales, sumarias o arbitrarias sobre asesinatos de personas </w:t>
      </w:r>
      <w:r w:rsidR="00472797">
        <w:rPr>
          <w:rFonts w:asciiTheme="minorHAnsi" w:eastAsia="Calibri" w:hAnsiTheme="minorHAnsi" w:cstheme="minorHAnsi"/>
          <w:sz w:val="22"/>
          <w:szCs w:val="22"/>
          <w:lang w:eastAsia="en-US"/>
        </w:rPr>
        <w:t>LGBTQI+</w:t>
      </w:r>
      <w:r w:rsidR="00184E7F">
        <w:rPr>
          <w:rFonts w:asciiTheme="minorHAnsi" w:eastAsia="Calibri" w:hAnsiTheme="minorHAnsi" w:cstheme="minorHAnsi"/>
          <w:sz w:val="22"/>
          <w:szCs w:val="22"/>
          <w:lang w:eastAsia="en-US"/>
        </w:rPr>
        <w:t>”</w:t>
      </w:r>
      <w:r w:rsidR="002D2F9E">
        <w:rPr>
          <w:rFonts w:asciiTheme="minorHAnsi" w:eastAsia="Calibri" w:hAnsiTheme="minorHAnsi" w:cstheme="minorHAnsi"/>
          <w:sz w:val="22"/>
          <w:szCs w:val="22"/>
          <w:lang w:eastAsia="en-US"/>
        </w:rPr>
        <w:t xml:space="preserve"> y </w:t>
      </w:r>
      <w:r w:rsidR="00184E7F">
        <w:rPr>
          <w:rFonts w:asciiTheme="minorHAnsi" w:eastAsia="Calibri" w:hAnsiTheme="minorHAnsi" w:cstheme="minorHAnsi"/>
          <w:sz w:val="22"/>
          <w:szCs w:val="22"/>
          <w:lang w:eastAsia="en-US"/>
        </w:rPr>
        <w:t>“</w:t>
      </w:r>
      <w:r w:rsidR="002D2F9E">
        <w:rPr>
          <w:rFonts w:asciiTheme="minorHAnsi" w:eastAsia="Calibri" w:hAnsiTheme="minorHAnsi" w:cstheme="minorHAnsi"/>
          <w:sz w:val="22"/>
          <w:szCs w:val="22"/>
          <w:lang w:eastAsia="en-US"/>
        </w:rPr>
        <w:t>las mejores prácticas basadas en pruebas</w:t>
      </w:r>
      <w:r w:rsidR="00184E7F">
        <w:rPr>
          <w:rFonts w:asciiTheme="minorHAnsi" w:eastAsia="Calibri" w:hAnsiTheme="minorHAnsi" w:cstheme="minorHAnsi"/>
          <w:sz w:val="22"/>
          <w:szCs w:val="22"/>
          <w:lang w:eastAsia="en-US"/>
        </w:rPr>
        <w:t xml:space="preserve"> para mejorar la protección de su derecho a la vida”</w:t>
      </w:r>
      <w:r w:rsidR="002D2F9E">
        <w:rPr>
          <w:rFonts w:asciiTheme="minorHAnsi" w:eastAsia="Calibri" w:hAnsiTheme="minorHAnsi" w:cstheme="minorHAnsi"/>
          <w:sz w:val="22"/>
          <w:szCs w:val="22"/>
          <w:lang w:eastAsia="en-US"/>
        </w:rPr>
        <w:t xml:space="preserve">, </w:t>
      </w:r>
      <w:r w:rsidR="00393BA3">
        <w:rPr>
          <w:rFonts w:asciiTheme="minorHAnsi" w:eastAsia="Calibri" w:hAnsiTheme="minorHAnsi" w:cstheme="minorHAnsi"/>
          <w:sz w:val="22"/>
          <w:szCs w:val="22"/>
          <w:lang w:eastAsia="en-US"/>
        </w:rPr>
        <w:t>que será presentado en la 79ª s</w:t>
      </w:r>
      <w:r w:rsidR="002D2F9E">
        <w:rPr>
          <w:rFonts w:asciiTheme="minorHAnsi" w:eastAsia="Calibri" w:hAnsiTheme="minorHAnsi" w:cstheme="minorHAnsi"/>
          <w:sz w:val="22"/>
          <w:szCs w:val="22"/>
          <w:lang w:eastAsia="en-US"/>
        </w:rPr>
        <w:t>esión de la Asamblea General de</w:t>
      </w:r>
      <w:r w:rsidR="00393BA3">
        <w:rPr>
          <w:rFonts w:asciiTheme="minorHAnsi" w:eastAsia="Calibri" w:hAnsiTheme="minorHAnsi" w:cstheme="minorHAnsi"/>
          <w:sz w:val="22"/>
          <w:szCs w:val="22"/>
          <w:lang w:eastAsia="en-US"/>
        </w:rPr>
        <w:t xml:space="preserve"> Naciones Unidas, España traslada las siguientes aportaciones:</w:t>
      </w:r>
    </w:p>
    <w:p w:rsidR="002D2F9E" w:rsidRDefault="002D2F9E" w:rsidP="002D2F9E">
      <w:pPr>
        <w:numPr>
          <w:ilvl w:val="0"/>
          <w:numId w:val="6"/>
        </w:numPr>
        <w:autoSpaceDE w:val="0"/>
        <w:autoSpaceDN w:val="0"/>
        <w:adjustRightInd w:val="0"/>
        <w:spacing w:before="240" w:line="276" w:lineRule="auto"/>
        <w:jc w:val="both"/>
        <w:rPr>
          <w:rFonts w:asciiTheme="minorHAnsi" w:eastAsia="Calibri" w:hAnsiTheme="minorHAnsi" w:cstheme="minorHAnsi"/>
          <w:b/>
          <w:bCs/>
          <w:sz w:val="22"/>
          <w:szCs w:val="22"/>
          <w:lang w:eastAsia="en-US"/>
        </w:rPr>
      </w:pPr>
      <w:r w:rsidRPr="002D2F9E">
        <w:rPr>
          <w:rFonts w:asciiTheme="minorHAnsi" w:eastAsia="Calibri" w:hAnsiTheme="minorHAnsi" w:cstheme="minorHAnsi"/>
          <w:b/>
          <w:bCs/>
          <w:sz w:val="22"/>
          <w:szCs w:val="22"/>
          <w:lang w:eastAsia="en-US"/>
        </w:rPr>
        <w:t xml:space="preserve">Leyes, instituciones, políticas y prácticas que pueden constituir violaciones directas de las obligaciones internacionales de DH en relación con el derecho a la vida de las personas </w:t>
      </w:r>
      <w:r w:rsidR="00472797">
        <w:rPr>
          <w:rFonts w:asciiTheme="minorHAnsi" w:eastAsia="Calibri" w:hAnsiTheme="minorHAnsi" w:cstheme="minorHAnsi"/>
          <w:b/>
          <w:bCs/>
          <w:sz w:val="22"/>
          <w:szCs w:val="22"/>
          <w:lang w:eastAsia="en-US"/>
        </w:rPr>
        <w:t>LGBTQI+</w:t>
      </w:r>
      <w:r w:rsidRPr="002D2F9E">
        <w:rPr>
          <w:rFonts w:asciiTheme="minorHAnsi" w:eastAsia="Calibri" w:hAnsiTheme="minorHAnsi" w:cstheme="minorHAnsi"/>
          <w:b/>
          <w:bCs/>
          <w:sz w:val="22"/>
          <w:szCs w:val="22"/>
          <w:lang w:eastAsia="en-US"/>
        </w:rPr>
        <w:t>.</w:t>
      </w:r>
    </w:p>
    <w:p w:rsidR="002D2F9E" w:rsidRDefault="002D2F9E" w:rsidP="002D2F9E">
      <w:pPr>
        <w:autoSpaceDE w:val="0"/>
        <w:autoSpaceDN w:val="0"/>
        <w:adjustRightInd w:val="0"/>
        <w:spacing w:before="240" w:line="276" w:lineRule="auto"/>
        <w:jc w:val="both"/>
        <w:rPr>
          <w:rFonts w:asciiTheme="minorHAnsi" w:eastAsia="Calibri" w:hAnsiTheme="minorHAnsi" w:cstheme="minorHAnsi"/>
          <w:bCs/>
          <w:sz w:val="22"/>
          <w:szCs w:val="22"/>
          <w:lang w:eastAsia="en-US"/>
        </w:rPr>
      </w:pPr>
      <w:r w:rsidRPr="002D2F9E">
        <w:rPr>
          <w:rFonts w:asciiTheme="minorHAnsi" w:eastAsia="Calibri" w:hAnsiTheme="minorHAnsi" w:cstheme="minorHAnsi"/>
          <w:bCs/>
          <w:sz w:val="22"/>
          <w:szCs w:val="22"/>
          <w:lang w:eastAsia="en-US"/>
        </w:rPr>
        <w:t>No existe</w:t>
      </w:r>
      <w:r>
        <w:rPr>
          <w:rFonts w:asciiTheme="minorHAnsi" w:eastAsia="Calibri" w:hAnsiTheme="minorHAnsi" w:cstheme="minorHAnsi"/>
          <w:bCs/>
          <w:sz w:val="22"/>
          <w:szCs w:val="22"/>
          <w:lang w:eastAsia="en-US"/>
        </w:rPr>
        <w:t>n</w:t>
      </w:r>
      <w:r w:rsidRPr="002D2F9E">
        <w:rPr>
          <w:rFonts w:asciiTheme="minorHAnsi" w:eastAsia="Calibri" w:hAnsiTheme="minorHAnsi" w:cstheme="minorHAnsi"/>
          <w:bCs/>
          <w:sz w:val="22"/>
          <w:szCs w:val="22"/>
          <w:lang w:eastAsia="en-US"/>
        </w:rPr>
        <w:t xml:space="preserve"> en España</w:t>
      </w:r>
      <w:r>
        <w:rPr>
          <w:rFonts w:asciiTheme="minorHAnsi" w:eastAsia="Calibri" w:hAnsiTheme="minorHAnsi" w:cstheme="minorHAnsi"/>
          <w:bCs/>
          <w:sz w:val="22"/>
          <w:szCs w:val="22"/>
          <w:lang w:eastAsia="en-US"/>
        </w:rPr>
        <w:t xml:space="preserve">. </w:t>
      </w:r>
    </w:p>
    <w:p w:rsidR="008F011B" w:rsidRPr="00472797" w:rsidRDefault="002D2F9E" w:rsidP="002D2F9E">
      <w:pPr>
        <w:pStyle w:val="Prrafodelista"/>
        <w:numPr>
          <w:ilvl w:val="0"/>
          <w:numId w:val="6"/>
        </w:numPr>
        <w:autoSpaceDE w:val="0"/>
        <w:autoSpaceDN w:val="0"/>
        <w:adjustRightInd w:val="0"/>
        <w:spacing w:before="240" w:line="276" w:lineRule="auto"/>
        <w:jc w:val="both"/>
        <w:rPr>
          <w:rFonts w:asciiTheme="minorHAnsi" w:eastAsia="Calibri" w:hAnsiTheme="minorHAnsi" w:cstheme="minorHAnsi"/>
          <w:bCs/>
          <w:sz w:val="22"/>
          <w:szCs w:val="22"/>
          <w:lang w:eastAsia="en-US"/>
        </w:rPr>
      </w:pPr>
      <w:r w:rsidRPr="002D2F9E">
        <w:rPr>
          <w:rFonts w:asciiTheme="minorHAnsi" w:eastAsia="Calibri" w:hAnsiTheme="minorHAnsi" w:cstheme="minorHAnsi"/>
          <w:b/>
          <w:bCs/>
          <w:sz w:val="22"/>
          <w:szCs w:val="22"/>
          <w:lang w:eastAsia="en-US"/>
        </w:rPr>
        <w:t xml:space="preserve">Leyes, instituciones, políticas y prácticas que rigen la investigación y prevención de muertes potencialmente ilegales de personas </w:t>
      </w:r>
      <w:r w:rsidR="00472797">
        <w:rPr>
          <w:rFonts w:asciiTheme="minorHAnsi" w:eastAsia="Calibri" w:hAnsiTheme="minorHAnsi" w:cstheme="minorHAnsi"/>
          <w:b/>
          <w:bCs/>
          <w:sz w:val="22"/>
          <w:szCs w:val="22"/>
          <w:lang w:eastAsia="en-US"/>
        </w:rPr>
        <w:t>LGBTQI+</w:t>
      </w:r>
      <w:r w:rsidRPr="002D2F9E">
        <w:rPr>
          <w:rFonts w:asciiTheme="minorHAnsi" w:eastAsia="Calibri" w:hAnsiTheme="minorHAnsi" w:cstheme="minorHAnsi"/>
          <w:b/>
          <w:bCs/>
          <w:sz w:val="22"/>
          <w:szCs w:val="22"/>
          <w:lang w:eastAsia="en-US"/>
        </w:rPr>
        <w:t>, incluidas aquellas que puedan ser consecuencia de delitos motivados por el odio</w:t>
      </w:r>
      <w:r>
        <w:rPr>
          <w:rFonts w:asciiTheme="minorHAnsi" w:eastAsia="Calibri" w:hAnsiTheme="minorHAnsi" w:cstheme="minorHAnsi"/>
          <w:b/>
          <w:sz w:val="22"/>
          <w:szCs w:val="22"/>
          <w:lang w:eastAsia="en-US"/>
        </w:rPr>
        <w:t>.</w:t>
      </w:r>
    </w:p>
    <w:p w:rsidR="00472797" w:rsidRPr="00472797" w:rsidRDefault="00472797" w:rsidP="00472797">
      <w:pPr>
        <w:spacing w:before="240" w:line="276" w:lineRule="auto"/>
        <w:jc w:val="both"/>
        <w:rPr>
          <w:rFonts w:asciiTheme="minorHAnsi" w:eastAsia="Calibri" w:hAnsiTheme="minorHAnsi" w:cstheme="minorHAnsi"/>
          <w:bCs/>
          <w:sz w:val="22"/>
          <w:szCs w:val="22"/>
          <w:lang w:val="es-ES_tradnl" w:eastAsia="en-US"/>
        </w:rPr>
      </w:pPr>
      <w:r w:rsidRPr="00E027E5">
        <w:rPr>
          <w:rFonts w:asciiTheme="minorHAnsi" w:eastAsia="Calibri" w:hAnsiTheme="minorHAnsi" w:cstheme="minorHAnsi"/>
          <w:bCs/>
          <w:sz w:val="22"/>
          <w:szCs w:val="22"/>
          <w:lang w:eastAsia="en-US"/>
        </w:rPr>
        <w:t xml:space="preserve">La </w:t>
      </w:r>
      <w:r w:rsidRPr="00E027E5">
        <w:rPr>
          <w:rFonts w:asciiTheme="minorHAnsi" w:eastAsia="Calibri" w:hAnsiTheme="minorHAnsi" w:cstheme="minorHAnsi"/>
          <w:b/>
          <w:bCs/>
          <w:sz w:val="22"/>
          <w:szCs w:val="22"/>
          <w:lang w:eastAsia="en-US"/>
        </w:rPr>
        <w:t>Constitución Española, en su artículo 15</w:t>
      </w:r>
      <w:r w:rsidRPr="00E027E5">
        <w:rPr>
          <w:rFonts w:asciiTheme="minorHAnsi" w:eastAsia="Calibri" w:hAnsiTheme="minorHAnsi" w:cstheme="minorHAnsi"/>
          <w:bCs/>
          <w:sz w:val="22"/>
          <w:szCs w:val="22"/>
          <w:lang w:eastAsia="en-US"/>
        </w:rPr>
        <w:t xml:space="preserve">, defiende el derecho a la vida y a la integridad física y moral de todas las personas sin discriminación alguna. Este principio constitucional es fundamental para garantizar la protección de los derechos humanos de las personas </w:t>
      </w:r>
      <w:r>
        <w:rPr>
          <w:rFonts w:asciiTheme="minorHAnsi" w:eastAsia="Calibri" w:hAnsiTheme="minorHAnsi" w:cstheme="minorHAnsi"/>
          <w:bCs/>
          <w:sz w:val="22"/>
          <w:szCs w:val="22"/>
          <w:lang w:eastAsia="en-US"/>
        </w:rPr>
        <w:t>LGBTQI+</w:t>
      </w:r>
      <w:r w:rsidRPr="00E027E5">
        <w:rPr>
          <w:rFonts w:asciiTheme="minorHAnsi" w:eastAsia="Calibri" w:hAnsiTheme="minorHAnsi" w:cstheme="minorHAnsi"/>
          <w:bCs/>
          <w:sz w:val="22"/>
          <w:szCs w:val="22"/>
          <w:lang w:eastAsia="en-US"/>
        </w:rPr>
        <w:t xml:space="preserve"> y sirve como base para desarrollar políticas y leyes que combatan la discriminación y la violencia.</w:t>
      </w:r>
      <w:r>
        <w:rPr>
          <w:rFonts w:asciiTheme="minorHAnsi" w:eastAsia="Calibri" w:hAnsiTheme="minorHAnsi" w:cstheme="minorHAnsi"/>
          <w:bCs/>
          <w:sz w:val="22"/>
          <w:szCs w:val="22"/>
          <w:lang w:eastAsia="en-US"/>
        </w:rPr>
        <w:t xml:space="preserve"> </w:t>
      </w:r>
      <w:r w:rsidRPr="00E027E5">
        <w:rPr>
          <w:rFonts w:asciiTheme="minorHAnsi" w:eastAsia="Calibri" w:hAnsiTheme="minorHAnsi" w:cstheme="minorHAnsi"/>
          <w:bCs/>
          <w:sz w:val="22"/>
          <w:szCs w:val="22"/>
          <w:lang w:eastAsia="en-US"/>
        </w:rPr>
        <w:t xml:space="preserve">En España, </w:t>
      </w:r>
      <w:r w:rsidRPr="00E027E5">
        <w:rPr>
          <w:rFonts w:asciiTheme="minorHAnsi" w:eastAsia="Calibri" w:hAnsiTheme="minorHAnsi" w:cstheme="minorHAnsi"/>
          <w:bCs/>
          <w:sz w:val="22"/>
          <w:szCs w:val="22"/>
          <w:lang w:val="es-ES_tradnl" w:eastAsia="en-US"/>
        </w:rPr>
        <w:t xml:space="preserve">La </w:t>
      </w:r>
      <w:r w:rsidRPr="00E027E5">
        <w:rPr>
          <w:rFonts w:asciiTheme="minorHAnsi" w:eastAsia="Calibri" w:hAnsiTheme="minorHAnsi" w:cstheme="minorHAnsi"/>
          <w:b/>
          <w:bCs/>
          <w:sz w:val="22"/>
          <w:szCs w:val="22"/>
          <w:lang w:val="es-ES_tradnl" w:eastAsia="en-US"/>
        </w:rPr>
        <w:t xml:space="preserve">Dirección General para la Igualdad real y efectiva de las personas </w:t>
      </w:r>
      <w:r>
        <w:rPr>
          <w:rFonts w:asciiTheme="minorHAnsi" w:eastAsia="Calibri" w:hAnsiTheme="minorHAnsi" w:cstheme="minorHAnsi"/>
          <w:b/>
          <w:bCs/>
          <w:sz w:val="22"/>
          <w:szCs w:val="22"/>
          <w:lang w:val="es-ES_tradnl" w:eastAsia="en-US"/>
        </w:rPr>
        <w:t>LGBTQI+</w:t>
      </w:r>
      <w:r w:rsidRPr="00E027E5">
        <w:rPr>
          <w:rFonts w:asciiTheme="minorHAnsi" w:eastAsia="Calibri" w:hAnsiTheme="minorHAnsi" w:cstheme="minorHAnsi"/>
          <w:b/>
          <w:bCs/>
          <w:sz w:val="22"/>
          <w:szCs w:val="22"/>
          <w:lang w:val="es-ES_tradnl" w:eastAsia="en-US"/>
        </w:rPr>
        <w:t>,</w:t>
      </w:r>
      <w:r w:rsidRPr="00E027E5">
        <w:rPr>
          <w:rFonts w:asciiTheme="minorHAnsi" w:eastAsia="Calibri" w:hAnsiTheme="minorHAnsi" w:cstheme="minorHAnsi"/>
          <w:bCs/>
          <w:sz w:val="22"/>
          <w:szCs w:val="22"/>
          <w:lang w:val="es-ES_tradnl" w:eastAsia="en-US"/>
        </w:rPr>
        <w:t xml:space="preserve"> dependie</w:t>
      </w:r>
      <w:r>
        <w:rPr>
          <w:rFonts w:asciiTheme="minorHAnsi" w:eastAsia="Calibri" w:hAnsiTheme="minorHAnsi" w:cstheme="minorHAnsi"/>
          <w:bCs/>
          <w:sz w:val="22"/>
          <w:szCs w:val="22"/>
          <w:lang w:val="es-ES_tradnl" w:eastAsia="en-US"/>
        </w:rPr>
        <w:t xml:space="preserve">nte del </w:t>
      </w:r>
      <w:r w:rsidRPr="00472797">
        <w:rPr>
          <w:rFonts w:asciiTheme="minorHAnsi" w:eastAsia="Calibri" w:hAnsiTheme="minorHAnsi" w:cstheme="minorHAnsi"/>
          <w:b/>
          <w:bCs/>
          <w:sz w:val="22"/>
          <w:szCs w:val="22"/>
          <w:lang w:val="es-ES_tradnl" w:eastAsia="en-US"/>
        </w:rPr>
        <w:t>Ministerio de Igualdad</w:t>
      </w:r>
      <w:r>
        <w:rPr>
          <w:rFonts w:asciiTheme="minorHAnsi" w:eastAsia="Calibri" w:hAnsiTheme="minorHAnsi" w:cstheme="minorHAnsi"/>
          <w:bCs/>
          <w:sz w:val="22"/>
          <w:szCs w:val="22"/>
          <w:lang w:val="es-ES_tradnl" w:eastAsia="en-US"/>
        </w:rPr>
        <w:t xml:space="preserve"> mantiene líneas de colaboración con otras instituciones en el ámbito de sus atribuciones, como</w:t>
      </w:r>
      <w:r w:rsidRPr="00E027E5">
        <w:rPr>
          <w:rFonts w:asciiTheme="minorHAnsi" w:eastAsia="Calibri" w:hAnsiTheme="minorHAnsi" w:cstheme="minorHAnsi"/>
          <w:bCs/>
          <w:sz w:val="22"/>
          <w:szCs w:val="22"/>
          <w:lang w:eastAsia="en-US"/>
        </w:rPr>
        <w:t xml:space="preserve"> los diversos grupos de trabajo del Acuerdo interinstitucional para la Lucha contra el racismo, la xenofobia, la </w:t>
      </w:r>
      <w:proofErr w:type="spellStart"/>
      <w:r w:rsidRPr="00E027E5">
        <w:rPr>
          <w:rFonts w:asciiTheme="minorHAnsi" w:eastAsia="Calibri" w:hAnsiTheme="minorHAnsi" w:cstheme="minorHAnsi"/>
          <w:bCs/>
          <w:sz w:val="22"/>
          <w:szCs w:val="22"/>
          <w:lang w:eastAsia="en-US"/>
        </w:rPr>
        <w:t>LGTBIfobia</w:t>
      </w:r>
      <w:proofErr w:type="spellEnd"/>
      <w:r w:rsidRPr="00E027E5">
        <w:rPr>
          <w:rFonts w:asciiTheme="minorHAnsi" w:eastAsia="Calibri" w:hAnsiTheme="minorHAnsi" w:cstheme="minorHAnsi"/>
          <w:bCs/>
          <w:sz w:val="22"/>
          <w:szCs w:val="22"/>
          <w:lang w:eastAsia="en-US"/>
        </w:rPr>
        <w:t xml:space="preserve"> y otras formas de intolerancia suscrito entre el Consejo General del Poder Judicial, la Fiscalía General de Estado, el Ministerio de Justicia, El Ministerio del Interior, el Ministerio de Educación y Formación Profesional, el Ministerio de Inclusión, Migraciones y Seguridad Social, el Ministerio de Igualdad, el Ministerio de Cultura y Deporte y el Centro de Estudios Jurídicos.</w:t>
      </w:r>
    </w:p>
    <w:p w:rsidR="002D2F9E" w:rsidRPr="002D2F9E" w:rsidRDefault="002D2F9E" w:rsidP="002D2F9E">
      <w:pPr>
        <w:autoSpaceDE w:val="0"/>
        <w:autoSpaceDN w:val="0"/>
        <w:adjustRightInd w:val="0"/>
        <w:spacing w:before="240" w:line="276" w:lineRule="auto"/>
        <w:jc w:val="both"/>
        <w:rPr>
          <w:rFonts w:asciiTheme="minorHAnsi" w:eastAsia="Calibri" w:hAnsiTheme="minorHAnsi" w:cstheme="minorHAnsi"/>
          <w:bCs/>
          <w:sz w:val="22"/>
          <w:szCs w:val="22"/>
          <w:lang w:eastAsia="en-US"/>
        </w:rPr>
      </w:pPr>
      <w:r w:rsidRPr="002D2F9E">
        <w:rPr>
          <w:rFonts w:asciiTheme="minorHAnsi" w:eastAsia="Calibri" w:hAnsiTheme="minorHAnsi" w:cstheme="minorHAnsi"/>
          <w:bCs/>
          <w:sz w:val="22"/>
          <w:szCs w:val="22"/>
          <w:lang w:eastAsia="en-US"/>
        </w:rPr>
        <w:t xml:space="preserve">En España, la investigación y prevención de muertes potencialmente ilegales de personas </w:t>
      </w:r>
      <w:r w:rsidR="00472797">
        <w:rPr>
          <w:rFonts w:asciiTheme="minorHAnsi" w:eastAsia="Calibri" w:hAnsiTheme="minorHAnsi" w:cstheme="minorHAnsi"/>
          <w:bCs/>
          <w:sz w:val="22"/>
          <w:szCs w:val="22"/>
          <w:lang w:eastAsia="en-US"/>
        </w:rPr>
        <w:t>LGBTQI+</w:t>
      </w:r>
      <w:r w:rsidRPr="002D2F9E">
        <w:rPr>
          <w:rFonts w:asciiTheme="minorHAnsi" w:eastAsia="Calibri" w:hAnsiTheme="minorHAnsi" w:cstheme="minorHAnsi"/>
          <w:bCs/>
          <w:sz w:val="22"/>
          <w:szCs w:val="22"/>
          <w:lang w:eastAsia="en-US"/>
        </w:rPr>
        <w:t>, incluyendo aquellas motivadas por motivos de odio o discriminación, están regidas por un marco</w:t>
      </w:r>
      <w:r>
        <w:rPr>
          <w:rFonts w:asciiTheme="minorHAnsi" w:eastAsia="Calibri" w:hAnsiTheme="minorHAnsi" w:cstheme="minorHAnsi"/>
          <w:bCs/>
          <w:sz w:val="22"/>
          <w:szCs w:val="22"/>
          <w:lang w:eastAsia="en-US"/>
        </w:rPr>
        <w:t xml:space="preserve"> legal y políticas específicas. </w:t>
      </w:r>
      <w:r w:rsidRPr="002D2F9E">
        <w:rPr>
          <w:rFonts w:asciiTheme="minorHAnsi" w:eastAsia="Calibri" w:hAnsiTheme="minorHAnsi" w:cstheme="minorHAnsi"/>
          <w:bCs/>
          <w:sz w:val="22"/>
          <w:szCs w:val="22"/>
          <w:lang w:eastAsia="en-US"/>
        </w:rPr>
        <w:t xml:space="preserve">Las leyes relevantes incluyen el </w:t>
      </w:r>
      <w:r w:rsidRPr="002C525F">
        <w:rPr>
          <w:rFonts w:asciiTheme="minorHAnsi" w:eastAsia="Calibri" w:hAnsiTheme="minorHAnsi" w:cstheme="minorHAnsi"/>
          <w:b/>
          <w:bCs/>
          <w:sz w:val="22"/>
          <w:szCs w:val="22"/>
          <w:lang w:eastAsia="en-US"/>
        </w:rPr>
        <w:t>Código Penal Español</w:t>
      </w:r>
      <w:r w:rsidRPr="002D2F9E">
        <w:rPr>
          <w:rFonts w:asciiTheme="minorHAnsi" w:eastAsia="Calibri" w:hAnsiTheme="minorHAnsi" w:cstheme="minorHAnsi"/>
          <w:bCs/>
          <w:sz w:val="22"/>
          <w:szCs w:val="22"/>
          <w:lang w:eastAsia="en-US"/>
        </w:rPr>
        <w:t xml:space="preserve">, que aborda agravantes por motivos de discriminación y delitos de odio (Artículos 22.4 y 510), la </w:t>
      </w:r>
      <w:r w:rsidRPr="002D2F9E">
        <w:rPr>
          <w:rFonts w:asciiTheme="minorHAnsi" w:eastAsia="Calibri" w:hAnsiTheme="minorHAnsi" w:cstheme="minorHAnsi"/>
          <w:bCs/>
          <w:sz w:val="22"/>
          <w:szCs w:val="22"/>
          <w:lang w:eastAsia="en-US"/>
        </w:rPr>
        <w:lastRenderedPageBreak/>
        <w:t xml:space="preserve">Ley 3/2007, de 22 de marzo, para la Igualdad Efectiva de Mujeres y Hombres, y diversas leyes autonómicas contra la </w:t>
      </w:r>
      <w:proofErr w:type="spellStart"/>
      <w:r w:rsidRPr="002D2F9E">
        <w:rPr>
          <w:rFonts w:asciiTheme="minorHAnsi" w:eastAsia="Calibri" w:hAnsiTheme="minorHAnsi" w:cstheme="minorHAnsi"/>
          <w:bCs/>
          <w:sz w:val="22"/>
          <w:szCs w:val="22"/>
          <w:lang w:eastAsia="en-US"/>
        </w:rPr>
        <w:t>LGTBIfobia</w:t>
      </w:r>
      <w:proofErr w:type="spellEnd"/>
      <w:r w:rsidRPr="002D2F9E">
        <w:rPr>
          <w:rFonts w:asciiTheme="minorHAnsi" w:eastAsia="Calibri" w:hAnsiTheme="minorHAnsi" w:cstheme="minorHAnsi"/>
          <w:bCs/>
          <w:sz w:val="22"/>
          <w:szCs w:val="22"/>
          <w:lang w:eastAsia="en-US"/>
        </w:rPr>
        <w:t>.</w:t>
      </w:r>
    </w:p>
    <w:p w:rsidR="002C525F" w:rsidRDefault="002D2F9E" w:rsidP="002D2F9E">
      <w:pPr>
        <w:autoSpaceDE w:val="0"/>
        <w:autoSpaceDN w:val="0"/>
        <w:adjustRightInd w:val="0"/>
        <w:spacing w:before="240" w:line="276" w:lineRule="auto"/>
        <w:jc w:val="both"/>
        <w:rPr>
          <w:rFonts w:asciiTheme="minorHAnsi" w:eastAsia="Calibri" w:hAnsiTheme="minorHAnsi" w:cstheme="minorHAnsi"/>
          <w:bCs/>
          <w:sz w:val="22"/>
          <w:szCs w:val="22"/>
          <w:lang w:eastAsia="en-US"/>
        </w:rPr>
      </w:pPr>
      <w:r w:rsidRPr="002D2F9E">
        <w:rPr>
          <w:rFonts w:asciiTheme="minorHAnsi" w:eastAsia="Calibri" w:hAnsiTheme="minorHAnsi" w:cstheme="minorHAnsi"/>
          <w:bCs/>
          <w:sz w:val="22"/>
          <w:szCs w:val="22"/>
          <w:lang w:eastAsia="en-US"/>
        </w:rPr>
        <w:t xml:space="preserve">Las instituciones encargadas de estas tareas son las </w:t>
      </w:r>
      <w:r w:rsidRPr="002C525F">
        <w:rPr>
          <w:rFonts w:asciiTheme="minorHAnsi" w:eastAsia="Calibri" w:hAnsiTheme="minorHAnsi" w:cstheme="minorHAnsi"/>
          <w:b/>
          <w:bCs/>
          <w:sz w:val="22"/>
          <w:szCs w:val="22"/>
          <w:lang w:eastAsia="en-US"/>
        </w:rPr>
        <w:t>F</w:t>
      </w:r>
      <w:r w:rsidRPr="00472797">
        <w:rPr>
          <w:rFonts w:asciiTheme="minorHAnsi" w:eastAsia="Calibri" w:hAnsiTheme="minorHAnsi" w:cstheme="minorHAnsi"/>
          <w:b/>
          <w:bCs/>
          <w:sz w:val="22"/>
          <w:szCs w:val="22"/>
          <w:lang w:eastAsia="en-US"/>
        </w:rPr>
        <w:t>uerzas y Cuerpos de Seguridad del Estado (Policía Nacional y Guardia Civil), Policías Autonómicas, la Fiscalía Especial contra los Delitos de Odio y Discriminación</w:t>
      </w:r>
      <w:r w:rsidRPr="002D2F9E">
        <w:rPr>
          <w:rFonts w:asciiTheme="minorHAnsi" w:eastAsia="Calibri" w:hAnsiTheme="minorHAnsi" w:cstheme="minorHAnsi"/>
          <w:bCs/>
          <w:sz w:val="22"/>
          <w:szCs w:val="22"/>
          <w:lang w:eastAsia="en-US"/>
        </w:rPr>
        <w:t>, las Oficinas de Atención a las Víctimas del Delito o el Instituto Nacional de T</w:t>
      </w:r>
      <w:r>
        <w:rPr>
          <w:rFonts w:asciiTheme="minorHAnsi" w:eastAsia="Calibri" w:hAnsiTheme="minorHAnsi" w:cstheme="minorHAnsi"/>
          <w:bCs/>
          <w:sz w:val="22"/>
          <w:szCs w:val="22"/>
          <w:lang w:eastAsia="en-US"/>
        </w:rPr>
        <w:t>oxicología y Ciencias Forenses.</w:t>
      </w:r>
    </w:p>
    <w:p w:rsidR="00184E7F" w:rsidRPr="00472797" w:rsidRDefault="002D2F9E" w:rsidP="00472797">
      <w:pPr>
        <w:autoSpaceDE w:val="0"/>
        <w:autoSpaceDN w:val="0"/>
        <w:adjustRightInd w:val="0"/>
        <w:spacing w:before="240" w:line="276" w:lineRule="auto"/>
        <w:jc w:val="both"/>
        <w:rPr>
          <w:rFonts w:asciiTheme="minorHAnsi" w:eastAsia="Calibri" w:hAnsiTheme="minorHAnsi" w:cstheme="minorHAnsi"/>
          <w:bCs/>
          <w:sz w:val="22"/>
          <w:szCs w:val="22"/>
          <w:lang w:eastAsia="en-US"/>
        </w:rPr>
      </w:pPr>
      <w:r w:rsidRPr="002D2F9E">
        <w:rPr>
          <w:rFonts w:asciiTheme="minorHAnsi" w:eastAsia="Calibri" w:hAnsiTheme="minorHAnsi" w:cstheme="minorHAnsi"/>
          <w:bCs/>
          <w:sz w:val="22"/>
          <w:szCs w:val="22"/>
          <w:lang w:eastAsia="en-US"/>
        </w:rPr>
        <w:t>En cuanto a políticas, destacan el Protocolo de Actuación de las Fuerzas y Cuerpos de Seguridad ante los Delitos de Odio y Conductas que vulneran las normas legales sobre Discriminación, los Planes Nacionales de Derechos Humanos, los Planes Autonómicos de Igualdad y contra la Discriminación, y las Estrategias de Seguridad Nacional que incluyen la protec</w:t>
      </w:r>
      <w:r w:rsidR="002C525F">
        <w:rPr>
          <w:rFonts w:asciiTheme="minorHAnsi" w:eastAsia="Calibri" w:hAnsiTheme="minorHAnsi" w:cstheme="minorHAnsi"/>
          <w:bCs/>
          <w:sz w:val="22"/>
          <w:szCs w:val="22"/>
          <w:lang w:eastAsia="en-US"/>
        </w:rPr>
        <w:t xml:space="preserve">ción de colectivos vulnerables. </w:t>
      </w:r>
      <w:r w:rsidR="00BF1BB6">
        <w:rPr>
          <w:rFonts w:asciiTheme="minorHAnsi" w:eastAsia="Calibri" w:hAnsiTheme="minorHAnsi" w:cstheme="minorHAnsi"/>
          <w:bCs/>
          <w:sz w:val="22"/>
          <w:szCs w:val="22"/>
          <w:lang w:eastAsia="en-US"/>
        </w:rPr>
        <w:t>En este ámbito, las</w:t>
      </w:r>
      <w:r w:rsidRPr="002D2F9E">
        <w:rPr>
          <w:rFonts w:asciiTheme="minorHAnsi" w:eastAsia="Calibri" w:hAnsiTheme="minorHAnsi" w:cstheme="minorHAnsi"/>
          <w:bCs/>
          <w:sz w:val="22"/>
          <w:szCs w:val="22"/>
          <w:lang w:eastAsia="en-US"/>
        </w:rPr>
        <w:t xml:space="preserve"> prácticas incluyen la capacitación específica para fuerzas de seguridad en derechos </w:t>
      </w:r>
      <w:r w:rsidR="00472797">
        <w:rPr>
          <w:rFonts w:asciiTheme="minorHAnsi" w:eastAsia="Calibri" w:hAnsiTheme="minorHAnsi" w:cstheme="minorHAnsi"/>
          <w:bCs/>
          <w:sz w:val="22"/>
          <w:szCs w:val="22"/>
          <w:lang w:eastAsia="en-US"/>
        </w:rPr>
        <w:t>LGBTQI+</w:t>
      </w:r>
      <w:r w:rsidRPr="002D2F9E">
        <w:rPr>
          <w:rFonts w:asciiTheme="minorHAnsi" w:eastAsia="Calibri" w:hAnsiTheme="minorHAnsi" w:cstheme="minorHAnsi"/>
          <w:bCs/>
          <w:sz w:val="22"/>
          <w:szCs w:val="22"/>
          <w:lang w:eastAsia="en-US"/>
        </w:rPr>
        <w:t xml:space="preserve"> y delitos de odio, mecanismos de denuncia y protección, investigación forense y autopsias con protocolos específicos, y servicios de asesoramiento y apoyo psicológico a víctimas y familias a través de instituciones públicas y ONG.</w:t>
      </w:r>
    </w:p>
    <w:p w:rsidR="002D2F9E" w:rsidRDefault="002D2F9E" w:rsidP="002D2F9E">
      <w:pPr>
        <w:numPr>
          <w:ilvl w:val="0"/>
          <w:numId w:val="6"/>
        </w:numPr>
        <w:spacing w:before="240" w:line="276" w:lineRule="auto"/>
        <w:jc w:val="both"/>
        <w:rPr>
          <w:rFonts w:asciiTheme="minorHAnsi" w:eastAsia="Calibri" w:hAnsiTheme="minorHAnsi" w:cstheme="minorHAnsi"/>
          <w:b/>
          <w:bCs/>
          <w:sz w:val="22"/>
          <w:szCs w:val="22"/>
          <w:lang w:eastAsia="en-US"/>
        </w:rPr>
      </w:pPr>
      <w:r w:rsidRPr="002D2F9E">
        <w:rPr>
          <w:rFonts w:asciiTheme="minorHAnsi" w:eastAsia="Calibri" w:hAnsiTheme="minorHAnsi" w:cstheme="minorHAnsi"/>
          <w:b/>
          <w:bCs/>
          <w:sz w:val="22"/>
          <w:szCs w:val="22"/>
          <w:lang w:eastAsia="en-US"/>
        </w:rPr>
        <w:t xml:space="preserve">Cualquier cambio en las leyes, políticas y prácticas que pueda haber dado lugar a la reducción de muertes ilegales de personas </w:t>
      </w:r>
      <w:r w:rsidR="00472797">
        <w:rPr>
          <w:rFonts w:asciiTheme="minorHAnsi" w:eastAsia="Calibri" w:hAnsiTheme="minorHAnsi" w:cstheme="minorHAnsi"/>
          <w:b/>
          <w:bCs/>
          <w:sz w:val="22"/>
          <w:szCs w:val="22"/>
          <w:lang w:eastAsia="en-US"/>
        </w:rPr>
        <w:t>LGBTQI+</w:t>
      </w:r>
      <w:r w:rsidRPr="002D2F9E">
        <w:rPr>
          <w:rFonts w:asciiTheme="minorHAnsi" w:eastAsia="Calibri" w:hAnsiTheme="minorHAnsi" w:cstheme="minorHAnsi"/>
          <w:b/>
          <w:bCs/>
          <w:sz w:val="22"/>
          <w:szCs w:val="22"/>
          <w:lang w:eastAsia="en-US"/>
        </w:rPr>
        <w:t>.</w:t>
      </w:r>
    </w:p>
    <w:p w:rsidR="002D2F9E" w:rsidRDefault="002D2F9E" w:rsidP="002D2F9E">
      <w:pPr>
        <w:spacing w:before="240" w:line="276" w:lineRule="auto"/>
        <w:jc w:val="both"/>
        <w:rPr>
          <w:rFonts w:asciiTheme="minorHAnsi" w:eastAsia="Calibri" w:hAnsiTheme="minorHAnsi" w:cstheme="minorHAnsi"/>
          <w:b/>
          <w:bCs/>
          <w:sz w:val="22"/>
          <w:szCs w:val="22"/>
          <w:lang w:eastAsia="en-US"/>
        </w:rPr>
      </w:pPr>
      <w:r w:rsidRPr="002D2F9E">
        <w:rPr>
          <w:rFonts w:asciiTheme="minorHAnsi" w:eastAsia="Calibri" w:hAnsiTheme="minorHAnsi" w:cstheme="minorHAnsi"/>
          <w:bCs/>
          <w:sz w:val="22"/>
          <w:szCs w:val="22"/>
          <w:lang w:eastAsia="en-US"/>
        </w:rPr>
        <w:t>Las mencionadas en el punto anterior.</w:t>
      </w:r>
      <w:r>
        <w:rPr>
          <w:rFonts w:asciiTheme="minorHAnsi" w:eastAsia="Calibri" w:hAnsiTheme="minorHAnsi" w:cstheme="minorHAnsi"/>
          <w:b/>
          <w:bCs/>
          <w:sz w:val="22"/>
          <w:szCs w:val="22"/>
          <w:lang w:eastAsia="en-US"/>
        </w:rPr>
        <w:t xml:space="preserve"> </w:t>
      </w:r>
    </w:p>
    <w:p w:rsidR="002D2F9E" w:rsidRDefault="002D2F9E" w:rsidP="002D2F9E">
      <w:pPr>
        <w:pStyle w:val="Prrafodelista"/>
        <w:numPr>
          <w:ilvl w:val="0"/>
          <w:numId w:val="6"/>
        </w:numPr>
        <w:spacing w:before="240" w:line="276" w:lineRule="auto"/>
        <w:jc w:val="both"/>
        <w:rPr>
          <w:rFonts w:asciiTheme="minorHAnsi" w:eastAsia="Calibri" w:hAnsiTheme="minorHAnsi" w:cstheme="minorHAnsi"/>
          <w:b/>
          <w:bCs/>
          <w:sz w:val="22"/>
          <w:szCs w:val="22"/>
          <w:lang w:eastAsia="en-US"/>
        </w:rPr>
      </w:pPr>
      <w:r w:rsidRPr="002D2F9E">
        <w:rPr>
          <w:rFonts w:asciiTheme="minorHAnsi" w:eastAsia="Calibri" w:hAnsiTheme="minorHAnsi" w:cstheme="minorHAnsi"/>
          <w:b/>
          <w:bCs/>
          <w:sz w:val="22"/>
          <w:szCs w:val="22"/>
          <w:lang w:eastAsia="en-US"/>
        </w:rPr>
        <w:t xml:space="preserve">Leyes, instituciones, políticas y prácticas contra la discriminación basada en la orientación sexual y la identidad de género que puedan reducir las muertes ilegales de personas </w:t>
      </w:r>
      <w:r w:rsidR="00472797">
        <w:rPr>
          <w:rFonts w:asciiTheme="minorHAnsi" w:eastAsia="Calibri" w:hAnsiTheme="minorHAnsi" w:cstheme="minorHAnsi"/>
          <w:b/>
          <w:bCs/>
          <w:sz w:val="22"/>
          <w:szCs w:val="22"/>
          <w:lang w:eastAsia="en-US"/>
        </w:rPr>
        <w:t>LGBTQI+</w:t>
      </w:r>
      <w:r w:rsidRPr="002D2F9E">
        <w:rPr>
          <w:rFonts w:asciiTheme="minorHAnsi" w:eastAsia="Calibri" w:hAnsiTheme="minorHAnsi" w:cstheme="minorHAnsi"/>
          <w:b/>
          <w:bCs/>
          <w:sz w:val="22"/>
          <w:szCs w:val="22"/>
          <w:lang w:eastAsia="en-US"/>
        </w:rPr>
        <w:t xml:space="preserve"> durante 2020-2024.</w:t>
      </w:r>
    </w:p>
    <w:p w:rsidR="00E027E5" w:rsidRPr="00E027E5" w:rsidRDefault="00E027E5" w:rsidP="00E027E5">
      <w:pPr>
        <w:spacing w:before="240" w:line="276" w:lineRule="auto"/>
        <w:jc w:val="both"/>
        <w:rPr>
          <w:rFonts w:asciiTheme="minorHAnsi" w:eastAsia="Calibri" w:hAnsiTheme="minorHAnsi" w:cstheme="minorHAnsi"/>
          <w:bCs/>
          <w:sz w:val="22"/>
          <w:szCs w:val="22"/>
          <w:lang w:eastAsia="en-US"/>
        </w:rPr>
      </w:pPr>
      <w:r w:rsidRPr="00E027E5">
        <w:rPr>
          <w:rFonts w:asciiTheme="minorHAnsi" w:eastAsia="Calibri" w:hAnsiTheme="minorHAnsi" w:cstheme="minorHAnsi"/>
          <w:bCs/>
          <w:sz w:val="22"/>
          <w:szCs w:val="22"/>
          <w:lang w:eastAsia="en-US"/>
        </w:rPr>
        <w:t xml:space="preserve">La aprobación de la </w:t>
      </w:r>
      <w:r w:rsidRPr="00E027E5">
        <w:rPr>
          <w:rFonts w:asciiTheme="minorHAnsi" w:eastAsia="Calibri" w:hAnsiTheme="minorHAnsi" w:cstheme="minorHAnsi"/>
          <w:b/>
          <w:bCs/>
          <w:sz w:val="22"/>
          <w:szCs w:val="22"/>
          <w:lang w:eastAsia="en-US"/>
        </w:rPr>
        <w:t xml:space="preserve">Ley 4/2023, de 28 de febrero, para la igualdad real y efectiva de las personas </w:t>
      </w:r>
      <w:proofErr w:type="spellStart"/>
      <w:r w:rsidRPr="00E027E5">
        <w:rPr>
          <w:rFonts w:asciiTheme="minorHAnsi" w:eastAsia="Calibri" w:hAnsiTheme="minorHAnsi" w:cstheme="minorHAnsi"/>
          <w:b/>
          <w:bCs/>
          <w:sz w:val="22"/>
          <w:szCs w:val="22"/>
          <w:lang w:eastAsia="en-US"/>
        </w:rPr>
        <w:t>trans</w:t>
      </w:r>
      <w:proofErr w:type="spellEnd"/>
      <w:r w:rsidRPr="00E027E5">
        <w:rPr>
          <w:rFonts w:asciiTheme="minorHAnsi" w:eastAsia="Calibri" w:hAnsiTheme="minorHAnsi" w:cstheme="minorHAnsi"/>
          <w:b/>
          <w:bCs/>
          <w:sz w:val="22"/>
          <w:szCs w:val="22"/>
          <w:lang w:eastAsia="en-US"/>
        </w:rPr>
        <w:t xml:space="preserve"> y para la garantía de los derechos de las personas LGTBI</w:t>
      </w:r>
      <w:r w:rsidR="00BF1BB6">
        <w:rPr>
          <w:rFonts w:asciiTheme="minorHAnsi" w:eastAsia="Calibri" w:hAnsiTheme="minorHAnsi" w:cstheme="minorHAnsi"/>
          <w:b/>
          <w:bCs/>
          <w:sz w:val="22"/>
          <w:szCs w:val="22"/>
          <w:lang w:eastAsia="en-US"/>
        </w:rPr>
        <w:t>,</w:t>
      </w:r>
      <w:r w:rsidRPr="00E027E5">
        <w:rPr>
          <w:rFonts w:asciiTheme="minorHAnsi" w:eastAsia="Calibri" w:hAnsiTheme="minorHAnsi" w:cstheme="minorHAnsi"/>
          <w:bCs/>
          <w:sz w:val="22"/>
          <w:szCs w:val="22"/>
          <w:lang w:eastAsia="en-US"/>
        </w:rPr>
        <w:t xml:space="preserve"> representa un hito significativo en la protección y reconocimiento de los derechos de las personas </w:t>
      </w:r>
      <w:r w:rsidR="00472797">
        <w:rPr>
          <w:rFonts w:asciiTheme="minorHAnsi" w:eastAsia="Calibri" w:hAnsiTheme="minorHAnsi" w:cstheme="minorHAnsi"/>
          <w:bCs/>
          <w:sz w:val="22"/>
          <w:szCs w:val="22"/>
          <w:lang w:eastAsia="en-US"/>
        </w:rPr>
        <w:t>LGBTQI+</w:t>
      </w:r>
      <w:r w:rsidRPr="00E027E5">
        <w:rPr>
          <w:rFonts w:asciiTheme="minorHAnsi" w:eastAsia="Calibri" w:hAnsiTheme="minorHAnsi" w:cstheme="minorHAnsi"/>
          <w:bCs/>
          <w:sz w:val="22"/>
          <w:szCs w:val="22"/>
          <w:lang w:eastAsia="en-US"/>
        </w:rPr>
        <w:t xml:space="preserve"> en España. La Ley establece un marco legal para garantizar la igualdad de trato y oportunidades para las personas </w:t>
      </w:r>
      <w:proofErr w:type="spellStart"/>
      <w:r w:rsidRPr="00E027E5">
        <w:rPr>
          <w:rFonts w:asciiTheme="minorHAnsi" w:eastAsia="Calibri" w:hAnsiTheme="minorHAnsi" w:cstheme="minorHAnsi"/>
          <w:bCs/>
          <w:sz w:val="22"/>
          <w:szCs w:val="22"/>
          <w:lang w:eastAsia="en-US"/>
        </w:rPr>
        <w:t>trans</w:t>
      </w:r>
      <w:proofErr w:type="spellEnd"/>
      <w:r w:rsidRPr="00E027E5">
        <w:rPr>
          <w:rFonts w:asciiTheme="minorHAnsi" w:eastAsia="Calibri" w:hAnsiTheme="minorHAnsi" w:cstheme="minorHAnsi"/>
          <w:bCs/>
          <w:sz w:val="22"/>
          <w:szCs w:val="22"/>
          <w:lang w:eastAsia="en-US"/>
        </w:rPr>
        <w:t xml:space="preserve"> y </w:t>
      </w:r>
      <w:r w:rsidR="00472797">
        <w:rPr>
          <w:rFonts w:asciiTheme="minorHAnsi" w:eastAsia="Calibri" w:hAnsiTheme="minorHAnsi" w:cstheme="minorHAnsi"/>
          <w:bCs/>
          <w:sz w:val="22"/>
          <w:szCs w:val="22"/>
          <w:lang w:eastAsia="en-US"/>
        </w:rPr>
        <w:t>LGBTQI+</w:t>
      </w:r>
      <w:r w:rsidRPr="00E027E5">
        <w:rPr>
          <w:rFonts w:asciiTheme="minorHAnsi" w:eastAsia="Calibri" w:hAnsiTheme="minorHAnsi" w:cstheme="minorHAnsi"/>
          <w:bCs/>
          <w:sz w:val="22"/>
          <w:szCs w:val="22"/>
          <w:lang w:eastAsia="en-US"/>
        </w:rPr>
        <w:t>, prohibiendo la discriminación basada en la orientación sexual, la identidad y expresión de género y las característica</w:t>
      </w:r>
      <w:r>
        <w:rPr>
          <w:rFonts w:asciiTheme="minorHAnsi" w:eastAsia="Calibri" w:hAnsiTheme="minorHAnsi" w:cstheme="minorHAnsi"/>
          <w:bCs/>
          <w:sz w:val="22"/>
          <w:szCs w:val="22"/>
          <w:lang w:eastAsia="en-US"/>
        </w:rPr>
        <w:t>s sexuales</w:t>
      </w:r>
      <w:r w:rsidR="00BF1BB6">
        <w:rPr>
          <w:rFonts w:asciiTheme="minorHAnsi" w:eastAsia="Calibri" w:hAnsiTheme="minorHAnsi" w:cstheme="minorHAnsi"/>
          <w:bCs/>
          <w:sz w:val="22"/>
          <w:szCs w:val="22"/>
          <w:lang w:eastAsia="en-US"/>
        </w:rPr>
        <w:t xml:space="preserve">. </w:t>
      </w:r>
    </w:p>
    <w:p w:rsidR="00E027E5" w:rsidRPr="00E027E5" w:rsidRDefault="00E027E5" w:rsidP="00E027E5">
      <w:pPr>
        <w:spacing w:before="240" w:line="276" w:lineRule="auto"/>
        <w:jc w:val="both"/>
        <w:rPr>
          <w:rFonts w:asciiTheme="minorHAnsi" w:eastAsia="Calibri" w:hAnsiTheme="minorHAnsi" w:cstheme="minorHAnsi"/>
          <w:bCs/>
          <w:sz w:val="22"/>
          <w:szCs w:val="22"/>
          <w:lang w:eastAsia="en-US"/>
        </w:rPr>
      </w:pPr>
      <w:r w:rsidRPr="00E027E5">
        <w:rPr>
          <w:rFonts w:asciiTheme="minorHAnsi" w:eastAsia="Calibri" w:hAnsiTheme="minorHAnsi" w:cstheme="minorHAnsi"/>
          <w:bCs/>
          <w:sz w:val="22"/>
          <w:szCs w:val="22"/>
          <w:lang w:eastAsia="en-US"/>
        </w:rPr>
        <w:t xml:space="preserve">La ley pone de manifiesto el valor positivo que supone la diversidad sexual, de género y familiar, y sobre la obligatoriedad de las administraciones públicas de protegerla y desarrollar los derechos que lleva implícitos para que la igualdad de </w:t>
      </w:r>
      <w:r w:rsidR="00BF1BB6">
        <w:rPr>
          <w:rFonts w:asciiTheme="minorHAnsi" w:eastAsia="Calibri" w:hAnsiTheme="minorHAnsi" w:cstheme="minorHAnsi"/>
          <w:bCs/>
          <w:sz w:val="22"/>
          <w:szCs w:val="22"/>
          <w:lang w:eastAsia="en-US"/>
        </w:rPr>
        <w:t>las personas LGBTQI+</w:t>
      </w:r>
      <w:r w:rsidRPr="00E027E5">
        <w:rPr>
          <w:rFonts w:asciiTheme="minorHAnsi" w:eastAsia="Calibri" w:hAnsiTheme="minorHAnsi" w:cstheme="minorHAnsi"/>
          <w:bCs/>
          <w:sz w:val="22"/>
          <w:szCs w:val="22"/>
          <w:lang w:eastAsia="en-US"/>
        </w:rPr>
        <w:t xml:space="preserve"> sea real y efectiva. También establece una serie de medidas enfocadas directamente a la prevención de delitos de odio y a la protección de las víctimas. </w:t>
      </w:r>
    </w:p>
    <w:p w:rsidR="00E027E5" w:rsidRPr="00E027E5" w:rsidRDefault="00E027E5" w:rsidP="00E027E5">
      <w:pPr>
        <w:spacing w:before="240" w:line="276" w:lineRule="auto"/>
        <w:jc w:val="both"/>
        <w:rPr>
          <w:rFonts w:asciiTheme="minorHAnsi" w:eastAsia="Calibri" w:hAnsiTheme="minorHAnsi" w:cstheme="minorHAnsi"/>
          <w:bCs/>
          <w:sz w:val="22"/>
          <w:szCs w:val="22"/>
          <w:lang w:eastAsia="en-US"/>
        </w:rPr>
      </w:pPr>
      <w:r w:rsidRPr="00E027E5">
        <w:rPr>
          <w:rFonts w:asciiTheme="minorHAnsi" w:eastAsia="Calibri" w:hAnsiTheme="minorHAnsi" w:cstheme="minorHAnsi"/>
          <w:bCs/>
          <w:sz w:val="22"/>
          <w:szCs w:val="22"/>
          <w:lang w:eastAsia="en-US"/>
        </w:rPr>
        <w:t xml:space="preserve">La implementación de esta ley busca no solo proteger los derechos de las personas </w:t>
      </w:r>
      <w:r w:rsidR="00BF1BB6">
        <w:rPr>
          <w:rFonts w:asciiTheme="minorHAnsi" w:eastAsia="Calibri" w:hAnsiTheme="minorHAnsi" w:cstheme="minorHAnsi"/>
          <w:bCs/>
          <w:sz w:val="22"/>
          <w:szCs w:val="22"/>
          <w:lang w:eastAsia="en-US"/>
        </w:rPr>
        <w:t>LGBTQI+</w:t>
      </w:r>
      <w:r w:rsidRPr="00E027E5">
        <w:rPr>
          <w:rFonts w:asciiTheme="minorHAnsi" w:eastAsia="Calibri" w:hAnsiTheme="minorHAnsi" w:cstheme="minorHAnsi"/>
          <w:bCs/>
          <w:sz w:val="22"/>
          <w:szCs w:val="22"/>
          <w:lang w:eastAsia="en-US"/>
        </w:rPr>
        <w:t>, sino también prevenir la violencia y los crímenes de odio mediante la creación de entornos más inclusivos y respetuosos. La Ley es un paso crucial para asegurar que todas las personas, independientemente de su identidad o expresión de género, puedan vivir con dignidad y sin miedo a la discriminación o la violencia.</w:t>
      </w:r>
    </w:p>
    <w:p w:rsidR="002D2F9E" w:rsidRPr="002D2F9E" w:rsidRDefault="00472797" w:rsidP="002D2F9E">
      <w:pPr>
        <w:spacing w:before="240"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Por otra parte, lo</w:t>
      </w:r>
      <w:r w:rsidR="002D2F9E" w:rsidRPr="002D2F9E">
        <w:rPr>
          <w:rFonts w:asciiTheme="minorHAnsi" w:eastAsia="Calibri" w:hAnsiTheme="minorHAnsi" w:cstheme="minorHAnsi"/>
          <w:sz w:val="22"/>
          <w:szCs w:val="22"/>
          <w:lang w:eastAsia="en-US"/>
        </w:rPr>
        <w:t xml:space="preserve">s </w:t>
      </w:r>
      <w:r w:rsidR="002D2F9E" w:rsidRPr="00BF1BB6">
        <w:rPr>
          <w:rFonts w:asciiTheme="minorHAnsi" w:eastAsia="Calibri" w:hAnsiTheme="minorHAnsi" w:cstheme="minorHAnsi"/>
          <w:b/>
          <w:sz w:val="22"/>
          <w:szCs w:val="22"/>
          <w:lang w:eastAsia="en-US"/>
        </w:rPr>
        <w:t>Planes de Acción de Lucha contra los Delitos de Odio</w:t>
      </w:r>
      <w:r w:rsidR="002D2F9E" w:rsidRPr="002D2F9E">
        <w:rPr>
          <w:rFonts w:asciiTheme="minorHAnsi" w:eastAsia="Calibri" w:hAnsiTheme="minorHAnsi" w:cstheme="minorHAnsi"/>
          <w:sz w:val="22"/>
          <w:szCs w:val="22"/>
          <w:lang w:eastAsia="en-US"/>
        </w:rPr>
        <w:t xml:space="preserve"> desarrollados por la Oficina Nacional de Lucha contra los Delitos de Odio del Ministerio del Interior y aprobados </w:t>
      </w:r>
      <w:r w:rsidR="002D2F9E" w:rsidRPr="002D2F9E">
        <w:rPr>
          <w:rFonts w:asciiTheme="minorHAnsi" w:eastAsia="Calibri" w:hAnsiTheme="minorHAnsi" w:cstheme="minorHAnsi"/>
          <w:sz w:val="22"/>
          <w:szCs w:val="22"/>
          <w:lang w:eastAsia="en-US"/>
        </w:rPr>
        <w:lastRenderedPageBreak/>
        <w:t>mediante Instrucciones de la Se</w:t>
      </w:r>
      <w:r w:rsidR="00E027E5">
        <w:rPr>
          <w:rFonts w:asciiTheme="minorHAnsi" w:eastAsia="Calibri" w:hAnsiTheme="minorHAnsi" w:cstheme="minorHAnsi"/>
          <w:sz w:val="22"/>
          <w:szCs w:val="22"/>
          <w:lang w:eastAsia="en-US"/>
        </w:rPr>
        <w:t>cretaría de Estado de Seguridad</w:t>
      </w:r>
      <w:r w:rsidR="00BF1BB6">
        <w:rPr>
          <w:rFonts w:asciiTheme="minorHAnsi" w:eastAsia="Calibri" w:hAnsiTheme="minorHAnsi" w:cstheme="minorHAnsi"/>
          <w:sz w:val="22"/>
          <w:szCs w:val="22"/>
          <w:lang w:eastAsia="en-US"/>
        </w:rPr>
        <w:t>,</w:t>
      </w:r>
      <w:r w:rsidR="002D2F9E" w:rsidRPr="002D2F9E">
        <w:rPr>
          <w:rFonts w:asciiTheme="minorHAnsi" w:eastAsia="Calibri" w:hAnsiTheme="minorHAnsi" w:cstheme="minorHAnsi"/>
          <w:sz w:val="22"/>
          <w:szCs w:val="22"/>
          <w:lang w:eastAsia="en-US"/>
        </w:rPr>
        <w:t xml:space="preserve"> contemplan varias medidas relativas a la lucha contra la </w:t>
      </w:r>
      <w:proofErr w:type="spellStart"/>
      <w:r w:rsidR="002D2F9E" w:rsidRPr="002D2F9E">
        <w:rPr>
          <w:rFonts w:asciiTheme="minorHAnsi" w:eastAsia="Calibri" w:hAnsiTheme="minorHAnsi" w:cstheme="minorHAnsi"/>
          <w:sz w:val="22"/>
          <w:szCs w:val="22"/>
          <w:lang w:eastAsia="en-US"/>
        </w:rPr>
        <w:t>LGTBIfobia</w:t>
      </w:r>
      <w:proofErr w:type="spellEnd"/>
      <w:r w:rsidR="002D2F9E" w:rsidRPr="002D2F9E">
        <w:rPr>
          <w:rFonts w:asciiTheme="minorHAnsi" w:eastAsia="Calibri" w:hAnsiTheme="minorHAnsi" w:cstheme="minorHAnsi"/>
          <w:sz w:val="22"/>
          <w:szCs w:val="22"/>
          <w:lang w:eastAsia="en-US"/>
        </w:rPr>
        <w:t xml:space="preserve"> y contra cualqui</w:t>
      </w:r>
      <w:r w:rsidR="00BF1BB6">
        <w:rPr>
          <w:rFonts w:asciiTheme="minorHAnsi" w:eastAsia="Calibri" w:hAnsiTheme="minorHAnsi" w:cstheme="minorHAnsi"/>
          <w:sz w:val="22"/>
          <w:szCs w:val="22"/>
          <w:lang w:eastAsia="en-US"/>
        </w:rPr>
        <w:t xml:space="preserve">er otro tipo de discriminación. </w:t>
      </w:r>
      <w:r w:rsidR="002D2F9E" w:rsidRPr="002D2F9E">
        <w:rPr>
          <w:rFonts w:asciiTheme="minorHAnsi" w:eastAsia="Calibri" w:hAnsiTheme="minorHAnsi" w:cstheme="minorHAnsi"/>
          <w:sz w:val="22"/>
          <w:szCs w:val="22"/>
          <w:lang w:eastAsia="en-US"/>
        </w:rPr>
        <w:t xml:space="preserve">El eje central del </w:t>
      </w:r>
      <w:r w:rsidR="002D2F9E" w:rsidRPr="00BF1BB6">
        <w:rPr>
          <w:rFonts w:asciiTheme="minorHAnsi" w:eastAsia="Calibri" w:hAnsiTheme="minorHAnsi" w:cstheme="minorHAnsi"/>
          <w:b/>
          <w:sz w:val="22"/>
          <w:szCs w:val="22"/>
          <w:lang w:eastAsia="en-US"/>
        </w:rPr>
        <w:t>II Plan</w:t>
      </w:r>
      <w:r w:rsidR="00BF1BB6" w:rsidRPr="00BF1BB6">
        <w:rPr>
          <w:rFonts w:asciiTheme="minorHAnsi" w:eastAsia="Calibri" w:hAnsiTheme="minorHAnsi" w:cstheme="minorHAnsi"/>
          <w:b/>
          <w:sz w:val="22"/>
          <w:szCs w:val="22"/>
          <w:lang w:eastAsia="en-US"/>
        </w:rPr>
        <w:t xml:space="preserve"> (2022-2024)</w:t>
      </w:r>
      <w:r w:rsidR="002D2F9E" w:rsidRPr="002D2F9E">
        <w:rPr>
          <w:rFonts w:asciiTheme="minorHAnsi" w:eastAsia="Calibri" w:hAnsiTheme="minorHAnsi" w:cstheme="minorHAnsi"/>
          <w:sz w:val="22"/>
          <w:szCs w:val="22"/>
          <w:lang w:eastAsia="en-US"/>
        </w:rPr>
        <w:t xml:space="preserve"> es el apoyo y asistencia a las víctimas de los delitos de odio. Además, como consecuencia del citado Plan, se ha llevado a cabo la creación de grupos especiales de investigación dedicados a delitos e incidentes de odio dentro de las Unidades de Información de los Cuerpos policiales de ámbito nacional. Así, en</w:t>
      </w:r>
      <w:r w:rsidR="002C525F">
        <w:rPr>
          <w:rFonts w:asciiTheme="minorHAnsi" w:eastAsia="Calibri" w:hAnsiTheme="minorHAnsi" w:cstheme="minorHAnsi"/>
          <w:sz w:val="22"/>
          <w:szCs w:val="22"/>
          <w:lang w:eastAsia="en-US"/>
        </w:rPr>
        <w:t xml:space="preserve"> la</w:t>
      </w:r>
      <w:r w:rsidR="002D2F9E" w:rsidRPr="002D2F9E">
        <w:rPr>
          <w:rFonts w:asciiTheme="minorHAnsi" w:eastAsia="Calibri" w:hAnsiTheme="minorHAnsi" w:cstheme="minorHAnsi"/>
          <w:sz w:val="22"/>
          <w:szCs w:val="22"/>
          <w:lang w:eastAsia="en-US"/>
        </w:rPr>
        <w:t xml:space="preserve"> Policía Nacional se han creado los llamados Grupos EVO (Extremismo violento y Odio) y en Guardia Civil los REDO (Equipos de Respuesta ante Delitos de Odio).</w:t>
      </w:r>
    </w:p>
    <w:p w:rsidR="002D2F9E" w:rsidRPr="002D2F9E" w:rsidRDefault="002D2F9E" w:rsidP="002D2F9E">
      <w:pPr>
        <w:spacing w:before="240" w:line="276" w:lineRule="auto"/>
        <w:jc w:val="both"/>
        <w:rPr>
          <w:rFonts w:asciiTheme="minorHAnsi" w:eastAsia="Calibri" w:hAnsiTheme="minorHAnsi" w:cstheme="minorHAnsi"/>
          <w:sz w:val="22"/>
          <w:szCs w:val="22"/>
          <w:lang w:eastAsia="en-US"/>
        </w:rPr>
      </w:pPr>
      <w:r w:rsidRPr="002D2F9E">
        <w:rPr>
          <w:rFonts w:asciiTheme="minorHAnsi" w:eastAsia="Calibri" w:hAnsiTheme="minorHAnsi" w:cstheme="minorHAnsi"/>
          <w:sz w:val="22"/>
          <w:szCs w:val="22"/>
          <w:lang w:eastAsia="en-US"/>
        </w:rPr>
        <w:t xml:space="preserve">Asimismo, existe el </w:t>
      </w:r>
      <w:r w:rsidRPr="00BF1BB6">
        <w:rPr>
          <w:rFonts w:asciiTheme="minorHAnsi" w:eastAsia="Calibri" w:hAnsiTheme="minorHAnsi" w:cstheme="minorHAnsi"/>
          <w:b/>
          <w:sz w:val="22"/>
          <w:szCs w:val="22"/>
          <w:lang w:eastAsia="en-US"/>
        </w:rPr>
        <w:t xml:space="preserve">“Acuerdo para cooperar institucionalmente en la lucha contra el racismo, la xenofobia, la </w:t>
      </w:r>
      <w:proofErr w:type="spellStart"/>
      <w:r w:rsidRPr="00BF1BB6">
        <w:rPr>
          <w:rFonts w:asciiTheme="minorHAnsi" w:eastAsia="Calibri" w:hAnsiTheme="minorHAnsi" w:cstheme="minorHAnsi"/>
          <w:b/>
          <w:sz w:val="22"/>
          <w:szCs w:val="22"/>
          <w:lang w:eastAsia="en-US"/>
        </w:rPr>
        <w:t>LGTBIfobia</w:t>
      </w:r>
      <w:proofErr w:type="spellEnd"/>
      <w:r w:rsidRPr="00BF1BB6">
        <w:rPr>
          <w:rFonts w:asciiTheme="minorHAnsi" w:eastAsia="Calibri" w:hAnsiTheme="minorHAnsi" w:cstheme="minorHAnsi"/>
          <w:b/>
          <w:sz w:val="22"/>
          <w:szCs w:val="22"/>
          <w:lang w:eastAsia="en-US"/>
        </w:rPr>
        <w:t xml:space="preserve"> y otras formas de intolerancia”</w:t>
      </w:r>
      <w:r w:rsidRPr="002D2F9E">
        <w:rPr>
          <w:rFonts w:asciiTheme="minorHAnsi" w:eastAsia="Calibri" w:hAnsiTheme="minorHAnsi" w:cstheme="minorHAnsi"/>
          <w:sz w:val="22"/>
          <w:szCs w:val="22"/>
          <w:lang w:eastAsia="en-US"/>
        </w:rPr>
        <w:t>, suscrito en el año 2015, y renovado en el año 2018 y septiembre de 2022, por el Consejo General del Poder Judicial, la Fiscalía General del Estado, el Ministerio de Justicia, el Ministerio del Interior, el Ministerio de Educación y Formación Profesional, el Ministerio de Cultura y Deporte, el Ministerio de Derechos Sociales y Agenda 2030, el Ministerio de Igualdad, el Ministerio de Inclusión, Seguridad Social y Migraciones, el Ministerio de Asuntos Económicos y Transformación Digital y el Centro de Estudios Jur</w:t>
      </w:r>
      <w:r w:rsidR="002C525F">
        <w:rPr>
          <w:rFonts w:asciiTheme="minorHAnsi" w:eastAsia="Calibri" w:hAnsiTheme="minorHAnsi" w:cstheme="minorHAnsi"/>
          <w:sz w:val="22"/>
          <w:szCs w:val="22"/>
          <w:lang w:eastAsia="en-US"/>
        </w:rPr>
        <w:t xml:space="preserve">ídicos. El acuerdo cuenta </w:t>
      </w:r>
      <w:r w:rsidRPr="002D2F9E">
        <w:rPr>
          <w:rFonts w:asciiTheme="minorHAnsi" w:eastAsia="Calibri" w:hAnsiTheme="minorHAnsi" w:cstheme="minorHAnsi"/>
          <w:sz w:val="22"/>
          <w:szCs w:val="22"/>
          <w:lang w:eastAsia="en-US"/>
        </w:rPr>
        <w:t>con diferentes grupos de trabajo para prevenir y luchar de manera más eficaz contra este tipo de discriminación.</w:t>
      </w:r>
    </w:p>
    <w:p w:rsidR="002D2F9E" w:rsidRPr="002D2F9E" w:rsidRDefault="002D2F9E" w:rsidP="002D2F9E">
      <w:pPr>
        <w:spacing w:before="240" w:line="276" w:lineRule="auto"/>
        <w:jc w:val="both"/>
        <w:rPr>
          <w:rFonts w:asciiTheme="minorHAnsi" w:eastAsia="Calibri" w:hAnsiTheme="minorHAnsi" w:cstheme="minorHAnsi"/>
          <w:sz w:val="22"/>
          <w:szCs w:val="22"/>
          <w:lang w:eastAsia="en-US"/>
        </w:rPr>
      </w:pPr>
      <w:r w:rsidRPr="002D2F9E">
        <w:rPr>
          <w:rFonts w:asciiTheme="minorHAnsi" w:eastAsia="Calibri" w:hAnsiTheme="minorHAnsi" w:cstheme="minorHAnsi"/>
          <w:sz w:val="22"/>
          <w:szCs w:val="22"/>
          <w:lang w:eastAsia="en-US"/>
        </w:rPr>
        <w:t xml:space="preserve">Por otro lado, el </w:t>
      </w:r>
      <w:r w:rsidRPr="00BF1BB6">
        <w:rPr>
          <w:rFonts w:asciiTheme="minorHAnsi" w:eastAsia="Calibri" w:hAnsiTheme="minorHAnsi" w:cstheme="minorHAnsi"/>
          <w:b/>
          <w:sz w:val="22"/>
          <w:szCs w:val="22"/>
          <w:lang w:eastAsia="en-US"/>
        </w:rPr>
        <w:t>“Plan director para la convivencia y mejora de la seguridad en los centros educativos y sus entornos”,</w:t>
      </w:r>
      <w:r w:rsidRPr="002D2F9E">
        <w:rPr>
          <w:rFonts w:asciiTheme="minorHAnsi" w:eastAsia="Calibri" w:hAnsiTheme="minorHAnsi" w:cstheme="minorHAnsi"/>
          <w:sz w:val="22"/>
          <w:szCs w:val="22"/>
          <w:lang w:eastAsia="en-US"/>
        </w:rPr>
        <w:t xml:space="preserve"> mediante la Instrucción n° 6/2023 de la Secretaría de Estado de Seguridad, ha atendido la imperiosa necesidad de incorporar las novedades legislativas relacionadas con la protección integral de la infancia y adolescencia frente a la violencia y con la protección integral frente a actos de violencia sexual.</w:t>
      </w:r>
    </w:p>
    <w:p w:rsidR="002D2F9E" w:rsidRPr="002D2F9E" w:rsidRDefault="002D2F9E" w:rsidP="002D2F9E">
      <w:pPr>
        <w:spacing w:before="240" w:line="276" w:lineRule="auto"/>
        <w:jc w:val="both"/>
        <w:rPr>
          <w:rFonts w:asciiTheme="minorHAnsi" w:eastAsia="Calibri" w:hAnsiTheme="minorHAnsi" w:cstheme="minorHAnsi"/>
          <w:sz w:val="22"/>
          <w:szCs w:val="22"/>
          <w:lang w:eastAsia="en-US"/>
        </w:rPr>
      </w:pPr>
      <w:r w:rsidRPr="002D2F9E">
        <w:rPr>
          <w:rFonts w:asciiTheme="minorHAnsi" w:eastAsia="Calibri" w:hAnsiTheme="minorHAnsi" w:cstheme="minorHAnsi"/>
          <w:sz w:val="22"/>
          <w:szCs w:val="22"/>
          <w:lang w:eastAsia="en-US"/>
        </w:rPr>
        <w:t>Igualmente, la Secretaría de Estado de Seguridad</w:t>
      </w:r>
      <w:r w:rsidR="00BF1BB6">
        <w:rPr>
          <w:rFonts w:asciiTheme="minorHAnsi" w:eastAsia="Calibri" w:hAnsiTheme="minorHAnsi" w:cstheme="minorHAnsi"/>
          <w:sz w:val="22"/>
          <w:szCs w:val="22"/>
          <w:lang w:eastAsia="en-US"/>
        </w:rPr>
        <w:t xml:space="preserve"> del Ministerio del Interior</w:t>
      </w:r>
      <w:r w:rsidRPr="002D2F9E">
        <w:rPr>
          <w:rFonts w:asciiTheme="minorHAnsi" w:eastAsia="Calibri" w:hAnsiTheme="minorHAnsi" w:cstheme="minorHAnsi"/>
          <w:sz w:val="22"/>
          <w:szCs w:val="22"/>
          <w:lang w:eastAsia="en-US"/>
        </w:rPr>
        <w:t xml:space="preserve"> ha aprobado un “Procedimiento integral de la detención policial” mediante la Instrucción núm. 1/2024, que tiene por finalidad regular la actuación del personal que integra las FCSE ante la detención de cualquier ciudadano, incluye un </w:t>
      </w:r>
      <w:r w:rsidRPr="002C525F">
        <w:rPr>
          <w:rFonts w:asciiTheme="minorHAnsi" w:eastAsia="Calibri" w:hAnsiTheme="minorHAnsi" w:cstheme="minorHAnsi"/>
          <w:b/>
          <w:sz w:val="22"/>
          <w:szCs w:val="22"/>
          <w:lang w:eastAsia="en-US"/>
        </w:rPr>
        <w:t xml:space="preserve">protocolo específico de actuación policial con personas </w:t>
      </w:r>
      <w:r w:rsidR="00472797" w:rsidRPr="002C525F">
        <w:rPr>
          <w:rFonts w:asciiTheme="minorHAnsi" w:eastAsia="Calibri" w:hAnsiTheme="minorHAnsi" w:cstheme="minorHAnsi"/>
          <w:b/>
          <w:sz w:val="22"/>
          <w:szCs w:val="22"/>
          <w:lang w:eastAsia="en-US"/>
        </w:rPr>
        <w:t>LGBTQI+</w:t>
      </w:r>
      <w:r w:rsidRPr="002D2F9E">
        <w:rPr>
          <w:rFonts w:asciiTheme="minorHAnsi" w:eastAsia="Calibri" w:hAnsiTheme="minorHAnsi" w:cstheme="minorHAnsi"/>
          <w:sz w:val="22"/>
          <w:szCs w:val="22"/>
          <w:lang w:eastAsia="en-US"/>
        </w:rPr>
        <w:t>, colectivo reconocido expresamente en la instrucción como especialmente vulnerable. En dicho protocolo, para garantizar sus derechos, se prevén las actu</w:t>
      </w:r>
      <w:r w:rsidR="00E027E5">
        <w:rPr>
          <w:rFonts w:asciiTheme="minorHAnsi" w:eastAsia="Calibri" w:hAnsiTheme="minorHAnsi" w:cstheme="minorHAnsi"/>
          <w:sz w:val="22"/>
          <w:szCs w:val="22"/>
          <w:lang w:eastAsia="en-US"/>
        </w:rPr>
        <w:t xml:space="preserve">aciones policiales siguientes: </w:t>
      </w:r>
    </w:p>
    <w:p w:rsidR="002D2F9E" w:rsidRPr="002D2F9E" w:rsidRDefault="009C6D48" w:rsidP="002D2F9E">
      <w:pPr>
        <w:spacing w:before="240"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2D2F9E" w:rsidRPr="002D2F9E">
        <w:rPr>
          <w:rFonts w:asciiTheme="minorHAnsi" w:eastAsia="Calibri" w:hAnsiTheme="minorHAnsi" w:cstheme="minorHAnsi"/>
          <w:sz w:val="22"/>
          <w:szCs w:val="22"/>
          <w:lang w:eastAsia="en-US"/>
        </w:rPr>
        <w:t xml:space="preserve">Respeto a la identidad y/o expresión de género de toda persona bajo custodia policial, atendiendo en todo caso las manifestaciones de la persona relativas a su orientación sexual, identidad de género o características sexuales, independientemente del sexo que figure en su documentación de identidad. </w:t>
      </w:r>
    </w:p>
    <w:p w:rsidR="009C6D48" w:rsidRDefault="009C6D48" w:rsidP="002D2F9E">
      <w:pPr>
        <w:spacing w:before="240"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2D2F9E" w:rsidRPr="002D2F9E">
        <w:rPr>
          <w:rFonts w:asciiTheme="minorHAnsi" w:eastAsia="Calibri" w:hAnsiTheme="minorHAnsi" w:cstheme="minorHAnsi"/>
          <w:sz w:val="22"/>
          <w:szCs w:val="22"/>
          <w:lang w:eastAsia="en-US"/>
        </w:rPr>
        <w:t>Durante su estancia en las áreas de custodia de detenidos (ACUDE) se procurará, en la medida de lo posible, su permanencia en una celda individual. En caso de no ser factible, se garantizará por la persona responsable de las ACUDE que su estancia sea lo más adecuada conforme a la identidad o expresión de género conocida o manifestada.</w:t>
      </w:r>
    </w:p>
    <w:p w:rsidR="009C6D48" w:rsidRPr="009C6D48" w:rsidRDefault="009C6D48" w:rsidP="009C6D48">
      <w:pPr>
        <w:numPr>
          <w:ilvl w:val="0"/>
          <w:numId w:val="6"/>
        </w:numPr>
        <w:spacing w:before="240" w:line="276" w:lineRule="auto"/>
        <w:jc w:val="both"/>
        <w:rPr>
          <w:rFonts w:asciiTheme="minorHAnsi" w:eastAsia="Calibri" w:hAnsiTheme="minorHAnsi" w:cstheme="minorHAnsi"/>
          <w:b/>
          <w:bCs/>
          <w:sz w:val="22"/>
          <w:szCs w:val="22"/>
          <w:lang w:eastAsia="en-US"/>
        </w:rPr>
      </w:pPr>
      <w:r w:rsidRPr="009C6D48">
        <w:rPr>
          <w:rFonts w:asciiTheme="minorHAnsi" w:eastAsia="Calibri" w:hAnsiTheme="minorHAnsi" w:cstheme="minorHAnsi"/>
          <w:b/>
          <w:bCs/>
          <w:sz w:val="22"/>
          <w:szCs w:val="22"/>
          <w:lang w:eastAsia="en-US"/>
        </w:rPr>
        <w:t xml:space="preserve">Cualquier recomendación sobre leyes, instituciones, políticas y prácticas que puedan resultar en la reducción de muertes ilegales de personas </w:t>
      </w:r>
      <w:r w:rsidR="00472797">
        <w:rPr>
          <w:rFonts w:asciiTheme="minorHAnsi" w:eastAsia="Calibri" w:hAnsiTheme="minorHAnsi" w:cstheme="minorHAnsi"/>
          <w:b/>
          <w:bCs/>
          <w:sz w:val="22"/>
          <w:szCs w:val="22"/>
          <w:lang w:eastAsia="en-US"/>
        </w:rPr>
        <w:t>LGBTQI+</w:t>
      </w:r>
      <w:r w:rsidRPr="009C6D48">
        <w:rPr>
          <w:rFonts w:asciiTheme="minorHAnsi" w:eastAsia="Calibri" w:hAnsiTheme="minorHAnsi" w:cstheme="minorHAnsi"/>
          <w:b/>
          <w:bCs/>
          <w:sz w:val="22"/>
          <w:szCs w:val="22"/>
          <w:lang w:eastAsia="en-US"/>
        </w:rPr>
        <w:t>.</w:t>
      </w:r>
    </w:p>
    <w:p w:rsidR="009C6D48" w:rsidRPr="009C6D48" w:rsidRDefault="009C6D48" w:rsidP="009C6D48">
      <w:pPr>
        <w:spacing w:before="240" w:line="276" w:lineRule="auto"/>
        <w:jc w:val="both"/>
        <w:rPr>
          <w:rFonts w:asciiTheme="minorHAnsi" w:eastAsia="Calibri" w:hAnsiTheme="minorHAnsi" w:cstheme="minorHAnsi"/>
          <w:sz w:val="22"/>
          <w:szCs w:val="22"/>
          <w:lang w:eastAsia="en-US"/>
        </w:rPr>
      </w:pPr>
      <w:r w:rsidRPr="009C6D48">
        <w:rPr>
          <w:rFonts w:asciiTheme="minorHAnsi" w:eastAsia="Calibri" w:hAnsiTheme="minorHAnsi" w:cstheme="minorHAnsi"/>
          <w:sz w:val="22"/>
          <w:szCs w:val="22"/>
          <w:lang w:eastAsia="en-US"/>
        </w:rPr>
        <w:t>Para reducir las muertes ilegal</w:t>
      </w:r>
      <w:r>
        <w:rPr>
          <w:rFonts w:asciiTheme="minorHAnsi" w:eastAsia="Calibri" w:hAnsiTheme="minorHAnsi" w:cstheme="minorHAnsi"/>
          <w:sz w:val="22"/>
          <w:szCs w:val="22"/>
          <w:lang w:eastAsia="en-US"/>
        </w:rPr>
        <w:t xml:space="preserve">es de personas </w:t>
      </w:r>
      <w:r w:rsidR="00472797">
        <w:rPr>
          <w:rFonts w:asciiTheme="minorHAnsi" w:eastAsia="Calibri" w:hAnsiTheme="minorHAnsi" w:cstheme="minorHAnsi"/>
          <w:sz w:val="22"/>
          <w:szCs w:val="22"/>
          <w:lang w:eastAsia="en-US"/>
        </w:rPr>
        <w:t>LGBTQI+</w:t>
      </w:r>
      <w:r>
        <w:rPr>
          <w:rFonts w:asciiTheme="minorHAnsi" w:eastAsia="Calibri" w:hAnsiTheme="minorHAnsi" w:cstheme="minorHAnsi"/>
          <w:sz w:val="22"/>
          <w:szCs w:val="22"/>
          <w:lang w:eastAsia="en-US"/>
        </w:rPr>
        <w:t xml:space="preserve"> en España</w:t>
      </w:r>
      <w:r w:rsidRPr="009C6D48">
        <w:rPr>
          <w:rFonts w:asciiTheme="minorHAnsi" w:eastAsia="Calibri" w:hAnsiTheme="minorHAnsi" w:cstheme="minorHAnsi"/>
          <w:sz w:val="22"/>
          <w:szCs w:val="22"/>
          <w:lang w:eastAsia="en-US"/>
        </w:rPr>
        <w:t xml:space="preserve"> se recomienda fortalecer las leyes existentes contra los delitos de odio, asegurando una aplicación efect</w:t>
      </w:r>
      <w:r>
        <w:rPr>
          <w:rFonts w:asciiTheme="minorHAnsi" w:eastAsia="Calibri" w:hAnsiTheme="minorHAnsi" w:cstheme="minorHAnsi"/>
          <w:sz w:val="22"/>
          <w:szCs w:val="22"/>
          <w:lang w:eastAsia="en-US"/>
        </w:rPr>
        <w:t xml:space="preserve">iva y uniforme en </w:t>
      </w:r>
      <w:r>
        <w:rPr>
          <w:rFonts w:asciiTheme="minorHAnsi" w:eastAsia="Calibri" w:hAnsiTheme="minorHAnsi" w:cstheme="minorHAnsi"/>
          <w:sz w:val="22"/>
          <w:szCs w:val="22"/>
          <w:lang w:eastAsia="en-US"/>
        </w:rPr>
        <w:lastRenderedPageBreak/>
        <w:t>todo el país. Resulta</w:t>
      </w:r>
      <w:r w:rsidRPr="009C6D48">
        <w:rPr>
          <w:rFonts w:asciiTheme="minorHAnsi" w:eastAsia="Calibri" w:hAnsiTheme="minorHAnsi" w:cstheme="minorHAnsi"/>
          <w:sz w:val="22"/>
          <w:szCs w:val="22"/>
          <w:lang w:eastAsia="en-US"/>
        </w:rPr>
        <w:t xml:space="preserve"> crucial mejorar la formación y sensibilización de las fuerzas de seguridad y del s</w:t>
      </w:r>
      <w:r>
        <w:rPr>
          <w:rFonts w:asciiTheme="minorHAnsi" w:eastAsia="Calibri" w:hAnsiTheme="minorHAnsi" w:cstheme="minorHAnsi"/>
          <w:sz w:val="22"/>
          <w:szCs w:val="22"/>
          <w:lang w:eastAsia="en-US"/>
        </w:rPr>
        <w:t xml:space="preserve">istema judicial en temas </w:t>
      </w:r>
      <w:r w:rsidR="00472797">
        <w:rPr>
          <w:rFonts w:asciiTheme="minorHAnsi" w:eastAsia="Calibri" w:hAnsiTheme="minorHAnsi" w:cstheme="minorHAnsi"/>
          <w:sz w:val="22"/>
          <w:szCs w:val="22"/>
          <w:lang w:eastAsia="en-US"/>
        </w:rPr>
        <w:t>LGBTQI+</w:t>
      </w:r>
      <w:r w:rsidRPr="009C6D48">
        <w:rPr>
          <w:rFonts w:asciiTheme="minorHAnsi" w:eastAsia="Calibri" w:hAnsiTheme="minorHAnsi" w:cstheme="minorHAnsi"/>
          <w:sz w:val="22"/>
          <w:szCs w:val="22"/>
          <w:lang w:eastAsia="en-US"/>
        </w:rPr>
        <w:t xml:space="preserve"> para que puedan identificar y responder adecuadamente a los crímenes de odio.</w:t>
      </w:r>
    </w:p>
    <w:p w:rsidR="00E027E5" w:rsidRPr="009C6D48" w:rsidRDefault="009C6D48" w:rsidP="009C6D48">
      <w:pPr>
        <w:spacing w:before="240"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Por otra parte, l</w:t>
      </w:r>
      <w:r w:rsidRPr="009C6D48">
        <w:rPr>
          <w:rFonts w:asciiTheme="minorHAnsi" w:eastAsia="Calibri" w:hAnsiTheme="minorHAnsi" w:cstheme="minorHAnsi"/>
          <w:sz w:val="22"/>
          <w:szCs w:val="22"/>
          <w:lang w:eastAsia="en-US"/>
        </w:rPr>
        <w:t>as instituciones deben establecer mecanismos de denuncia accesibles y seguros para las víctimas de violencia y discriminación, gara</w:t>
      </w:r>
      <w:r>
        <w:rPr>
          <w:rFonts w:asciiTheme="minorHAnsi" w:eastAsia="Calibri" w:hAnsiTheme="minorHAnsi" w:cstheme="minorHAnsi"/>
          <w:sz w:val="22"/>
          <w:szCs w:val="22"/>
          <w:lang w:eastAsia="en-US"/>
        </w:rPr>
        <w:t xml:space="preserve">ntizando su protección y apoyo. </w:t>
      </w:r>
      <w:r w:rsidRPr="009C6D48">
        <w:rPr>
          <w:rFonts w:asciiTheme="minorHAnsi" w:eastAsia="Calibri" w:hAnsiTheme="minorHAnsi" w:cstheme="minorHAnsi"/>
          <w:sz w:val="22"/>
          <w:szCs w:val="22"/>
          <w:lang w:eastAsia="en-US"/>
        </w:rPr>
        <w:t>Además, es necesario implementar políticas educativas que promuevan la diversidad y el respeto desde temprana edad, así como campañas de sensibilización públi</w:t>
      </w:r>
      <w:r>
        <w:rPr>
          <w:rFonts w:asciiTheme="minorHAnsi" w:eastAsia="Calibri" w:hAnsiTheme="minorHAnsi" w:cstheme="minorHAnsi"/>
          <w:sz w:val="22"/>
          <w:szCs w:val="22"/>
          <w:lang w:eastAsia="en-US"/>
        </w:rPr>
        <w:t xml:space="preserve">ca para combatir la </w:t>
      </w:r>
      <w:proofErr w:type="spellStart"/>
      <w:r>
        <w:rPr>
          <w:rFonts w:asciiTheme="minorHAnsi" w:eastAsia="Calibri" w:hAnsiTheme="minorHAnsi" w:cstheme="minorHAnsi"/>
          <w:sz w:val="22"/>
          <w:szCs w:val="22"/>
          <w:lang w:eastAsia="en-US"/>
        </w:rPr>
        <w:t>LGTBIfobia</w:t>
      </w:r>
      <w:proofErr w:type="spellEnd"/>
      <w:r>
        <w:rPr>
          <w:rFonts w:asciiTheme="minorHAnsi" w:eastAsia="Calibri" w:hAnsiTheme="minorHAnsi" w:cstheme="minorHAnsi"/>
          <w:sz w:val="22"/>
          <w:szCs w:val="22"/>
          <w:lang w:eastAsia="en-US"/>
        </w:rPr>
        <w:t xml:space="preserve">- </w:t>
      </w:r>
      <w:r w:rsidRPr="009C6D48">
        <w:rPr>
          <w:rFonts w:asciiTheme="minorHAnsi" w:eastAsia="Calibri" w:hAnsiTheme="minorHAnsi" w:cstheme="minorHAnsi"/>
          <w:sz w:val="22"/>
          <w:szCs w:val="22"/>
          <w:lang w:eastAsia="en-US"/>
        </w:rPr>
        <w:t xml:space="preserve">Finalmente, se debe asegurar la colaboración efectiva entre organismos gubernamentales, </w:t>
      </w:r>
      <w:proofErr w:type="spellStart"/>
      <w:r w:rsidRPr="009C6D48">
        <w:rPr>
          <w:rFonts w:asciiTheme="minorHAnsi" w:eastAsia="Calibri" w:hAnsiTheme="minorHAnsi" w:cstheme="minorHAnsi"/>
          <w:sz w:val="22"/>
          <w:szCs w:val="22"/>
          <w:lang w:eastAsia="en-US"/>
        </w:rPr>
        <w:t>ONG</w:t>
      </w:r>
      <w:r>
        <w:rPr>
          <w:rFonts w:asciiTheme="minorHAnsi" w:eastAsia="Calibri" w:hAnsiTheme="minorHAnsi" w:cstheme="minorHAnsi"/>
          <w:sz w:val="22"/>
          <w:szCs w:val="22"/>
          <w:lang w:eastAsia="en-US"/>
        </w:rPr>
        <w:t>s</w:t>
      </w:r>
      <w:proofErr w:type="spellEnd"/>
      <w:r w:rsidRPr="009C6D48">
        <w:rPr>
          <w:rFonts w:asciiTheme="minorHAnsi" w:eastAsia="Calibri" w:hAnsiTheme="minorHAnsi" w:cstheme="minorHAnsi"/>
          <w:sz w:val="22"/>
          <w:szCs w:val="22"/>
          <w:lang w:eastAsia="en-US"/>
        </w:rPr>
        <w:t xml:space="preserve"> y la comunidad </w:t>
      </w:r>
      <w:r w:rsidR="00472797">
        <w:rPr>
          <w:rFonts w:asciiTheme="minorHAnsi" w:eastAsia="Calibri" w:hAnsiTheme="minorHAnsi" w:cstheme="minorHAnsi"/>
          <w:sz w:val="22"/>
          <w:szCs w:val="22"/>
          <w:lang w:eastAsia="en-US"/>
        </w:rPr>
        <w:t>LGBTQI+</w:t>
      </w:r>
      <w:r w:rsidRPr="009C6D48">
        <w:rPr>
          <w:rFonts w:asciiTheme="minorHAnsi" w:eastAsia="Calibri" w:hAnsiTheme="minorHAnsi" w:cstheme="minorHAnsi"/>
          <w:sz w:val="22"/>
          <w:szCs w:val="22"/>
          <w:lang w:eastAsia="en-US"/>
        </w:rPr>
        <w:t xml:space="preserve"> para desarrollar y aplicar prácticas que promuevan la inclusión y seguridad de todas las personas.</w:t>
      </w:r>
    </w:p>
    <w:p w:rsidR="009C6D48" w:rsidRPr="009C6D48" w:rsidRDefault="009C6D48" w:rsidP="009C6D48">
      <w:pPr>
        <w:numPr>
          <w:ilvl w:val="0"/>
          <w:numId w:val="6"/>
        </w:numPr>
        <w:autoSpaceDE w:val="0"/>
        <w:autoSpaceDN w:val="0"/>
        <w:adjustRightInd w:val="0"/>
        <w:spacing w:before="240" w:line="276" w:lineRule="auto"/>
        <w:jc w:val="both"/>
        <w:rPr>
          <w:rFonts w:asciiTheme="minorHAnsi" w:eastAsia="Calibri" w:hAnsiTheme="minorHAnsi" w:cstheme="minorHAnsi"/>
          <w:b/>
          <w:bCs/>
          <w:sz w:val="22"/>
          <w:szCs w:val="22"/>
          <w:lang w:eastAsia="en-US"/>
        </w:rPr>
      </w:pPr>
      <w:r w:rsidRPr="009C6D48">
        <w:rPr>
          <w:rFonts w:asciiTheme="minorHAnsi" w:eastAsia="Calibri" w:hAnsiTheme="minorHAnsi" w:cstheme="minorHAnsi"/>
          <w:b/>
          <w:bCs/>
          <w:sz w:val="22"/>
          <w:szCs w:val="22"/>
          <w:lang w:eastAsia="en-US"/>
        </w:rPr>
        <w:t xml:space="preserve">Leyes, instituciones, políticas y prácticas existentes que no protegen, o parecen hacerlo, el derecho a la vida de las personas </w:t>
      </w:r>
      <w:r w:rsidR="00472797">
        <w:rPr>
          <w:rFonts w:asciiTheme="minorHAnsi" w:eastAsia="Calibri" w:hAnsiTheme="minorHAnsi" w:cstheme="minorHAnsi"/>
          <w:b/>
          <w:bCs/>
          <w:sz w:val="22"/>
          <w:szCs w:val="22"/>
          <w:lang w:eastAsia="en-US"/>
        </w:rPr>
        <w:t>LGBTQI+</w:t>
      </w:r>
      <w:r w:rsidRPr="009C6D48">
        <w:rPr>
          <w:rFonts w:asciiTheme="minorHAnsi" w:eastAsia="Calibri" w:hAnsiTheme="minorHAnsi" w:cstheme="minorHAnsi"/>
          <w:b/>
          <w:bCs/>
          <w:sz w:val="22"/>
          <w:szCs w:val="22"/>
          <w:lang w:eastAsia="en-US"/>
        </w:rPr>
        <w:t>.</w:t>
      </w:r>
    </w:p>
    <w:p w:rsidR="009C6D48" w:rsidRDefault="009C6D48" w:rsidP="009C6D48">
      <w:pPr>
        <w:autoSpaceDE w:val="0"/>
        <w:autoSpaceDN w:val="0"/>
        <w:adjustRightInd w:val="0"/>
        <w:spacing w:before="240" w:line="276" w:lineRule="auto"/>
        <w:jc w:val="both"/>
        <w:rPr>
          <w:rFonts w:asciiTheme="minorHAnsi" w:eastAsia="Calibri" w:hAnsiTheme="minorHAnsi" w:cstheme="minorHAnsi"/>
          <w:sz w:val="22"/>
          <w:szCs w:val="22"/>
          <w:lang w:eastAsia="en-US"/>
        </w:rPr>
      </w:pPr>
      <w:r w:rsidRPr="009C6D48">
        <w:rPr>
          <w:rFonts w:asciiTheme="minorHAnsi" w:eastAsia="Calibri" w:hAnsiTheme="minorHAnsi" w:cstheme="minorHAnsi"/>
          <w:sz w:val="22"/>
          <w:szCs w:val="22"/>
          <w:lang w:eastAsia="en-US"/>
        </w:rPr>
        <w:t xml:space="preserve">No se da tal caso en España. </w:t>
      </w:r>
    </w:p>
    <w:p w:rsidR="009C6D48" w:rsidRPr="009C6D48" w:rsidRDefault="009C6D48" w:rsidP="009C6D48">
      <w:pPr>
        <w:numPr>
          <w:ilvl w:val="0"/>
          <w:numId w:val="6"/>
        </w:numPr>
        <w:spacing w:before="240" w:line="276" w:lineRule="auto"/>
        <w:jc w:val="both"/>
        <w:rPr>
          <w:rFonts w:asciiTheme="minorHAnsi" w:eastAsia="Calibri" w:hAnsiTheme="minorHAnsi" w:cstheme="minorHAnsi"/>
          <w:b/>
          <w:bCs/>
          <w:sz w:val="22"/>
          <w:szCs w:val="22"/>
          <w:lang w:eastAsia="en-US"/>
        </w:rPr>
      </w:pPr>
      <w:r w:rsidRPr="009C6D48">
        <w:rPr>
          <w:rFonts w:asciiTheme="minorHAnsi" w:eastAsia="Calibri" w:hAnsiTheme="minorHAnsi" w:cstheme="minorHAnsi"/>
          <w:b/>
          <w:bCs/>
          <w:sz w:val="22"/>
          <w:szCs w:val="22"/>
          <w:lang w:eastAsia="en-US"/>
        </w:rPr>
        <w:t>Casos y ejemplos de falta de respeto y pro</w:t>
      </w:r>
      <w:r>
        <w:rPr>
          <w:rFonts w:asciiTheme="minorHAnsi" w:eastAsia="Calibri" w:hAnsiTheme="minorHAnsi" w:cstheme="minorHAnsi"/>
          <w:b/>
          <w:bCs/>
          <w:sz w:val="22"/>
          <w:szCs w:val="22"/>
          <w:lang w:eastAsia="en-US"/>
        </w:rPr>
        <w:t>tección del derecho a la vida d</w:t>
      </w:r>
      <w:r w:rsidRPr="009C6D48">
        <w:rPr>
          <w:rFonts w:asciiTheme="minorHAnsi" w:eastAsia="Calibri" w:hAnsiTheme="minorHAnsi" w:cstheme="minorHAnsi"/>
          <w:b/>
          <w:bCs/>
          <w:sz w:val="22"/>
          <w:szCs w:val="22"/>
          <w:lang w:eastAsia="en-US"/>
        </w:rPr>
        <w:t xml:space="preserve">e las personas </w:t>
      </w:r>
      <w:r w:rsidR="00472797">
        <w:rPr>
          <w:rFonts w:asciiTheme="minorHAnsi" w:eastAsia="Calibri" w:hAnsiTheme="minorHAnsi" w:cstheme="minorHAnsi"/>
          <w:b/>
          <w:bCs/>
          <w:sz w:val="22"/>
          <w:szCs w:val="22"/>
          <w:lang w:eastAsia="en-US"/>
        </w:rPr>
        <w:t>LGBTQI+</w:t>
      </w:r>
      <w:r w:rsidRPr="009C6D48">
        <w:rPr>
          <w:rFonts w:asciiTheme="minorHAnsi" w:eastAsia="Calibri" w:hAnsiTheme="minorHAnsi" w:cstheme="minorHAnsi"/>
          <w:b/>
          <w:bCs/>
          <w:sz w:val="22"/>
          <w:szCs w:val="22"/>
          <w:lang w:eastAsia="en-US"/>
        </w:rPr>
        <w:t xml:space="preserve"> durante 2020-2024.</w:t>
      </w:r>
    </w:p>
    <w:p w:rsidR="009C6D48" w:rsidRPr="009C6D48" w:rsidRDefault="009C6D48" w:rsidP="009C6D48">
      <w:pPr>
        <w:spacing w:before="240" w:line="276" w:lineRule="auto"/>
        <w:jc w:val="both"/>
        <w:rPr>
          <w:rFonts w:asciiTheme="minorHAnsi" w:eastAsia="Calibri" w:hAnsiTheme="minorHAnsi" w:cstheme="minorHAnsi"/>
          <w:sz w:val="22"/>
          <w:szCs w:val="22"/>
          <w:lang w:eastAsia="en-US"/>
        </w:rPr>
      </w:pPr>
      <w:r w:rsidRPr="009C6D48">
        <w:rPr>
          <w:rFonts w:asciiTheme="minorHAnsi" w:eastAsia="Calibri" w:hAnsiTheme="minorHAnsi" w:cstheme="minorHAnsi"/>
          <w:sz w:val="22"/>
          <w:szCs w:val="22"/>
          <w:lang w:eastAsia="en-US"/>
        </w:rPr>
        <w:t xml:space="preserve">La última edición del </w:t>
      </w:r>
      <w:proofErr w:type="spellStart"/>
      <w:r w:rsidRPr="009C6D48">
        <w:rPr>
          <w:rFonts w:asciiTheme="minorHAnsi" w:eastAsia="Calibri" w:hAnsiTheme="minorHAnsi" w:cstheme="minorHAnsi"/>
          <w:i/>
          <w:sz w:val="22"/>
          <w:szCs w:val="22"/>
          <w:lang w:eastAsia="en-US"/>
        </w:rPr>
        <w:t>Rainbow</w:t>
      </w:r>
      <w:proofErr w:type="spellEnd"/>
      <w:r w:rsidRPr="009C6D48">
        <w:rPr>
          <w:rFonts w:asciiTheme="minorHAnsi" w:eastAsia="Calibri" w:hAnsiTheme="minorHAnsi" w:cstheme="minorHAnsi"/>
          <w:i/>
          <w:sz w:val="22"/>
          <w:szCs w:val="22"/>
          <w:lang w:eastAsia="en-US"/>
        </w:rPr>
        <w:t xml:space="preserve"> </w:t>
      </w:r>
      <w:proofErr w:type="spellStart"/>
      <w:r w:rsidRPr="009C6D48">
        <w:rPr>
          <w:rFonts w:asciiTheme="minorHAnsi" w:eastAsia="Calibri" w:hAnsiTheme="minorHAnsi" w:cstheme="minorHAnsi"/>
          <w:i/>
          <w:sz w:val="22"/>
          <w:szCs w:val="22"/>
          <w:lang w:eastAsia="en-US"/>
        </w:rPr>
        <w:t>index</w:t>
      </w:r>
      <w:proofErr w:type="spellEnd"/>
      <w:r w:rsidRPr="009C6D48">
        <w:rPr>
          <w:rFonts w:asciiTheme="minorHAnsi" w:eastAsia="Calibri" w:hAnsiTheme="minorHAnsi" w:cstheme="minorHAnsi"/>
          <w:sz w:val="22"/>
          <w:szCs w:val="22"/>
          <w:lang w:eastAsia="en-US"/>
        </w:rPr>
        <w:t xml:space="preserve"> de </w:t>
      </w:r>
      <w:r w:rsidRPr="009C6D48">
        <w:rPr>
          <w:rFonts w:asciiTheme="minorHAnsi" w:eastAsia="Calibri" w:hAnsiTheme="minorHAnsi" w:cstheme="minorHAnsi"/>
          <w:i/>
          <w:sz w:val="22"/>
          <w:szCs w:val="22"/>
          <w:lang w:eastAsia="en-US"/>
        </w:rPr>
        <w:t xml:space="preserve">ILGA </w:t>
      </w:r>
      <w:proofErr w:type="spellStart"/>
      <w:r w:rsidRPr="009C6D48">
        <w:rPr>
          <w:rFonts w:asciiTheme="minorHAnsi" w:eastAsia="Calibri" w:hAnsiTheme="minorHAnsi" w:cstheme="minorHAnsi"/>
          <w:i/>
          <w:sz w:val="22"/>
          <w:szCs w:val="22"/>
          <w:lang w:eastAsia="en-US"/>
        </w:rPr>
        <w:t>Europe</w:t>
      </w:r>
      <w:proofErr w:type="spellEnd"/>
      <w:r w:rsidR="005F578C">
        <w:rPr>
          <w:rFonts w:asciiTheme="minorHAnsi" w:eastAsia="Calibri" w:hAnsiTheme="minorHAnsi" w:cstheme="minorHAnsi"/>
          <w:sz w:val="22"/>
          <w:szCs w:val="22"/>
          <w:lang w:eastAsia="en-US"/>
        </w:rPr>
        <w:t xml:space="preserve"> recoge</w:t>
      </w:r>
      <w:r w:rsidRPr="009C6D48">
        <w:rPr>
          <w:rFonts w:asciiTheme="minorHAnsi" w:eastAsia="Calibri" w:hAnsiTheme="minorHAnsi" w:cstheme="minorHAnsi"/>
          <w:sz w:val="22"/>
          <w:szCs w:val="22"/>
          <w:lang w:eastAsia="en-US"/>
        </w:rPr>
        <w:t xml:space="preserve"> que el </w:t>
      </w:r>
      <w:r w:rsidRPr="0094715F">
        <w:rPr>
          <w:rFonts w:asciiTheme="minorHAnsi" w:eastAsia="Calibri" w:hAnsiTheme="minorHAnsi" w:cstheme="minorHAnsi"/>
          <w:b/>
          <w:sz w:val="22"/>
          <w:szCs w:val="22"/>
          <w:lang w:eastAsia="en-US"/>
        </w:rPr>
        <w:t>discurso de odio online</w:t>
      </w:r>
      <w:r w:rsidR="00C15F23">
        <w:rPr>
          <w:rFonts w:asciiTheme="minorHAnsi" w:eastAsia="Calibri" w:hAnsiTheme="minorHAnsi" w:cstheme="minorHAnsi"/>
          <w:sz w:val="22"/>
          <w:szCs w:val="22"/>
          <w:lang w:eastAsia="en-US"/>
        </w:rPr>
        <w:t xml:space="preserve"> anti-LGBTQI+</w:t>
      </w:r>
      <w:r w:rsidRPr="009C6D48">
        <w:rPr>
          <w:rFonts w:asciiTheme="minorHAnsi" w:eastAsia="Calibri" w:hAnsiTheme="minorHAnsi" w:cstheme="minorHAnsi"/>
          <w:sz w:val="22"/>
          <w:szCs w:val="22"/>
          <w:lang w:eastAsia="en-US"/>
        </w:rPr>
        <w:t xml:space="preserve"> en España ha crecido un 130% entre 2019 y 2022, dirigiéndose fundamentalment</w:t>
      </w:r>
      <w:r w:rsidR="005F578C">
        <w:rPr>
          <w:rFonts w:asciiTheme="minorHAnsi" w:eastAsia="Calibri" w:hAnsiTheme="minorHAnsi" w:cstheme="minorHAnsi"/>
          <w:sz w:val="22"/>
          <w:szCs w:val="22"/>
          <w:lang w:eastAsia="en-US"/>
        </w:rPr>
        <w:t xml:space="preserve">e hacia las personas </w:t>
      </w:r>
      <w:proofErr w:type="spellStart"/>
      <w:r w:rsidR="005F578C">
        <w:rPr>
          <w:rFonts w:asciiTheme="minorHAnsi" w:eastAsia="Calibri" w:hAnsiTheme="minorHAnsi" w:cstheme="minorHAnsi"/>
          <w:sz w:val="22"/>
          <w:szCs w:val="22"/>
          <w:lang w:eastAsia="en-US"/>
        </w:rPr>
        <w:t>trans</w:t>
      </w:r>
      <w:proofErr w:type="spellEnd"/>
      <w:r w:rsidR="005F578C">
        <w:rPr>
          <w:rFonts w:asciiTheme="minorHAnsi" w:eastAsia="Calibri" w:hAnsiTheme="minorHAnsi" w:cstheme="minorHAnsi"/>
          <w:sz w:val="22"/>
          <w:szCs w:val="22"/>
          <w:lang w:eastAsia="en-US"/>
        </w:rPr>
        <w:t>. Asi</w:t>
      </w:r>
      <w:r w:rsidRPr="009C6D48">
        <w:rPr>
          <w:rFonts w:asciiTheme="minorHAnsi" w:eastAsia="Calibri" w:hAnsiTheme="minorHAnsi" w:cstheme="minorHAnsi"/>
          <w:sz w:val="22"/>
          <w:szCs w:val="22"/>
          <w:lang w:eastAsia="en-US"/>
        </w:rPr>
        <w:t>mismo</w:t>
      </w:r>
      <w:r w:rsidR="005F578C">
        <w:rPr>
          <w:rFonts w:asciiTheme="minorHAnsi" w:eastAsia="Calibri" w:hAnsiTheme="minorHAnsi" w:cstheme="minorHAnsi"/>
          <w:sz w:val="22"/>
          <w:szCs w:val="22"/>
          <w:lang w:eastAsia="en-US"/>
        </w:rPr>
        <w:t xml:space="preserve">, </w:t>
      </w:r>
      <w:r w:rsidRPr="009C6D48">
        <w:rPr>
          <w:rFonts w:asciiTheme="minorHAnsi" w:eastAsia="Calibri" w:hAnsiTheme="minorHAnsi" w:cstheme="minorHAnsi"/>
          <w:sz w:val="22"/>
          <w:szCs w:val="22"/>
          <w:lang w:eastAsia="en-US"/>
        </w:rPr>
        <w:t>el análisis estadístico realizado por el Ministerio del Interior de los delitos de o</w:t>
      </w:r>
      <w:r w:rsidR="005F578C">
        <w:rPr>
          <w:rFonts w:asciiTheme="minorHAnsi" w:eastAsia="Calibri" w:hAnsiTheme="minorHAnsi" w:cstheme="minorHAnsi"/>
          <w:sz w:val="22"/>
          <w:szCs w:val="22"/>
          <w:lang w:eastAsia="en-US"/>
        </w:rPr>
        <w:t>dio cometidos en España en 2023</w:t>
      </w:r>
      <w:r w:rsidRPr="009C6D48">
        <w:rPr>
          <w:rFonts w:asciiTheme="minorHAnsi" w:eastAsia="Calibri" w:hAnsiTheme="minorHAnsi" w:cstheme="minorHAnsi"/>
          <w:sz w:val="22"/>
          <w:szCs w:val="22"/>
          <w:lang w:eastAsia="en-US"/>
        </w:rPr>
        <w:t xml:space="preserve"> muestra que la orientación sexual y la identidad de género de la víctima son la segunda motivación de incidentes de odio, tras los moti</w:t>
      </w:r>
      <w:r>
        <w:rPr>
          <w:rFonts w:asciiTheme="minorHAnsi" w:eastAsia="Calibri" w:hAnsiTheme="minorHAnsi" w:cstheme="minorHAnsi"/>
          <w:sz w:val="22"/>
          <w:szCs w:val="22"/>
          <w:lang w:eastAsia="en-US"/>
        </w:rPr>
        <w:t xml:space="preserve">vados por racismo o xenofobia. </w:t>
      </w:r>
    </w:p>
    <w:p w:rsidR="00192C33" w:rsidRDefault="009C6D48" w:rsidP="009C6D48">
      <w:pPr>
        <w:spacing w:before="240" w:line="276" w:lineRule="auto"/>
        <w:jc w:val="both"/>
        <w:rPr>
          <w:rFonts w:asciiTheme="minorHAnsi" w:eastAsia="Calibri" w:hAnsiTheme="minorHAnsi" w:cstheme="minorHAnsi"/>
          <w:sz w:val="22"/>
          <w:szCs w:val="22"/>
          <w:lang w:eastAsia="en-US"/>
        </w:rPr>
      </w:pPr>
      <w:r w:rsidRPr="009C6D48">
        <w:rPr>
          <w:rFonts w:asciiTheme="minorHAnsi" w:eastAsia="Calibri" w:hAnsiTheme="minorHAnsi" w:cstheme="minorHAnsi"/>
          <w:sz w:val="22"/>
          <w:szCs w:val="22"/>
          <w:lang w:eastAsia="en-US"/>
        </w:rPr>
        <w:t>Según el infor</w:t>
      </w:r>
      <w:r w:rsidR="005F578C">
        <w:rPr>
          <w:rFonts w:asciiTheme="minorHAnsi" w:eastAsia="Calibri" w:hAnsiTheme="minorHAnsi" w:cstheme="minorHAnsi"/>
          <w:sz w:val="22"/>
          <w:szCs w:val="22"/>
          <w:lang w:eastAsia="en-US"/>
        </w:rPr>
        <w:t xml:space="preserve">me de </w:t>
      </w:r>
      <w:proofErr w:type="spellStart"/>
      <w:r w:rsidR="005F578C">
        <w:rPr>
          <w:rFonts w:asciiTheme="minorHAnsi" w:eastAsia="Calibri" w:hAnsiTheme="minorHAnsi" w:cstheme="minorHAnsi"/>
          <w:sz w:val="22"/>
          <w:szCs w:val="22"/>
          <w:lang w:eastAsia="en-US"/>
        </w:rPr>
        <w:t>Transgender</w:t>
      </w:r>
      <w:proofErr w:type="spellEnd"/>
      <w:r w:rsidR="005F578C">
        <w:rPr>
          <w:rFonts w:asciiTheme="minorHAnsi" w:eastAsia="Calibri" w:hAnsiTheme="minorHAnsi" w:cstheme="minorHAnsi"/>
          <w:sz w:val="22"/>
          <w:szCs w:val="22"/>
          <w:lang w:eastAsia="en-US"/>
        </w:rPr>
        <w:t xml:space="preserve"> </w:t>
      </w:r>
      <w:proofErr w:type="spellStart"/>
      <w:r w:rsidR="005F578C">
        <w:rPr>
          <w:rFonts w:asciiTheme="minorHAnsi" w:eastAsia="Calibri" w:hAnsiTheme="minorHAnsi" w:cstheme="minorHAnsi"/>
          <w:sz w:val="22"/>
          <w:szCs w:val="22"/>
          <w:lang w:eastAsia="en-US"/>
        </w:rPr>
        <w:t>Europe</w:t>
      </w:r>
      <w:proofErr w:type="spellEnd"/>
      <w:r w:rsidR="005F578C">
        <w:rPr>
          <w:rFonts w:asciiTheme="minorHAnsi" w:eastAsia="Calibri" w:hAnsiTheme="minorHAnsi" w:cstheme="minorHAnsi"/>
          <w:sz w:val="22"/>
          <w:szCs w:val="22"/>
          <w:lang w:eastAsia="en-US"/>
        </w:rPr>
        <w:t xml:space="preserve"> (TGEU)</w:t>
      </w:r>
      <w:r w:rsidRPr="009C6D48">
        <w:rPr>
          <w:rFonts w:asciiTheme="minorHAnsi" w:eastAsia="Calibri" w:hAnsiTheme="minorHAnsi" w:cstheme="minorHAnsi"/>
          <w:sz w:val="22"/>
          <w:szCs w:val="22"/>
          <w:lang w:eastAsia="en-US"/>
        </w:rPr>
        <w:t xml:space="preserve"> se registraron dos asesinatos de personas </w:t>
      </w:r>
      <w:proofErr w:type="spellStart"/>
      <w:r w:rsidRPr="009C6D48">
        <w:rPr>
          <w:rFonts w:asciiTheme="minorHAnsi" w:eastAsia="Calibri" w:hAnsiTheme="minorHAnsi" w:cstheme="minorHAnsi"/>
          <w:sz w:val="22"/>
          <w:szCs w:val="22"/>
          <w:lang w:eastAsia="en-US"/>
        </w:rPr>
        <w:t>trans</w:t>
      </w:r>
      <w:proofErr w:type="spellEnd"/>
      <w:r w:rsidRPr="009C6D48">
        <w:rPr>
          <w:rFonts w:asciiTheme="minorHAnsi" w:eastAsia="Calibri" w:hAnsiTheme="minorHAnsi" w:cstheme="minorHAnsi"/>
          <w:sz w:val="22"/>
          <w:szCs w:val="22"/>
          <w:lang w:eastAsia="en-US"/>
        </w:rPr>
        <w:t xml:space="preserve"> en España entre octubre de 2022 y octubre de 2023. Estos asesinatos subrayan la </w:t>
      </w:r>
      <w:r w:rsidRPr="0094715F">
        <w:rPr>
          <w:rFonts w:asciiTheme="minorHAnsi" w:eastAsia="Calibri" w:hAnsiTheme="minorHAnsi" w:cstheme="minorHAnsi"/>
          <w:b/>
          <w:sz w:val="22"/>
          <w:szCs w:val="22"/>
          <w:lang w:eastAsia="en-US"/>
        </w:rPr>
        <w:t xml:space="preserve">vulnerabilidad continua de la comunidad </w:t>
      </w:r>
      <w:proofErr w:type="spellStart"/>
      <w:r w:rsidRPr="0094715F">
        <w:rPr>
          <w:rFonts w:asciiTheme="minorHAnsi" w:eastAsia="Calibri" w:hAnsiTheme="minorHAnsi" w:cstheme="minorHAnsi"/>
          <w:b/>
          <w:sz w:val="22"/>
          <w:szCs w:val="22"/>
          <w:lang w:eastAsia="en-US"/>
        </w:rPr>
        <w:t>trans</w:t>
      </w:r>
      <w:proofErr w:type="spellEnd"/>
      <w:r w:rsidRPr="009C6D48">
        <w:rPr>
          <w:rFonts w:asciiTheme="minorHAnsi" w:eastAsia="Calibri" w:hAnsiTheme="minorHAnsi" w:cstheme="minorHAnsi"/>
          <w:sz w:val="22"/>
          <w:szCs w:val="22"/>
          <w:lang w:eastAsia="en-US"/>
        </w:rPr>
        <w:t xml:space="preserve"> frente a la violencia. Este mismo informe, pone de manifiesto que la violencia contra personas </w:t>
      </w:r>
      <w:proofErr w:type="spellStart"/>
      <w:r w:rsidRPr="009C6D48">
        <w:rPr>
          <w:rFonts w:asciiTheme="minorHAnsi" w:eastAsia="Calibri" w:hAnsiTheme="minorHAnsi" w:cstheme="minorHAnsi"/>
          <w:sz w:val="22"/>
          <w:szCs w:val="22"/>
          <w:lang w:eastAsia="en-US"/>
        </w:rPr>
        <w:t>trans</w:t>
      </w:r>
      <w:proofErr w:type="spellEnd"/>
      <w:r w:rsidRPr="009C6D48">
        <w:rPr>
          <w:rFonts w:asciiTheme="minorHAnsi" w:eastAsia="Calibri" w:hAnsiTheme="minorHAnsi" w:cstheme="minorHAnsi"/>
          <w:sz w:val="22"/>
          <w:szCs w:val="22"/>
          <w:lang w:eastAsia="en-US"/>
        </w:rPr>
        <w:t xml:space="preserve"> sigue siendo una grave preocupación en toda Europa, y España no es una excepción.</w:t>
      </w:r>
    </w:p>
    <w:p w:rsidR="005F578C" w:rsidRDefault="005F578C" w:rsidP="005F578C">
      <w:pPr>
        <w:spacing w:before="240" w:line="276" w:lineRule="auto"/>
        <w:jc w:val="both"/>
        <w:rPr>
          <w:rFonts w:asciiTheme="minorHAnsi" w:eastAsia="Calibri" w:hAnsiTheme="minorHAnsi" w:cstheme="minorHAnsi"/>
          <w:sz w:val="22"/>
          <w:szCs w:val="22"/>
          <w:lang w:val="es-ES_tradnl" w:eastAsia="en-US"/>
        </w:rPr>
      </w:pPr>
      <w:r w:rsidRPr="005F578C">
        <w:rPr>
          <w:rFonts w:asciiTheme="minorHAnsi" w:eastAsia="Calibri" w:hAnsiTheme="minorHAnsi" w:cstheme="minorHAnsi"/>
          <w:sz w:val="22"/>
          <w:szCs w:val="22"/>
          <w:lang w:eastAsia="en-US"/>
        </w:rPr>
        <w:t xml:space="preserve">El caso más resonante en estos últimos años fue el </w:t>
      </w:r>
      <w:r w:rsidRPr="0094715F">
        <w:rPr>
          <w:rFonts w:asciiTheme="minorHAnsi" w:eastAsia="Calibri" w:hAnsiTheme="minorHAnsi" w:cstheme="minorHAnsi"/>
          <w:b/>
          <w:sz w:val="22"/>
          <w:szCs w:val="22"/>
          <w:lang w:eastAsia="en-US"/>
        </w:rPr>
        <w:t xml:space="preserve">asesinato de Samuel </w:t>
      </w:r>
      <w:proofErr w:type="spellStart"/>
      <w:r w:rsidRPr="0094715F">
        <w:rPr>
          <w:rFonts w:asciiTheme="minorHAnsi" w:eastAsia="Calibri" w:hAnsiTheme="minorHAnsi" w:cstheme="minorHAnsi"/>
          <w:b/>
          <w:sz w:val="22"/>
          <w:szCs w:val="22"/>
          <w:lang w:eastAsia="en-US"/>
        </w:rPr>
        <w:t>Luiz</w:t>
      </w:r>
      <w:proofErr w:type="spellEnd"/>
      <w:r w:rsidRPr="0094715F">
        <w:rPr>
          <w:rFonts w:asciiTheme="minorHAnsi" w:eastAsia="Calibri" w:hAnsiTheme="minorHAnsi" w:cstheme="minorHAnsi"/>
          <w:b/>
          <w:sz w:val="22"/>
          <w:szCs w:val="22"/>
          <w:lang w:eastAsia="en-US"/>
        </w:rPr>
        <w:t xml:space="preserve"> Muñiz</w:t>
      </w:r>
      <w:r w:rsidRPr="005F578C">
        <w:rPr>
          <w:rFonts w:asciiTheme="minorHAnsi" w:eastAsia="Calibri" w:hAnsiTheme="minorHAnsi" w:cstheme="minorHAnsi"/>
          <w:sz w:val="22"/>
          <w:szCs w:val="22"/>
          <w:lang w:eastAsia="en-US"/>
        </w:rPr>
        <w:t xml:space="preserve">, un joven de 24 años, ocurrido en julio de 2021 en A Coruña. Testigos del incidente reportaron que el ataque estuvo motivado por homofobia, ya que los agresores insultaron a Samuel con expresiones homofóbicas antes y durante el ataque. El caso de Samuel </w:t>
      </w:r>
      <w:proofErr w:type="spellStart"/>
      <w:r w:rsidRPr="005F578C">
        <w:rPr>
          <w:rFonts w:asciiTheme="minorHAnsi" w:eastAsia="Calibri" w:hAnsiTheme="minorHAnsi" w:cstheme="minorHAnsi"/>
          <w:sz w:val="22"/>
          <w:szCs w:val="22"/>
          <w:lang w:eastAsia="en-US"/>
        </w:rPr>
        <w:t>Luiz</w:t>
      </w:r>
      <w:proofErr w:type="spellEnd"/>
      <w:r w:rsidRPr="005F578C">
        <w:rPr>
          <w:rFonts w:asciiTheme="minorHAnsi" w:eastAsia="Calibri" w:hAnsiTheme="minorHAnsi" w:cstheme="minorHAnsi"/>
          <w:sz w:val="22"/>
          <w:szCs w:val="22"/>
          <w:lang w:eastAsia="en-US"/>
        </w:rPr>
        <w:t xml:space="preserve"> conmocionó a la sociedad española y provocó una oleada de in</w:t>
      </w:r>
      <w:r>
        <w:rPr>
          <w:rFonts w:asciiTheme="minorHAnsi" w:eastAsia="Calibri" w:hAnsiTheme="minorHAnsi" w:cstheme="minorHAnsi"/>
          <w:sz w:val="22"/>
          <w:szCs w:val="22"/>
          <w:lang w:eastAsia="en-US"/>
        </w:rPr>
        <w:t xml:space="preserve">dignación y movilización social, </w:t>
      </w:r>
      <w:r w:rsidR="009C6D48" w:rsidRPr="009C6D48">
        <w:rPr>
          <w:rFonts w:asciiTheme="minorHAnsi" w:eastAsia="Calibri" w:hAnsiTheme="minorHAnsi" w:cstheme="minorHAnsi"/>
          <w:sz w:val="22"/>
          <w:szCs w:val="22"/>
          <w:lang w:eastAsia="en-US"/>
        </w:rPr>
        <w:t xml:space="preserve">al considerarse un delito de odio. </w:t>
      </w:r>
      <w:r>
        <w:rPr>
          <w:rFonts w:asciiTheme="minorHAnsi" w:eastAsia="Calibri" w:hAnsiTheme="minorHAnsi" w:cstheme="minorHAnsi"/>
          <w:sz w:val="22"/>
          <w:szCs w:val="22"/>
          <w:lang w:eastAsia="en-US"/>
        </w:rPr>
        <w:t xml:space="preserve">De igual forma, </w:t>
      </w:r>
      <w:r w:rsidRPr="005F578C">
        <w:rPr>
          <w:rFonts w:asciiTheme="minorHAnsi" w:eastAsia="Calibri" w:hAnsiTheme="minorHAnsi" w:cstheme="minorHAnsi"/>
          <w:sz w:val="22"/>
          <w:szCs w:val="22"/>
          <w:lang w:val="es-ES_tradnl" w:eastAsia="en-US"/>
        </w:rPr>
        <w:t>destacó la necesidad urgente de medidas más efectivas para prevenir la vi</w:t>
      </w:r>
      <w:r w:rsidR="00C15F23">
        <w:rPr>
          <w:rFonts w:asciiTheme="minorHAnsi" w:eastAsia="Calibri" w:hAnsiTheme="minorHAnsi" w:cstheme="minorHAnsi"/>
          <w:sz w:val="22"/>
          <w:szCs w:val="22"/>
          <w:lang w:val="es-ES_tradnl" w:eastAsia="en-US"/>
        </w:rPr>
        <w:t>olencia contra las personas LGBTQI+</w:t>
      </w:r>
      <w:r w:rsidRPr="005F578C">
        <w:rPr>
          <w:rFonts w:asciiTheme="minorHAnsi" w:eastAsia="Calibri" w:hAnsiTheme="minorHAnsi" w:cstheme="minorHAnsi"/>
          <w:sz w:val="22"/>
          <w:szCs w:val="22"/>
          <w:lang w:val="es-ES_tradnl" w:eastAsia="en-US"/>
        </w:rPr>
        <w:t xml:space="preserve">. Las manifestaciones no solo buscaron justicia para Samuel, sino también visibilizar el problema de la homofobia y la </w:t>
      </w:r>
      <w:proofErr w:type="spellStart"/>
      <w:r w:rsidRPr="005F578C">
        <w:rPr>
          <w:rFonts w:asciiTheme="minorHAnsi" w:eastAsia="Calibri" w:hAnsiTheme="minorHAnsi" w:cstheme="minorHAnsi"/>
          <w:sz w:val="22"/>
          <w:szCs w:val="22"/>
          <w:lang w:val="es-ES_tradnl" w:eastAsia="en-US"/>
        </w:rPr>
        <w:t>transfobia</w:t>
      </w:r>
      <w:proofErr w:type="spellEnd"/>
      <w:r w:rsidRPr="005F578C">
        <w:rPr>
          <w:rFonts w:asciiTheme="minorHAnsi" w:eastAsia="Calibri" w:hAnsiTheme="minorHAnsi" w:cstheme="minorHAnsi"/>
          <w:sz w:val="22"/>
          <w:szCs w:val="22"/>
          <w:lang w:val="es-ES_tradnl" w:eastAsia="en-US"/>
        </w:rPr>
        <w:t xml:space="preserve"> en la sociedad española, y demandar políticas públicas que garanticen la seguridad y los derechos de todas las personas, sin importar su orientación sexual o identidad de género.</w:t>
      </w:r>
    </w:p>
    <w:p w:rsidR="005F578C" w:rsidRDefault="005F578C" w:rsidP="005F578C">
      <w:pPr>
        <w:spacing w:before="240" w:line="276" w:lineRule="auto"/>
        <w:jc w:val="both"/>
        <w:rPr>
          <w:rFonts w:asciiTheme="minorHAnsi" w:eastAsia="Calibri" w:hAnsiTheme="minorHAnsi" w:cstheme="minorHAnsi"/>
          <w:sz w:val="22"/>
          <w:szCs w:val="22"/>
          <w:lang w:val="es-ES_tradnl" w:eastAsia="en-US"/>
        </w:rPr>
      </w:pPr>
      <w:r w:rsidRPr="005F578C">
        <w:rPr>
          <w:rFonts w:asciiTheme="minorHAnsi" w:eastAsia="Calibri" w:hAnsiTheme="minorHAnsi" w:cstheme="minorHAnsi"/>
          <w:sz w:val="22"/>
          <w:szCs w:val="22"/>
          <w:lang w:val="es-ES_tradnl" w:eastAsia="en-US"/>
        </w:rPr>
        <w:t>A fecha de redacción de este informe</w:t>
      </w:r>
      <w:r w:rsidR="0094715F">
        <w:rPr>
          <w:rFonts w:asciiTheme="minorHAnsi" w:eastAsia="Calibri" w:hAnsiTheme="minorHAnsi" w:cstheme="minorHAnsi"/>
          <w:sz w:val="22"/>
          <w:szCs w:val="22"/>
          <w:lang w:val="es-ES_tradnl" w:eastAsia="en-US"/>
        </w:rPr>
        <w:t>,</w:t>
      </w:r>
      <w:r w:rsidRPr="005F578C">
        <w:rPr>
          <w:rFonts w:asciiTheme="minorHAnsi" w:eastAsia="Calibri" w:hAnsiTheme="minorHAnsi" w:cstheme="minorHAnsi"/>
          <w:sz w:val="22"/>
          <w:szCs w:val="22"/>
          <w:lang w:val="es-ES_tradnl" w:eastAsia="en-US"/>
        </w:rPr>
        <w:t xml:space="preserve"> el Juzgado de Instrucción nº8 de A Coruña ha finalizado la instrucción del caso y ha abierto juicio oral contra cinco personas por un delito de asesinato, al apreciar las circunstancias agravantes de alevosía y ensañamiento. El juez considera que </w:t>
      </w:r>
      <w:r w:rsidRPr="005F578C">
        <w:rPr>
          <w:rFonts w:asciiTheme="minorHAnsi" w:eastAsia="Calibri" w:hAnsiTheme="minorHAnsi" w:cstheme="minorHAnsi"/>
          <w:sz w:val="22"/>
          <w:szCs w:val="22"/>
          <w:lang w:val="es-ES_tradnl" w:eastAsia="en-US"/>
        </w:rPr>
        <w:lastRenderedPageBreak/>
        <w:t>existen indicios suficientes para sentar en el banquillo de los acusados a los cinco en concepto de coautores. Además, en el caso de dos de ellos, el hombre y la mujer con quien primero se encontró la víctima, considera que existe la agravante de discriminación por condición sexual.</w:t>
      </w:r>
    </w:p>
    <w:p w:rsidR="00E027E5" w:rsidRDefault="00E027E5" w:rsidP="005F578C">
      <w:pPr>
        <w:spacing w:before="240" w:line="276" w:lineRule="auto"/>
        <w:jc w:val="both"/>
        <w:rPr>
          <w:rFonts w:asciiTheme="minorHAnsi" w:eastAsia="Calibri" w:hAnsiTheme="minorHAnsi" w:cstheme="minorHAnsi"/>
          <w:sz w:val="22"/>
          <w:szCs w:val="22"/>
          <w:lang w:val="es-ES_tradnl" w:eastAsia="en-US"/>
        </w:rPr>
      </w:pPr>
      <w:r w:rsidRPr="00E027E5">
        <w:rPr>
          <w:rFonts w:asciiTheme="minorHAnsi" w:eastAsia="Calibri" w:hAnsiTheme="minorHAnsi" w:cstheme="minorHAnsi"/>
          <w:sz w:val="22"/>
          <w:szCs w:val="22"/>
          <w:lang w:val="es-ES_tradnl" w:eastAsia="en-US"/>
        </w:rPr>
        <w:t xml:space="preserve">En respuesta al asesinato de Samuel </w:t>
      </w:r>
      <w:proofErr w:type="spellStart"/>
      <w:r w:rsidRPr="00E027E5">
        <w:rPr>
          <w:rFonts w:asciiTheme="minorHAnsi" w:eastAsia="Calibri" w:hAnsiTheme="minorHAnsi" w:cstheme="minorHAnsi"/>
          <w:sz w:val="22"/>
          <w:szCs w:val="22"/>
          <w:lang w:val="es-ES_tradnl" w:eastAsia="en-US"/>
        </w:rPr>
        <w:t>Luiz</w:t>
      </w:r>
      <w:proofErr w:type="spellEnd"/>
      <w:r w:rsidRPr="00E027E5">
        <w:rPr>
          <w:rFonts w:asciiTheme="minorHAnsi" w:eastAsia="Calibri" w:hAnsiTheme="minorHAnsi" w:cstheme="minorHAnsi"/>
          <w:sz w:val="22"/>
          <w:szCs w:val="22"/>
          <w:lang w:val="es-ES_tradnl" w:eastAsia="en-US"/>
        </w:rPr>
        <w:t>, el Consejo de Par</w:t>
      </w:r>
      <w:r w:rsidR="00C15F23">
        <w:rPr>
          <w:rFonts w:asciiTheme="minorHAnsi" w:eastAsia="Calibri" w:hAnsiTheme="minorHAnsi" w:cstheme="minorHAnsi"/>
          <w:sz w:val="22"/>
          <w:szCs w:val="22"/>
          <w:lang w:val="es-ES_tradnl" w:eastAsia="en-US"/>
        </w:rPr>
        <w:t>ticipación de las Personas LGBTQI+</w:t>
      </w:r>
      <w:r w:rsidRPr="00E027E5">
        <w:rPr>
          <w:rFonts w:asciiTheme="minorHAnsi" w:eastAsia="Calibri" w:hAnsiTheme="minorHAnsi" w:cstheme="minorHAnsi"/>
          <w:sz w:val="22"/>
          <w:szCs w:val="22"/>
          <w:lang w:val="es-ES_tradnl" w:eastAsia="en-US"/>
        </w:rPr>
        <w:t xml:space="preserve"> del Ministerio de Igualdad, emitió una declaración contundente condenando el crimen. El Consejo enfatizó que este tipo de violencia no tiene cabida en una sociedad democrática y exigió una investigación exhaustiva para llevar a los responsables ante la justicia. La declaración del Consejo subrayó la importancia de combatir la homofobia y la </w:t>
      </w:r>
      <w:proofErr w:type="spellStart"/>
      <w:r w:rsidRPr="00E027E5">
        <w:rPr>
          <w:rFonts w:asciiTheme="minorHAnsi" w:eastAsia="Calibri" w:hAnsiTheme="minorHAnsi" w:cstheme="minorHAnsi"/>
          <w:sz w:val="22"/>
          <w:szCs w:val="22"/>
          <w:lang w:val="es-ES_tradnl" w:eastAsia="en-US"/>
        </w:rPr>
        <w:t>transfobia</w:t>
      </w:r>
      <w:proofErr w:type="spellEnd"/>
      <w:r w:rsidRPr="00E027E5">
        <w:rPr>
          <w:rFonts w:asciiTheme="minorHAnsi" w:eastAsia="Calibri" w:hAnsiTheme="minorHAnsi" w:cstheme="minorHAnsi"/>
          <w:sz w:val="22"/>
          <w:szCs w:val="22"/>
          <w:lang w:val="es-ES_tradnl" w:eastAsia="en-US"/>
        </w:rPr>
        <w:t xml:space="preserve"> mediante la educación y la sensibilización social, así como el fortalecimiento de las leyes que protegen a la</w:t>
      </w:r>
      <w:r w:rsidR="00C15F23">
        <w:rPr>
          <w:rFonts w:asciiTheme="minorHAnsi" w:eastAsia="Calibri" w:hAnsiTheme="minorHAnsi" w:cstheme="minorHAnsi"/>
          <w:sz w:val="22"/>
          <w:szCs w:val="22"/>
          <w:lang w:val="es-ES_tradnl" w:eastAsia="en-US"/>
        </w:rPr>
        <w:t>s personas LGBTQ</w:t>
      </w:r>
      <w:r w:rsidRPr="00E027E5">
        <w:rPr>
          <w:rFonts w:asciiTheme="minorHAnsi" w:eastAsia="Calibri" w:hAnsiTheme="minorHAnsi" w:cstheme="minorHAnsi"/>
          <w:sz w:val="22"/>
          <w:szCs w:val="22"/>
          <w:lang w:val="es-ES_tradnl" w:eastAsia="en-US"/>
        </w:rPr>
        <w:t>I</w:t>
      </w:r>
      <w:r w:rsidR="00C15F23">
        <w:rPr>
          <w:rFonts w:asciiTheme="minorHAnsi" w:eastAsia="Calibri" w:hAnsiTheme="minorHAnsi" w:cstheme="minorHAnsi"/>
          <w:sz w:val="22"/>
          <w:szCs w:val="22"/>
          <w:lang w:val="es-ES_tradnl" w:eastAsia="en-US"/>
        </w:rPr>
        <w:t>+</w:t>
      </w:r>
      <w:r>
        <w:rPr>
          <w:rFonts w:asciiTheme="minorHAnsi" w:eastAsia="Calibri" w:hAnsiTheme="minorHAnsi" w:cstheme="minorHAnsi"/>
          <w:sz w:val="22"/>
          <w:szCs w:val="22"/>
          <w:lang w:val="es-ES_tradnl" w:eastAsia="en-US"/>
        </w:rPr>
        <w:t xml:space="preserve">. </w:t>
      </w:r>
    </w:p>
    <w:p w:rsidR="00E027E5" w:rsidRPr="005F578C" w:rsidRDefault="00E027E5" w:rsidP="005F578C">
      <w:pPr>
        <w:spacing w:before="240" w:line="276" w:lineRule="auto"/>
        <w:jc w:val="both"/>
        <w:rPr>
          <w:rFonts w:asciiTheme="minorHAnsi" w:eastAsia="Calibri" w:hAnsiTheme="minorHAnsi" w:cstheme="minorHAnsi"/>
          <w:sz w:val="22"/>
          <w:szCs w:val="22"/>
          <w:lang w:val="es-ES_tradnl" w:eastAsia="en-US"/>
        </w:rPr>
      </w:pPr>
      <w:r w:rsidRPr="002C525F">
        <w:rPr>
          <w:rFonts w:asciiTheme="minorHAnsi" w:eastAsia="Calibri" w:hAnsiTheme="minorHAnsi" w:cstheme="minorHAnsi"/>
          <w:b/>
          <w:sz w:val="22"/>
          <w:szCs w:val="22"/>
          <w:lang w:val="es-ES_tradnl" w:eastAsia="en-US"/>
        </w:rPr>
        <w:t>En conclusión</w:t>
      </w:r>
      <w:r>
        <w:rPr>
          <w:rFonts w:asciiTheme="minorHAnsi" w:eastAsia="Calibri" w:hAnsiTheme="minorHAnsi" w:cstheme="minorHAnsi"/>
          <w:sz w:val="22"/>
          <w:szCs w:val="22"/>
          <w:lang w:val="es-ES_tradnl" w:eastAsia="en-US"/>
        </w:rPr>
        <w:t>, l</w:t>
      </w:r>
      <w:r w:rsidRPr="00E027E5">
        <w:rPr>
          <w:rFonts w:asciiTheme="minorHAnsi" w:eastAsia="Calibri" w:hAnsiTheme="minorHAnsi" w:cstheme="minorHAnsi"/>
          <w:sz w:val="22"/>
          <w:szCs w:val="22"/>
          <w:lang w:val="es-ES_tradnl" w:eastAsia="en-US"/>
        </w:rPr>
        <w:t xml:space="preserve">os últimos años muestran avances significativos y desafíos persistentes en la protección de los derechos </w:t>
      </w:r>
      <w:r w:rsidR="00C15F23">
        <w:rPr>
          <w:rFonts w:asciiTheme="minorHAnsi" w:eastAsia="Calibri" w:hAnsiTheme="minorHAnsi" w:cstheme="minorHAnsi"/>
          <w:sz w:val="22"/>
          <w:szCs w:val="22"/>
          <w:lang w:val="es-ES_tradnl" w:eastAsia="en-US"/>
        </w:rPr>
        <w:t>de las personas LGBTQI+</w:t>
      </w:r>
      <w:r w:rsidRPr="00E027E5">
        <w:rPr>
          <w:rFonts w:asciiTheme="minorHAnsi" w:eastAsia="Calibri" w:hAnsiTheme="minorHAnsi" w:cstheme="minorHAnsi"/>
          <w:sz w:val="22"/>
          <w:szCs w:val="22"/>
          <w:lang w:val="es-ES_tradnl" w:eastAsia="en-US"/>
        </w:rPr>
        <w:t xml:space="preserve"> en España. Los asesin</w:t>
      </w:r>
      <w:r w:rsidR="0094715F">
        <w:rPr>
          <w:rFonts w:asciiTheme="minorHAnsi" w:eastAsia="Calibri" w:hAnsiTheme="minorHAnsi" w:cstheme="minorHAnsi"/>
          <w:sz w:val="22"/>
          <w:szCs w:val="22"/>
          <w:lang w:val="es-ES_tradnl" w:eastAsia="en-US"/>
        </w:rPr>
        <w:t xml:space="preserve">atos de personas </w:t>
      </w:r>
      <w:r w:rsidR="00472797">
        <w:rPr>
          <w:rFonts w:asciiTheme="minorHAnsi" w:eastAsia="Calibri" w:hAnsiTheme="minorHAnsi" w:cstheme="minorHAnsi"/>
          <w:sz w:val="22"/>
          <w:szCs w:val="22"/>
          <w:lang w:val="es-ES_tradnl" w:eastAsia="en-US"/>
        </w:rPr>
        <w:t>LGBTQI+</w:t>
      </w:r>
      <w:r w:rsidRPr="00E027E5">
        <w:rPr>
          <w:rFonts w:asciiTheme="minorHAnsi" w:eastAsia="Calibri" w:hAnsiTheme="minorHAnsi" w:cstheme="minorHAnsi"/>
          <w:sz w:val="22"/>
          <w:szCs w:val="22"/>
          <w:lang w:val="es-ES_tradnl" w:eastAsia="en-US"/>
        </w:rPr>
        <w:t xml:space="preserve"> evidencian la necesidad de continuar trabajando para erradicar la violencia y la discriminación. La respuesta social y la movilización tras estos eventos reflejan un fuerte rechazo a la violencia </w:t>
      </w:r>
      <w:proofErr w:type="spellStart"/>
      <w:r w:rsidRPr="00E027E5">
        <w:rPr>
          <w:rFonts w:asciiTheme="minorHAnsi" w:eastAsia="Calibri" w:hAnsiTheme="minorHAnsi" w:cstheme="minorHAnsi"/>
          <w:sz w:val="22"/>
          <w:szCs w:val="22"/>
          <w:lang w:val="es-ES_tradnl" w:eastAsia="en-US"/>
        </w:rPr>
        <w:t>homófoba</w:t>
      </w:r>
      <w:proofErr w:type="spellEnd"/>
      <w:r w:rsidRPr="00E027E5">
        <w:rPr>
          <w:rFonts w:asciiTheme="minorHAnsi" w:eastAsia="Calibri" w:hAnsiTheme="minorHAnsi" w:cstheme="minorHAnsi"/>
          <w:sz w:val="22"/>
          <w:szCs w:val="22"/>
          <w:lang w:val="es-ES_tradnl" w:eastAsia="en-US"/>
        </w:rPr>
        <w:t xml:space="preserve"> y </w:t>
      </w:r>
      <w:proofErr w:type="spellStart"/>
      <w:r w:rsidRPr="00E027E5">
        <w:rPr>
          <w:rFonts w:asciiTheme="minorHAnsi" w:eastAsia="Calibri" w:hAnsiTheme="minorHAnsi" w:cstheme="minorHAnsi"/>
          <w:sz w:val="22"/>
          <w:szCs w:val="22"/>
          <w:lang w:val="es-ES_tradnl" w:eastAsia="en-US"/>
        </w:rPr>
        <w:t>transfóbica</w:t>
      </w:r>
      <w:proofErr w:type="spellEnd"/>
      <w:r w:rsidRPr="00E027E5">
        <w:rPr>
          <w:rFonts w:asciiTheme="minorHAnsi" w:eastAsia="Calibri" w:hAnsiTheme="minorHAnsi" w:cstheme="minorHAnsi"/>
          <w:sz w:val="22"/>
          <w:szCs w:val="22"/>
          <w:lang w:val="es-ES_tradnl" w:eastAsia="en-US"/>
        </w:rPr>
        <w:t xml:space="preserve">, y la demanda de medidas concretas para proteger a la comunidad </w:t>
      </w:r>
      <w:r w:rsidR="00472797">
        <w:rPr>
          <w:rFonts w:asciiTheme="minorHAnsi" w:eastAsia="Calibri" w:hAnsiTheme="minorHAnsi" w:cstheme="minorHAnsi"/>
          <w:sz w:val="22"/>
          <w:szCs w:val="22"/>
          <w:lang w:val="es-ES_tradnl" w:eastAsia="en-US"/>
        </w:rPr>
        <w:t>LGBTQI+</w:t>
      </w:r>
      <w:r w:rsidR="002C525F">
        <w:rPr>
          <w:rFonts w:asciiTheme="minorHAnsi" w:eastAsia="Calibri" w:hAnsiTheme="minorHAnsi" w:cstheme="minorHAnsi"/>
          <w:sz w:val="22"/>
          <w:szCs w:val="22"/>
          <w:lang w:val="es-ES_tradnl" w:eastAsia="en-US"/>
        </w:rPr>
        <w:t xml:space="preserve">. </w:t>
      </w:r>
      <w:r w:rsidRPr="00E027E5">
        <w:rPr>
          <w:rFonts w:asciiTheme="minorHAnsi" w:eastAsia="Calibri" w:hAnsiTheme="minorHAnsi" w:cstheme="minorHAnsi"/>
          <w:sz w:val="22"/>
          <w:szCs w:val="22"/>
          <w:lang w:val="es-ES_tradnl" w:eastAsia="en-US"/>
        </w:rPr>
        <w:t xml:space="preserve">La Constitución Española y la Ley 4/2023 para la igualdad real y efectiva de las personas </w:t>
      </w:r>
      <w:proofErr w:type="spellStart"/>
      <w:r w:rsidRPr="00E027E5">
        <w:rPr>
          <w:rFonts w:asciiTheme="minorHAnsi" w:eastAsia="Calibri" w:hAnsiTheme="minorHAnsi" w:cstheme="minorHAnsi"/>
          <w:sz w:val="22"/>
          <w:szCs w:val="22"/>
          <w:lang w:val="es-ES_tradnl" w:eastAsia="en-US"/>
        </w:rPr>
        <w:t>trans</w:t>
      </w:r>
      <w:proofErr w:type="spellEnd"/>
      <w:r w:rsidRPr="00E027E5">
        <w:rPr>
          <w:rFonts w:asciiTheme="minorHAnsi" w:eastAsia="Calibri" w:hAnsiTheme="minorHAnsi" w:cstheme="minorHAnsi"/>
          <w:sz w:val="22"/>
          <w:szCs w:val="22"/>
          <w:lang w:val="es-ES_tradnl" w:eastAsia="en-US"/>
        </w:rPr>
        <w:t xml:space="preserve"> y para la garantía de los</w:t>
      </w:r>
      <w:r w:rsidR="0094715F">
        <w:rPr>
          <w:rFonts w:asciiTheme="minorHAnsi" w:eastAsia="Calibri" w:hAnsiTheme="minorHAnsi" w:cstheme="minorHAnsi"/>
          <w:sz w:val="22"/>
          <w:szCs w:val="22"/>
          <w:lang w:val="es-ES_tradnl" w:eastAsia="en-US"/>
        </w:rPr>
        <w:t xml:space="preserve"> derechos de las personas </w:t>
      </w:r>
      <w:r w:rsidR="00472797">
        <w:rPr>
          <w:rFonts w:asciiTheme="minorHAnsi" w:eastAsia="Calibri" w:hAnsiTheme="minorHAnsi" w:cstheme="minorHAnsi"/>
          <w:sz w:val="22"/>
          <w:szCs w:val="22"/>
          <w:lang w:val="es-ES_tradnl" w:eastAsia="en-US"/>
        </w:rPr>
        <w:t>LGBTQI+</w:t>
      </w:r>
      <w:r w:rsidR="0094715F">
        <w:rPr>
          <w:rFonts w:asciiTheme="minorHAnsi" w:eastAsia="Calibri" w:hAnsiTheme="minorHAnsi" w:cstheme="minorHAnsi"/>
          <w:sz w:val="22"/>
          <w:szCs w:val="22"/>
          <w:lang w:val="es-ES_tradnl" w:eastAsia="en-US"/>
        </w:rPr>
        <w:t xml:space="preserve">, </w:t>
      </w:r>
      <w:r w:rsidRPr="00E027E5">
        <w:rPr>
          <w:rFonts w:asciiTheme="minorHAnsi" w:eastAsia="Calibri" w:hAnsiTheme="minorHAnsi" w:cstheme="minorHAnsi"/>
          <w:sz w:val="22"/>
          <w:szCs w:val="22"/>
          <w:lang w:val="es-ES_tradnl" w:eastAsia="en-US"/>
        </w:rPr>
        <w:t xml:space="preserve">proporcionan un marco legal sólido para la defensa de los derechos de las personas </w:t>
      </w:r>
      <w:r w:rsidR="00472797">
        <w:rPr>
          <w:rFonts w:asciiTheme="minorHAnsi" w:eastAsia="Calibri" w:hAnsiTheme="minorHAnsi" w:cstheme="minorHAnsi"/>
          <w:sz w:val="22"/>
          <w:szCs w:val="22"/>
          <w:lang w:val="es-ES_tradnl" w:eastAsia="en-US"/>
        </w:rPr>
        <w:t>LGBTQI+</w:t>
      </w:r>
      <w:r w:rsidRPr="00E027E5">
        <w:rPr>
          <w:rFonts w:asciiTheme="minorHAnsi" w:eastAsia="Calibri" w:hAnsiTheme="minorHAnsi" w:cstheme="minorHAnsi"/>
          <w:sz w:val="22"/>
          <w:szCs w:val="22"/>
          <w:lang w:val="es-ES_tradnl" w:eastAsia="en-US"/>
        </w:rPr>
        <w:t xml:space="preserve">. Sin embargo, es crucial que estos marcos se implementen efectivamente y se complementen con políticas públicas, educación y sensibilización social para construir una sociedad verdaderamente inclusiva y libre de violencia. </w:t>
      </w:r>
    </w:p>
    <w:p w:rsidR="005F578C" w:rsidRPr="005F578C" w:rsidRDefault="005F578C" w:rsidP="005F578C">
      <w:pPr>
        <w:spacing w:before="240" w:line="276" w:lineRule="auto"/>
        <w:jc w:val="both"/>
        <w:rPr>
          <w:rFonts w:asciiTheme="minorHAnsi" w:eastAsia="Calibri" w:hAnsiTheme="minorHAnsi" w:cstheme="minorHAnsi"/>
          <w:sz w:val="22"/>
          <w:szCs w:val="22"/>
          <w:lang w:val="es-ES_tradnl" w:eastAsia="en-US"/>
        </w:rPr>
      </w:pPr>
    </w:p>
    <w:p w:rsidR="009C6D48" w:rsidRPr="005F578C" w:rsidRDefault="009C6D48" w:rsidP="005F578C">
      <w:pPr>
        <w:spacing w:before="240" w:line="276" w:lineRule="auto"/>
        <w:jc w:val="both"/>
        <w:rPr>
          <w:rFonts w:asciiTheme="minorHAnsi" w:eastAsia="Calibri" w:hAnsiTheme="minorHAnsi" w:cstheme="minorHAnsi"/>
          <w:sz w:val="22"/>
          <w:szCs w:val="22"/>
          <w:lang w:val="es-ES_tradnl" w:eastAsia="en-US"/>
        </w:rPr>
      </w:pPr>
    </w:p>
    <w:p w:rsidR="009C6D48" w:rsidRPr="00FF38A5" w:rsidRDefault="009C6D48" w:rsidP="00FF38A5">
      <w:pPr>
        <w:spacing w:after="120"/>
        <w:jc w:val="both"/>
      </w:pPr>
    </w:p>
    <w:sectPr w:rsidR="009C6D48" w:rsidRPr="00FF38A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C7D" w:rsidRDefault="00BD0C7D" w:rsidP="00D016BC">
      <w:r>
        <w:separator/>
      </w:r>
    </w:p>
  </w:endnote>
  <w:endnote w:type="continuationSeparator" w:id="0">
    <w:p w:rsidR="00BD0C7D" w:rsidRDefault="00BD0C7D" w:rsidP="00D0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892401"/>
      <w:docPartObj>
        <w:docPartGallery w:val="Page Numbers (Bottom of Page)"/>
        <w:docPartUnique/>
      </w:docPartObj>
    </w:sdtPr>
    <w:sdtEndPr/>
    <w:sdtContent>
      <w:p w:rsidR="00D016BC" w:rsidRDefault="00D016BC">
        <w:pPr>
          <w:pStyle w:val="Piedepgina"/>
          <w:jc w:val="center"/>
        </w:pPr>
        <w:r>
          <w:fldChar w:fldCharType="begin"/>
        </w:r>
        <w:r>
          <w:instrText>PAGE   \* MERGEFORMAT</w:instrText>
        </w:r>
        <w:r>
          <w:fldChar w:fldCharType="separate"/>
        </w:r>
        <w:r w:rsidR="007F2CC8">
          <w:rPr>
            <w:noProof/>
          </w:rPr>
          <w:t>5</w:t>
        </w:r>
        <w:r>
          <w:fldChar w:fldCharType="end"/>
        </w:r>
      </w:p>
    </w:sdtContent>
  </w:sdt>
  <w:p w:rsidR="00D016BC" w:rsidRDefault="00D016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C7D" w:rsidRDefault="00BD0C7D" w:rsidP="00D016BC">
      <w:r>
        <w:separator/>
      </w:r>
    </w:p>
  </w:footnote>
  <w:footnote w:type="continuationSeparator" w:id="0">
    <w:p w:rsidR="00BD0C7D" w:rsidRDefault="00BD0C7D" w:rsidP="00D0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222E"/>
    <w:multiLevelType w:val="hybridMultilevel"/>
    <w:tmpl w:val="2E946320"/>
    <w:lvl w:ilvl="0" w:tplc="5D4464F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8E23ABC"/>
    <w:multiLevelType w:val="hybridMultilevel"/>
    <w:tmpl w:val="D406628C"/>
    <w:lvl w:ilvl="0" w:tplc="48E030A6">
      <w:numFmt w:val="bullet"/>
      <w:lvlText w:val="-"/>
      <w:lvlJc w:val="left"/>
      <w:pPr>
        <w:ind w:left="1069" w:hanging="360"/>
      </w:pPr>
      <w:rPr>
        <w:rFonts w:ascii="Calibri" w:eastAsia="Calibr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2E6B6A2D"/>
    <w:multiLevelType w:val="hybridMultilevel"/>
    <w:tmpl w:val="BA3874B0"/>
    <w:lvl w:ilvl="0" w:tplc="0C0A0001">
      <w:start w:val="1"/>
      <w:numFmt w:val="bullet"/>
      <w:lvlText w:val=""/>
      <w:lvlJc w:val="left"/>
      <w:pPr>
        <w:ind w:left="1429" w:hanging="360"/>
      </w:pPr>
      <w:rPr>
        <w:rFonts w:ascii="Symbol" w:hAnsi="Symbol" w:hint="default"/>
      </w:rPr>
    </w:lvl>
    <w:lvl w:ilvl="1" w:tplc="16A28E38">
      <w:numFmt w:val="bullet"/>
      <w:lvlText w:val="•"/>
      <w:lvlJc w:val="left"/>
      <w:pPr>
        <w:ind w:left="2494" w:hanging="705"/>
      </w:pPr>
      <w:rPr>
        <w:rFonts w:ascii="Calibri" w:eastAsia="Times New Roman" w:hAnsi="Calibri" w:cs="Calibri"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49E50B6D"/>
    <w:multiLevelType w:val="hybridMultilevel"/>
    <w:tmpl w:val="24508E8E"/>
    <w:lvl w:ilvl="0" w:tplc="7B50364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4C49C5"/>
    <w:multiLevelType w:val="hybridMultilevel"/>
    <w:tmpl w:val="950C964A"/>
    <w:lvl w:ilvl="0" w:tplc="71BC9E6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0D58AB"/>
    <w:multiLevelType w:val="hybridMultilevel"/>
    <w:tmpl w:val="A344FD82"/>
    <w:lvl w:ilvl="0" w:tplc="24D8F970">
      <w:start w:val="1"/>
      <w:numFmt w:val="bullet"/>
      <w:lvlText w:val=""/>
      <w:lvlJc w:val="left"/>
      <w:pPr>
        <w:ind w:left="1068" w:hanging="360"/>
      </w:pPr>
      <w:rPr>
        <w:rFonts w:ascii="Symbol" w:hAnsi="Symbo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7B"/>
    <w:rsid w:val="00031639"/>
    <w:rsid w:val="00033D83"/>
    <w:rsid w:val="000A4779"/>
    <w:rsid w:val="000C1214"/>
    <w:rsid w:val="00100096"/>
    <w:rsid w:val="0010107A"/>
    <w:rsid w:val="00107E12"/>
    <w:rsid w:val="00184E7F"/>
    <w:rsid w:val="00192C33"/>
    <w:rsid w:val="001C4002"/>
    <w:rsid w:val="0020117B"/>
    <w:rsid w:val="00202A6A"/>
    <w:rsid w:val="00203B0A"/>
    <w:rsid w:val="00205716"/>
    <w:rsid w:val="002238B4"/>
    <w:rsid w:val="002408E3"/>
    <w:rsid w:val="0026110F"/>
    <w:rsid w:val="00271757"/>
    <w:rsid w:val="00280867"/>
    <w:rsid w:val="00283D36"/>
    <w:rsid w:val="002A0548"/>
    <w:rsid w:val="002B74BC"/>
    <w:rsid w:val="002C525F"/>
    <w:rsid w:val="002D028C"/>
    <w:rsid w:val="002D2F9E"/>
    <w:rsid w:val="002E208F"/>
    <w:rsid w:val="002E2FD0"/>
    <w:rsid w:val="002F6FC0"/>
    <w:rsid w:val="00301F7E"/>
    <w:rsid w:val="00340D06"/>
    <w:rsid w:val="00340F30"/>
    <w:rsid w:val="00355684"/>
    <w:rsid w:val="00357ED2"/>
    <w:rsid w:val="00366607"/>
    <w:rsid w:val="0037449C"/>
    <w:rsid w:val="00393BA3"/>
    <w:rsid w:val="003C1E65"/>
    <w:rsid w:val="003C6D36"/>
    <w:rsid w:val="003E74E1"/>
    <w:rsid w:val="003F1C2D"/>
    <w:rsid w:val="00411679"/>
    <w:rsid w:val="004355BF"/>
    <w:rsid w:val="0044652C"/>
    <w:rsid w:val="00450B24"/>
    <w:rsid w:val="00460F56"/>
    <w:rsid w:val="00472797"/>
    <w:rsid w:val="0047677B"/>
    <w:rsid w:val="00477509"/>
    <w:rsid w:val="004A4C70"/>
    <w:rsid w:val="004E0653"/>
    <w:rsid w:val="004E2F8E"/>
    <w:rsid w:val="0050257C"/>
    <w:rsid w:val="00510D42"/>
    <w:rsid w:val="00512113"/>
    <w:rsid w:val="0057453C"/>
    <w:rsid w:val="00594698"/>
    <w:rsid w:val="005A5B37"/>
    <w:rsid w:val="005B3574"/>
    <w:rsid w:val="005D2352"/>
    <w:rsid w:val="005F578C"/>
    <w:rsid w:val="00663BD8"/>
    <w:rsid w:val="00677F17"/>
    <w:rsid w:val="006A2694"/>
    <w:rsid w:val="006E31EB"/>
    <w:rsid w:val="006E3B5B"/>
    <w:rsid w:val="006F3149"/>
    <w:rsid w:val="006F7490"/>
    <w:rsid w:val="00735161"/>
    <w:rsid w:val="007565F6"/>
    <w:rsid w:val="00771E36"/>
    <w:rsid w:val="00790F57"/>
    <w:rsid w:val="007A01F6"/>
    <w:rsid w:val="007A77ED"/>
    <w:rsid w:val="007B54B8"/>
    <w:rsid w:val="007F2CC8"/>
    <w:rsid w:val="00860E54"/>
    <w:rsid w:val="00866F2F"/>
    <w:rsid w:val="008673A1"/>
    <w:rsid w:val="008730D6"/>
    <w:rsid w:val="008953F9"/>
    <w:rsid w:val="008A7207"/>
    <w:rsid w:val="008C28D5"/>
    <w:rsid w:val="008D77AF"/>
    <w:rsid w:val="008F011B"/>
    <w:rsid w:val="008F0AFE"/>
    <w:rsid w:val="008F34C4"/>
    <w:rsid w:val="00910B09"/>
    <w:rsid w:val="00934E4A"/>
    <w:rsid w:val="00945896"/>
    <w:rsid w:val="0094715F"/>
    <w:rsid w:val="009A0C98"/>
    <w:rsid w:val="009B7125"/>
    <w:rsid w:val="009C4CF6"/>
    <w:rsid w:val="009C68B1"/>
    <w:rsid w:val="009C6D48"/>
    <w:rsid w:val="009C79D3"/>
    <w:rsid w:val="009E6263"/>
    <w:rsid w:val="00A04F2A"/>
    <w:rsid w:val="00A302FE"/>
    <w:rsid w:val="00A3037C"/>
    <w:rsid w:val="00A4001A"/>
    <w:rsid w:val="00A70797"/>
    <w:rsid w:val="00A87E76"/>
    <w:rsid w:val="00AE3659"/>
    <w:rsid w:val="00AF4811"/>
    <w:rsid w:val="00B60DB9"/>
    <w:rsid w:val="00B63347"/>
    <w:rsid w:val="00B700C4"/>
    <w:rsid w:val="00BA7792"/>
    <w:rsid w:val="00BC5D18"/>
    <w:rsid w:val="00BC7A91"/>
    <w:rsid w:val="00BD058C"/>
    <w:rsid w:val="00BD0C7D"/>
    <w:rsid w:val="00BF1BB6"/>
    <w:rsid w:val="00C15F23"/>
    <w:rsid w:val="00C16BCB"/>
    <w:rsid w:val="00C240BF"/>
    <w:rsid w:val="00C729BF"/>
    <w:rsid w:val="00C909F6"/>
    <w:rsid w:val="00C9705F"/>
    <w:rsid w:val="00CC1F20"/>
    <w:rsid w:val="00CC72FA"/>
    <w:rsid w:val="00CD6D19"/>
    <w:rsid w:val="00D016BC"/>
    <w:rsid w:val="00D12261"/>
    <w:rsid w:val="00D173E5"/>
    <w:rsid w:val="00D26986"/>
    <w:rsid w:val="00D437DF"/>
    <w:rsid w:val="00D609E1"/>
    <w:rsid w:val="00D723A8"/>
    <w:rsid w:val="00D82175"/>
    <w:rsid w:val="00D939BD"/>
    <w:rsid w:val="00DC356F"/>
    <w:rsid w:val="00DC64DA"/>
    <w:rsid w:val="00DC7F57"/>
    <w:rsid w:val="00DD3B0D"/>
    <w:rsid w:val="00DD5F0B"/>
    <w:rsid w:val="00DE4B30"/>
    <w:rsid w:val="00E027E5"/>
    <w:rsid w:val="00E56EDE"/>
    <w:rsid w:val="00E60406"/>
    <w:rsid w:val="00E71161"/>
    <w:rsid w:val="00EB6727"/>
    <w:rsid w:val="00EE490D"/>
    <w:rsid w:val="00EF0597"/>
    <w:rsid w:val="00EF7F4D"/>
    <w:rsid w:val="00F217B1"/>
    <w:rsid w:val="00F2726A"/>
    <w:rsid w:val="00F45776"/>
    <w:rsid w:val="00F87184"/>
    <w:rsid w:val="00F915DD"/>
    <w:rsid w:val="00F943B1"/>
    <w:rsid w:val="00FA70B3"/>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5C53"/>
  <w15:chartTrackingRefBased/>
  <w15:docId w15:val="{334D605D-011D-4403-9E02-1C12D8E9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7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77B"/>
    <w:pPr>
      <w:ind w:left="720"/>
      <w:contextualSpacing/>
    </w:pPr>
  </w:style>
  <w:style w:type="paragraph" w:customStyle="1" w:styleId="Default">
    <w:name w:val="Default"/>
    <w:qFormat/>
    <w:rsid w:val="006F7490"/>
    <w:pPr>
      <w:autoSpaceDE w:val="0"/>
      <w:autoSpaceDN w:val="0"/>
      <w:adjustRightInd w:val="0"/>
      <w:spacing w:after="0" w:line="240" w:lineRule="auto"/>
    </w:pPr>
    <w:rPr>
      <w:rFonts w:ascii="Calibri" w:eastAsia="PMingLiU" w:hAnsi="Calibri" w:cs="Calibri"/>
      <w:color w:val="000000"/>
      <w:sz w:val="24"/>
      <w:szCs w:val="24"/>
      <w:lang w:eastAsia="es-ES"/>
    </w:rPr>
  </w:style>
  <w:style w:type="paragraph" w:styleId="Encabezado">
    <w:name w:val="header"/>
    <w:basedOn w:val="Normal"/>
    <w:link w:val="EncabezadoCar"/>
    <w:uiPriority w:val="99"/>
    <w:unhideWhenUsed/>
    <w:rsid w:val="00D016BC"/>
    <w:pPr>
      <w:tabs>
        <w:tab w:val="center" w:pos="4252"/>
        <w:tab w:val="right" w:pos="8504"/>
      </w:tabs>
    </w:pPr>
  </w:style>
  <w:style w:type="character" w:customStyle="1" w:styleId="EncabezadoCar">
    <w:name w:val="Encabezado Car"/>
    <w:basedOn w:val="Fuentedeprrafopredeter"/>
    <w:link w:val="Encabezado"/>
    <w:uiPriority w:val="99"/>
    <w:rsid w:val="00D016B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16BC"/>
    <w:pPr>
      <w:tabs>
        <w:tab w:val="center" w:pos="4252"/>
        <w:tab w:val="right" w:pos="8504"/>
      </w:tabs>
    </w:pPr>
  </w:style>
  <w:style w:type="character" w:customStyle="1" w:styleId="PiedepginaCar">
    <w:name w:val="Pie de página Car"/>
    <w:basedOn w:val="Fuentedeprrafopredeter"/>
    <w:link w:val="Piedepgina"/>
    <w:uiPriority w:val="99"/>
    <w:rsid w:val="00D016BC"/>
    <w:rPr>
      <w:rFonts w:ascii="Times New Roman" w:eastAsia="Times New Roman" w:hAnsi="Times New Roman" w:cs="Times New Roman"/>
      <w:sz w:val="24"/>
      <w:szCs w:val="24"/>
      <w:lang w:eastAsia="es-ES"/>
    </w:rPr>
  </w:style>
  <w:style w:type="character" w:styleId="Hipervnculo">
    <w:name w:val="Hyperlink"/>
    <w:basedOn w:val="Fuentedeprrafopredeter"/>
    <w:rsid w:val="00D26986"/>
    <w:rPr>
      <w:color w:val="0000FF"/>
      <w:u w:val="single"/>
    </w:rPr>
  </w:style>
  <w:style w:type="paragraph" w:styleId="Textonotapie">
    <w:name w:val="footnote text"/>
    <w:basedOn w:val="Normal"/>
    <w:link w:val="TextonotapieCar"/>
    <w:uiPriority w:val="99"/>
    <w:semiHidden/>
    <w:unhideWhenUsed/>
    <w:rsid w:val="002D028C"/>
    <w:rPr>
      <w:sz w:val="20"/>
      <w:szCs w:val="20"/>
    </w:rPr>
  </w:style>
  <w:style w:type="character" w:customStyle="1" w:styleId="TextonotapieCar">
    <w:name w:val="Texto nota pie Car"/>
    <w:basedOn w:val="Fuentedeprrafopredeter"/>
    <w:link w:val="Textonotapie"/>
    <w:uiPriority w:val="99"/>
    <w:semiHidden/>
    <w:rsid w:val="002D028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2D028C"/>
    <w:rPr>
      <w:vertAlign w:val="superscript"/>
    </w:rPr>
  </w:style>
  <w:style w:type="paragraph" w:styleId="Textodeglobo">
    <w:name w:val="Balloon Text"/>
    <w:basedOn w:val="Normal"/>
    <w:link w:val="TextodegloboCar"/>
    <w:uiPriority w:val="99"/>
    <w:semiHidden/>
    <w:unhideWhenUsed/>
    <w:rsid w:val="00A707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79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92125">
      <w:bodyDiv w:val="1"/>
      <w:marLeft w:val="0"/>
      <w:marRight w:val="0"/>
      <w:marTop w:val="0"/>
      <w:marBottom w:val="0"/>
      <w:divBdr>
        <w:top w:val="none" w:sz="0" w:space="0" w:color="auto"/>
        <w:left w:val="none" w:sz="0" w:space="0" w:color="auto"/>
        <w:bottom w:val="none" w:sz="0" w:space="0" w:color="auto"/>
        <w:right w:val="none" w:sz="0" w:space="0" w:color="auto"/>
      </w:divBdr>
    </w:div>
    <w:div w:id="1302929615">
      <w:bodyDiv w:val="1"/>
      <w:marLeft w:val="0"/>
      <w:marRight w:val="0"/>
      <w:marTop w:val="0"/>
      <w:marBottom w:val="0"/>
      <w:divBdr>
        <w:top w:val="none" w:sz="0" w:space="0" w:color="auto"/>
        <w:left w:val="none" w:sz="0" w:space="0" w:color="auto"/>
        <w:bottom w:val="none" w:sz="0" w:space="0" w:color="auto"/>
        <w:right w:val="none" w:sz="0" w:space="0" w:color="auto"/>
      </w:divBdr>
    </w:div>
    <w:div w:id="1383824332">
      <w:bodyDiv w:val="1"/>
      <w:marLeft w:val="0"/>
      <w:marRight w:val="0"/>
      <w:marTop w:val="0"/>
      <w:marBottom w:val="0"/>
      <w:divBdr>
        <w:top w:val="none" w:sz="0" w:space="0" w:color="auto"/>
        <w:left w:val="none" w:sz="0" w:space="0" w:color="auto"/>
        <w:bottom w:val="none" w:sz="0" w:space="0" w:color="auto"/>
        <w:right w:val="none" w:sz="0" w:space="0" w:color="auto"/>
      </w:divBdr>
    </w:div>
    <w:div w:id="1386487937">
      <w:bodyDiv w:val="1"/>
      <w:marLeft w:val="0"/>
      <w:marRight w:val="0"/>
      <w:marTop w:val="0"/>
      <w:marBottom w:val="0"/>
      <w:divBdr>
        <w:top w:val="none" w:sz="0" w:space="0" w:color="auto"/>
        <w:left w:val="none" w:sz="0" w:space="0" w:color="auto"/>
        <w:bottom w:val="none" w:sz="0" w:space="0" w:color="auto"/>
        <w:right w:val="none" w:sz="0" w:space="0" w:color="auto"/>
      </w:divBdr>
    </w:div>
    <w:div w:id="199833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Spain</Contributor>
  </documentManagement>
</p:properties>
</file>

<file path=customXml/itemProps1.xml><?xml version="1.0" encoding="utf-8"?>
<ds:datastoreItem xmlns:ds="http://schemas.openxmlformats.org/officeDocument/2006/customXml" ds:itemID="{96A1B74F-113A-4462-8986-AFE80D61E994}">
  <ds:schemaRefs>
    <ds:schemaRef ds:uri="http://schemas.openxmlformats.org/officeDocument/2006/bibliography"/>
  </ds:schemaRefs>
</ds:datastoreItem>
</file>

<file path=customXml/itemProps2.xml><?xml version="1.0" encoding="utf-8"?>
<ds:datastoreItem xmlns:ds="http://schemas.openxmlformats.org/officeDocument/2006/customXml" ds:itemID="{B3ECD6AA-639C-4211-8EF6-FFAA4FC8C6B2}"/>
</file>

<file path=customXml/itemProps3.xml><?xml version="1.0" encoding="utf-8"?>
<ds:datastoreItem xmlns:ds="http://schemas.openxmlformats.org/officeDocument/2006/customXml" ds:itemID="{250D77E4-3A65-4440-8B9A-CF1A035E5BDE}"/>
</file>

<file path=customXml/itemProps4.xml><?xml version="1.0" encoding="utf-8"?>
<ds:datastoreItem xmlns:ds="http://schemas.openxmlformats.org/officeDocument/2006/customXml" ds:itemID="{0970F3C8-9A52-4EA7-8C49-81DE16B25D6C}"/>
</file>

<file path=docProps/app.xml><?xml version="1.0" encoding="utf-8"?>
<Properties xmlns="http://schemas.openxmlformats.org/officeDocument/2006/extended-properties" xmlns:vt="http://schemas.openxmlformats.org/officeDocument/2006/docPropsVTypes">
  <Template>Normal</Template>
  <TotalTime>90</TotalTime>
  <Pages>5</Pages>
  <Words>2212</Words>
  <Characters>12168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Torresano Emperador, María</dc:creator>
  <cp:keywords/>
  <dc:description/>
  <cp:lastModifiedBy>Elena González, Esteban</cp:lastModifiedBy>
  <cp:revision>28</cp:revision>
  <cp:lastPrinted>2024-06-03T12:21:00Z</cp:lastPrinted>
  <dcterms:created xsi:type="dcterms:W3CDTF">2024-05-31T07:49:00Z</dcterms:created>
  <dcterms:modified xsi:type="dcterms:W3CDTF">2024-06-03T12:22:00Z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