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FE57" w14:textId="3B8203AB" w:rsidR="00191DF9" w:rsidRDefault="002B2975" w:rsidP="002B2975">
      <w:pPr>
        <w:pStyle w:val="Title"/>
        <w:jc w:val="center"/>
      </w:pPr>
      <w:r>
        <w:t>Promoting Economic, Social and Cultural Rights</w:t>
      </w:r>
    </w:p>
    <w:p w14:paraId="05D395E9" w14:textId="212AB681" w:rsidR="002B2975" w:rsidRDefault="002B2975" w:rsidP="00DF486B">
      <w:pPr>
        <w:spacing w:after="0"/>
        <w:rPr>
          <w:rFonts w:ascii="Amasis MT Pro" w:hAnsi="Amasis MT Pro"/>
          <w:sz w:val="24"/>
          <w:szCs w:val="24"/>
        </w:rPr>
      </w:pPr>
    </w:p>
    <w:p w14:paraId="2E14774D" w14:textId="77777777" w:rsidR="002B2975" w:rsidRDefault="002B2975" w:rsidP="00DF486B">
      <w:pPr>
        <w:spacing w:after="0"/>
        <w:rPr>
          <w:rFonts w:ascii="Amasis MT Pro" w:hAnsi="Amasis MT Pro"/>
          <w:sz w:val="24"/>
          <w:szCs w:val="24"/>
        </w:rPr>
      </w:pPr>
    </w:p>
    <w:p w14:paraId="5DD0EE02" w14:textId="77777777" w:rsidR="00164EEC" w:rsidRPr="00164EEC" w:rsidRDefault="00164EEC" w:rsidP="002B2975">
      <w:pPr>
        <w:spacing w:after="0"/>
        <w:jc w:val="center"/>
        <w:rPr>
          <w:rFonts w:ascii="Amasis MT Pro" w:hAnsi="Amasis MT Pro"/>
          <w:b/>
          <w:bCs/>
          <w:sz w:val="28"/>
          <w:szCs w:val="28"/>
        </w:rPr>
      </w:pPr>
      <w:r w:rsidRPr="00164EEC">
        <w:rPr>
          <w:rFonts w:ascii="Amasis MT Pro" w:hAnsi="Amasis MT Pro"/>
          <w:b/>
          <w:bCs/>
          <w:sz w:val="28"/>
          <w:szCs w:val="28"/>
        </w:rPr>
        <w:t>Arif Bulkan</w:t>
      </w:r>
    </w:p>
    <w:p w14:paraId="7EA848CD" w14:textId="6EB62C5D" w:rsidR="002B2975" w:rsidRPr="00164EEC" w:rsidRDefault="002B2975" w:rsidP="002B2975">
      <w:pPr>
        <w:spacing w:after="0"/>
        <w:jc w:val="center"/>
        <w:rPr>
          <w:rFonts w:ascii="Amasis MT Pro" w:hAnsi="Amasis MT Pro"/>
          <w:sz w:val="24"/>
          <w:szCs w:val="24"/>
        </w:rPr>
      </w:pPr>
      <w:r w:rsidRPr="00164EEC">
        <w:rPr>
          <w:rFonts w:ascii="Amasis MT Pro" w:hAnsi="Amasis MT Pro"/>
          <w:sz w:val="24"/>
          <w:szCs w:val="24"/>
        </w:rPr>
        <w:t>OHCHR Workshop</w:t>
      </w:r>
    </w:p>
    <w:p w14:paraId="2BAF4FFD" w14:textId="5A745103" w:rsidR="002B2975" w:rsidRPr="00164EEC" w:rsidRDefault="002B2975" w:rsidP="002B2975">
      <w:pPr>
        <w:spacing w:after="0"/>
        <w:jc w:val="center"/>
        <w:rPr>
          <w:rFonts w:ascii="Amasis MT Pro" w:hAnsi="Amasis MT Pro"/>
          <w:sz w:val="24"/>
          <w:szCs w:val="24"/>
        </w:rPr>
      </w:pPr>
      <w:r w:rsidRPr="00164EEC">
        <w:rPr>
          <w:rFonts w:ascii="Amasis MT Pro" w:hAnsi="Amasis MT Pro"/>
          <w:sz w:val="24"/>
          <w:szCs w:val="24"/>
        </w:rPr>
        <w:t>Geneva, Switzerland</w:t>
      </w:r>
    </w:p>
    <w:p w14:paraId="31DC9119" w14:textId="75B7489E" w:rsidR="002B2975" w:rsidRPr="00164EEC" w:rsidRDefault="002B2975" w:rsidP="002B2975">
      <w:pPr>
        <w:spacing w:after="0"/>
        <w:jc w:val="center"/>
        <w:rPr>
          <w:rFonts w:ascii="Amasis MT Pro" w:hAnsi="Amasis MT Pro"/>
          <w:sz w:val="24"/>
          <w:szCs w:val="24"/>
        </w:rPr>
      </w:pPr>
      <w:r w:rsidRPr="00164EEC">
        <w:rPr>
          <w:rFonts w:ascii="Amasis MT Pro" w:hAnsi="Amasis MT Pro"/>
          <w:sz w:val="24"/>
          <w:szCs w:val="24"/>
        </w:rPr>
        <w:t>February 6-8, 2023</w:t>
      </w:r>
    </w:p>
    <w:p w14:paraId="422D72D6" w14:textId="649B471E" w:rsidR="00DF486B" w:rsidRDefault="00DF486B" w:rsidP="00DF486B">
      <w:pPr>
        <w:spacing w:after="0"/>
        <w:rPr>
          <w:rFonts w:ascii="Amasis MT Pro" w:hAnsi="Amasis MT Pro"/>
          <w:sz w:val="24"/>
          <w:szCs w:val="24"/>
        </w:rPr>
      </w:pPr>
    </w:p>
    <w:p w14:paraId="25A5E627" w14:textId="77777777" w:rsidR="00F346C9" w:rsidRDefault="00F346C9" w:rsidP="00DF486B">
      <w:pPr>
        <w:pBdr>
          <w:bottom w:val="single" w:sz="12" w:space="1" w:color="auto"/>
        </w:pBdr>
        <w:spacing w:after="0"/>
        <w:rPr>
          <w:rFonts w:ascii="Amasis MT Pro" w:hAnsi="Amasis MT Pro"/>
          <w:b/>
          <w:bCs/>
          <w:color w:val="0070C0"/>
          <w:sz w:val="24"/>
          <w:szCs w:val="24"/>
        </w:rPr>
      </w:pPr>
    </w:p>
    <w:p w14:paraId="34043FC3" w14:textId="29C27F99" w:rsidR="00DF486B" w:rsidRDefault="00954BD1" w:rsidP="00DF486B">
      <w:pPr>
        <w:pBdr>
          <w:bottom w:val="single" w:sz="12" w:space="1" w:color="auto"/>
        </w:pBdr>
        <w:spacing w:after="0"/>
        <w:rPr>
          <w:rFonts w:ascii="Amasis MT Pro" w:hAnsi="Amasis MT Pro"/>
          <w:b/>
          <w:bCs/>
          <w:color w:val="0070C0"/>
          <w:sz w:val="24"/>
          <w:szCs w:val="24"/>
        </w:rPr>
      </w:pPr>
      <w:r w:rsidRPr="00333E26">
        <w:rPr>
          <w:rFonts w:ascii="Amasis MT Pro" w:hAnsi="Amasis MT Pro"/>
          <w:b/>
          <w:bCs/>
          <w:color w:val="0070C0"/>
          <w:sz w:val="24"/>
          <w:szCs w:val="24"/>
        </w:rPr>
        <w:t>Please elaborate on the relationship between economic, social and cultural rights and civil and political rights, and given your experience as a member of the Human Rights Committee, to what extent has the Committee addressed economic, social and cultural rights in its reporting and communications procedures?</w:t>
      </w:r>
      <w:r w:rsidR="00942ED0">
        <w:rPr>
          <w:rFonts w:ascii="Amasis MT Pro" w:hAnsi="Amasis MT Pro"/>
          <w:b/>
          <w:bCs/>
          <w:color w:val="0070C0"/>
          <w:sz w:val="24"/>
          <w:szCs w:val="24"/>
        </w:rPr>
        <w:t xml:space="preserve"> </w:t>
      </w:r>
    </w:p>
    <w:p w14:paraId="03C0E5CF" w14:textId="77777777" w:rsidR="00942ED0" w:rsidRDefault="00942ED0" w:rsidP="00DF486B">
      <w:pPr>
        <w:pBdr>
          <w:bottom w:val="single" w:sz="12" w:space="1" w:color="auto"/>
        </w:pBdr>
        <w:spacing w:after="0"/>
        <w:rPr>
          <w:rFonts w:ascii="Amasis MT Pro" w:hAnsi="Amasis MT Pro"/>
          <w:b/>
          <w:bCs/>
          <w:color w:val="0070C0"/>
          <w:sz w:val="24"/>
          <w:szCs w:val="24"/>
        </w:rPr>
      </w:pPr>
    </w:p>
    <w:p w14:paraId="2016B0D1" w14:textId="2189F8B4" w:rsidR="00333E26" w:rsidRDefault="00333E26" w:rsidP="00DF486B">
      <w:pPr>
        <w:spacing w:after="0"/>
        <w:rPr>
          <w:rFonts w:ascii="Amasis MT Pro" w:hAnsi="Amasis MT Pro"/>
          <w:sz w:val="24"/>
          <w:szCs w:val="24"/>
        </w:rPr>
      </w:pPr>
    </w:p>
    <w:p w14:paraId="4516C7E7" w14:textId="15FFB516" w:rsidR="00333E26" w:rsidRDefault="00333E26" w:rsidP="00DF486B">
      <w:pPr>
        <w:spacing w:after="0"/>
        <w:rPr>
          <w:rFonts w:ascii="Amasis MT Pro" w:hAnsi="Amasis MT Pro"/>
          <w:sz w:val="24"/>
          <w:szCs w:val="24"/>
        </w:rPr>
      </w:pPr>
    </w:p>
    <w:p w14:paraId="0DD2C5CB" w14:textId="5E08D75F" w:rsidR="00333E26" w:rsidRDefault="00333E26" w:rsidP="00333E26">
      <w:pPr>
        <w:spacing w:after="0" w:line="360" w:lineRule="auto"/>
        <w:rPr>
          <w:rFonts w:ascii="Amasis MT Pro" w:hAnsi="Amasis MT Pro"/>
          <w:sz w:val="24"/>
          <w:szCs w:val="24"/>
        </w:rPr>
      </w:pPr>
      <w:r>
        <w:rPr>
          <w:rFonts w:ascii="Amasis MT Pro" w:hAnsi="Amasis MT Pro"/>
          <w:sz w:val="24"/>
          <w:szCs w:val="24"/>
        </w:rPr>
        <w:t xml:space="preserve">Despite the formal </w:t>
      </w:r>
      <w:r w:rsidR="00C4274B">
        <w:rPr>
          <w:rFonts w:ascii="Amasis MT Pro" w:hAnsi="Amasis MT Pro"/>
          <w:sz w:val="24"/>
          <w:szCs w:val="24"/>
        </w:rPr>
        <w:t xml:space="preserve">classification and </w:t>
      </w:r>
      <w:r>
        <w:rPr>
          <w:rFonts w:ascii="Amasis MT Pro" w:hAnsi="Amasis MT Pro"/>
          <w:sz w:val="24"/>
          <w:szCs w:val="24"/>
        </w:rPr>
        <w:t xml:space="preserve">separation of human rights </w:t>
      </w:r>
      <w:r w:rsidR="00C4274B">
        <w:rPr>
          <w:rFonts w:ascii="Amasis MT Pro" w:hAnsi="Amasis MT Pro"/>
          <w:sz w:val="24"/>
          <w:szCs w:val="24"/>
        </w:rPr>
        <w:t>as</w:t>
      </w:r>
      <w:r>
        <w:rPr>
          <w:rFonts w:ascii="Amasis MT Pro" w:hAnsi="Amasis MT Pro"/>
          <w:sz w:val="24"/>
          <w:szCs w:val="24"/>
        </w:rPr>
        <w:t xml:space="preserve"> civil/political on the one hand and economic/social/cultural on the other, the interdependence between the two categories has long been recognised and applied in the work of treaty bodies.</w:t>
      </w:r>
      <w:r w:rsidR="003C67FB">
        <w:rPr>
          <w:rFonts w:ascii="Amasis MT Pro" w:hAnsi="Amasis MT Pro"/>
          <w:sz w:val="24"/>
          <w:szCs w:val="24"/>
        </w:rPr>
        <w:t xml:space="preserve"> There are the </w:t>
      </w:r>
      <w:r w:rsidR="00863D08">
        <w:rPr>
          <w:rFonts w:ascii="Amasis MT Pro" w:hAnsi="Amasis MT Pro"/>
          <w:sz w:val="24"/>
          <w:szCs w:val="24"/>
        </w:rPr>
        <w:t xml:space="preserve">textual </w:t>
      </w:r>
      <w:r w:rsidR="003C67FB">
        <w:rPr>
          <w:rFonts w:ascii="Amasis MT Pro" w:hAnsi="Amasis MT Pro"/>
          <w:sz w:val="24"/>
          <w:szCs w:val="24"/>
        </w:rPr>
        <w:t xml:space="preserve">overlaps in the respective treaties, </w:t>
      </w:r>
      <w:r w:rsidR="00C132F5">
        <w:rPr>
          <w:rFonts w:ascii="Amasis MT Pro" w:hAnsi="Amasis MT Pro"/>
          <w:sz w:val="24"/>
          <w:szCs w:val="24"/>
        </w:rPr>
        <w:t>heralded in the</w:t>
      </w:r>
      <w:r w:rsidR="00382DB0">
        <w:rPr>
          <w:rFonts w:ascii="Amasis MT Pro" w:hAnsi="Amasis MT Pro"/>
          <w:sz w:val="24"/>
          <w:szCs w:val="24"/>
        </w:rPr>
        <w:t>ir</w:t>
      </w:r>
      <w:r w:rsidR="00C132F5">
        <w:rPr>
          <w:rFonts w:ascii="Amasis MT Pro" w:hAnsi="Amasis MT Pro"/>
          <w:sz w:val="24"/>
          <w:szCs w:val="24"/>
        </w:rPr>
        <w:t xml:space="preserve"> </w:t>
      </w:r>
      <w:r w:rsidR="00185F1E">
        <w:rPr>
          <w:rFonts w:ascii="Amasis MT Pro" w:hAnsi="Amasis MT Pro"/>
          <w:sz w:val="24"/>
          <w:szCs w:val="24"/>
        </w:rPr>
        <w:t>preambles</w:t>
      </w:r>
      <w:r w:rsidR="00C132F5">
        <w:rPr>
          <w:rFonts w:ascii="Amasis MT Pro" w:hAnsi="Amasis MT Pro"/>
          <w:sz w:val="24"/>
          <w:szCs w:val="24"/>
        </w:rPr>
        <w:t xml:space="preserve"> and reflected in substantive provisions</w:t>
      </w:r>
      <w:r w:rsidR="00185F1E">
        <w:rPr>
          <w:rFonts w:ascii="Amasis MT Pro" w:hAnsi="Amasis MT Pro"/>
          <w:sz w:val="24"/>
          <w:szCs w:val="24"/>
        </w:rPr>
        <w:t xml:space="preserve"> </w:t>
      </w:r>
      <w:r w:rsidR="003C67FB">
        <w:rPr>
          <w:rFonts w:ascii="Amasis MT Pro" w:hAnsi="Amasis MT Pro"/>
          <w:sz w:val="24"/>
          <w:szCs w:val="24"/>
        </w:rPr>
        <w:t xml:space="preserve">on issues </w:t>
      </w:r>
      <w:r w:rsidR="00FC15AE">
        <w:rPr>
          <w:rFonts w:ascii="Amasis MT Pro" w:hAnsi="Amasis MT Pro"/>
          <w:sz w:val="24"/>
          <w:szCs w:val="24"/>
        </w:rPr>
        <w:t>as varied as association rights</w:t>
      </w:r>
      <w:r w:rsidR="00C132F5">
        <w:rPr>
          <w:rFonts w:ascii="Amasis MT Pro" w:hAnsi="Amasis MT Pro"/>
          <w:sz w:val="24"/>
          <w:szCs w:val="24"/>
        </w:rPr>
        <w:t>,</w:t>
      </w:r>
      <w:r w:rsidR="00FC15AE">
        <w:rPr>
          <w:rFonts w:ascii="Amasis MT Pro" w:hAnsi="Amasis MT Pro"/>
          <w:sz w:val="24"/>
          <w:szCs w:val="24"/>
        </w:rPr>
        <w:t xml:space="preserve"> protection of the family and children and </w:t>
      </w:r>
      <w:r w:rsidR="003D0517">
        <w:rPr>
          <w:rFonts w:ascii="Amasis MT Pro" w:hAnsi="Amasis MT Pro"/>
          <w:sz w:val="24"/>
          <w:szCs w:val="24"/>
        </w:rPr>
        <w:t>perhaps</w:t>
      </w:r>
      <w:r w:rsidR="005D4D1A">
        <w:rPr>
          <w:rFonts w:ascii="Amasis MT Pro" w:hAnsi="Amasis MT Pro"/>
          <w:sz w:val="24"/>
          <w:szCs w:val="24"/>
        </w:rPr>
        <w:t xml:space="preserve"> most famously in </w:t>
      </w:r>
      <w:r w:rsidR="00863D08">
        <w:rPr>
          <w:rFonts w:ascii="Amasis MT Pro" w:hAnsi="Amasis MT Pro"/>
          <w:sz w:val="24"/>
          <w:szCs w:val="24"/>
        </w:rPr>
        <w:t>the myriad dimensions of the right to life</w:t>
      </w:r>
      <w:r w:rsidR="00FC15AE">
        <w:rPr>
          <w:rFonts w:ascii="Amasis MT Pro" w:hAnsi="Amasis MT Pro"/>
          <w:sz w:val="24"/>
          <w:szCs w:val="24"/>
        </w:rPr>
        <w:t xml:space="preserve">. This overlap has also been repeatedly acknowledged </w:t>
      </w:r>
      <w:r w:rsidR="00863D08">
        <w:rPr>
          <w:rFonts w:ascii="Amasis MT Pro" w:hAnsi="Amasis MT Pro"/>
          <w:sz w:val="24"/>
          <w:szCs w:val="24"/>
        </w:rPr>
        <w:t>by States themselves –</w:t>
      </w:r>
      <w:r w:rsidR="0037169C">
        <w:rPr>
          <w:rFonts w:ascii="Amasis MT Pro" w:hAnsi="Amasis MT Pro"/>
          <w:sz w:val="24"/>
          <w:szCs w:val="24"/>
        </w:rPr>
        <w:t xml:space="preserve"> </w:t>
      </w:r>
      <w:r w:rsidR="005D4D1A">
        <w:rPr>
          <w:rFonts w:ascii="Amasis MT Pro" w:hAnsi="Amasis MT Pro"/>
          <w:sz w:val="24"/>
          <w:szCs w:val="24"/>
        </w:rPr>
        <w:t>most</w:t>
      </w:r>
      <w:r w:rsidR="00863D08">
        <w:rPr>
          <w:rFonts w:ascii="Amasis MT Pro" w:hAnsi="Amasis MT Pro"/>
          <w:sz w:val="24"/>
          <w:szCs w:val="24"/>
        </w:rPr>
        <w:t xml:space="preserve"> forcefully </w:t>
      </w:r>
      <w:r w:rsidR="0037169C">
        <w:rPr>
          <w:rFonts w:ascii="Amasis MT Pro" w:hAnsi="Amasis MT Pro"/>
          <w:sz w:val="24"/>
          <w:szCs w:val="24"/>
        </w:rPr>
        <w:t>for example in</w:t>
      </w:r>
      <w:r w:rsidR="00863D08">
        <w:rPr>
          <w:rFonts w:ascii="Amasis MT Pro" w:hAnsi="Amasis MT Pro"/>
          <w:sz w:val="24"/>
          <w:szCs w:val="24"/>
        </w:rPr>
        <w:t xml:space="preserve"> </w:t>
      </w:r>
      <w:r w:rsidR="00863D08" w:rsidRPr="005D4D1A">
        <w:rPr>
          <w:rFonts w:ascii="Amasis MT Pro" w:hAnsi="Amasis MT Pro"/>
          <w:b/>
          <w:bCs/>
          <w:sz w:val="24"/>
          <w:szCs w:val="24"/>
        </w:rPr>
        <w:t xml:space="preserve">resolution </w:t>
      </w:r>
      <w:r w:rsidR="00B503C4" w:rsidRPr="005D4D1A">
        <w:rPr>
          <w:rFonts w:ascii="Amasis MT Pro" w:hAnsi="Amasis MT Pro"/>
          <w:b/>
          <w:bCs/>
          <w:sz w:val="24"/>
          <w:szCs w:val="24"/>
        </w:rPr>
        <w:t>32/130</w:t>
      </w:r>
      <w:r w:rsidR="00B503C4">
        <w:rPr>
          <w:rFonts w:ascii="Amasis MT Pro" w:hAnsi="Amasis MT Pro"/>
          <w:sz w:val="24"/>
          <w:szCs w:val="24"/>
        </w:rPr>
        <w:t xml:space="preserve"> </w:t>
      </w:r>
      <w:r w:rsidR="0037169C">
        <w:rPr>
          <w:rFonts w:ascii="Amasis MT Pro" w:hAnsi="Amasis MT Pro"/>
          <w:sz w:val="24"/>
          <w:szCs w:val="24"/>
        </w:rPr>
        <w:t xml:space="preserve">adopted </w:t>
      </w:r>
      <w:r w:rsidR="00B503C4">
        <w:rPr>
          <w:rFonts w:ascii="Amasis MT Pro" w:hAnsi="Amasis MT Pro"/>
          <w:sz w:val="24"/>
          <w:szCs w:val="24"/>
        </w:rPr>
        <w:t>in December 1977, where the GA declared that it was “</w:t>
      </w:r>
      <w:r w:rsidR="00B503C4" w:rsidRPr="00B503C4">
        <w:rPr>
          <w:rFonts w:ascii="Amasis MT Pro" w:hAnsi="Amasis MT Pro"/>
          <w:i/>
          <w:iCs/>
          <w:sz w:val="24"/>
          <w:szCs w:val="24"/>
        </w:rPr>
        <w:t>profoundly convinced</w:t>
      </w:r>
      <w:r w:rsidR="00B503C4">
        <w:rPr>
          <w:rFonts w:ascii="Amasis MT Pro" w:hAnsi="Amasis MT Pro"/>
          <w:sz w:val="24"/>
          <w:szCs w:val="24"/>
        </w:rPr>
        <w:t xml:space="preserve"> that all HR and fundamental freedoms are interrelated and indivisible”</w:t>
      </w:r>
      <w:r w:rsidR="005D4D1A">
        <w:rPr>
          <w:rFonts w:ascii="Amasis MT Pro" w:hAnsi="Amasis MT Pro"/>
          <w:sz w:val="24"/>
          <w:szCs w:val="24"/>
        </w:rPr>
        <w:t xml:space="preserve">, </w:t>
      </w:r>
      <w:r w:rsidR="003D0517">
        <w:rPr>
          <w:rFonts w:ascii="Amasis MT Pro" w:hAnsi="Amasis MT Pro"/>
          <w:sz w:val="24"/>
          <w:szCs w:val="24"/>
        </w:rPr>
        <w:t>and decided</w:t>
      </w:r>
      <w:r w:rsidR="00B503C4">
        <w:rPr>
          <w:rFonts w:ascii="Amasis MT Pro" w:hAnsi="Amasis MT Pro"/>
          <w:sz w:val="24"/>
          <w:szCs w:val="24"/>
        </w:rPr>
        <w:t xml:space="preserve"> that “equal attention and urgent consideration should be given to the implementation, promotion and protection of both civil and political, and economic, social and cultural rights”. </w:t>
      </w:r>
      <w:r w:rsidR="003D0517">
        <w:rPr>
          <w:rFonts w:ascii="Amasis MT Pro" w:hAnsi="Amasis MT Pro"/>
          <w:sz w:val="24"/>
          <w:szCs w:val="24"/>
        </w:rPr>
        <w:t xml:space="preserve">Examples of </w:t>
      </w:r>
      <w:r w:rsidR="00884322">
        <w:rPr>
          <w:rFonts w:ascii="Amasis MT Pro" w:hAnsi="Amasis MT Pro"/>
          <w:sz w:val="24"/>
          <w:szCs w:val="24"/>
        </w:rPr>
        <w:t>this</w:t>
      </w:r>
      <w:r w:rsidR="008A7AAB">
        <w:rPr>
          <w:rFonts w:ascii="Amasis MT Pro" w:hAnsi="Amasis MT Pro"/>
          <w:sz w:val="24"/>
          <w:szCs w:val="24"/>
        </w:rPr>
        <w:t xml:space="preserve"> interconnectedness </w:t>
      </w:r>
      <w:r w:rsidR="0037169C">
        <w:rPr>
          <w:rFonts w:ascii="Amasis MT Pro" w:hAnsi="Amasis MT Pro"/>
          <w:sz w:val="24"/>
          <w:szCs w:val="24"/>
        </w:rPr>
        <w:t>abound</w:t>
      </w:r>
      <w:r w:rsidR="008A7AAB">
        <w:rPr>
          <w:rFonts w:ascii="Amasis MT Pro" w:hAnsi="Amasis MT Pro"/>
          <w:sz w:val="24"/>
          <w:szCs w:val="24"/>
        </w:rPr>
        <w:t xml:space="preserve"> in the work of </w:t>
      </w:r>
      <w:r w:rsidR="002A77B9">
        <w:rPr>
          <w:rFonts w:ascii="Amasis MT Pro" w:hAnsi="Amasis MT Pro"/>
          <w:sz w:val="24"/>
          <w:szCs w:val="24"/>
        </w:rPr>
        <w:t xml:space="preserve">the HRC, </w:t>
      </w:r>
      <w:r w:rsidR="008A7AAB">
        <w:rPr>
          <w:rFonts w:ascii="Amasis MT Pro" w:hAnsi="Amasis MT Pro"/>
          <w:sz w:val="24"/>
          <w:szCs w:val="24"/>
        </w:rPr>
        <w:t xml:space="preserve">the treaty body </w:t>
      </w:r>
      <w:r w:rsidR="002A77B9">
        <w:rPr>
          <w:rFonts w:ascii="Amasis MT Pro" w:hAnsi="Amasis MT Pro"/>
          <w:sz w:val="24"/>
          <w:szCs w:val="24"/>
        </w:rPr>
        <w:t>tasked with monitoring States parties</w:t>
      </w:r>
      <w:r w:rsidR="003D0517">
        <w:rPr>
          <w:rFonts w:ascii="Amasis MT Pro" w:hAnsi="Amasis MT Pro"/>
          <w:sz w:val="24"/>
          <w:szCs w:val="24"/>
        </w:rPr>
        <w:t>’</w:t>
      </w:r>
      <w:r w:rsidR="002A77B9">
        <w:rPr>
          <w:rFonts w:ascii="Amasis MT Pro" w:hAnsi="Amasis MT Pro"/>
          <w:sz w:val="24"/>
          <w:szCs w:val="24"/>
        </w:rPr>
        <w:t xml:space="preserve"> implementation of the ICCPR.</w:t>
      </w:r>
    </w:p>
    <w:p w14:paraId="288C0E3A" w14:textId="200A9419" w:rsidR="00185F1E" w:rsidRDefault="00185F1E" w:rsidP="00333E26">
      <w:pPr>
        <w:spacing w:after="0" w:line="360" w:lineRule="auto"/>
        <w:rPr>
          <w:rFonts w:ascii="Amasis MT Pro" w:hAnsi="Amasis MT Pro"/>
          <w:sz w:val="24"/>
          <w:szCs w:val="24"/>
        </w:rPr>
      </w:pPr>
    </w:p>
    <w:p w14:paraId="35A3FE1C" w14:textId="0F8633E1" w:rsidR="00EA2808" w:rsidRDefault="006221DE" w:rsidP="00333E26">
      <w:pPr>
        <w:spacing w:after="0" w:line="360" w:lineRule="auto"/>
        <w:rPr>
          <w:rFonts w:ascii="Amasis MT Pro" w:hAnsi="Amasis MT Pro"/>
          <w:sz w:val="24"/>
          <w:szCs w:val="24"/>
        </w:rPr>
      </w:pPr>
      <w:r>
        <w:rPr>
          <w:rFonts w:ascii="Amasis MT Pro" w:hAnsi="Amasis MT Pro"/>
          <w:sz w:val="24"/>
          <w:szCs w:val="24"/>
        </w:rPr>
        <w:lastRenderedPageBreak/>
        <w:t xml:space="preserve">A </w:t>
      </w:r>
      <w:r w:rsidR="00AE534B">
        <w:rPr>
          <w:rFonts w:ascii="Amasis MT Pro" w:hAnsi="Amasis MT Pro"/>
          <w:sz w:val="24"/>
          <w:szCs w:val="24"/>
        </w:rPr>
        <w:t>highly</w:t>
      </w:r>
      <w:r>
        <w:rPr>
          <w:rFonts w:ascii="Amasis MT Pro" w:hAnsi="Amasis MT Pro"/>
          <w:sz w:val="24"/>
          <w:szCs w:val="24"/>
        </w:rPr>
        <w:t xml:space="preserve"> contested issue </w:t>
      </w:r>
      <w:r w:rsidR="00185F1E">
        <w:rPr>
          <w:rFonts w:ascii="Amasis MT Pro" w:hAnsi="Amasis MT Pro"/>
          <w:sz w:val="24"/>
          <w:szCs w:val="24"/>
        </w:rPr>
        <w:t>in the Committee</w:t>
      </w:r>
      <w:r w:rsidR="00230602">
        <w:rPr>
          <w:rFonts w:ascii="Amasis MT Pro" w:hAnsi="Amasis MT Pro"/>
          <w:sz w:val="24"/>
          <w:szCs w:val="24"/>
        </w:rPr>
        <w:t xml:space="preserve"> concerned</w:t>
      </w:r>
      <w:r w:rsidR="00185F1E">
        <w:rPr>
          <w:rFonts w:ascii="Amasis MT Pro" w:hAnsi="Amasis MT Pro"/>
          <w:sz w:val="24"/>
          <w:szCs w:val="24"/>
        </w:rPr>
        <w:t xml:space="preserve"> the scope of the non-discrimination right in </w:t>
      </w:r>
      <w:r w:rsidR="00185F1E" w:rsidRPr="007A0A19">
        <w:rPr>
          <w:rFonts w:ascii="Amasis MT Pro" w:hAnsi="Amasis MT Pro"/>
          <w:b/>
          <w:bCs/>
          <w:sz w:val="24"/>
          <w:szCs w:val="24"/>
        </w:rPr>
        <w:t>article 26</w:t>
      </w:r>
      <w:r w:rsidR="00185F1E">
        <w:rPr>
          <w:rFonts w:ascii="Amasis MT Pro" w:hAnsi="Amasis MT Pro"/>
          <w:sz w:val="24"/>
          <w:szCs w:val="24"/>
        </w:rPr>
        <w:t>.</w:t>
      </w:r>
      <w:r w:rsidR="00F346C9">
        <w:rPr>
          <w:rStyle w:val="FootnoteReference"/>
          <w:rFonts w:ascii="Amasis MT Pro" w:hAnsi="Amasis MT Pro"/>
          <w:sz w:val="24"/>
          <w:szCs w:val="24"/>
        </w:rPr>
        <w:footnoteReference w:id="1"/>
      </w:r>
      <w:r w:rsidR="00185F1E">
        <w:rPr>
          <w:rFonts w:ascii="Amasis MT Pro" w:hAnsi="Amasis MT Pro"/>
          <w:sz w:val="24"/>
          <w:szCs w:val="24"/>
        </w:rPr>
        <w:t xml:space="preserve"> </w:t>
      </w:r>
      <w:r>
        <w:rPr>
          <w:rFonts w:ascii="Amasis MT Pro" w:hAnsi="Amasis MT Pro"/>
          <w:sz w:val="24"/>
          <w:szCs w:val="24"/>
        </w:rPr>
        <w:t>E</w:t>
      </w:r>
      <w:r w:rsidR="00230602">
        <w:rPr>
          <w:rFonts w:ascii="Amasis MT Pro" w:hAnsi="Amasis MT Pro"/>
          <w:sz w:val="24"/>
          <w:szCs w:val="24"/>
        </w:rPr>
        <w:t xml:space="preserve">arly on </w:t>
      </w:r>
      <w:r>
        <w:rPr>
          <w:rFonts w:ascii="Amasis MT Pro" w:hAnsi="Amasis MT Pro"/>
          <w:sz w:val="24"/>
          <w:szCs w:val="24"/>
        </w:rPr>
        <w:t>it was definitively</w:t>
      </w:r>
      <w:r w:rsidR="0091301A">
        <w:rPr>
          <w:rFonts w:ascii="Amasis MT Pro" w:hAnsi="Amasis MT Pro"/>
          <w:sz w:val="24"/>
          <w:szCs w:val="24"/>
        </w:rPr>
        <w:t xml:space="preserve"> established that art 26 does not merely duplicate the guarantee in article 2(1)</w:t>
      </w:r>
      <w:r w:rsidR="00F346C9">
        <w:rPr>
          <w:rStyle w:val="FootnoteReference"/>
          <w:rFonts w:ascii="Amasis MT Pro" w:hAnsi="Amasis MT Pro"/>
          <w:sz w:val="24"/>
          <w:szCs w:val="24"/>
        </w:rPr>
        <w:footnoteReference w:id="2"/>
      </w:r>
      <w:r w:rsidR="0091301A">
        <w:rPr>
          <w:rFonts w:ascii="Amasis MT Pro" w:hAnsi="Amasis MT Pro"/>
          <w:sz w:val="24"/>
          <w:szCs w:val="24"/>
        </w:rPr>
        <w:t xml:space="preserve"> but </w:t>
      </w:r>
      <w:r>
        <w:rPr>
          <w:rFonts w:ascii="Amasis MT Pro" w:hAnsi="Amasis MT Pro"/>
          <w:sz w:val="24"/>
          <w:szCs w:val="24"/>
        </w:rPr>
        <w:t>rather</w:t>
      </w:r>
      <w:r w:rsidR="0091301A">
        <w:rPr>
          <w:rFonts w:ascii="Amasis MT Pro" w:hAnsi="Amasis MT Pro"/>
          <w:sz w:val="24"/>
          <w:szCs w:val="24"/>
        </w:rPr>
        <w:t xml:space="preserve"> prohibits discrimination in law and in fact in </w:t>
      </w:r>
      <w:r w:rsidR="0091301A" w:rsidRPr="0055313D">
        <w:rPr>
          <w:rFonts w:ascii="Amasis MT Pro" w:hAnsi="Amasis MT Pro"/>
          <w:i/>
          <w:iCs/>
          <w:sz w:val="24"/>
          <w:szCs w:val="24"/>
        </w:rPr>
        <w:t>any</w:t>
      </w:r>
      <w:r w:rsidR="0091301A">
        <w:rPr>
          <w:rFonts w:ascii="Amasis MT Pro" w:hAnsi="Amasis MT Pro"/>
          <w:sz w:val="24"/>
          <w:szCs w:val="24"/>
        </w:rPr>
        <w:t xml:space="preserve"> field regulated by public authorities</w:t>
      </w:r>
      <w:r w:rsidR="0037169C">
        <w:rPr>
          <w:rFonts w:ascii="Amasis MT Pro" w:hAnsi="Amasis MT Pro"/>
          <w:sz w:val="24"/>
          <w:szCs w:val="24"/>
        </w:rPr>
        <w:t>.</w:t>
      </w:r>
      <w:r w:rsidR="00884585">
        <w:rPr>
          <w:rFonts w:ascii="Amasis MT Pro" w:hAnsi="Amasis MT Pro"/>
          <w:sz w:val="24"/>
          <w:szCs w:val="24"/>
        </w:rPr>
        <w:t xml:space="preserve"> </w:t>
      </w:r>
      <w:r w:rsidR="0091301A">
        <w:rPr>
          <w:rFonts w:ascii="Amasis MT Pro" w:hAnsi="Amasis MT Pro"/>
          <w:sz w:val="24"/>
          <w:szCs w:val="24"/>
        </w:rPr>
        <w:t xml:space="preserve">In a remarkable series of cases </w:t>
      </w:r>
      <w:r w:rsidR="00C132F5">
        <w:rPr>
          <w:rFonts w:ascii="Amasis MT Pro" w:hAnsi="Amasis MT Pro"/>
          <w:sz w:val="24"/>
          <w:szCs w:val="24"/>
        </w:rPr>
        <w:t>emanating</w:t>
      </w:r>
      <w:r w:rsidR="0091301A">
        <w:rPr>
          <w:rFonts w:ascii="Amasis MT Pro" w:hAnsi="Amasis MT Pro"/>
          <w:sz w:val="24"/>
          <w:szCs w:val="24"/>
        </w:rPr>
        <w:t xml:space="preserve"> from the Netherlands,</w:t>
      </w:r>
      <w:r w:rsidR="0056702A">
        <w:rPr>
          <w:rFonts w:ascii="Amasis MT Pro" w:hAnsi="Amasis MT Pro"/>
          <w:sz w:val="24"/>
          <w:szCs w:val="24"/>
        </w:rPr>
        <w:t xml:space="preserve"> </w:t>
      </w:r>
      <w:r w:rsidR="0056702A">
        <w:rPr>
          <w:rFonts w:ascii="Amasis MT Pro" w:hAnsi="Amasis MT Pro"/>
          <w:sz w:val="24"/>
          <w:szCs w:val="24"/>
        </w:rPr>
        <w:t>the HRC found that distinguishing between married women and married men in the provision of unemployment benefits constituted impermissible discrimination contrary to art 26, in the process dismissing an objection that the claim was inadmissible because its subject-matter was covered by the covenant on ESC rights.</w:t>
      </w:r>
      <w:r w:rsidR="0056702A">
        <w:rPr>
          <w:rStyle w:val="FootnoteReference"/>
          <w:rFonts w:ascii="Amasis MT Pro" w:hAnsi="Amasis MT Pro"/>
          <w:sz w:val="24"/>
          <w:szCs w:val="24"/>
        </w:rPr>
        <w:footnoteReference w:id="3"/>
      </w:r>
      <w:r w:rsidR="0091301A">
        <w:rPr>
          <w:rFonts w:ascii="Amasis MT Pro" w:hAnsi="Amasis MT Pro"/>
          <w:sz w:val="24"/>
          <w:szCs w:val="24"/>
        </w:rPr>
        <w:t xml:space="preserve"> </w:t>
      </w:r>
      <w:r w:rsidR="00FD7414">
        <w:rPr>
          <w:rFonts w:ascii="Amasis MT Pro" w:hAnsi="Amasis MT Pro"/>
          <w:sz w:val="24"/>
          <w:szCs w:val="24"/>
        </w:rPr>
        <w:t>Thus, b</w:t>
      </w:r>
      <w:r w:rsidR="0055313D">
        <w:rPr>
          <w:rFonts w:ascii="Amasis MT Pro" w:hAnsi="Amasis MT Pro"/>
          <w:sz w:val="24"/>
          <w:szCs w:val="24"/>
        </w:rPr>
        <w:t>y binding public authorities in any field</w:t>
      </w:r>
      <w:r w:rsidR="00EA2808">
        <w:rPr>
          <w:rFonts w:ascii="Amasis MT Pro" w:hAnsi="Amasis MT Pro"/>
          <w:sz w:val="24"/>
          <w:szCs w:val="24"/>
        </w:rPr>
        <w:t xml:space="preserve">, </w:t>
      </w:r>
      <w:r w:rsidR="00FD7414">
        <w:rPr>
          <w:rFonts w:ascii="Amasis MT Pro" w:hAnsi="Amasis MT Pro"/>
          <w:sz w:val="24"/>
          <w:szCs w:val="24"/>
        </w:rPr>
        <w:t>article 26</w:t>
      </w:r>
      <w:r w:rsidR="00EA2808">
        <w:rPr>
          <w:rFonts w:ascii="Amasis MT Pro" w:hAnsi="Amasis MT Pro"/>
          <w:sz w:val="24"/>
          <w:szCs w:val="24"/>
        </w:rPr>
        <w:t xml:space="preserve"> has tremendous promise for securing substantive equality across the board</w:t>
      </w:r>
      <w:r w:rsidR="0037169C">
        <w:rPr>
          <w:rFonts w:ascii="Amasis MT Pro" w:hAnsi="Amasis MT Pro"/>
          <w:sz w:val="24"/>
          <w:szCs w:val="24"/>
        </w:rPr>
        <w:t>, including in socio-economic matters</w:t>
      </w:r>
      <w:r w:rsidR="00EA2808">
        <w:rPr>
          <w:rFonts w:ascii="Amasis MT Pro" w:hAnsi="Amasis MT Pro"/>
          <w:sz w:val="24"/>
          <w:szCs w:val="24"/>
        </w:rPr>
        <w:t>.</w:t>
      </w:r>
    </w:p>
    <w:p w14:paraId="26723B40" w14:textId="77777777" w:rsidR="00EA2808" w:rsidRDefault="00EA2808" w:rsidP="00333E26">
      <w:pPr>
        <w:spacing w:after="0" w:line="360" w:lineRule="auto"/>
        <w:rPr>
          <w:rFonts w:ascii="Amasis MT Pro" w:hAnsi="Amasis MT Pro"/>
          <w:sz w:val="24"/>
          <w:szCs w:val="24"/>
        </w:rPr>
      </w:pPr>
    </w:p>
    <w:p w14:paraId="50E0526E" w14:textId="63E3E4ED" w:rsidR="00185F1E" w:rsidRDefault="00EA2808" w:rsidP="00333E26">
      <w:pPr>
        <w:spacing w:after="0" w:line="360" w:lineRule="auto"/>
        <w:rPr>
          <w:rFonts w:ascii="Amasis MT Pro" w:hAnsi="Amasis MT Pro"/>
          <w:sz w:val="24"/>
          <w:szCs w:val="24"/>
        </w:rPr>
      </w:pPr>
      <w:r>
        <w:rPr>
          <w:rFonts w:ascii="Amasis MT Pro" w:hAnsi="Amasis MT Pro"/>
          <w:sz w:val="24"/>
          <w:szCs w:val="24"/>
        </w:rPr>
        <w:t xml:space="preserve">In its monitoring function, the HRC has made a range of recommendations designed to promote equality </w:t>
      </w:r>
      <w:r w:rsidR="0037169C">
        <w:rPr>
          <w:rFonts w:ascii="Amasis MT Pro" w:hAnsi="Amasis MT Pro"/>
          <w:sz w:val="24"/>
          <w:szCs w:val="24"/>
        </w:rPr>
        <w:t>in</w:t>
      </w:r>
      <w:r>
        <w:rPr>
          <w:rFonts w:ascii="Amasis MT Pro" w:hAnsi="Amasis MT Pro"/>
          <w:sz w:val="24"/>
          <w:szCs w:val="24"/>
        </w:rPr>
        <w:t xml:space="preserve"> a variety of </w:t>
      </w:r>
      <w:r w:rsidR="0037169C">
        <w:rPr>
          <w:rFonts w:ascii="Amasis MT Pro" w:hAnsi="Amasis MT Pro"/>
          <w:sz w:val="24"/>
          <w:szCs w:val="24"/>
        </w:rPr>
        <w:t>areas,</w:t>
      </w:r>
      <w:r>
        <w:rPr>
          <w:rFonts w:ascii="Amasis MT Pro" w:hAnsi="Amasis MT Pro"/>
          <w:sz w:val="24"/>
          <w:szCs w:val="24"/>
        </w:rPr>
        <w:t xml:space="preserve"> </w:t>
      </w:r>
      <w:r w:rsidR="0037169C">
        <w:rPr>
          <w:rFonts w:ascii="Amasis MT Pro" w:hAnsi="Amasis MT Pro"/>
          <w:sz w:val="24"/>
          <w:szCs w:val="24"/>
        </w:rPr>
        <w:t>such as</w:t>
      </w:r>
      <w:r>
        <w:rPr>
          <w:rFonts w:ascii="Amasis MT Pro" w:hAnsi="Amasis MT Pro"/>
          <w:sz w:val="24"/>
          <w:szCs w:val="24"/>
        </w:rPr>
        <w:t xml:space="preserve"> </w:t>
      </w:r>
      <w:r w:rsidR="00C132F5">
        <w:rPr>
          <w:rFonts w:ascii="Amasis MT Pro" w:hAnsi="Amasis MT Pro"/>
          <w:sz w:val="24"/>
          <w:szCs w:val="24"/>
        </w:rPr>
        <w:t>in</w:t>
      </w:r>
      <w:r>
        <w:rPr>
          <w:rFonts w:ascii="Amasis MT Pro" w:hAnsi="Amasis MT Pro"/>
          <w:sz w:val="24"/>
          <w:szCs w:val="24"/>
        </w:rPr>
        <w:t xml:space="preserve"> labour and employment practices</w:t>
      </w:r>
      <w:r w:rsidR="00DF0300">
        <w:rPr>
          <w:rStyle w:val="FootnoteReference"/>
          <w:rFonts w:ascii="Amasis MT Pro" w:hAnsi="Amasis MT Pro"/>
          <w:sz w:val="24"/>
          <w:szCs w:val="24"/>
        </w:rPr>
        <w:footnoteReference w:id="4"/>
      </w:r>
      <w:r>
        <w:rPr>
          <w:rFonts w:ascii="Amasis MT Pro" w:hAnsi="Amasis MT Pro"/>
          <w:sz w:val="24"/>
          <w:szCs w:val="24"/>
        </w:rPr>
        <w:t xml:space="preserve"> </w:t>
      </w:r>
      <w:r w:rsidR="0037169C">
        <w:rPr>
          <w:rFonts w:ascii="Amasis MT Pro" w:hAnsi="Amasis MT Pro"/>
          <w:sz w:val="24"/>
          <w:szCs w:val="24"/>
        </w:rPr>
        <w:t>and the treatment of</w:t>
      </w:r>
      <w:r>
        <w:rPr>
          <w:rFonts w:ascii="Amasis MT Pro" w:hAnsi="Amasis MT Pro"/>
          <w:sz w:val="24"/>
          <w:szCs w:val="24"/>
        </w:rPr>
        <w:t xml:space="preserve"> disabled persons</w:t>
      </w:r>
      <w:r w:rsidR="0037169C">
        <w:rPr>
          <w:rFonts w:ascii="Amasis MT Pro" w:hAnsi="Amasis MT Pro"/>
          <w:sz w:val="24"/>
          <w:szCs w:val="24"/>
        </w:rPr>
        <w:t>.</w:t>
      </w:r>
      <w:r w:rsidR="00DF0300">
        <w:rPr>
          <w:rStyle w:val="FootnoteReference"/>
          <w:rFonts w:ascii="Amasis MT Pro" w:hAnsi="Amasis MT Pro"/>
          <w:sz w:val="24"/>
          <w:szCs w:val="24"/>
        </w:rPr>
        <w:footnoteReference w:id="5"/>
      </w:r>
      <w:r w:rsidR="0037169C">
        <w:rPr>
          <w:rFonts w:ascii="Amasis MT Pro" w:hAnsi="Amasis MT Pro"/>
          <w:sz w:val="24"/>
          <w:szCs w:val="24"/>
        </w:rPr>
        <w:t xml:space="preserve"> </w:t>
      </w:r>
      <w:r w:rsidR="00C132F5">
        <w:rPr>
          <w:rFonts w:ascii="Amasis MT Pro" w:hAnsi="Amasis MT Pro"/>
          <w:sz w:val="24"/>
          <w:szCs w:val="24"/>
        </w:rPr>
        <w:t>In promoting</w:t>
      </w:r>
      <w:r>
        <w:rPr>
          <w:rFonts w:ascii="Amasis MT Pro" w:hAnsi="Amasis MT Pro"/>
          <w:sz w:val="24"/>
          <w:szCs w:val="24"/>
        </w:rPr>
        <w:t xml:space="preserve"> </w:t>
      </w:r>
      <w:r w:rsidR="0037169C">
        <w:rPr>
          <w:rFonts w:ascii="Amasis MT Pro" w:hAnsi="Amasis MT Pro"/>
          <w:sz w:val="24"/>
          <w:szCs w:val="24"/>
        </w:rPr>
        <w:t>gender equality</w:t>
      </w:r>
      <w:r>
        <w:rPr>
          <w:rFonts w:ascii="Amasis MT Pro" w:hAnsi="Amasis MT Pro"/>
          <w:sz w:val="24"/>
          <w:szCs w:val="24"/>
        </w:rPr>
        <w:t xml:space="preserve">, the Committee </w:t>
      </w:r>
      <w:r w:rsidR="0037169C">
        <w:rPr>
          <w:rFonts w:ascii="Amasis MT Pro" w:hAnsi="Amasis MT Pro"/>
          <w:sz w:val="24"/>
          <w:szCs w:val="24"/>
        </w:rPr>
        <w:t>consistently</w:t>
      </w:r>
      <w:r>
        <w:rPr>
          <w:rFonts w:ascii="Amasis MT Pro" w:hAnsi="Amasis MT Pro"/>
          <w:sz w:val="24"/>
          <w:szCs w:val="24"/>
        </w:rPr>
        <w:t xml:space="preserve"> address</w:t>
      </w:r>
      <w:r w:rsidR="0037169C">
        <w:rPr>
          <w:rFonts w:ascii="Amasis MT Pro" w:hAnsi="Amasis MT Pro"/>
          <w:sz w:val="24"/>
          <w:szCs w:val="24"/>
        </w:rPr>
        <w:t>es</w:t>
      </w:r>
      <w:r>
        <w:rPr>
          <w:rFonts w:ascii="Amasis MT Pro" w:hAnsi="Amasis MT Pro"/>
          <w:sz w:val="24"/>
          <w:szCs w:val="24"/>
        </w:rPr>
        <w:t xml:space="preserve"> areas such as parenting and child care, the participation of women in economic activities</w:t>
      </w:r>
      <w:r w:rsidR="00C132F5">
        <w:rPr>
          <w:rFonts w:ascii="Amasis MT Pro" w:hAnsi="Amasis MT Pro"/>
          <w:sz w:val="24"/>
          <w:szCs w:val="24"/>
        </w:rPr>
        <w:t xml:space="preserve">, </w:t>
      </w:r>
      <w:r>
        <w:rPr>
          <w:rFonts w:ascii="Amasis MT Pro" w:hAnsi="Amasis MT Pro"/>
          <w:sz w:val="24"/>
          <w:szCs w:val="24"/>
        </w:rPr>
        <w:t>gender pay gaps, and the persistence of patriarchal stereotypes regarding the role of women in the family and society</w:t>
      </w:r>
      <w:r w:rsidR="00A96C0C">
        <w:rPr>
          <w:rFonts w:ascii="Amasis MT Pro" w:hAnsi="Amasis MT Pro"/>
          <w:sz w:val="24"/>
          <w:szCs w:val="24"/>
        </w:rPr>
        <w:t>.</w:t>
      </w:r>
      <w:r w:rsidR="00DF0300">
        <w:rPr>
          <w:rStyle w:val="FootnoteReference"/>
          <w:rFonts w:ascii="Amasis MT Pro" w:hAnsi="Amasis MT Pro"/>
          <w:sz w:val="24"/>
          <w:szCs w:val="24"/>
        </w:rPr>
        <w:footnoteReference w:id="6"/>
      </w:r>
      <w:r w:rsidR="00A96C0C">
        <w:rPr>
          <w:rFonts w:ascii="Amasis MT Pro" w:hAnsi="Amasis MT Pro"/>
          <w:sz w:val="24"/>
          <w:szCs w:val="24"/>
        </w:rPr>
        <w:t xml:space="preserve"> </w:t>
      </w:r>
    </w:p>
    <w:p w14:paraId="3569C7B1" w14:textId="361EA838" w:rsidR="002D3D17" w:rsidRDefault="002D3D17" w:rsidP="00333E26">
      <w:pPr>
        <w:spacing w:after="0" w:line="360" w:lineRule="auto"/>
        <w:rPr>
          <w:rFonts w:ascii="Amasis MT Pro" w:hAnsi="Amasis MT Pro"/>
          <w:sz w:val="24"/>
          <w:szCs w:val="24"/>
        </w:rPr>
      </w:pPr>
    </w:p>
    <w:p w14:paraId="51283ACB" w14:textId="711A0021" w:rsidR="002D3D17" w:rsidRDefault="0089681C" w:rsidP="00333E26">
      <w:pPr>
        <w:spacing w:after="0" w:line="360" w:lineRule="auto"/>
        <w:rPr>
          <w:rFonts w:ascii="Amasis MT Pro" w:hAnsi="Amasis MT Pro"/>
          <w:sz w:val="24"/>
          <w:szCs w:val="24"/>
        </w:rPr>
      </w:pPr>
      <w:r>
        <w:rPr>
          <w:rFonts w:ascii="Amasis MT Pro" w:hAnsi="Amasis MT Pro"/>
          <w:sz w:val="24"/>
          <w:szCs w:val="24"/>
        </w:rPr>
        <w:t xml:space="preserve">In interpreting </w:t>
      </w:r>
      <w:r w:rsidR="002D3D17" w:rsidRPr="007A0A19">
        <w:rPr>
          <w:rFonts w:ascii="Amasis MT Pro" w:hAnsi="Amasis MT Pro"/>
          <w:b/>
          <w:bCs/>
          <w:sz w:val="24"/>
          <w:szCs w:val="24"/>
        </w:rPr>
        <w:t xml:space="preserve">Articles 1 </w:t>
      </w:r>
      <w:r w:rsidR="002D3D17" w:rsidRPr="007A0A19">
        <w:rPr>
          <w:rFonts w:ascii="Amasis MT Pro" w:hAnsi="Amasis MT Pro"/>
          <w:sz w:val="24"/>
          <w:szCs w:val="24"/>
        </w:rPr>
        <w:t>(self-determination)</w:t>
      </w:r>
      <w:r w:rsidR="00002967" w:rsidRPr="007A0A19">
        <w:rPr>
          <w:rFonts w:ascii="Amasis MT Pro" w:hAnsi="Amasis MT Pro"/>
          <w:sz w:val="24"/>
          <w:szCs w:val="24"/>
        </w:rPr>
        <w:t xml:space="preserve">, </w:t>
      </w:r>
      <w:r w:rsidR="00002967" w:rsidRPr="007A0A19">
        <w:rPr>
          <w:rFonts w:ascii="Amasis MT Pro" w:hAnsi="Amasis MT Pro"/>
          <w:b/>
          <w:bCs/>
          <w:sz w:val="24"/>
          <w:szCs w:val="24"/>
        </w:rPr>
        <w:t xml:space="preserve">25 </w:t>
      </w:r>
      <w:r w:rsidR="00002967" w:rsidRPr="007A0A19">
        <w:rPr>
          <w:rFonts w:ascii="Amasis MT Pro" w:hAnsi="Amasis MT Pro"/>
          <w:sz w:val="24"/>
          <w:szCs w:val="24"/>
        </w:rPr>
        <w:t>(participation)</w:t>
      </w:r>
      <w:r w:rsidR="002D3D17" w:rsidRPr="007A0A19">
        <w:rPr>
          <w:rFonts w:ascii="Amasis MT Pro" w:hAnsi="Amasis MT Pro"/>
          <w:sz w:val="24"/>
          <w:szCs w:val="24"/>
        </w:rPr>
        <w:t xml:space="preserve"> and</w:t>
      </w:r>
      <w:r w:rsidR="002D3D17" w:rsidRPr="007A0A19">
        <w:rPr>
          <w:rFonts w:ascii="Amasis MT Pro" w:hAnsi="Amasis MT Pro"/>
          <w:b/>
          <w:bCs/>
          <w:sz w:val="24"/>
          <w:szCs w:val="24"/>
        </w:rPr>
        <w:t xml:space="preserve"> 27 </w:t>
      </w:r>
      <w:r w:rsidR="002D3D17" w:rsidRPr="007A0A19">
        <w:rPr>
          <w:rFonts w:ascii="Amasis MT Pro" w:hAnsi="Amasis MT Pro"/>
          <w:sz w:val="24"/>
          <w:szCs w:val="24"/>
        </w:rPr>
        <w:t>(minority rights)</w:t>
      </w:r>
      <w:r>
        <w:rPr>
          <w:rFonts w:ascii="Amasis MT Pro" w:hAnsi="Amasis MT Pro"/>
          <w:sz w:val="24"/>
          <w:szCs w:val="24"/>
        </w:rPr>
        <w:t>,</w:t>
      </w:r>
      <w:r w:rsidR="002D3D17">
        <w:rPr>
          <w:rFonts w:ascii="Amasis MT Pro" w:hAnsi="Amasis MT Pro"/>
          <w:sz w:val="24"/>
          <w:szCs w:val="24"/>
        </w:rPr>
        <w:t xml:space="preserve"> </w:t>
      </w:r>
      <w:r w:rsidR="00BB4113">
        <w:rPr>
          <w:rFonts w:ascii="Amasis MT Pro" w:hAnsi="Amasis MT Pro"/>
          <w:sz w:val="24"/>
          <w:szCs w:val="24"/>
        </w:rPr>
        <w:t>the HRC has exhorted SP to enact and/or implement legislation to recognise historic rights to land and territories</w:t>
      </w:r>
      <w:r w:rsidR="00635C45">
        <w:rPr>
          <w:rStyle w:val="FootnoteReference"/>
          <w:rFonts w:ascii="Amasis MT Pro" w:hAnsi="Amasis MT Pro"/>
          <w:sz w:val="24"/>
          <w:szCs w:val="24"/>
        </w:rPr>
        <w:footnoteReference w:id="7"/>
      </w:r>
      <w:r w:rsidR="00BB4113">
        <w:rPr>
          <w:rFonts w:ascii="Amasis MT Pro" w:hAnsi="Amasis MT Pro"/>
          <w:sz w:val="24"/>
          <w:szCs w:val="24"/>
        </w:rPr>
        <w:t xml:space="preserve"> and has repeatedly expressed concern at the activities of extractive industries and other uses of traditional lands which impact </w:t>
      </w:r>
      <w:r w:rsidR="00BB4113">
        <w:rPr>
          <w:rFonts w:ascii="Amasis MT Pro" w:hAnsi="Amasis MT Pro"/>
          <w:sz w:val="24"/>
          <w:szCs w:val="24"/>
        </w:rPr>
        <w:lastRenderedPageBreak/>
        <w:t>adversely on their use and enjoyment</w:t>
      </w:r>
      <w:r>
        <w:rPr>
          <w:rFonts w:ascii="Amasis MT Pro" w:hAnsi="Amasis MT Pro"/>
          <w:sz w:val="24"/>
          <w:szCs w:val="24"/>
        </w:rPr>
        <w:t>;</w:t>
      </w:r>
      <w:r w:rsidR="00635C45">
        <w:rPr>
          <w:rStyle w:val="FootnoteReference"/>
          <w:rFonts w:ascii="Amasis MT Pro" w:hAnsi="Amasis MT Pro"/>
          <w:sz w:val="24"/>
          <w:szCs w:val="24"/>
        </w:rPr>
        <w:footnoteReference w:id="8"/>
      </w:r>
      <w:r>
        <w:rPr>
          <w:rFonts w:ascii="Amasis MT Pro" w:hAnsi="Amasis MT Pro"/>
          <w:sz w:val="24"/>
          <w:szCs w:val="24"/>
        </w:rPr>
        <w:t xml:space="preserve"> frequently calling on</w:t>
      </w:r>
      <w:r w:rsidR="00BB4113">
        <w:rPr>
          <w:rFonts w:ascii="Amasis MT Pro" w:hAnsi="Amasis MT Pro"/>
          <w:sz w:val="24"/>
          <w:szCs w:val="24"/>
        </w:rPr>
        <w:t xml:space="preserve"> SP</w:t>
      </w:r>
      <w:r>
        <w:rPr>
          <w:rFonts w:ascii="Amasis MT Pro" w:hAnsi="Amasis MT Pro"/>
          <w:sz w:val="24"/>
          <w:szCs w:val="24"/>
        </w:rPr>
        <w:t xml:space="preserve"> to</w:t>
      </w:r>
      <w:r w:rsidR="00BB4113">
        <w:rPr>
          <w:rFonts w:ascii="Amasis MT Pro" w:hAnsi="Amasis MT Pro"/>
          <w:sz w:val="24"/>
          <w:szCs w:val="24"/>
        </w:rPr>
        <w:t xml:space="preserve"> take steps </w:t>
      </w:r>
      <w:r w:rsidR="007A0A19">
        <w:rPr>
          <w:rFonts w:ascii="Amasis MT Pro" w:hAnsi="Amasis MT Pro"/>
          <w:sz w:val="24"/>
          <w:szCs w:val="24"/>
        </w:rPr>
        <w:t>to ensure that IP enjoy</w:t>
      </w:r>
      <w:r w:rsidR="00BB4113">
        <w:rPr>
          <w:rFonts w:ascii="Amasis MT Pro" w:hAnsi="Amasis MT Pro"/>
          <w:sz w:val="24"/>
          <w:szCs w:val="24"/>
        </w:rPr>
        <w:t xml:space="preserve"> greater influence in decision-making affecting their natural environment and their means of subsistence and culture.</w:t>
      </w:r>
      <w:r w:rsidR="00252118">
        <w:rPr>
          <w:rStyle w:val="FootnoteReference"/>
          <w:rFonts w:ascii="Amasis MT Pro" w:hAnsi="Amasis MT Pro"/>
          <w:sz w:val="24"/>
          <w:szCs w:val="24"/>
        </w:rPr>
        <w:footnoteReference w:id="9"/>
      </w:r>
      <w:r w:rsidR="00BB4113">
        <w:rPr>
          <w:rFonts w:ascii="Amasis MT Pro" w:hAnsi="Amasis MT Pro"/>
          <w:sz w:val="24"/>
          <w:szCs w:val="24"/>
        </w:rPr>
        <w:t xml:space="preserve"> </w:t>
      </w:r>
      <w:r w:rsidR="00BB4113" w:rsidRPr="00C03CA1">
        <w:rPr>
          <w:rFonts w:ascii="Amasis MT Pro" w:hAnsi="Amasis MT Pro"/>
          <w:sz w:val="24"/>
          <w:szCs w:val="24"/>
        </w:rPr>
        <w:t xml:space="preserve">In other words, the substantive and procedural obligations derived from these rights operate in and have a significant role to play in the economic sphere of </w:t>
      </w:r>
      <w:r w:rsidR="008F0F88" w:rsidRPr="00C03CA1">
        <w:rPr>
          <w:rFonts w:ascii="Amasis MT Pro" w:hAnsi="Amasis MT Pro"/>
          <w:sz w:val="24"/>
          <w:szCs w:val="24"/>
        </w:rPr>
        <w:t>indigenous and minority</w:t>
      </w:r>
      <w:r w:rsidR="00BB4113" w:rsidRPr="00C03CA1">
        <w:rPr>
          <w:rFonts w:ascii="Amasis MT Pro" w:hAnsi="Amasis MT Pro"/>
          <w:sz w:val="24"/>
          <w:szCs w:val="24"/>
        </w:rPr>
        <w:t xml:space="preserve"> communities, touching upon their </w:t>
      </w:r>
      <w:r w:rsidR="008F0F88" w:rsidRPr="00C03CA1">
        <w:rPr>
          <w:rFonts w:ascii="Amasis MT Pro" w:hAnsi="Amasis MT Pro"/>
          <w:sz w:val="24"/>
          <w:szCs w:val="24"/>
        </w:rPr>
        <w:t xml:space="preserve">very survival and </w:t>
      </w:r>
      <w:r w:rsidR="00BB4113" w:rsidRPr="00C03CA1">
        <w:rPr>
          <w:rFonts w:ascii="Amasis MT Pro" w:hAnsi="Amasis MT Pro"/>
          <w:sz w:val="24"/>
          <w:szCs w:val="24"/>
        </w:rPr>
        <w:t xml:space="preserve">material well-being </w:t>
      </w:r>
      <w:r w:rsidR="00644E6B" w:rsidRPr="00C03CA1">
        <w:rPr>
          <w:rFonts w:ascii="Amasis MT Pro" w:hAnsi="Amasis MT Pro"/>
          <w:sz w:val="24"/>
          <w:szCs w:val="24"/>
        </w:rPr>
        <w:t xml:space="preserve">and enabling their culture and </w:t>
      </w:r>
      <w:r w:rsidR="008F0F88" w:rsidRPr="00C03CA1">
        <w:rPr>
          <w:rFonts w:ascii="Amasis MT Pro" w:hAnsi="Amasis MT Pro"/>
          <w:sz w:val="24"/>
          <w:szCs w:val="24"/>
        </w:rPr>
        <w:t>spiritual practices</w:t>
      </w:r>
      <w:r w:rsidR="00644E6B" w:rsidRPr="00C03CA1">
        <w:rPr>
          <w:rFonts w:ascii="Amasis MT Pro" w:hAnsi="Amasis MT Pro"/>
          <w:sz w:val="24"/>
          <w:szCs w:val="24"/>
        </w:rPr>
        <w:t xml:space="preserve"> to flourish</w:t>
      </w:r>
      <w:r w:rsidR="00644E6B">
        <w:rPr>
          <w:rFonts w:ascii="Amasis MT Pro" w:hAnsi="Amasis MT Pro"/>
          <w:sz w:val="24"/>
          <w:szCs w:val="24"/>
        </w:rPr>
        <w:t>.</w:t>
      </w:r>
    </w:p>
    <w:p w14:paraId="0D83EDD9" w14:textId="77777777" w:rsidR="0056702A" w:rsidRDefault="0056702A" w:rsidP="00333E26">
      <w:pPr>
        <w:spacing w:after="0" w:line="360" w:lineRule="auto"/>
        <w:rPr>
          <w:rFonts w:ascii="Amasis MT Pro" w:hAnsi="Amasis MT Pro"/>
          <w:sz w:val="24"/>
          <w:szCs w:val="24"/>
        </w:rPr>
      </w:pPr>
    </w:p>
    <w:p w14:paraId="2DE5BDD5" w14:textId="4ABF82A3" w:rsidR="00BE5C01" w:rsidRDefault="00BE5C01" w:rsidP="00333E26">
      <w:pPr>
        <w:spacing w:after="0" w:line="360" w:lineRule="auto"/>
        <w:rPr>
          <w:rFonts w:ascii="Amasis MT Pro" w:hAnsi="Amasis MT Pro"/>
          <w:sz w:val="24"/>
          <w:szCs w:val="24"/>
        </w:rPr>
      </w:pPr>
      <w:r w:rsidRPr="00D2056F">
        <w:rPr>
          <w:rFonts w:ascii="Amasis MT Pro" w:hAnsi="Amasis MT Pro"/>
          <w:b/>
          <w:bCs/>
          <w:sz w:val="24"/>
          <w:szCs w:val="24"/>
        </w:rPr>
        <w:t>Article 17</w:t>
      </w:r>
      <w:r>
        <w:rPr>
          <w:rFonts w:ascii="Amasis MT Pro" w:hAnsi="Amasis MT Pro"/>
          <w:sz w:val="24"/>
          <w:szCs w:val="24"/>
        </w:rPr>
        <w:t xml:space="preserve"> of the ICCPR, which </w:t>
      </w:r>
      <w:r w:rsidR="00D2056F">
        <w:rPr>
          <w:rFonts w:ascii="Amasis MT Pro" w:hAnsi="Amasis MT Pro"/>
          <w:sz w:val="24"/>
          <w:szCs w:val="24"/>
        </w:rPr>
        <w:t>guarantees protection against</w:t>
      </w:r>
      <w:r>
        <w:rPr>
          <w:rFonts w:ascii="Amasis MT Pro" w:hAnsi="Amasis MT Pro"/>
          <w:sz w:val="24"/>
          <w:szCs w:val="24"/>
        </w:rPr>
        <w:t xml:space="preserve"> arbitrary and unlawful attacks on </w:t>
      </w:r>
      <w:r w:rsidR="00D2056F">
        <w:rPr>
          <w:rFonts w:ascii="Amasis MT Pro" w:hAnsi="Amasis MT Pro"/>
          <w:sz w:val="24"/>
          <w:szCs w:val="24"/>
        </w:rPr>
        <w:t>the</w:t>
      </w:r>
      <w:r>
        <w:rPr>
          <w:rFonts w:ascii="Amasis MT Pro" w:hAnsi="Amasis MT Pro"/>
          <w:sz w:val="24"/>
          <w:szCs w:val="24"/>
        </w:rPr>
        <w:t xml:space="preserve"> family and home</w:t>
      </w:r>
      <w:r w:rsidR="00D2056F">
        <w:rPr>
          <w:rFonts w:ascii="Amasis MT Pro" w:hAnsi="Amasis MT Pro"/>
          <w:sz w:val="24"/>
          <w:szCs w:val="24"/>
        </w:rPr>
        <w:t>,</w:t>
      </w:r>
      <w:r>
        <w:rPr>
          <w:rFonts w:ascii="Amasis MT Pro" w:hAnsi="Amasis MT Pro"/>
          <w:sz w:val="24"/>
          <w:szCs w:val="24"/>
        </w:rPr>
        <w:t xml:space="preserve"> has been </w:t>
      </w:r>
      <w:r w:rsidR="00E21796">
        <w:rPr>
          <w:rFonts w:ascii="Amasis MT Pro" w:hAnsi="Amasis MT Pro"/>
          <w:sz w:val="24"/>
          <w:szCs w:val="24"/>
        </w:rPr>
        <w:t>invoked</w:t>
      </w:r>
      <w:r>
        <w:rPr>
          <w:rFonts w:ascii="Amasis MT Pro" w:hAnsi="Amasis MT Pro"/>
          <w:sz w:val="24"/>
          <w:szCs w:val="24"/>
        </w:rPr>
        <w:t xml:space="preserve"> to </w:t>
      </w:r>
      <w:r w:rsidR="00D2056F">
        <w:rPr>
          <w:rFonts w:ascii="Amasis MT Pro" w:hAnsi="Amasis MT Pro"/>
          <w:sz w:val="24"/>
          <w:szCs w:val="24"/>
        </w:rPr>
        <w:t xml:space="preserve">require SP </w:t>
      </w:r>
      <w:r w:rsidR="00E21796">
        <w:rPr>
          <w:rFonts w:ascii="Amasis MT Pro" w:hAnsi="Amasis MT Pro"/>
          <w:sz w:val="24"/>
          <w:szCs w:val="24"/>
        </w:rPr>
        <w:t xml:space="preserve">to </w:t>
      </w:r>
      <w:r w:rsidR="00D2056F">
        <w:rPr>
          <w:rFonts w:ascii="Amasis MT Pro" w:hAnsi="Amasis MT Pro"/>
          <w:sz w:val="24"/>
          <w:szCs w:val="24"/>
        </w:rPr>
        <w:t>take measures protect</w:t>
      </w:r>
      <w:r w:rsidR="00E21796">
        <w:rPr>
          <w:rFonts w:ascii="Amasis MT Pro" w:hAnsi="Amasis MT Pro"/>
          <w:sz w:val="24"/>
          <w:szCs w:val="24"/>
        </w:rPr>
        <w:t>ing</w:t>
      </w:r>
      <w:r w:rsidR="00D2056F">
        <w:rPr>
          <w:rFonts w:ascii="Amasis MT Pro" w:hAnsi="Amasis MT Pro"/>
          <w:sz w:val="24"/>
          <w:szCs w:val="24"/>
        </w:rPr>
        <w:t xml:space="preserve"> persons from the negative impacts of climate change and natural disasters, such as by sustainably using natural resources</w:t>
      </w:r>
      <w:r w:rsidR="008B5032">
        <w:rPr>
          <w:rStyle w:val="FootnoteReference"/>
          <w:rFonts w:ascii="Amasis MT Pro" w:hAnsi="Amasis MT Pro"/>
          <w:sz w:val="24"/>
          <w:szCs w:val="24"/>
        </w:rPr>
        <w:footnoteReference w:id="10"/>
      </w:r>
      <w:r w:rsidR="00D2056F">
        <w:rPr>
          <w:rFonts w:ascii="Amasis MT Pro" w:hAnsi="Amasis MT Pro"/>
          <w:sz w:val="24"/>
          <w:szCs w:val="24"/>
        </w:rPr>
        <w:t xml:space="preserve"> and developing and implementing environmental standards and conducting EIAs,</w:t>
      </w:r>
      <w:r w:rsidR="008B5032">
        <w:rPr>
          <w:rStyle w:val="FootnoteReference"/>
          <w:rFonts w:ascii="Amasis MT Pro" w:hAnsi="Amasis MT Pro"/>
          <w:sz w:val="24"/>
          <w:szCs w:val="24"/>
        </w:rPr>
        <w:footnoteReference w:id="11"/>
      </w:r>
      <w:r w:rsidR="00D2056F">
        <w:rPr>
          <w:rFonts w:ascii="Amasis MT Pro" w:hAnsi="Amasis MT Pro"/>
          <w:sz w:val="24"/>
          <w:szCs w:val="24"/>
        </w:rPr>
        <w:t xml:space="preserve"> </w:t>
      </w:r>
      <w:r w:rsidR="00E21796">
        <w:rPr>
          <w:rFonts w:ascii="Amasis MT Pro" w:hAnsi="Amasis MT Pro"/>
          <w:sz w:val="24"/>
          <w:szCs w:val="24"/>
        </w:rPr>
        <w:t>and importantly to require</w:t>
      </w:r>
      <w:r w:rsidR="00D2056F">
        <w:rPr>
          <w:rFonts w:ascii="Amasis MT Pro" w:hAnsi="Amasis MT Pro"/>
          <w:sz w:val="24"/>
          <w:szCs w:val="24"/>
        </w:rPr>
        <w:t xml:space="preserve"> that policies are adopted only after meaningful and informed participation of the population.</w:t>
      </w:r>
      <w:r w:rsidR="008B5032">
        <w:rPr>
          <w:rStyle w:val="FootnoteReference"/>
          <w:rFonts w:ascii="Amasis MT Pro" w:hAnsi="Amasis MT Pro"/>
          <w:sz w:val="24"/>
          <w:szCs w:val="24"/>
        </w:rPr>
        <w:footnoteReference w:id="12"/>
      </w:r>
    </w:p>
    <w:p w14:paraId="49EA54D9" w14:textId="77777777" w:rsidR="00512181" w:rsidRDefault="00512181" w:rsidP="00333E26">
      <w:pPr>
        <w:spacing w:after="0" w:line="360" w:lineRule="auto"/>
        <w:rPr>
          <w:rFonts w:ascii="Amasis MT Pro" w:hAnsi="Amasis MT Pro"/>
          <w:sz w:val="24"/>
          <w:szCs w:val="24"/>
        </w:rPr>
      </w:pPr>
    </w:p>
    <w:p w14:paraId="71B849E5" w14:textId="3FC47D62" w:rsidR="00512181" w:rsidRDefault="00604036" w:rsidP="00333E26">
      <w:pPr>
        <w:spacing w:after="0" w:line="360" w:lineRule="auto"/>
        <w:rPr>
          <w:rFonts w:ascii="Amasis MT Pro" w:hAnsi="Amasis MT Pro"/>
          <w:sz w:val="24"/>
          <w:szCs w:val="24"/>
        </w:rPr>
      </w:pPr>
      <w:r>
        <w:rPr>
          <w:rFonts w:ascii="Amasis MT Pro" w:hAnsi="Amasis MT Pro"/>
          <w:sz w:val="24"/>
          <w:szCs w:val="24"/>
        </w:rPr>
        <w:t xml:space="preserve">Beyond these programmatic recommendations, in its communication procedures the HRC has found violations of this right by reason of </w:t>
      </w:r>
      <w:r w:rsidR="00CF15F1">
        <w:rPr>
          <w:rFonts w:ascii="Amasis MT Pro" w:hAnsi="Amasis MT Pro"/>
          <w:sz w:val="24"/>
          <w:szCs w:val="24"/>
        </w:rPr>
        <w:t>the</w:t>
      </w:r>
      <w:r>
        <w:rPr>
          <w:rFonts w:ascii="Amasis MT Pro" w:hAnsi="Amasis MT Pro"/>
          <w:sz w:val="24"/>
          <w:szCs w:val="24"/>
        </w:rPr>
        <w:t xml:space="preserve"> failure to prevent illegal activities such as fumigation of crops, which result in contamination of land and waterways, destruction of crops and livestock and health problems in persons living nearby.</w:t>
      </w:r>
      <w:r w:rsidR="008B5032">
        <w:rPr>
          <w:rStyle w:val="FootnoteReference"/>
          <w:rFonts w:ascii="Amasis MT Pro" w:hAnsi="Amasis MT Pro"/>
          <w:sz w:val="24"/>
          <w:szCs w:val="24"/>
        </w:rPr>
        <w:footnoteReference w:id="13"/>
      </w:r>
      <w:r>
        <w:rPr>
          <w:rFonts w:ascii="Amasis MT Pro" w:hAnsi="Amasis MT Pro"/>
          <w:sz w:val="24"/>
          <w:szCs w:val="24"/>
        </w:rPr>
        <w:t xml:space="preserve"> </w:t>
      </w:r>
    </w:p>
    <w:p w14:paraId="73C88BFA" w14:textId="6FAEDA99" w:rsidR="00604036" w:rsidRDefault="00604036" w:rsidP="00333E26">
      <w:pPr>
        <w:spacing w:after="0" w:line="360" w:lineRule="auto"/>
        <w:rPr>
          <w:rFonts w:ascii="Amasis MT Pro" w:hAnsi="Amasis MT Pro"/>
          <w:sz w:val="24"/>
          <w:szCs w:val="24"/>
        </w:rPr>
      </w:pPr>
    </w:p>
    <w:p w14:paraId="22050543" w14:textId="700AE327" w:rsidR="00604036" w:rsidRDefault="00604036" w:rsidP="00333E26">
      <w:pPr>
        <w:spacing w:after="0" w:line="360" w:lineRule="auto"/>
        <w:rPr>
          <w:rFonts w:ascii="Amasis MT Pro" w:hAnsi="Amasis MT Pro"/>
          <w:sz w:val="24"/>
          <w:szCs w:val="24"/>
        </w:rPr>
      </w:pPr>
      <w:r>
        <w:rPr>
          <w:rFonts w:ascii="Amasis MT Pro" w:hAnsi="Amasis MT Pro"/>
          <w:sz w:val="24"/>
          <w:szCs w:val="24"/>
        </w:rPr>
        <w:t xml:space="preserve">In a recent historic case, </w:t>
      </w:r>
      <w:r w:rsidRPr="00604036">
        <w:rPr>
          <w:rFonts w:ascii="Amasis MT Pro" w:hAnsi="Amasis MT Pro"/>
          <w:i/>
          <w:iCs/>
          <w:sz w:val="24"/>
          <w:szCs w:val="24"/>
        </w:rPr>
        <w:t>Billy v Australia</w:t>
      </w:r>
      <w:r>
        <w:rPr>
          <w:rFonts w:ascii="Amasis MT Pro" w:hAnsi="Amasis MT Pro"/>
          <w:sz w:val="24"/>
          <w:szCs w:val="24"/>
        </w:rPr>
        <w:t>, the HRC found that by not taking positive steps such as constructing or upgrading seawalls, which led to flooding, salinification of groundwater and destruction of gardens and other food sources, Australia violated the authors’ rights to private life and family under article 17.</w:t>
      </w:r>
      <w:r w:rsidR="008B5032">
        <w:rPr>
          <w:rStyle w:val="FootnoteReference"/>
          <w:rFonts w:ascii="Amasis MT Pro" w:hAnsi="Amasis MT Pro"/>
          <w:sz w:val="24"/>
          <w:szCs w:val="24"/>
        </w:rPr>
        <w:footnoteReference w:id="14"/>
      </w:r>
      <w:r>
        <w:rPr>
          <w:rFonts w:ascii="Amasis MT Pro" w:hAnsi="Amasis MT Pro"/>
          <w:sz w:val="24"/>
          <w:szCs w:val="24"/>
        </w:rPr>
        <w:t xml:space="preserve"> </w:t>
      </w:r>
    </w:p>
    <w:p w14:paraId="7E678025" w14:textId="63AC068C" w:rsidR="004F0EAA" w:rsidRDefault="004F0EAA" w:rsidP="00333E26">
      <w:pPr>
        <w:spacing w:after="0" w:line="360" w:lineRule="auto"/>
        <w:rPr>
          <w:rFonts w:ascii="Amasis MT Pro" w:hAnsi="Amasis MT Pro"/>
          <w:sz w:val="24"/>
          <w:szCs w:val="24"/>
        </w:rPr>
      </w:pPr>
    </w:p>
    <w:p w14:paraId="38FA4481" w14:textId="77777777" w:rsidR="0056702A" w:rsidRDefault="004F0EAA" w:rsidP="00333E26">
      <w:pPr>
        <w:spacing w:after="0" w:line="360" w:lineRule="auto"/>
        <w:rPr>
          <w:rFonts w:ascii="Amasis MT Pro" w:hAnsi="Amasis MT Pro"/>
          <w:sz w:val="24"/>
          <w:szCs w:val="24"/>
        </w:rPr>
      </w:pPr>
      <w:r>
        <w:rPr>
          <w:rFonts w:ascii="Amasis MT Pro" w:hAnsi="Amasis MT Pro"/>
          <w:sz w:val="24"/>
          <w:szCs w:val="24"/>
        </w:rPr>
        <w:t xml:space="preserve">But perhaps the most dramatic illustration of interdependence lies in the interpretation and application of </w:t>
      </w:r>
      <w:r w:rsidRPr="004F0EAA">
        <w:rPr>
          <w:rFonts w:ascii="Amasis MT Pro" w:hAnsi="Amasis MT Pro"/>
          <w:b/>
          <w:bCs/>
          <w:sz w:val="24"/>
          <w:szCs w:val="24"/>
        </w:rPr>
        <w:t>article 6</w:t>
      </w:r>
      <w:r>
        <w:rPr>
          <w:rFonts w:ascii="Amasis MT Pro" w:hAnsi="Amasis MT Pro"/>
          <w:sz w:val="24"/>
          <w:szCs w:val="24"/>
        </w:rPr>
        <w:t xml:space="preserve">, the right to life. </w:t>
      </w:r>
      <w:r w:rsidR="006F2920">
        <w:rPr>
          <w:rFonts w:ascii="Amasis MT Pro" w:hAnsi="Amasis MT Pro"/>
          <w:sz w:val="24"/>
          <w:szCs w:val="24"/>
        </w:rPr>
        <w:t xml:space="preserve">In its first </w:t>
      </w:r>
      <w:r w:rsidR="00DB7250">
        <w:rPr>
          <w:rFonts w:ascii="Amasis MT Pro" w:hAnsi="Amasis MT Pro"/>
          <w:sz w:val="24"/>
          <w:szCs w:val="24"/>
        </w:rPr>
        <w:t>General Comment</w:t>
      </w:r>
      <w:r w:rsidR="006F2920">
        <w:rPr>
          <w:rFonts w:ascii="Amasis MT Pro" w:hAnsi="Amasis MT Pro"/>
          <w:sz w:val="24"/>
          <w:szCs w:val="24"/>
        </w:rPr>
        <w:t xml:space="preserve"> on the subject, </w:t>
      </w:r>
      <w:r w:rsidR="006F2920">
        <w:rPr>
          <w:rFonts w:ascii="Amasis MT Pro" w:hAnsi="Amasis MT Pro"/>
          <w:sz w:val="24"/>
          <w:szCs w:val="24"/>
        </w:rPr>
        <w:lastRenderedPageBreak/>
        <w:t xml:space="preserve">adopted in 1994, the Committee noted that the right to life </w:t>
      </w:r>
      <w:r w:rsidR="006F2920" w:rsidRPr="006F2920">
        <w:rPr>
          <w:rFonts w:ascii="Amasis MT Pro" w:hAnsi="Amasis MT Pro"/>
          <w:sz w:val="24"/>
          <w:szCs w:val="24"/>
        </w:rPr>
        <w:t xml:space="preserve">cannot properly be understood in a restrictive manner, </w:t>
      </w:r>
      <w:r w:rsidR="006F2920">
        <w:rPr>
          <w:rFonts w:ascii="Amasis MT Pro" w:hAnsi="Amasis MT Pro"/>
          <w:sz w:val="24"/>
          <w:szCs w:val="24"/>
        </w:rPr>
        <w:t>but rather requires positive measures</w:t>
      </w:r>
      <w:r w:rsidR="0089681C">
        <w:rPr>
          <w:rFonts w:ascii="Amasis MT Pro" w:hAnsi="Amasis MT Pro"/>
          <w:sz w:val="24"/>
          <w:szCs w:val="24"/>
        </w:rPr>
        <w:t xml:space="preserve">, </w:t>
      </w:r>
      <w:r w:rsidR="00831C25">
        <w:rPr>
          <w:rFonts w:ascii="Amasis MT Pro" w:hAnsi="Amasis MT Pro"/>
          <w:sz w:val="24"/>
          <w:szCs w:val="24"/>
        </w:rPr>
        <w:t>such as reducing</w:t>
      </w:r>
      <w:r w:rsidR="006F2920" w:rsidRPr="006F2920">
        <w:rPr>
          <w:rFonts w:ascii="Amasis MT Pro" w:hAnsi="Amasis MT Pro"/>
          <w:sz w:val="24"/>
          <w:szCs w:val="24"/>
        </w:rPr>
        <w:t xml:space="preserve"> infant mortality</w:t>
      </w:r>
      <w:r w:rsidR="006F2920">
        <w:rPr>
          <w:rFonts w:ascii="Amasis MT Pro" w:hAnsi="Amasis MT Pro"/>
          <w:sz w:val="24"/>
          <w:szCs w:val="24"/>
        </w:rPr>
        <w:t>,</w:t>
      </w:r>
      <w:r w:rsidR="006F2920" w:rsidRPr="006F2920">
        <w:rPr>
          <w:rFonts w:ascii="Amasis MT Pro" w:hAnsi="Amasis MT Pro"/>
          <w:sz w:val="24"/>
          <w:szCs w:val="24"/>
        </w:rPr>
        <w:t xml:space="preserve"> increas</w:t>
      </w:r>
      <w:r w:rsidR="00831C25">
        <w:rPr>
          <w:rFonts w:ascii="Amasis MT Pro" w:hAnsi="Amasis MT Pro"/>
          <w:sz w:val="24"/>
          <w:szCs w:val="24"/>
        </w:rPr>
        <w:t>ing</w:t>
      </w:r>
      <w:r w:rsidR="006F2920" w:rsidRPr="006F2920">
        <w:rPr>
          <w:rFonts w:ascii="Amasis MT Pro" w:hAnsi="Amasis MT Pro"/>
          <w:sz w:val="24"/>
          <w:szCs w:val="24"/>
        </w:rPr>
        <w:t xml:space="preserve"> life expectancy, </w:t>
      </w:r>
      <w:r w:rsidR="006F2920">
        <w:rPr>
          <w:rFonts w:ascii="Amasis MT Pro" w:hAnsi="Amasis MT Pro"/>
          <w:sz w:val="24"/>
          <w:szCs w:val="24"/>
        </w:rPr>
        <w:t>and</w:t>
      </w:r>
      <w:r w:rsidR="006F2920" w:rsidRPr="006F2920">
        <w:rPr>
          <w:rFonts w:ascii="Amasis MT Pro" w:hAnsi="Amasis MT Pro"/>
          <w:sz w:val="24"/>
          <w:szCs w:val="24"/>
        </w:rPr>
        <w:t xml:space="preserve"> eliminat</w:t>
      </w:r>
      <w:r w:rsidR="00831C25">
        <w:rPr>
          <w:rFonts w:ascii="Amasis MT Pro" w:hAnsi="Amasis MT Pro"/>
          <w:sz w:val="24"/>
          <w:szCs w:val="24"/>
        </w:rPr>
        <w:t>ing</w:t>
      </w:r>
      <w:r w:rsidR="006F2920" w:rsidRPr="006F2920">
        <w:rPr>
          <w:rFonts w:ascii="Amasis MT Pro" w:hAnsi="Amasis MT Pro"/>
          <w:sz w:val="24"/>
          <w:szCs w:val="24"/>
        </w:rPr>
        <w:t xml:space="preserve"> malnutrition and epidemics.</w:t>
      </w:r>
      <w:r w:rsidR="00DB7250">
        <w:rPr>
          <w:rFonts w:ascii="Amasis MT Pro" w:hAnsi="Amasis MT Pro"/>
          <w:sz w:val="24"/>
          <w:szCs w:val="24"/>
        </w:rPr>
        <w:t xml:space="preserve"> </w:t>
      </w:r>
    </w:p>
    <w:p w14:paraId="77A538FA" w14:textId="77777777" w:rsidR="0056702A" w:rsidRDefault="0056702A" w:rsidP="00333E26">
      <w:pPr>
        <w:spacing w:after="0" w:line="360" w:lineRule="auto"/>
        <w:rPr>
          <w:rFonts w:ascii="Amasis MT Pro" w:hAnsi="Amasis MT Pro"/>
          <w:sz w:val="24"/>
          <w:szCs w:val="24"/>
        </w:rPr>
      </w:pPr>
    </w:p>
    <w:p w14:paraId="187F163D" w14:textId="7422D729" w:rsidR="00215983" w:rsidRDefault="00CD4E76" w:rsidP="00333E26">
      <w:pPr>
        <w:spacing w:after="0" w:line="360" w:lineRule="auto"/>
        <w:rPr>
          <w:rFonts w:ascii="Amasis MT Pro" w:hAnsi="Amasis MT Pro"/>
          <w:sz w:val="24"/>
          <w:szCs w:val="24"/>
        </w:rPr>
      </w:pPr>
      <w:r>
        <w:rPr>
          <w:rFonts w:ascii="Amasis MT Pro" w:hAnsi="Amasis MT Pro"/>
          <w:sz w:val="24"/>
          <w:szCs w:val="24"/>
        </w:rPr>
        <w:t xml:space="preserve">In the latest </w:t>
      </w:r>
      <w:r w:rsidR="00DB7250">
        <w:rPr>
          <w:rFonts w:ascii="Amasis MT Pro" w:hAnsi="Amasis MT Pro"/>
          <w:sz w:val="24"/>
          <w:szCs w:val="24"/>
        </w:rPr>
        <w:t>General Comment</w:t>
      </w:r>
      <w:r>
        <w:rPr>
          <w:rFonts w:ascii="Amasis MT Pro" w:hAnsi="Amasis MT Pro"/>
          <w:sz w:val="24"/>
          <w:szCs w:val="24"/>
        </w:rPr>
        <w:t xml:space="preserve"> 36, adopted in 2018, the Committee echoed and expanded upon this interpretation, stipulating that the right to life “</w:t>
      </w:r>
      <w:r w:rsidRPr="00CD4E76">
        <w:rPr>
          <w:rFonts w:ascii="Amasis MT Pro" w:hAnsi="Amasis MT Pro"/>
          <w:sz w:val="24"/>
          <w:szCs w:val="24"/>
        </w:rPr>
        <w:t>concerns the entitlement of individuals to be free from acts and omissions that are intended or may be expected to cause their unnatural or premature death, as well as to enjoy a life with dignity</w:t>
      </w:r>
      <w:r>
        <w:rPr>
          <w:rFonts w:ascii="Amasis MT Pro" w:hAnsi="Amasis MT Pro"/>
          <w:sz w:val="24"/>
          <w:szCs w:val="24"/>
        </w:rPr>
        <w:t>.” (para 3)</w:t>
      </w:r>
      <w:r w:rsidR="00215983">
        <w:rPr>
          <w:rFonts w:ascii="Amasis MT Pro" w:hAnsi="Amasis MT Pro"/>
          <w:sz w:val="24"/>
          <w:szCs w:val="24"/>
        </w:rPr>
        <w:t xml:space="preserve"> GC 36 </w:t>
      </w:r>
      <w:r w:rsidR="0089681C">
        <w:rPr>
          <w:rFonts w:ascii="Amasis MT Pro" w:hAnsi="Amasis MT Pro"/>
          <w:sz w:val="24"/>
          <w:szCs w:val="24"/>
        </w:rPr>
        <w:t>elaborates</w:t>
      </w:r>
      <w:r w:rsidR="00215983">
        <w:rPr>
          <w:rFonts w:ascii="Amasis MT Pro" w:hAnsi="Amasis MT Pro"/>
          <w:sz w:val="24"/>
          <w:szCs w:val="24"/>
        </w:rPr>
        <w:t xml:space="preserve"> that t</w:t>
      </w:r>
      <w:r w:rsidR="00215983" w:rsidRPr="00215983">
        <w:rPr>
          <w:rFonts w:ascii="Amasis MT Pro" w:hAnsi="Amasis MT Pro"/>
          <w:sz w:val="24"/>
          <w:szCs w:val="24"/>
        </w:rPr>
        <w:t xml:space="preserve">he duty to protect life </w:t>
      </w:r>
      <w:r w:rsidR="00215983">
        <w:rPr>
          <w:rFonts w:ascii="Amasis MT Pro" w:hAnsi="Amasis MT Pro"/>
          <w:sz w:val="24"/>
          <w:szCs w:val="24"/>
        </w:rPr>
        <w:t>“</w:t>
      </w:r>
      <w:r w:rsidR="00215983" w:rsidRPr="00215983">
        <w:rPr>
          <w:rFonts w:ascii="Amasis MT Pro" w:hAnsi="Amasis MT Pro"/>
          <w:sz w:val="24"/>
          <w:szCs w:val="24"/>
        </w:rPr>
        <w:t>implies that States parties should take appropriate measures to address the general conditions in society that may give rise to direct threats to life or prevent individuals from enjoying their right to life with dignity</w:t>
      </w:r>
      <w:r w:rsidR="00215983">
        <w:rPr>
          <w:rFonts w:ascii="Amasis MT Pro" w:hAnsi="Amasis MT Pro"/>
          <w:sz w:val="24"/>
          <w:szCs w:val="24"/>
        </w:rPr>
        <w:t xml:space="preserve">”, </w:t>
      </w:r>
      <w:r w:rsidR="00440852">
        <w:rPr>
          <w:rFonts w:ascii="Amasis MT Pro" w:hAnsi="Amasis MT Pro"/>
          <w:sz w:val="24"/>
          <w:szCs w:val="24"/>
        </w:rPr>
        <w:t>these being</w:t>
      </w:r>
      <w:r w:rsidR="00CF15F1">
        <w:rPr>
          <w:rFonts w:ascii="Amasis MT Pro" w:hAnsi="Amasis MT Pro"/>
          <w:sz w:val="24"/>
          <w:szCs w:val="24"/>
        </w:rPr>
        <w:t xml:space="preserve"> </w:t>
      </w:r>
      <w:r w:rsidR="00215983">
        <w:rPr>
          <w:rFonts w:ascii="Amasis MT Pro" w:hAnsi="Amasis MT Pro"/>
          <w:sz w:val="24"/>
          <w:szCs w:val="24"/>
        </w:rPr>
        <w:t xml:space="preserve">conditions such as degradation of the environment, deprivation of IP’s lands, territories and resources, life-threatening diseases, hunger, poverty and homelessness. (para 26) Required measures include those to secure access to food, water, shelter, health care and social housing programmes. </w:t>
      </w:r>
      <w:r w:rsidR="00A83B7F">
        <w:rPr>
          <w:rFonts w:ascii="Amasis MT Pro" w:hAnsi="Amasis MT Pro"/>
          <w:sz w:val="24"/>
          <w:szCs w:val="24"/>
        </w:rPr>
        <w:t xml:space="preserve"> </w:t>
      </w:r>
    </w:p>
    <w:p w14:paraId="53619B57" w14:textId="6291349E" w:rsidR="001361A4" w:rsidRDefault="001361A4" w:rsidP="00333E26">
      <w:pPr>
        <w:spacing w:after="0" w:line="360" w:lineRule="auto"/>
        <w:rPr>
          <w:rFonts w:ascii="Amasis MT Pro" w:hAnsi="Amasis MT Pro"/>
          <w:sz w:val="24"/>
          <w:szCs w:val="24"/>
        </w:rPr>
      </w:pPr>
    </w:p>
    <w:p w14:paraId="779C6D55" w14:textId="6CD54847" w:rsidR="001361A4" w:rsidRDefault="001361A4" w:rsidP="00333E26">
      <w:pPr>
        <w:spacing w:after="0" w:line="360" w:lineRule="auto"/>
        <w:rPr>
          <w:rFonts w:ascii="Amasis MT Pro" w:hAnsi="Amasis MT Pro"/>
          <w:sz w:val="24"/>
          <w:szCs w:val="24"/>
        </w:rPr>
      </w:pPr>
      <w:r>
        <w:rPr>
          <w:rFonts w:ascii="Amasis MT Pro" w:hAnsi="Amasis MT Pro"/>
          <w:sz w:val="24"/>
          <w:szCs w:val="24"/>
        </w:rPr>
        <w:t xml:space="preserve">These standards have been applied repeatedly by the Committee in its monitoring function, reflected in a variety of COBs requesting SP to address </w:t>
      </w:r>
      <w:r w:rsidR="00A212B8">
        <w:rPr>
          <w:rFonts w:ascii="Amasis MT Pro" w:hAnsi="Amasis MT Pro"/>
          <w:sz w:val="24"/>
          <w:szCs w:val="24"/>
        </w:rPr>
        <w:t xml:space="preserve">matters such as </w:t>
      </w:r>
      <w:r>
        <w:rPr>
          <w:rFonts w:ascii="Amasis MT Pro" w:hAnsi="Amasis MT Pro"/>
          <w:sz w:val="24"/>
          <w:szCs w:val="24"/>
        </w:rPr>
        <w:t>HIV/AIDS mortality rates,</w:t>
      </w:r>
      <w:r w:rsidR="008B5032">
        <w:rPr>
          <w:rStyle w:val="FootnoteReference"/>
          <w:rFonts w:ascii="Amasis MT Pro" w:hAnsi="Amasis MT Pro"/>
          <w:sz w:val="24"/>
          <w:szCs w:val="24"/>
        </w:rPr>
        <w:footnoteReference w:id="15"/>
      </w:r>
      <w:r>
        <w:rPr>
          <w:rFonts w:ascii="Amasis MT Pro" w:hAnsi="Amasis MT Pro"/>
          <w:sz w:val="24"/>
          <w:szCs w:val="24"/>
        </w:rPr>
        <w:t xml:space="preserve"> infant mortality, malnutrition,</w:t>
      </w:r>
      <w:r w:rsidR="00DB7250">
        <w:rPr>
          <w:rStyle w:val="FootnoteReference"/>
          <w:rFonts w:ascii="Amasis MT Pro" w:hAnsi="Amasis MT Pro"/>
          <w:sz w:val="24"/>
          <w:szCs w:val="24"/>
        </w:rPr>
        <w:footnoteReference w:id="16"/>
      </w:r>
      <w:r>
        <w:rPr>
          <w:rFonts w:ascii="Amasis MT Pro" w:hAnsi="Amasis MT Pro"/>
          <w:sz w:val="24"/>
          <w:szCs w:val="24"/>
        </w:rPr>
        <w:t xml:space="preserve"> as well as access to food, health, electricity, water and sanitation in blockaded areas.</w:t>
      </w:r>
      <w:r w:rsidR="00EC0810">
        <w:rPr>
          <w:rStyle w:val="FootnoteReference"/>
          <w:rFonts w:ascii="Amasis MT Pro" w:hAnsi="Amasis MT Pro"/>
          <w:sz w:val="24"/>
          <w:szCs w:val="24"/>
        </w:rPr>
        <w:footnoteReference w:id="17"/>
      </w:r>
      <w:r w:rsidR="00A212B8">
        <w:rPr>
          <w:rFonts w:ascii="Amasis MT Pro" w:hAnsi="Amasis MT Pro"/>
          <w:sz w:val="24"/>
          <w:szCs w:val="24"/>
        </w:rPr>
        <w:t xml:space="preserve"> </w:t>
      </w:r>
      <w:r w:rsidR="00E0232D">
        <w:rPr>
          <w:rFonts w:ascii="Amasis MT Pro" w:hAnsi="Amasis MT Pro"/>
          <w:sz w:val="24"/>
          <w:szCs w:val="24"/>
        </w:rPr>
        <w:t>O</w:t>
      </w:r>
      <w:r w:rsidR="00A212B8">
        <w:rPr>
          <w:rFonts w:ascii="Amasis MT Pro" w:hAnsi="Amasis MT Pro"/>
          <w:sz w:val="24"/>
          <w:szCs w:val="24"/>
        </w:rPr>
        <w:t xml:space="preserve">ne of the most emblematic applications of this right was in the Committee’s views in </w:t>
      </w:r>
      <w:r w:rsidR="00A212B8" w:rsidRPr="00A212B8">
        <w:rPr>
          <w:rFonts w:ascii="Amasis MT Pro" w:hAnsi="Amasis MT Pro"/>
          <w:i/>
          <w:iCs/>
          <w:sz w:val="24"/>
          <w:szCs w:val="24"/>
        </w:rPr>
        <w:t>Toussaint v Canada</w:t>
      </w:r>
      <w:r w:rsidR="00A212B8">
        <w:rPr>
          <w:rFonts w:ascii="Amasis MT Pro" w:hAnsi="Amasis MT Pro"/>
          <w:sz w:val="24"/>
          <w:szCs w:val="24"/>
        </w:rPr>
        <w:t>, where it found that the denial of health coverage to an undocumented immigrant constituted a breach of her right to life.</w:t>
      </w:r>
      <w:r w:rsidR="00F7758E">
        <w:rPr>
          <w:rStyle w:val="FootnoteReference"/>
          <w:rFonts w:ascii="Amasis MT Pro" w:hAnsi="Amasis MT Pro"/>
          <w:sz w:val="24"/>
          <w:szCs w:val="24"/>
        </w:rPr>
        <w:footnoteReference w:id="18"/>
      </w:r>
      <w:r w:rsidR="00A212B8">
        <w:rPr>
          <w:rFonts w:ascii="Amasis MT Pro" w:hAnsi="Amasis MT Pro"/>
          <w:sz w:val="24"/>
          <w:szCs w:val="24"/>
        </w:rPr>
        <w:t xml:space="preserve"> In </w:t>
      </w:r>
      <w:r w:rsidR="00A212B8" w:rsidRPr="00CF15F1">
        <w:rPr>
          <w:rFonts w:ascii="Amasis MT Pro" w:hAnsi="Amasis MT Pro"/>
          <w:i/>
          <w:iCs/>
          <w:sz w:val="24"/>
          <w:szCs w:val="24"/>
        </w:rPr>
        <w:t>Toussaint</w:t>
      </w:r>
      <w:r w:rsidR="00A212B8">
        <w:rPr>
          <w:rFonts w:ascii="Amasis MT Pro" w:hAnsi="Amasis MT Pro"/>
          <w:sz w:val="24"/>
          <w:szCs w:val="24"/>
        </w:rPr>
        <w:t xml:space="preserve"> the Committee noted that article 6 entitles individuals to be free from acts/omissions intended or expected to cause their unnatural or premature death, as well as to enjoy a life with dignity</w:t>
      </w:r>
      <w:r w:rsidR="0089681C">
        <w:rPr>
          <w:rFonts w:ascii="Amasis MT Pro" w:hAnsi="Amasis MT Pro"/>
          <w:sz w:val="24"/>
          <w:szCs w:val="24"/>
        </w:rPr>
        <w:t xml:space="preserve">, </w:t>
      </w:r>
      <w:r w:rsidR="00440852">
        <w:rPr>
          <w:rFonts w:ascii="Amasis MT Pro" w:hAnsi="Amasis MT Pro"/>
          <w:sz w:val="24"/>
          <w:szCs w:val="24"/>
        </w:rPr>
        <w:t>giving rise to</w:t>
      </w:r>
      <w:r w:rsidR="0089681C">
        <w:rPr>
          <w:rFonts w:ascii="Amasis MT Pro" w:hAnsi="Amasis MT Pro"/>
          <w:sz w:val="24"/>
          <w:szCs w:val="24"/>
        </w:rPr>
        <w:t xml:space="preserve"> the obligation </w:t>
      </w:r>
      <w:r w:rsidR="00A23810">
        <w:rPr>
          <w:rFonts w:ascii="Amasis MT Pro" w:hAnsi="Amasis MT Pro"/>
          <w:sz w:val="24"/>
          <w:szCs w:val="24"/>
        </w:rPr>
        <w:t>to provide access to existing health care services that are reasonably available when lack of access could foreseeably result in loss of life.</w:t>
      </w:r>
      <w:r w:rsidR="00F7758E">
        <w:rPr>
          <w:rStyle w:val="FootnoteReference"/>
          <w:rFonts w:ascii="Amasis MT Pro" w:hAnsi="Amasis MT Pro"/>
          <w:sz w:val="24"/>
          <w:szCs w:val="24"/>
        </w:rPr>
        <w:footnoteReference w:id="19"/>
      </w:r>
    </w:p>
    <w:p w14:paraId="385DBFB0" w14:textId="05805686" w:rsidR="00CF15F1" w:rsidRPr="00CF15F1" w:rsidRDefault="00CF15F1" w:rsidP="00333E26">
      <w:pPr>
        <w:spacing w:after="0" w:line="360" w:lineRule="auto"/>
        <w:rPr>
          <w:rFonts w:ascii="Amasis MT Pro" w:hAnsi="Amasis MT Pro"/>
          <w:b/>
          <w:bCs/>
          <w:sz w:val="24"/>
          <w:szCs w:val="24"/>
        </w:rPr>
      </w:pPr>
      <w:r w:rsidRPr="00CF15F1">
        <w:rPr>
          <w:rFonts w:ascii="Amasis MT Pro" w:hAnsi="Amasis MT Pro"/>
          <w:b/>
          <w:bCs/>
          <w:sz w:val="24"/>
          <w:szCs w:val="24"/>
        </w:rPr>
        <w:lastRenderedPageBreak/>
        <w:t>Conclusion</w:t>
      </w:r>
    </w:p>
    <w:p w14:paraId="278411BC" w14:textId="0E0652B4" w:rsidR="00CF15F1" w:rsidRDefault="0089681C" w:rsidP="00333E26">
      <w:pPr>
        <w:spacing w:after="0" w:line="360" w:lineRule="auto"/>
        <w:rPr>
          <w:rFonts w:ascii="Amasis MT Pro" w:hAnsi="Amasis MT Pro"/>
          <w:sz w:val="24"/>
          <w:szCs w:val="24"/>
        </w:rPr>
      </w:pPr>
      <w:r>
        <w:rPr>
          <w:rFonts w:ascii="Amasis MT Pro" w:hAnsi="Amasis MT Pro"/>
          <w:sz w:val="24"/>
          <w:szCs w:val="24"/>
        </w:rPr>
        <w:t>Thus, d</w:t>
      </w:r>
      <w:r w:rsidR="00CF15F1">
        <w:rPr>
          <w:rFonts w:ascii="Amasis MT Pro" w:hAnsi="Amasis MT Pro"/>
          <w:sz w:val="24"/>
          <w:szCs w:val="24"/>
        </w:rPr>
        <w:t xml:space="preserve">espite the formal separation of </w:t>
      </w:r>
      <w:r w:rsidR="0056702A">
        <w:rPr>
          <w:rFonts w:ascii="Amasis MT Pro" w:hAnsi="Amasis MT Pro"/>
          <w:sz w:val="24"/>
          <w:szCs w:val="24"/>
        </w:rPr>
        <w:t>economic, social and cultural rights on the one hand</w:t>
      </w:r>
      <w:r w:rsidR="00CF15F1">
        <w:rPr>
          <w:rFonts w:ascii="Amasis MT Pro" w:hAnsi="Amasis MT Pro"/>
          <w:sz w:val="24"/>
          <w:szCs w:val="24"/>
        </w:rPr>
        <w:t xml:space="preserve"> and </w:t>
      </w:r>
      <w:r w:rsidR="0056702A">
        <w:rPr>
          <w:rFonts w:ascii="Amasis MT Pro" w:hAnsi="Amasis MT Pro"/>
          <w:sz w:val="24"/>
          <w:szCs w:val="24"/>
        </w:rPr>
        <w:t>civil and political rights on the other</w:t>
      </w:r>
      <w:r w:rsidR="00CF15F1">
        <w:rPr>
          <w:rFonts w:ascii="Amasis MT Pro" w:hAnsi="Amasis MT Pro"/>
          <w:sz w:val="24"/>
          <w:szCs w:val="24"/>
        </w:rPr>
        <w:t>,</w:t>
      </w:r>
      <w:r w:rsidR="00F72A6E">
        <w:rPr>
          <w:rFonts w:ascii="Amasis MT Pro" w:hAnsi="Amasis MT Pro"/>
          <w:sz w:val="24"/>
          <w:szCs w:val="24"/>
        </w:rPr>
        <w:t xml:space="preserve"> the interpretation and application of the latter by the </w:t>
      </w:r>
      <w:r w:rsidR="0056702A">
        <w:rPr>
          <w:rFonts w:ascii="Amasis MT Pro" w:hAnsi="Amasis MT Pro"/>
          <w:sz w:val="24"/>
          <w:szCs w:val="24"/>
        </w:rPr>
        <w:t>Human Rights Committee</w:t>
      </w:r>
      <w:r w:rsidR="00F72A6E">
        <w:rPr>
          <w:rFonts w:ascii="Amasis MT Pro" w:hAnsi="Amasis MT Pro"/>
          <w:sz w:val="24"/>
          <w:szCs w:val="24"/>
        </w:rPr>
        <w:t xml:space="preserve"> demonstrates graphically that these rights do not exist in splendid isolation.</w:t>
      </w:r>
      <w:r w:rsidR="00EE0F05">
        <w:rPr>
          <w:rFonts w:ascii="Amasis MT Pro" w:hAnsi="Amasis MT Pro"/>
          <w:sz w:val="24"/>
          <w:szCs w:val="24"/>
        </w:rPr>
        <w:t xml:space="preserve"> Overlaps across treaties are both direct and indirect, and an interpretation that recognises their mutually reinforcing nature is the only way to achieve the ultimate goal their protection aims at in the first place – namely, as stated in the preamble to both covenants,</w:t>
      </w:r>
      <w:r w:rsidR="00BC1363">
        <w:rPr>
          <w:rFonts w:ascii="Amasis MT Pro" w:hAnsi="Amasis MT Pro"/>
          <w:sz w:val="24"/>
          <w:szCs w:val="24"/>
        </w:rPr>
        <w:t xml:space="preserve"> that</w:t>
      </w:r>
      <w:r w:rsidR="00EE0F05">
        <w:rPr>
          <w:rFonts w:ascii="Amasis MT Pro" w:hAnsi="Amasis MT Pro"/>
          <w:sz w:val="24"/>
          <w:szCs w:val="24"/>
        </w:rPr>
        <w:t xml:space="preserve"> the “</w:t>
      </w:r>
      <w:r w:rsidR="00EE0F05" w:rsidRPr="00EE0F05">
        <w:rPr>
          <w:rFonts w:ascii="Amasis MT Pro" w:hAnsi="Amasis MT Pro"/>
          <w:sz w:val="24"/>
          <w:szCs w:val="24"/>
        </w:rPr>
        <w:t xml:space="preserve">inherent dignity and the equal and inalienable rights of all members of the human family </w:t>
      </w:r>
      <w:r w:rsidR="00BC1363">
        <w:rPr>
          <w:rFonts w:ascii="Amasis MT Pro" w:hAnsi="Amasis MT Pro"/>
          <w:sz w:val="24"/>
          <w:szCs w:val="24"/>
        </w:rPr>
        <w:t>is</w:t>
      </w:r>
      <w:r w:rsidR="00EE0F05" w:rsidRPr="00EE0F05">
        <w:rPr>
          <w:rFonts w:ascii="Amasis MT Pro" w:hAnsi="Amasis MT Pro"/>
          <w:sz w:val="24"/>
          <w:szCs w:val="24"/>
        </w:rPr>
        <w:t xml:space="preserve"> the foundation of freedom, justice and peace in the world</w:t>
      </w:r>
      <w:r w:rsidR="00EE0F05">
        <w:rPr>
          <w:rFonts w:ascii="Amasis MT Pro" w:hAnsi="Amasis MT Pro"/>
          <w:sz w:val="24"/>
          <w:szCs w:val="24"/>
        </w:rPr>
        <w:t xml:space="preserve">”.   </w:t>
      </w:r>
    </w:p>
    <w:p w14:paraId="4C0437FB" w14:textId="58E47CF6" w:rsidR="00F77830" w:rsidRDefault="00F77830" w:rsidP="00333E26">
      <w:pPr>
        <w:spacing w:after="0" w:line="360" w:lineRule="auto"/>
        <w:rPr>
          <w:rFonts w:ascii="Amasis MT Pro" w:hAnsi="Amasis MT Pro"/>
          <w:sz w:val="24"/>
          <w:szCs w:val="24"/>
        </w:rPr>
      </w:pPr>
    </w:p>
    <w:sectPr w:rsidR="00F778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8203" w14:textId="77777777" w:rsidR="00E1029B" w:rsidRDefault="00E1029B" w:rsidP="00DF0300">
      <w:pPr>
        <w:spacing w:after="0" w:line="240" w:lineRule="auto"/>
      </w:pPr>
      <w:r>
        <w:separator/>
      </w:r>
    </w:p>
  </w:endnote>
  <w:endnote w:type="continuationSeparator" w:id="0">
    <w:p w14:paraId="19583FC0" w14:textId="77777777" w:rsidR="00E1029B" w:rsidRDefault="00E1029B" w:rsidP="00DF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FA0B" w14:textId="77777777" w:rsidR="00E1029B" w:rsidRDefault="00E1029B" w:rsidP="00DF0300">
      <w:pPr>
        <w:spacing w:after="0" w:line="240" w:lineRule="auto"/>
      </w:pPr>
      <w:r>
        <w:separator/>
      </w:r>
    </w:p>
  </w:footnote>
  <w:footnote w:type="continuationSeparator" w:id="0">
    <w:p w14:paraId="7F9479FB" w14:textId="77777777" w:rsidR="00E1029B" w:rsidRDefault="00E1029B" w:rsidP="00DF0300">
      <w:pPr>
        <w:spacing w:after="0" w:line="240" w:lineRule="auto"/>
      </w:pPr>
      <w:r>
        <w:continuationSeparator/>
      </w:r>
    </w:p>
  </w:footnote>
  <w:footnote w:id="1">
    <w:p w14:paraId="0F305991" w14:textId="1DF70D36" w:rsidR="00F346C9" w:rsidRDefault="00F346C9">
      <w:pPr>
        <w:pStyle w:val="FootnoteText"/>
      </w:pPr>
      <w:r>
        <w:rPr>
          <w:rStyle w:val="FootnoteReference"/>
        </w:rPr>
        <w:footnoteRef/>
      </w:r>
      <w:r>
        <w:t xml:space="preserve"> Article </w:t>
      </w:r>
      <w:r w:rsidRPr="00F346C9">
        <w:rPr>
          <w:b/>
          <w:bCs/>
        </w:rPr>
        <w:t>26</w:t>
      </w:r>
      <w:r>
        <w:t xml:space="preserve"> provides: “</w:t>
      </w:r>
      <w:r w:rsidRPr="00F346C9">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r>
        <w:t>”</w:t>
      </w:r>
    </w:p>
  </w:footnote>
  <w:footnote w:id="2">
    <w:p w14:paraId="5811C3E7" w14:textId="6A310781" w:rsidR="00F346C9" w:rsidRDefault="00F346C9">
      <w:pPr>
        <w:pStyle w:val="FootnoteText"/>
      </w:pPr>
      <w:r>
        <w:rPr>
          <w:rStyle w:val="FootnoteReference"/>
        </w:rPr>
        <w:footnoteRef/>
      </w:r>
      <w:r>
        <w:t xml:space="preserve"> Article </w:t>
      </w:r>
      <w:r w:rsidRPr="00F346C9">
        <w:rPr>
          <w:b/>
          <w:bCs/>
        </w:rPr>
        <w:t>2(1)</w:t>
      </w:r>
      <w:r>
        <w:t xml:space="preserve"> provides: “</w:t>
      </w:r>
      <w:r w:rsidRPr="00F346C9">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r>
        <w:t>”</w:t>
      </w:r>
    </w:p>
  </w:footnote>
  <w:footnote w:id="3">
    <w:p w14:paraId="287D7366" w14:textId="2EEA6463" w:rsidR="0056702A" w:rsidRDefault="0056702A">
      <w:pPr>
        <w:pStyle w:val="FootnoteText"/>
      </w:pPr>
      <w:r>
        <w:rPr>
          <w:rStyle w:val="FootnoteReference"/>
        </w:rPr>
        <w:footnoteRef/>
      </w:r>
      <w:r>
        <w:t xml:space="preserve"> </w:t>
      </w:r>
      <w:r w:rsidRPr="0056702A">
        <w:rPr>
          <w:i/>
          <w:iCs/>
        </w:rPr>
        <w:t>Broeks v. The Netherlands</w:t>
      </w:r>
      <w:r>
        <w:t xml:space="preserve"> CCPR 172/1984; </w:t>
      </w:r>
      <w:r w:rsidRPr="0056702A">
        <w:rPr>
          <w:i/>
          <w:iCs/>
        </w:rPr>
        <w:t>Zwaan-de Vries v. The Netherlands</w:t>
      </w:r>
      <w:r>
        <w:t xml:space="preserve"> CCPR 182/1984.</w:t>
      </w:r>
    </w:p>
  </w:footnote>
  <w:footnote w:id="4">
    <w:p w14:paraId="47D8ECC9" w14:textId="424311C6" w:rsidR="00DF0300" w:rsidRDefault="00DF0300">
      <w:pPr>
        <w:pStyle w:val="FootnoteText"/>
      </w:pPr>
      <w:r>
        <w:rPr>
          <w:rStyle w:val="FootnoteReference"/>
        </w:rPr>
        <w:footnoteRef/>
      </w:r>
      <w:r>
        <w:t xml:space="preserve"> </w:t>
      </w:r>
      <w:r w:rsidRPr="00A92656">
        <w:t>CCPR/C/GTM/4</w:t>
      </w:r>
      <w:r>
        <w:t xml:space="preserve"> (2018), paras. 10 &amp; 11.</w:t>
      </w:r>
    </w:p>
  </w:footnote>
  <w:footnote w:id="5">
    <w:p w14:paraId="13118A49" w14:textId="4D9C4C88" w:rsidR="00DF0300" w:rsidRDefault="00DF0300">
      <w:pPr>
        <w:pStyle w:val="FootnoteText"/>
      </w:pPr>
      <w:r>
        <w:rPr>
          <w:rStyle w:val="FootnoteReference"/>
        </w:rPr>
        <w:footnoteRef/>
      </w:r>
      <w:r>
        <w:t xml:space="preserve"> </w:t>
      </w:r>
      <w:r w:rsidRPr="00A92656">
        <w:t>CCPR/C/GTM/4</w:t>
      </w:r>
      <w:r>
        <w:t xml:space="preserve"> (2018), paras</w:t>
      </w:r>
      <w:r>
        <w:t>. 26 &amp; 27.</w:t>
      </w:r>
    </w:p>
  </w:footnote>
  <w:footnote w:id="6">
    <w:p w14:paraId="1F68D9B2" w14:textId="6E148C85" w:rsidR="00DF0300" w:rsidRDefault="00DF0300">
      <w:pPr>
        <w:pStyle w:val="FootnoteText"/>
      </w:pPr>
      <w:r>
        <w:rPr>
          <w:rStyle w:val="FootnoteReference"/>
        </w:rPr>
        <w:footnoteRef/>
      </w:r>
      <w:r>
        <w:t xml:space="preserve"> </w:t>
      </w:r>
      <w:r>
        <w:t>CCPR/C/JAM/4</w:t>
      </w:r>
      <w:r>
        <w:t xml:space="preserve"> (2016), paras. 21 &amp; 22; </w:t>
      </w:r>
      <w:r w:rsidRPr="008F0961">
        <w:t>CCPR/C/SLV/7</w:t>
      </w:r>
      <w:r>
        <w:t xml:space="preserve"> (2018), para. 13.</w:t>
      </w:r>
    </w:p>
  </w:footnote>
  <w:footnote w:id="7">
    <w:p w14:paraId="1C78CA5F" w14:textId="55F96EA7" w:rsidR="00635C45" w:rsidRDefault="00635C45">
      <w:pPr>
        <w:pStyle w:val="FootnoteText"/>
      </w:pPr>
      <w:r>
        <w:rPr>
          <w:rStyle w:val="FootnoteReference"/>
        </w:rPr>
        <w:footnoteRef/>
      </w:r>
      <w:r>
        <w:t xml:space="preserve"> </w:t>
      </w:r>
      <w:r w:rsidRPr="00D1418E">
        <w:t>CCPR/C/HND/2</w:t>
      </w:r>
      <w:r>
        <w:t xml:space="preserve"> (2017), paras. 46 &amp; 47; </w:t>
      </w:r>
      <w:r w:rsidRPr="008F0961">
        <w:t>CCPR/C/SLV/7</w:t>
      </w:r>
      <w:r>
        <w:t xml:space="preserve"> (2018), para</w:t>
      </w:r>
      <w:r>
        <w:t>s. 41 &amp; 42</w:t>
      </w:r>
      <w:r w:rsidR="00A42BCF">
        <w:t xml:space="preserve">; </w:t>
      </w:r>
      <w:r w:rsidR="00A42BCF">
        <w:rPr>
          <w:szCs w:val="24"/>
        </w:rPr>
        <w:t>CCPR/C/BRA/2004/2</w:t>
      </w:r>
      <w:r w:rsidR="00A42BCF">
        <w:rPr>
          <w:szCs w:val="24"/>
        </w:rPr>
        <w:t xml:space="preserve"> (2005), para. 6.</w:t>
      </w:r>
    </w:p>
  </w:footnote>
  <w:footnote w:id="8">
    <w:p w14:paraId="0AED0963" w14:textId="7C604ADB" w:rsidR="00635C45" w:rsidRDefault="00635C45">
      <w:pPr>
        <w:pStyle w:val="FootnoteText"/>
      </w:pPr>
      <w:r>
        <w:rPr>
          <w:rStyle w:val="FootnoteReference"/>
        </w:rPr>
        <w:footnoteRef/>
      </w:r>
      <w:r>
        <w:t xml:space="preserve"> </w:t>
      </w:r>
      <w:r w:rsidRPr="00716DF2">
        <w:t>CCPR/C/BLZ/1</w:t>
      </w:r>
      <w:r>
        <w:t xml:space="preserve"> (2018), paras. 45 &amp; 46</w:t>
      </w:r>
      <w:r w:rsidR="00A42BCF">
        <w:t xml:space="preserve">; </w:t>
      </w:r>
      <w:r w:rsidR="00A42BCF">
        <w:t>CCPR/C/CAN/2004/5</w:t>
      </w:r>
      <w:r w:rsidR="00A42BCF">
        <w:t xml:space="preserve"> (2005), para. 9.</w:t>
      </w:r>
      <w:r>
        <w:t xml:space="preserve"> </w:t>
      </w:r>
    </w:p>
  </w:footnote>
  <w:footnote w:id="9">
    <w:p w14:paraId="059FF2D0" w14:textId="362BD0D0" w:rsidR="00252118" w:rsidRDefault="00252118">
      <w:pPr>
        <w:pStyle w:val="FootnoteText"/>
      </w:pPr>
      <w:r>
        <w:rPr>
          <w:rStyle w:val="FootnoteReference"/>
        </w:rPr>
        <w:footnoteRef/>
      </w:r>
      <w:r>
        <w:t xml:space="preserve"> </w:t>
      </w:r>
      <w:r>
        <w:t>CCPR/C/CAN/6</w:t>
      </w:r>
      <w:r>
        <w:t xml:space="preserve"> (2015), paras. 16 &amp; 17; </w:t>
      </w:r>
      <w:r>
        <w:t>CCPR/C/USA/3</w:t>
      </w:r>
      <w:r>
        <w:t xml:space="preserve"> (2006), para. 37.</w:t>
      </w:r>
    </w:p>
  </w:footnote>
  <w:footnote w:id="10">
    <w:p w14:paraId="69EF8786" w14:textId="2CFEAE77" w:rsidR="008B5032" w:rsidRDefault="008B5032">
      <w:pPr>
        <w:pStyle w:val="FootnoteText"/>
      </w:pPr>
      <w:r>
        <w:rPr>
          <w:rStyle w:val="FootnoteReference"/>
        </w:rPr>
        <w:footnoteRef/>
      </w:r>
      <w:r>
        <w:t xml:space="preserve"> CCPR/</w:t>
      </w:r>
      <w:r w:rsidRPr="008B5032">
        <w:t xml:space="preserve"> </w:t>
      </w:r>
      <w:r w:rsidRPr="008B5032">
        <w:t>C/DEU/CO/7</w:t>
      </w:r>
      <w:r>
        <w:t xml:space="preserve"> (2021), paras. 24 &amp; 25.</w:t>
      </w:r>
    </w:p>
  </w:footnote>
  <w:footnote w:id="11">
    <w:p w14:paraId="66A38086" w14:textId="02C74B9B" w:rsidR="008B5032" w:rsidRDefault="008B5032">
      <w:pPr>
        <w:pStyle w:val="FootnoteText"/>
      </w:pPr>
      <w:r>
        <w:rPr>
          <w:rStyle w:val="FootnoteReference"/>
        </w:rPr>
        <w:footnoteRef/>
      </w:r>
      <w:r>
        <w:t xml:space="preserve"> </w:t>
      </w:r>
      <w:r w:rsidRPr="002969C6">
        <w:t>CCPR/C/CPV/1</w:t>
      </w:r>
      <w:r>
        <w:t xml:space="preserve"> (2019), paras. 17 &amp; 18.</w:t>
      </w:r>
    </w:p>
  </w:footnote>
  <w:footnote w:id="12">
    <w:p w14:paraId="4FED9AE5" w14:textId="25B27858" w:rsidR="008B5032" w:rsidRDefault="008B5032">
      <w:pPr>
        <w:pStyle w:val="FootnoteText"/>
      </w:pPr>
      <w:r>
        <w:rPr>
          <w:rStyle w:val="FootnoteReference"/>
        </w:rPr>
        <w:footnoteRef/>
      </w:r>
      <w:r>
        <w:t xml:space="preserve"> </w:t>
      </w:r>
      <w:r w:rsidRPr="004B7CBF">
        <w:t>CCPR/C/KEN/4</w:t>
      </w:r>
      <w:r>
        <w:t xml:space="preserve"> (2021), paras. 26 &amp; 27.</w:t>
      </w:r>
    </w:p>
  </w:footnote>
  <w:footnote w:id="13">
    <w:p w14:paraId="52C262CD" w14:textId="78C415AB" w:rsidR="008B5032" w:rsidRDefault="008B5032">
      <w:pPr>
        <w:pStyle w:val="FootnoteText"/>
      </w:pPr>
      <w:r>
        <w:rPr>
          <w:rStyle w:val="FootnoteReference"/>
        </w:rPr>
        <w:footnoteRef/>
      </w:r>
      <w:r>
        <w:t xml:space="preserve"> </w:t>
      </w:r>
      <w:r w:rsidR="00EC0810" w:rsidRPr="00EC0810">
        <w:rPr>
          <w:i/>
          <w:iCs/>
        </w:rPr>
        <w:t>Cáceres v Paraguay</w:t>
      </w:r>
      <w:r w:rsidR="00EC0810">
        <w:t xml:space="preserve"> CCPR 2751/2016, (25 July 2019); </w:t>
      </w:r>
      <w:r w:rsidRPr="008B5032">
        <w:rPr>
          <w:i/>
          <w:iCs/>
        </w:rPr>
        <w:t>Pereira v Paraguay</w:t>
      </w:r>
      <w:r>
        <w:t xml:space="preserve"> CCPR 2552/2015, </w:t>
      </w:r>
      <w:r w:rsidR="00EC0810">
        <w:t>(</w:t>
      </w:r>
      <w:r>
        <w:t>14 July 2021</w:t>
      </w:r>
      <w:r w:rsidR="00EC0810">
        <w:t>)</w:t>
      </w:r>
      <w:r>
        <w:t>.</w:t>
      </w:r>
    </w:p>
  </w:footnote>
  <w:footnote w:id="14">
    <w:p w14:paraId="6CB9451A" w14:textId="6B6D7E6C" w:rsidR="008B5032" w:rsidRDefault="008B5032">
      <w:pPr>
        <w:pStyle w:val="FootnoteText"/>
      </w:pPr>
      <w:r>
        <w:rPr>
          <w:rStyle w:val="FootnoteReference"/>
        </w:rPr>
        <w:footnoteRef/>
      </w:r>
      <w:r>
        <w:t xml:space="preserve"> </w:t>
      </w:r>
      <w:r w:rsidRPr="008B5032">
        <w:rPr>
          <w:i/>
          <w:iCs/>
        </w:rPr>
        <w:t>Billy v Australia</w:t>
      </w:r>
      <w:r>
        <w:t xml:space="preserve"> CCPR 3624/2019, adopted 21 July 2022.</w:t>
      </w:r>
    </w:p>
  </w:footnote>
  <w:footnote w:id="15">
    <w:p w14:paraId="762C0F6C" w14:textId="7187543A" w:rsidR="008B5032" w:rsidRDefault="008B5032">
      <w:pPr>
        <w:pStyle w:val="FootnoteText"/>
      </w:pPr>
      <w:r>
        <w:rPr>
          <w:rStyle w:val="FootnoteReference"/>
        </w:rPr>
        <w:footnoteRef/>
      </w:r>
      <w:r>
        <w:t xml:space="preserve"> </w:t>
      </w:r>
      <w:r w:rsidR="00DB7250">
        <w:t>CCPR/C/KEN/3</w:t>
      </w:r>
      <w:r w:rsidR="00DB7250">
        <w:t xml:space="preserve"> (2012), para. 9.</w:t>
      </w:r>
    </w:p>
  </w:footnote>
  <w:footnote w:id="16">
    <w:p w14:paraId="6307CA3A" w14:textId="522B6770" w:rsidR="00DB7250" w:rsidRDefault="00DB7250">
      <w:pPr>
        <w:pStyle w:val="FootnoteText"/>
      </w:pPr>
      <w:r>
        <w:rPr>
          <w:rStyle w:val="FootnoteReference"/>
        </w:rPr>
        <w:footnoteRef/>
      </w:r>
      <w:r>
        <w:t xml:space="preserve"> </w:t>
      </w:r>
      <w:r>
        <w:t>CCPR/C/PRK/2000/2</w:t>
      </w:r>
      <w:r>
        <w:t xml:space="preserve"> (2001), para. 12.</w:t>
      </w:r>
    </w:p>
  </w:footnote>
  <w:footnote w:id="17">
    <w:p w14:paraId="3959490C" w14:textId="148EBBCB" w:rsidR="00EC0810" w:rsidRDefault="00EC0810">
      <w:pPr>
        <w:pStyle w:val="FootnoteText"/>
      </w:pPr>
      <w:r>
        <w:rPr>
          <w:rStyle w:val="FootnoteReference"/>
        </w:rPr>
        <w:footnoteRef/>
      </w:r>
      <w:r>
        <w:t xml:space="preserve"> </w:t>
      </w:r>
      <w:r w:rsidRPr="002E10F9">
        <w:t>CCPR/C/ISR/4</w:t>
      </w:r>
      <w:r>
        <w:t xml:space="preserve"> (2014), para. 12.</w:t>
      </w:r>
    </w:p>
  </w:footnote>
  <w:footnote w:id="18">
    <w:p w14:paraId="2DDB7E1A" w14:textId="6CAE1129" w:rsidR="00F7758E" w:rsidRDefault="00F7758E">
      <w:pPr>
        <w:pStyle w:val="FootnoteText"/>
      </w:pPr>
      <w:r>
        <w:rPr>
          <w:rStyle w:val="FootnoteReference"/>
        </w:rPr>
        <w:footnoteRef/>
      </w:r>
      <w:r>
        <w:t xml:space="preserve"> </w:t>
      </w:r>
      <w:r w:rsidRPr="00F7758E">
        <w:rPr>
          <w:i/>
          <w:iCs/>
        </w:rPr>
        <w:t>Toussaint v Canada</w:t>
      </w:r>
      <w:r>
        <w:t xml:space="preserve"> CCPR 2348/2014 (24 July 2018).</w:t>
      </w:r>
    </w:p>
  </w:footnote>
  <w:footnote w:id="19">
    <w:p w14:paraId="4D42CBB2" w14:textId="388AA466" w:rsidR="00F7758E" w:rsidRDefault="00F7758E">
      <w:pPr>
        <w:pStyle w:val="FootnoteText"/>
      </w:pPr>
      <w:r>
        <w:rPr>
          <w:rStyle w:val="FootnoteReference"/>
        </w:rPr>
        <w:footnoteRef/>
      </w:r>
      <w:r>
        <w:t xml:space="preserve"> Ibid., at para. 11.3.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6B"/>
    <w:rsid w:val="00002967"/>
    <w:rsid w:val="001361A4"/>
    <w:rsid w:val="00164EEC"/>
    <w:rsid w:val="00185F1E"/>
    <w:rsid w:val="00191DF9"/>
    <w:rsid w:val="00215983"/>
    <w:rsid w:val="00230602"/>
    <w:rsid w:val="002363AE"/>
    <w:rsid w:val="00252118"/>
    <w:rsid w:val="002A43F1"/>
    <w:rsid w:val="002A77B9"/>
    <w:rsid w:val="002B2975"/>
    <w:rsid w:val="002D3D17"/>
    <w:rsid w:val="002F0707"/>
    <w:rsid w:val="00300960"/>
    <w:rsid w:val="00333E26"/>
    <w:rsid w:val="0037169C"/>
    <w:rsid w:val="00382DB0"/>
    <w:rsid w:val="003C67FB"/>
    <w:rsid w:val="003D0517"/>
    <w:rsid w:val="00440852"/>
    <w:rsid w:val="004964ED"/>
    <w:rsid w:val="004E047D"/>
    <w:rsid w:val="004F0EAA"/>
    <w:rsid w:val="00512181"/>
    <w:rsid w:val="0055313D"/>
    <w:rsid w:val="0056016F"/>
    <w:rsid w:val="0056702A"/>
    <w:rsid w:val="005D4D1A"/>
    <w:rsid w:val="00604036"/>
    <w:rsid w:val="006221DE"/>
    <w:rsid w:val="00635C45"/>
    <w:rsid w:val="00644E6B"/>
    <w:rsid w:val="006F2920"/>
    <w:rsid w:val="007A0A19"/>
    <w:rsid w:val="00816AA2"/>
    <w:rsid w:val="00831C25"/>
    <w:rsid w:val="00840E2A"/>
    <w:rsid w:val="00863D08"/>
    <w:rsid w:val="00884322"/>
    <w:rsid w:val="00884585"/>
    <w:rsid w:val="0089681C"/>
    <w:rsid w:val="008A7AAB"/>
    <w:rsid w:val="008B5032"/>
    <w:rsid w:val="008F0F88"/>
    <w:rsid w:val="0091301A"/>
    <w:rsid w:val="00942ED0"/>
    <w:rsid w:val="00954BD1"/>
    <w:rsid w:val="009803B9"/>
    <w:rsid w:val="00A212B8"/>
    <w:rsid w:val="00A23810"/>
    <w:rsid w:val="00A2591A"/>
    <w:rsid w:val="00A42BCF"/>
    <w:rsid w:val="00A83B7F"/>
    <w:rsid w:val="00A96C0C"/>
    <w:rsid w:val="00AC6571"/>
    <w:rsid w:val="00AE534B"/>
    <w:rsid w:val="00B503C4"/>
    <w:rsid w:val="00BB4113"/>
    <w:rsid w:val="00BC1363"/>
    <w:rsid w:val="00BE5C01"/>
    <w:rsid w:val="00C03CA1"/>
    <w:rsid w:val="00C132F5"/>
    <w:rsid w:val="00C4274B"/>
    <w:rsid w:val="00CD4E76"/>
    <w:rsid w:val="00CF15F1"/>
    <w:rsid w:val="00D06937"/>
    <w:rsid w:val="00D2056F"/>
    <w:rsid w:val="00DB7250"/>
    <w:rsid w:val="00DF0300"/>
    <w:rsid w:val="00DF486B"/>
    <w:rsid w:val="00E0232D"/>
    <w:rsid w:val="00E1029B"/>
    <w:rsid w:val="00E21796"/>
    <w:rsid w:val="00EA2808"/>
    <w:rsid w:val="00EC0810"/>
    <w:rsid w:val="00EE0F05"/>
    <w:rsid w:val="00F04726"/>
    <w:rsid w:val="00F22618"/>
    <w:rsid w:val="00F346C9"/>
    <w:rsid w:val="00F72A6E"/>
    <w:rsid w:val="00F7758E"/>
    <w:rsid w:val="00F77830"/>
    <w:rsid w:val="00FC15AE"/>
    <w:rsid w:val="00FD7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A48B"/>
  <w15:chartTrackingRefBased/>
  <w15:docId w15:val="{1ED42649-DD38-42DE-93CC-05959DF9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9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975"/>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DF03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0300"/>
    <w:rPr>
      <w:sz w:val="20"/>
      <w:szCs w:val="20"/>
    </w:rPr>
  </w:style>
  <w:style w:type="character" w:styleId="FootnoteReference">
    <w:name w:val="footnote reference"/>
    <w:basedOn w:val="DefaultParagraphFont"/>
    <w:uiPriority w:val="99"/>
    <w:semiHidden/>
    <w:unhideWhenUsed/>
    <w:rsid w:val="00DF0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59C91-2842-486E-AFFA-9973769B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Bulkan</dc:creator>
  <cp:keywords/>
  <dc:description/>
  <cp:lastModifiedBy>Arif Bulkan</cp:lastModifiedBy>
  <cp:revision>10</cp:revision>
  <dcterms:created xsi:type="dcterms:W3CDTF">2023-03-02T10:20:00Z</dcterms:created>
  <dcterms:modified xsi:type="dcterms:W3CDTF">2023-03-02T11:52:00Z</dcterms:modified>
</cp:coreProperties>
</file>