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5557" w:rsidRPr="00997135" w:rsidTr="00E85557">
        <w:tc>
          <w:tcPr>
            <w:tcW w:w="8828" w:type="dxa"/>
          </w:tcPr>
          <w:p w:rsidR="00E85557" w:rsidRPr="00997135" w:rsidRDefault="00E85557" w:rsidP="009E3518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997135">
              <w:rPr>
                <w:rFonts w:asciiTheme="majorHAnsi" w:hAnsiTheme="majorHAnsi" w:cstheme="majorHAnsi"/>
                <w:b/>
                <w:bCs/>
              </w:rPr>
              <w:t xml:space="preserve">El Gobierno de Chile </w:t>
            </w:r>
            <w:r w:rsidR="009E3518">
              <w:rPr>
                <w:rFonts w:asciiTheme="majorHAnsi" w:hAnsiTheme="majorHAnsi" w:cstheme="majorHAnsi"/>
                <w:b/>
                <w:bCs/>
              </w:rPr>
              <w:t>tiene el agrado de remitir</w:t>
            </w:r>
            <w:r w:rsidRPr="00997135">
              <w:rPr>
                <w:rFonts w:asciiTheme="majorHAnsi" w:hAnsiTheme="majorHAnsi" w:cstheme="majorHAnsi"/>
                <w:b/>
                <w:bCs/>
              </w:rPr>
              <w:t xml:space="preserve"> su</w:t>
            </w:r>
            <w:r w:rsidR="009E3518">
              <w:rPr>
                <w:rFonts w:asciiTheme="majorHAnsi" w:hAnsiTheme="majorHAnsi" w:cstheme="majorHAnsi"/>
                <w:b/>
                <w:bCs/>
              </w:rPr>
              <w:t>s</w:t>
            </w:r>
            <w:r w:rsidRPr="00997135">
              <w:rPr>
                <w:rFonts w:asciiTheme="majorHAnsi" w:hAnsiTheme="majorHAnsi" w:cstheme="majorHAnsi"/>
                <w:b/>
                <w:bCs/>
              </w:rPr>
              <w:t xml:space="preserve"> respuesta</w:t>
            </w:r>
            <w:r w:rsidR="009E3518">
              <w:rPr>
                <w:rFonts w:asciiTheme="majorHAnsi" w:hAnsiTheme="majorHAnsi" w:cstheme="majorHAnsi"/>
                <w:b/>
                <w:bCs/>
              </w:rPr>
              <w:t>s</w:t>
            </w:r>
            <w:r w:rsidRPr="00997135">
              <w:rPr>
                <w:rFonts w:asciiTheme="majorHAnsi" w:hAnsiTheme="majorHAnsi" w:cstheme="majorHAnsi"/>
                <w:b/>
                <w:bCs/>
              </w:rPr>
              <w:t xml:space="preserve"> al cuestionario del Relator sobre los derechos humanos y el medio ambiente, Sr. David </w:t>
            </w:r>
            <w:proofErr w:type="spellStart"/>
            <w:r w:rsidRPr="00997135">
              <w:rPr>
                <w:rFonts w:asciiTheme="majorHAnsi" w:hAnsiTheme="majorHAnsi" w:cstheme="majorHAnsi"/>
                <w:b/>
                <w:bCs/>
              </w:rPr>
              <w:t>Boyd</w:t>
            </w:r>
            <w:proofErr w:type="spellEnd"/>
            <w:r w:rsidRPr="00997135">
              <w:rPr>
                <w:rFonts w:asciiTheme="majorHAnsi" w:hAnsiTheme="majorHAnsi" w:cstheme="majorHAnsi"/>
                <w:b/>
                <w:bCs/>
              </w:rPr>
              <w:t xml:space="preserve">, para la preparación de su informe sobre “las mujeres, las niñas y el derecho a un medio ambiente limpio, sano y </w:t>
            </w:r>
            <w:r w:rsidR="009E3518">
              <w:rPr>
                <w:rFonts w:asciiTheme="majorHAnsi" w:hAnsiTheme="majorHAnsi" w:cstheme="majorHAnsi"/>
                <w:b/>
                <w:bCs/>
              </w:rPr>
              <w:t>sostenible”, que será</w:t>
            </w:r>
            <w:r w:rsidRPr="00997135">
              <w:rPr>
                <w:rFonts w:asciiTheme="majorHAnsi" w:hAnsiTheme="majorHAnsi" w:cstheme="majorHAnsi"/>
                <w:b/>
                <w:bCs/>
              </w:rPr>
              <w:t xml:space="preserve"> presentado </w:t>
            </w:r>
            <w:r w:rsidR="009E3518">
              <w:rPr>
                <w:rFonts w:asciiTheme="majorHAnsi" w:hAnsiTheme="majorHAnsi" w:cstheme="majorHAnsi"/>
                <w:b/>
                <w:bCs/>
              </w:rPr>
              <w:t>en el marco de la sesión 52ª del Consejo de Derechos Humanos</w:t>
            </w:r>
            <w:r w:rsidRPr="00997135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9E3518">
              <w:rPr>
                <w:rFonts w:asciiTheme="majorHAnsi" w:hAnsiTheme="majorHAnsi" w:cstheme="majorHAnsi"/>
                <w:b/>
                <w:bCs/>
              </w:rPr>
              <w:t>Estos insumos se basan en información proporcionada por el Ministerio de la Mujer y la Equidad de Género y  el Ministerio del Medio Ambiente.</w:t>
            </w:r>
            <w:bookmarkStart w:id="0" w:name="_GoBack"/>
            <w:bookmarkEnd w:id="0"/>
          </w:p>
        </w:tc>
      </w:tr>
    </w:tbl>
    <w:p w:rsidR="0082317B" w:rsidRDefault="0082317B" w:rsidP="00997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39720D" w:rsidRPr="00997135" w:rsidRDefault="00997135" w:rsidP="00997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line="240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Pregunta N° 1:</w:t>
      </w:r>
    </w:p>
    <w:p w:rsidR="0039720D" w:rsidRPr="00997135" w:rsidRDefault="0039720D" w:rsidP="00997135">
      <w:pPr>
        <w:spacing w:line="240" w:lineRule="auto"/>
        <w:jc w:val="both"/>
        <w:rPr>
          <w:rFonts w:asciiTheme="majorHAnsi" w:hAnsiTheme="majorHAnsi" w:cstheme="majorHAnsi"/>
        </w:rPr>
      </w:pPr>
      <w:r w:rsidRPr="00997135">
        <w:rPr>
          <w:rFonts w:asciiTheme="majorHAnsi" w:hAnsiTheme="majorHAnsi" w:cstheme="majorHAnsi"/>
        </w:rPr>
        <w:t xml:space="preserve">Sabemos que la crisis climática no es neutral al género, sino que las mujeres y niñas se ven afectadas desproporcionadamente por sus impactos, en particular, aquellas que se encuentran en una situación de mayor vulnerabilidad. </w:t>
      </w:r>
    </w:p>
    <w:p w:rsidR="0039720D" w:rsidRPr="00997135" w:rsidRDefault="0039720D" w:rsidP="00997135">
      <w:pPr>
        <w:tabs>
          <w:tab w:val="left" w:pos="955"/>
        </w:tabs>
        <w:spacing w:line="240" w:lineRule="auto"/>
        <w:jc w:val="both"/>
        <w:rPr>
          <w:rFonts w:asciiTheme="majorHAnsi" w:hAnsiTheme="majorHAnsi" w:cstheme="majorHAnsi"/>
        </w:rPr>
      </w:pPr>
      <w:r w:rsidRPr="00997135">
        <w:rPr>
          <w:rFonts w:asciiTheme="majorHAnsi" w:hAnsiTheme="majorHAnsi" w:cstheme="majorHAnsi"/>
        </w:rPr>
        <w:t xml:space="preserve">En Chile, los efectos </w:t>
      </w:r>
      <w:r w:rsidR="00957521">
        <w:rPr>
          <w:rFonts w:asciiTheme="majorHAnsi" w:hAnsiTheme="majorHAnsi" w:cstheme="majorHAnsi"/>
        </w:rPr>
        <w:t xml:space="preserve">de la </w:t>
      </w:r>
      <w:r w:rsidRPr="00997135">
        <w:rPr>
          <w:rFonts w:asciiTheme="majorHAnsi" w:hAnsiTheme="majorHAnsi" w:cstheme="majorHAnsi"/>
        </w:rPr>
        <w:t xml:space="preserve">contaminación y </w:t>
      </w:r>
      <w:r w:rsidR="00957521">
        <w:rPr>
          <w:rFonts w:asciiTheme="majorHAnsi" w:hAnsiTheme="majorHAnsi" w:cstheme="majorHAnsi"/>
        </w:rPr>
        <w:t xml:space="preserve">el </w:t>
      </w:r>
      <w:r w:rsidRPr="00997135">
        <w:rPr>
          <w:rFonts w:asciiTheme="majorHAnsi" w:hAnsiTheme="majorHAnsi" w:cstheme="majorHAnsi"/>
        </w:rPr>
        <w:t xml:space="preserve">cambio climático </w:t>
      </w:r>
      <w:r w:rsidR="008C44EB">
        <w:rPr>
          <w:rFonts w:asciiTheme="majorHAnsi" w:hAnsiTheme="majorHAnsi" w:cstheme="majorHAnsi"/>
        </w:rPr>
        <w:t xml:space="preserve">en mujeres y niñas </w:t>
      </w:r>
      <w:r w:rsidRPr="00997135">
        <w:rPr>
          <w:rFonts w:asciiTheme="majorHAnsi" w:hAnsiTheme="majorHAnsi" w:cstheme="majorHAnsi"/>
        </w:rPr>
        <w:t xml:space="preserve">pueden evidenciarse, por ejemplo, en los estudios respecto al Complejo Industrial Ventanas. En el marco de eventos de intoxicación masivos que afectaron </w:t>
      </w:r>
      <w:r w:rsidR="008C44EB">
        <w:rPr>
          <w:rFonts w:asciiTheme="majorHAnsi" w:hAnsiTheme="majorHAnsi" w:cstheme="majorHAnsi"/>
        </w:rPr>
        <w:t>a las</w:t>
      </w:r>
      <w:r w:rsidRPr="00997135">
        <w:rPr>
          <w:rFonts w:asciiTheme="majorHAnsi" w:hAnsiTheme="majorHAnsi" w:cstheme="majorHAnsi"/>
        </w:rPr>
        <w:t xml:space="preserve"> comunas de Quintero y </w:t>
      </w:r>
      <w:proofErr w:type="spellStart"/>
      <w:r w:rsidRPr="00997135">
        <w:rPr>
          <w:rFonts w:asciiTheme="majorHAnsi" w:hAnsiTheme="majorHAnsi" w:cstheme="majorHAnsi"/>
        </w:rPr>
        <w:t>Puchuncaví</w:t>
      </w:r>
      <w:proofErr w:type="spellEnd"/>
      <w:r w:rsidRPr="00997135">
        <w:rPr>
          <w:rFonts w:asciiTheme="majorHAnsi" w:hAnsiTheme="majorHAnsi" w:cstheme="majorHAnsi"/>
        </w:rPr>
        <w:t>, la Corte Suprema</w:t>
      </w:r>
      <w:r w:rsidR="00333C90">
        <w:rPr>
          <w:rFonts w:asciiTheme="majorHAnsi" w:hAnsiTheme="majorHAnsi" w:cstheme="majorHAnsi"/>
        </w:rPr>
        <w:t xml:space="preserve"> </w:t>
      </w:r>
      <w:r w:rsidRPr="00997135">
        <w:rPr>
          <w:rFonts w:asciiTheme="majorHAnsi" w:hAnsiTheme="majorHAnsi" w:cstheme="majorHAnsi"/>
        </w:rPr>
        <w:t>concluyó que se habían vulnerado derechos fundamentales</w:t>
      </w:r>
      <w:r w:rsidR="00333C90">
        <w:rPr>
          <w:rFonts w:asciiTheme="majorHAnsi" w:hAnsiTheme="majorHAnsi" w:cstheme="majorHAnsi"/>
        </w:rPr>
        <w:t xml:space="preserve"> y acogió</w:t>
      </w:r>
      <w:r w:rsidRPr="00997135">
        <w:rPr>
          <w:rFonts w:asciiTheme="majorHAnsi" w:hAnsiTheme="majorHAnsi" w:cstheme="majorHAnsi"/>
        </w:rPr>
        <w:t xml:space="preserve"> </w:t>
      </w:r>
      <w:r w:rsidR="00333C90">
        <w:rPr>
          <w:rFonts w:asciiTheme="majorHAnsi" w:hAnsiTheme="majorHAnsi" w:cstheme="majorHAnsi"/>
        </w:rPr>
        <w:t xml:space="preserve">el </w:t>
      </w:r>
      <w:r w:rsidRPr="00997135">
        <w:rPr>
          <w:rFonts w:asciiTheme="majorHAnsi" w:hAnsiTheme="majorHAnsi" w:cstheme="majorHAnsi"/>
        </w:rPr>
        <w:t>recurso de protección interpuesto por la Defensora de la Niñez, mandatando adoptar nuevas medidas para resguardar la salud de la población</w:t>
      </w:r>
      <w:r w:rsidR="00436FD8">
        <w:rPr>
          <w:rStyle w:val="Refdenotaalpie"/>
          <w:rFonts w:asciiTheme="majorHAnsi" w:hAnsiTheme="majorHAnsi" w:cstheme="majorHAnsi"/>
        </w:rPr>
        <w:footnoteReference w:id="1"/>
      </w:r>
      <w:r w:rsidRPr="00997135">
        <w:rPr>
          <w:rFonts w:asciiTheme="majorHAnsi" w:hAnsiTheme="majorHAnsi" w:cstheme="majorHAnsi"/>
        </w:rPr>
        <w:t>. A raíz de este hecho, la Defensoría de la Niñez</w:t>
      </w:r>
      <w:r w:rsidR="007A75D9">
        <w:rPr>
          <w:rFonts w:asciiTheme="majorHAnsi" w:hAnsiTheme="majorHAnsi" w:cstheme="majorHAnsi"/>
        </w:rPr>
        <w:t xml:space="preserve"> publicó un estudio </w:t>
      </w:r>
      <w:r w:rsidR="00957521">
        <w:rPr>
          <w:rFonts w:asciiTheme="majorHAnsi" w:hAnsiTheme="majorHAnsi" w:cstheme="majorHAnsi"/>
        </w:rPr>
        <w:t xml:space="preserve">que constató el </w:t>
      </w:r>
      <w:r w:rsidRPr="00997135">
        <w:rPr>
          <w:rFonts w:asciiTheme="majorHAnsi" w:hAnsiTheme="majorHAnsi" w:cstheme="majorHAnsi"/>
        </w:rPr>
        <w:t>incumpl</w:t>
      </w:r>
      <w:r w:rsidR="00957521">
        <w:rPr>
          <w:rFonts w:asciiTheme="majorHAnsi" w:hAnsiTheme="majorHAnsi" w:cstheme="majorHAnsi"/>
        </w:rPr>
        <w:t>imiento de</w:t>
      </w:r>
      <w:r w:rsidRPr="00997135">
        <w:rPr>
          <w:rFonts w:asciiTheme="majorHAnsi" w:hAnsiTheme="majorHAnsi" w:cstheme="majorHAnsi"/>
        </w:rPr>
        <w:t xml:space="preserve"> 17 artículos de la Convención sobre los Derechos del Niño</w:t>
      </w:r>
      <w:r w:rsidR="00CE6C9F">
        <w:rPr>
          <w:rStyle w:val="Refdenotaalpie"/>
          <w:rFonts w:asciiTheme="majorHAnsi" w:hAnsiTheme="majorHAnsi" w:cstheme="majorHAnsi"/>
        </w:rPr>
        <w:footnoteReference w:id="2"/>
      </w:r>
      <w:r w:rsidRPr="00997135">
        <w:rPr>
          <w:rFonts w:asciiTheme="majorHAnsi" w:hAnsiTheme="majorHAnsi" w:cstheme="majorHAnsi"/>
        </w:rPr>
        <w:t xml:space="preserve">. </w:t>
      </w:r>
    </w:p>
    <w:p w:rsidR="00997135" w:rsidRDefault="007F2006" w:rsidP="00997135">
      <w:pPr>
        <w:tabs>
          <w:tab w:val="left" w:pos="955"/>
        </w:tabs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Diversos estudios </w:t>
      </w:r>
      <w:r w:rsidR="0039720D" w:rsidRPr="00997135">
        <w:rPr>
          <w:rFonts w:asciiTheme="majorHAnsi" w:hAnsiTheme="majorHAnsi" w:cstheme="majorHAnsi"/>
        </w:rPr>
        <w:t xml:space="preserve">han demostrado que la exposición crónica a metales pesados en </w:t>
      </w:r>
      <w:r w:rsidR="00436FD8">
        <w:rPr>
          <w:rFonts w:asciiTheme="majorHAnsi" w:hAnsiTheme="majorHAnsi" w:cstheme="majorHAnsi"/>
        </w:rPr>
        <w:t>esa</w:t>
      </w:r>
      <w:r w:rsidR="0039720D" w:rsidRPr="00997135">
        <w:rPr>
          <w:rFonts w:asciiTheme="majorHAnsi" w:hAnsiTheme="majorHAnsi" w:cstheme="majorHAnsi"/>
        </w:rPr>
        <w:t xml:space="preserve"> zona aumenta el riesgo de presentar una falla en la función del gen que se encarga de suprimir l</w:t>
      </w:r>
      <w:r w:rsidR="008C44EB">
        <w:rPr>
          <w:rFonts w:asciiTheme="majorHAnsi" w:hAnsiTheme="majorHAnsi" w:cstheme="majorHAnsi"/>
        </w:rPr>
        <w:t>os tumores en los seres humanos</w:t>
      </w:r>
      <w:r w:rsidR="007A75D9">
        <w:rPr>
          <w:rStyle w:val="Refdenotaalpie"/>
          <w:rFonts w:asciiTheme="majorHAnsi" w:hAnsiTheme="majorHAnsi" w:cstheme="majorHAnsi"/>
        </w:rPr>
        <w:footnoteReference w:id="3"/>
      </w:r>
      <w:r w:rsidR="0039720D" w:rsidRPr="00997135">
        <w:rPr>
          <w:rFonts w:asciiTheme="majorHAnsi" w:hAnsiTheme="majorHAnsi" w:cstheme="majorHAnsi"/>
        </w:rPr>
        <w:t>, siendo los niños, niñas y adolescentes más propensos a desarrollar cáncer</w:t>
      </w:r>
      <w:r w:rsidR="007A75D9">
        <w:rPr>
          <w:rStyle w:val="Refdenotaalpie"/>
          <w:rFonts w:asciiTheme="majorHAnsi" w:hAnsiTheme="majorHAnsi" w:cstheme="majorHAnsi"/>
        </w:rPr>
        <w:footnoteReference w:id="4"/>
      </w:r>
      <w:r w:rsidR="0039720D" w:rsidRPr="00997135">
        <w:rPr>
          <w:rFonts w:asciiTheme="majorHAnsi" w:hAnsiTheme="majorHAnsi" w:cstheme="majorHAnsi"/>
        </w:rPr>
        <w:t xml:space="preserve">. Asimismo, el tolueno, uno de los contaminantes presentes en el sector, ha sido ligado con abortos espontáneos y graves deficiencias en el desarrollo gestacional </w:t>
      </w:r>
      <w:r w:rsidR="007A75D9">
        <w:rPr>
          <w:rStyle w:val="Refdenotaalpie"/>
          <w:rFonts w:asciiTheme="majorHAnsi" w:hAnsiTheme="majorHAnsi" w:cstheme="majorHAnsi"/>
        </w:rPr>
        <w:footnoteReference w:id="5"/>
      </w:r>
      <w:r w:rsidR="0039720D" w:rsidRPr="00997135">
        <w:rPr>
          <w:rFonts w:asciiTheme="majorHAnsi" w:hAnsiTheme="majorHAnsi" w:cstheme="majorHAnsi"/>
        </w:rPr>
        <w:t>.</w:t>
      </w:r>
    </w:p>
    <w:p w:rsidR="0039720D" w:rsidRPr="00997135" w:rsidRDefault="007A75D9" w:rsidP="00997135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un estudio desarrollado </w:t>
      </w:r>
      <w:r w:rsidR="0039720D" w:rsidRPr="00997135">
        <w:rPr>
          <w:rFonts w:asciiTheme="majorHAnsi" w:hAnsiTheme="majorHAnsi" w:cstheme="majorHAnsi"/>
        </w:rPr>
        <w:t>en la ciudad de Temuco, Chile</w:t>
      </w:r>
      <w:r>
        <w:rPr>
          <w:rFonts w:asciiTheme="majorHAnsi" w:hAnsiTheme="majorHAnsi" w:cstheme="majorHAnsi"/>
        </w:rPr>
        <w:t xml:space="preserve">, se </w:t>
      </w:r>
      <w:r w:rsidR="0039720D" w:rsidRPr="00997135">
        <w:rPr>
          <w:rFonts w:asciiTheme="majorHAnsi" w:hAnsiTheme="majorHAnsi" w:cstheme="majorHAnsi"/>
        </w:rPr>
        <w:t xml:space="preserve">concluye que existe una asociación entre la exposición a la contaminación atmosférica por quema de leña residencial y parto </w:t>
      </w:r>
      <w:proofErr w:type="spellStart"/>
      <w:r w:rsidR="0039720D" w:rsidRPr="00997135">
        <w:rPr>
          <w:rFonts w:asciiTheme="majorHAnsi" w:hAnsiTheme="majorHAnsi" w:cstheme="majorHAnsi"/>
        </w:rPr>
        <w:t>pretérmino</w:t>
      </w:r>
      <w:proofErr w:type="spellEnd"/>
      <w:r>
        <w:rPr>
          <w:rStyle w:val="Refdenotaalpie"/>
          <w:rFonts w:asciiTheme="majorHAnsi" w:hAnsiTheme="majorHAnsi" w:cstheme="majorHAnsi"/>
        </w:rPr>
        <w:footnoteReference w:id="6"/>
      </w:r>
      <w:r w:rsidR="00032170">
        <w:rPr>
          <w:rFonts w:asciiTheme="majorHAnsi" w:hAnsiTheme="majorHAnsi" w:cstheme="majorHAnsi"/>
        </w:rPr>
        <w:t>.</w:t>
      </w:r>
    </w:p>
    <w:p w:rsidR="00032170" w:rsidRDefault="00032170" w:rsidP="00997135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E</w:t>
      </w:r>
      <w:r w:rsidRPr="00997135">
        <w:rPr>
          <w:rFonts w:asciiTheme="majorHAnsi" w:hAnsiTheme="majorHAnsi" w:cstheme="majorHAnsi"/>
        </w:rPr>
        <w:t>n las zonas en sequía del país</w:t>
      </w:r>
      <w:r w:rsidR="002F0034">
        <w:rPr>
          <w:rFonts w:asciiTheme="majorHAnsi" w:hAnsiTheme="majorHAnsi" w:cstheme="majorHAnsi"/>
        </w:rPr>
        <w:t>,</w:t>
      </w:r>
      <w:r w:rsidRPr="00997135">
        <w:rPr>
          <w:rFonts w:asciiTheme="majorHAnsi" w:hAnsiTheme="majorHAnsi" w:cstheme="majorHAnsi"/>
        </w:rPr>
        <w:t xml:space="preserve"> donde no se cuenta con acceso estable al agua, como La Ligua, se produce un aumento de las infecciones urinarias en las mujeres y niñas, dificultando el acceso a la higiene menstrual. </w:t>
      </w:r>
    </w:p>
    <w:p w:rsidR="0039720D" w:rsidRPr="00997135" w:rsidRDefault="008B617E" w:rsidP="00997135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 otra parte,</w:t>
      </w:r>
      <w:r w:rsidR="0039720D" w:rsidRPr="00997135">
        <w:rPr>
          <w:rFonts w:asciiTheme="majorHAnsi" w:hAnsiTheme="majorHAnsi" w:cstheme="majorHAnsi"/>
        </w:rPr>
        <w:t xml:space="preserve"> América Latina y el Caribe ocupa el primer lugar mundial en asesinato de personas que se dedican a proteger la naturaleza</w:t>
      </w:r>
      <w:r w:rsidR="00975F84">
        <w:rPr>
          <w:rStyle w:val="Refdenotaalpie"/>
          <w:rFonts w:asciiTheme="majorHAnsi" w:hAnsiTheme="majorHAnsi" w:cstheme="majorHAnsi"/>
        </w:rPr>
        <w:footnoteReference w:id="7"/>
      </w:r>
      <w:r w:rsidR="0039720D" w:rsidRPr="00997135">
        <w:rPr>
          <w:rFonts w:asciiTheme="majorHAnsi" w:hAnsiTheme="majorHAnsi" w:cstheme="majorHAnsi"/>
        </w:rPr>
        <w:t>, generando una intersección con la violencia basada en gé</w:t>
      </w:r>
      <w:r w:rsidR="00032170">
        <w:rPr>
          <w:rFonts w:asciiTheme="majorHAnsi" w:hAnsiTheme="majorHAnsi" w:cstheme="majorHAnsi"/>
        </w:rPr>
        <w:t>nero</w:t>
      </w:r>
      <w:r w:rsidR="0039720D" w:rsidRPr="00997135">
        <w:rPr>
          <w:rFonts w:asciiTheme="majorHAnsi" w:hAnsiTheme="majorHAnsi" w:cstheme="majorHAnsi"/>
        </w:rPr>
        <w:t xml:space="preserve">. </w:t>
      </w:r>
      <w:r w:rsidR="00446679">
        <w:rPr>
          <w:rFonts w:asciiTheme="majorHAnsi" w:hAnsiTheme="majorHAnsi" w:cstheme="majorHAnsi"/>
        </w:rPr>
        <w:t>S</w:t>
      </w:r>
      <w:r w:rsidR="0039720D" w:rsidRPr="00997135">
        <w:rPr>
          <w:rFonts w:asciiTheme="majorHAnsi" w:hAnsiTheme="majorHAnsi" w:cstheme="majorHAnsi"/>
        </w:rPr>
        <w:t>e han documentado vulneraciones a defensoras en el territorio nacional, tal</w:t>
      </w:r>
      <w:r w:rsidR="002F0034">
        <w:rPr>
          <w:rFonts w:asciiTheme="majorHAnsi" w:hAnsiTheme="majorHAnsi" w:cstheme="majorHAnsi"/>
        </w:rPr>
        <w:t>es</w:t>
      </w:r>
      <w:r w:rsidR="0039720D" w:rsidRPr="00997135">
        <w:rPr>
          <w:rFonts w:asciiTheme="majorHAnsi" w:hAnsiTheme="majorHAnsi" w:cstheme="majorHAnsi"/>
        </w:rPr>
        <w:t xml:space="preserve"> como el femicidio </w:t>
      </w:r>
      <w:r>
        <w:rPr>
          <w:rFonts w:asciiTheme="majorHAnsi" w:hAnsiTheme="majorHAnsi" w:cstheme="majorHAnsi"/>
        </w:rPr>
        <w:t>de</w:t>
      </w:r>
      <w:r w:rsidR="0039720D" w:rsidRPr="00997135">
        <w:rPr>
          <w:rFonts w:asciiTheme="majorHAnsi" w:hAnsiTheme="majorHAnsi" w:cstheme="majorHAnsi"/>
        </w:rPr>
        <w:t xml:space="preserve"> Macarena Valdés</w:t>
      </w:r>
      <w:r>
        <w:rPr>
          <w:rFonts w:asciiTheme="majorHAnsi" w:hAnsiTheme="majorHAnsi" w:cstheme="majorHAnsi"/>
        </w:rPr>
        <w:t xml:space="preserve"> (</w:t>
      </w:r>
      <w:r w:rsidR="0039720D" w:rsidRPr="00997135">
        <w:rPr>
          <w:rFonts w:asciiTheme="majorHAnsi" w:hAnsiTheme="majorHAnsi" w:cstheme="majorHAnsi"/>
        </w:rPr>
        <w:t>defensora del agua</w:t>
      </w:r>
      <w:r>
        <w:rPr>
          <w:rFonts w:asciiTheme="majorHAnsi" w:hAnsiTheme="majorHAnsi" w:cstheme="majorHAnsi"/>
        </w:rPr>
        <w:t>),</w:t>
      </w:r>
      <w:r w:rsidR="0039720D" w:rsidRPr="00997135">
        <w:rPr>
          <w:rFonts w:asciiTheme="majorHAnsi" w:hAnsiTheme="majorHAnsi" w:cstheme="majorHAnsi"/>
        </w:rPr>
        <w:t xml:space="preserve"> y el hostigamiento hacia la abogada de CIDSUR</w:t>
      </w:r>
      <w:r>
        <w:rPr>
          <w:rFonts w:asciiTheme="majorHAnsi" w:hAnsiTheme="majorHAnsi" w:cstheme="majorHAnsi"/>
        </w:rPr>
        <w:t>,</w:t>
      </w:r>
      <w:r w:rsidR="002F0034">
        <w:rPr>
          <w:rFonts w:asciiTheme="majorHAnsi" w:hAnsiTheme="majorHAnsi" w:cstheme="majorHAnsi"/>
        </w:rPr>
        <w:t xml:space="preserve"> </w:t>
      </w:r>
      <w:r w:rsidR="0039720D" w:rsidRPr="00997135">
        <w:rPr>
          <w:rFonts w:asciiTheme="majorHAnsi" w:hAnsiTheme="majorHAnsi" w:cstheme="majorHAnsi"/>
        </w:rPr>
        <w:t>Karina Riquelme</w:t>
      </w:r>
      <w:r w:rsidR="004E264B">
        <w:rPr>
          <w:rStyle w:val="Refdenotaalpie"/>
          <w:rFonts w:asciiTheme="majorHAnsi" w:hAnsiTheme="majorHAnsi" w:cstheme="majorHAnsi"/>
        </w:rPr>
        <w:footnoteReference w:id="8"/>
      </w:r>
      <w:r>
        <w:rPr>
          <w:rFonts w:asciiTheme="majorHAnsi" w:hAnsiTheme="majorHAnsi" w:cstheme="majorHAnsi"/>
        </w:rPr>
        <w:t>,</w:t>
      </w:r>
      <w:r w:rsidR="0039720D" w:rsidRPr="00997135">
        <w:rPr>
          <w:rFonts w:asciiTheme="majorHAnsi" w:hAnsiTheme="majorHAnsi" w:cstheme="majorHAnsi"/>
        </w:rPr>
        <w:t xml:space="preserve"> y la activista Lorena Donaire.</w:t>
      </w:r>
      <w:r w:rsidR="00032170">
        <w:rPr>
          <w:rFonts w:asciiTheme="majorHAnsi" w:hAnsiTheme="majorHAnsi" w:cstheme="majorHAnsi"/>
        </w:rPr>
        <w:t xml:space="preserve"> </w:t>
      </w:r>
    </w:p>
    <w:p w:rsidR="0039720D" w:rsidRPr="00997135" w:rsidRDefault="00997135" w:rsidP="00997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78"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Pregunta N° 2</w:t>
      </w:r>
    </w:p>
    <w:p w:rsidR="00032170" w:rsidRDefault="00032170" w:rsidP="00FD548D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78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</w:t>
      </w:r>
      <w:r w:rsidR="0039720D" w:rsidRPr="00997135">
        <w:rPr>
          <w:rFonts w:asciiTheme="majorHAnsi" w:hAnsiTheme="majorHAnsi" w:cstheme="majorHAnsi"/>
          <w:color w:val="000000"/>
        </w:rPr>
        <w:t>a Constitución Política del Estado (CPE)</w:t>
      </w:r>
      <w:r>
        <w:rPr>
          <w:rFonts w:asciiTheme="majorHAnsi" w:hAnsiTheme="majorHAnsi" w:cstheme="majorHAnsi"/>
          <w:color w:val="000000"/>
        </w:rPr>
        <w:t xml:space="preserve"> </w:t>
      </w:r>
      <w:r w:rsidRPr="00997135">
        <w:rPr>
          <w:rFonts w:asciiTheme="majorHAnsi" w:hAnsiTheme="majorHAnsi" w:cstheme="majorHAnsi"/>
          <w:color w:val="000000"/>
        </w:rPr>
        <w:t xml:space="preserve">no establece disposiciones específicas </w:t>
      </w:r>
      <w:r w:rsidR="001253EF">
        <w:rPr>
          <w:rFonts w:asciiTheme="majorHAnsi" w:hAnsiTheme="majorHAnsi" w:cstheme="majorHAnsi"/>
          <w:color w:val="000000"/>
        </w:rPr>
        <w:t xml:space="preserve">sobre </w:t>
      </w:r>
      <w:r w:rsidRPr="00997135">
        <w:rPr>
          <w:rFonts w:asciiTheme="majorHAnsi" w:hAnsiTheme="majorHAnsi" w:cstheme="majorHAnsi"/>
          <w:color w:val="000000"/>
        </w:rPr>
        <w:t>la integración del enfoque de género en la generación de las políticas públicas y/o medioambientales, estableciendo únicamente el Principio de Igualdad</w:t>
      </w:r>
      <w:r w:rsidR="001253EF">
        <w:rPr>
          <w:rFonts w:asciiTheme="majorHAnsi" w:hAnsiTheme="majorHAnsi" w:cstheme="majorHAnsi"/>
          <w:color w:val="000000"/>
        </w:rPr>
        <w:t>,</w:t>
      </w:r>
      <w:r w:rsidRPr="00997135">
        <w:rPr>
          <w:rFonts w:asciiTheme="majorHAnsi" w:hAnsiTheme="majorHAnsi" w:cstheme="majorHAnsi"/>
          <w:color w:val="000000"/>
        </w:rPr>
        <w:t xml:space="preserve"> en términos generales</w:t>
      </w:r>
      <w:r w:rsidR="001253EF">
        <w:rPr>
          <w:rFonts w:asciiTheme="majorHAnsi" w:hAnsiTheme="majorHAnsi" w:cstheme="majorHAnsi"/>
          <w:color w:val="000000"/>
        </w:rPr>
        <w:t>,</w:t>
      </w:r>
      <w:r w:rsidRPr="00997135">
        <w:rPr>
          <w:rFonts w:asciiTheme="majorHAnsi" w:hAnsiTheme="majorHAnsi" w:cstheme="majorHAnsi"/>
          <w:color w:val="000000"/>
        </w:rPr>
        <w:t xml:space="preserve"> a través de su </w:t>
      </w:r>
      <w:r>
        <w:rPr>
          <w:rFonts w:asciiTheme="majorHAnsi" w:hAnsiTheme="majorHAnsi" w:cstheme="majorHAnsi"/>
          <w:color w:val="000000"/>
        </w:rPr>
        <w:t>art.</w:t>
      </w:r>
      <w:r w:rsidRPr="00997135">
        <w:rPr>
          <w:rFonts w:asciiTheme="majorHAnsi" w:hAnsiTheme="majorHAnsi" w:cstheme="majorHAnsi"/>
          <w:color w:val="000000"/>
        </w:rPr>
        <w:t xml:space="preserve"> N</w:t>
      </w:r>
      <w:r>
        <w:rPr>
          <w:rFonts w:asciiTheme="majorHAnsi" w:hAnsiTheme="majorHAnsi" w:cstheme="majorHAnsi"/>
          <w:color w:val="000000"/>
        </w:rPr>
        <w:t xml:space="preserve">° </w:t>
      </w:r>
      <w:r w:rsidRPr="00997135">
        <w:rPr>
          <w:rFonts w:asciiTheme="majorHAnsi" w:hAnsiTheme="majorHAnsi" w:cstheme="majorHAnsi"/>
          <w:color w:val="000000"/>
        </w:rPr>
        <w:t>1</w:t>
      </w:r>
      <w:r>
        <w:rPr>
          <w:rFonts w:asciiTheme="majorHAnsi" w:hAnsiTheme="majorHAnsi" w:cstheme="majorHAnsi"/>
          <w:color w:val="000000"/>
        </w:rPr>
        <w:t>.</w:t>
      </w:r>
    </w:p>
    <w:p w:rsidR="0039720D" w:rsidRDefault="00032170" w:rsidP="00FD548D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78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/>
        </w:rPr>
        <w:t xml:space="preserve">El art. </w:t>
      </w:r>
      <w:r w:rsidRPr="00997135">
        <w:rPr>
          <w:rFonts w:asciiTheme="majorHAnsi" w:hAnsiTheme="majorHAnsi" w:cstheme="majorHAnsi"/>
          <w:color w:val="000000"/>
        </w:rPr>
        <w:t xml:space="preserve">19 </w:t>
      </w:r>
      <w:r>
        <w:rPr>
          <w:rFonts w:asciiTheme="majorHAnsi" w:hAnsiTheme="majorHAnsi" w:cstheme="majorHAnsi"/>
          <w:color w:val="000000"/>
        </w:rPr>
        <w:t xml:space="preserve">N° </w:t>
      </w:r>
      <w:r w:rsidRPr="00997135">
        <w:rPr>
          <w:rFonts w:asciiTheme="majorHAnsi" w:hAnsiTheme="majorHAnsi" w:cstheme="majorHAnsi"/>
          <w:color w:val="000000"/>
        </w:rPr>
        <w:t>8 de</w:t>
      </w:r>
      <w:r>
        <w:rPr>
          <w:rFonts w:asciiTheme="majorHAnsi" w:hAnsiTheme="majorHAnsi" w:cstheme="majorHAnsi"/>
          <w:color w:val="000000"/>
        </w:rPr>
        <w:t xml:space="preserve"> la CPE consagra</w:t>
      </w:r>
      <w:r w:rsidR="0039720D" w:rsidRPr="00997135">
        <w:rPr>
          <w:rFonts w:asciiTheme="majorHAnsi" w:hAnsiTheme="majorHAnsi" w:cstheme="majorHAnsi"/>
          <w:color w:val="000000"/>
        </w:rPr>
        <w:t xml:space="preserve"> el derecho a vivir en un medio ambiente libre de contaminación</w:t>
      </w:r>
      <w:r>
        <w:rPr>
          <w:rFonts w:asciiTheme="majorHAnsi" w:hAnsiTheme="majorHAnsi" w:cstheme="majorHAnsi"/>
          <w:color w:val="000000"/>
        </w:rPr>
        <w:t xml:space="preserve">, mientras que </w:t>
      </w:r>
      <w:r w:rsidR="0039720D" w:rsidRPr="00997135">
        <w:rPr>
          <w:rFonts w:asciiTheme="majorHAnsi" w:hAnsiTheme="majorHAnsi" w:cstheme="majorHAnsi"/>
          <w:color w:val="000000"/>
        </w:rPr>
        <w:t>el art.</w:t>
      </w:r>
      <w:r w:rsidR="00FD548D">
        <w:rPr>
          <w:rFonts w:asciiTheme="majorHAnsi" w:hAnsiTheme="majorHAnsi" w:cstheme="majorHAnsi"/>
          <w:color w:val="000000"/>
        </w:rPr>
        <w:t xml:space="preserve"> </w:t>
      </w:r>
      <w:r w:rsidR="0039720D" w:rsidRPr="00997135">
        <w:rPr>
          <w:rFonts w:asciiTheme="majorHAnsi" w:hAnsiTheme="majorHAnsi" w:cstheme="majorHAnsi"/>
          <w:color w:val="000000"/>
        </w:rPr>
        <w:t xml:space="preserve">20 establece que corresponderá el </w:t>
      </w:r>
      <w:r w:rsidR="00FD548D">
        <w:rPr>
          <w:rFonts w:asciiTheme="majorHAnsi" w:hAnsiTheme="majorHAnsi" w:cstheme="majorHAnsi"/>
          <w:color w:val="000000"/>
        </w:rPr>
        <w:t>R</w:t>
      </w:r>
      <w:r w:rsidR="0039720D" w:rsidRPr="00997135">
        <w:rPr>
          <w:rFonts w:asciiTheme="majorHAnsi" w:hAnsiTheme="majorHAnsi" w:cstheme="majorHAnsi"/>
          <w:color w:val="000000"/>
        </w:rPr>
        <w:t xml:space="preserve">ecurso de Protección </w:t>
      </w:r>
      <w:r w:rsidR="0039720D" w:rsidRPr="00997135">
        <w:rPr>
          <w:rFonts w:asciiTheme="majorHAnsi" w:hAnsiTheme="majorHAnsi" w:cstheme="majorHAnsi"/>
          <w:color w:val="000000"/>
          <w:shd w:val="clear" w:color="auto" w:fill="FFFFFF"/>
          <w:lang w:eastAsia="es-ES"/>
        </w:rPr>
        <w:t>cuando e</w:t>
      </w:r>
      <w:r w:rsidR="001253EF">
        <w:rPr>
          <w:rFonts w:asciiTheme="majorHAnsi" w:hAnsiTheme="majorHAnsi" w:cstheme="majorHAnsi"/>
          <w:color w:val="000000"/>
          <w:shd w:val="clear" w:color="auto" w:fill="FFFFFF"/>
          <w:lang w:eastAsia="es-ES"/>
        </w:rPr>
        <w:t xml:space="preserve">ste </w:t>
      </w:r>
      <w:r w:rsidR="0039720D" w:rsidRPr="00997135">
        <w:rPr>
          <w:rFonts w:asciiTheme="majorHAnsi" w:hAnsiTheme="majorHAnsi" w:cstheme="majorHAnsi"/>
          <w:color w:val="000000"/>
          <w:shd w:val="clear" w:color="auto" w:fill="FFFFFF"/>
          <w:lang w:eastAsia="es-ES"/>
        </w:rPr>
        <w:t>derecho</w:t>
      </w:r>
      <w:r w:rsidR="001253EF">
        <w:rPr>
          <w:rFonts w:asciiTheme="majorHAnsi" w:hAnsiTheme="majorHAnsi" w:cstheme="majorHAnsi"/>
          <w:color w:val="000000"/>
          <w:shd w:val="clear" w:color="auto" w:fill="FFFFFF"/>
          <w:lang w:eastAsia="es-ES"/>
        </w:rPr>
        <w:t xml:space="preserve"> </w:t>
      </w:r>
      <w:r w:rsidR="0039720D" w:rsidRPr="00997135">
        <w:rPr>
          <w:rFonts w:asciiTheme="majorHAnsi" w:hAnsiTheme="majorHAnsi" w:cstheme="majorHAnsi"/>
          <w:color w:val="000000"/>
          <w:shd w:val="clear" w:color="auto" w:fill="FFFFFF"/>
          <w:lang w:eastAsia="es-ES"/>
        </w:rPr>
        <w:t xml:space="preserve">sea afectado por un acto u omisión ilegal imputable a una autoridad o persona determinada. </w:t>
      </w:r>
      <w:r w:rsidR="0039720D" w:rsidRPr="00997135">
        <w:rPr>
          <w:rFonts w:asciiTheme="majorHAnsi" w:hAnsiTheme="majorHAnsi" w:cstheme="majorHAnsi"/>
          <w:color w:val="000000" w:themeColor="text1"/>
        </w:rPr>
        <w:t xml:space="preserve"> </w:t>
      </w:r>
    </w:p>
    <w:p w:rsidR="000C2025" w:rsidRPr="00997135" w:rsidRDefault="00A94E3A" w:rsidP="00FD548D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78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</w:t>
      </w:r>
      <w:r w:rsidR="000C2025">
        <w:rPr>
          <w:rFonts w:asciiTheme="majorHAnsi" w:hAnsiTheme="majorHAnsi" w:cstheme="majorHAnsi"/>
          <w:color w:val="000000"/>
        </w:rPr>
        <w:t xml:space="preserve">a </w:t>
      </w:r>
      <w:r w:rsidR="000C2025" w:rsidRPr="000C2025">
        <w:rPr>
          <w:rFonts w:asciiTheme="majorHAnsi" w:hAnsiTheme="majorHAnsi" w:cstheme="majorHAnsi"/>
          <w:color w:val="000000"/>
        </w:rPr>
        <w:t>Ley Marco de Cambio Climático</w:t>
      </w:r>
      <w:r w:rsidR="000C2025">
        <w:rPr>
          <w:rFonts w:asciiTheme="majorHAnsi" w:hAnsiTheme="majorHAnsi" w:cstheme="majorHAnsi"/>
          <w:color w:val="000000"/>
        </w:rPr>
        <w:t xml:space="preserve"> (Ley </w:t>
      </w:r>
      <w:r w:rsidR="000C2025" w:rsidRPr="000C2025">
        <w:rPr>
          <w:rFonts w:asciiTheme="majorHAnsi" w:hAnsiTheme="majorHAnsi" w:cstheme="majorHAnsi"/>
          <w:color w:val="000000"/>
        </w:rPr>
        <w:t>N° 21.455</w:t>
      </w:r>
      <w:r w:rsidR="000C2025">
        <w:rPr>
          <w:rFonts w:asciiTheme="majorHAnsi" w:hAnsiTheme="majorHAnsi" w:cstheme="majorHAnsi"/>
          <w:color w:val="000000"/>
        </w:rPr>
        <w:t xml:space="preserve">) sí contiene un enfoque sensible al género, según se explica más adelante </w:t>
      </w:r>
      <w:r>
        <w:rPr>
          <w:rFonts w:asciiTheme="majorHAnsi" w:hAnsiTheme="majorHAnsi" w:cstheme="majorHAnsi"/>
          <w:color w:val="000000"/>
        </w:rPr>
        <w:t>(</w:t>
      </w:r>
      <w:r w:rsidR="000C2025">
        <w:rPr>
          <w:rFonts w:asciiTheme="majorHAnsi" w:hAnsiTheme="majorHAnsi" w:cstheme="majorHAnsi"/>
          <w:color w:val="000000"/>
        </w:rPr>
        <w:t>Pregunta N° 4</w:t>
      </w:r>
      <w:r>
        <w:rPr>
          <w:rFonts w:asciiTheme="majorHAnsi" w:hAnsiTheme="majorHAnsi" w:cstheme="majorHAnsi"/>
          <w:color w:val="000000"/>
        </w:rPr>
        <w:t>)</w:t>
      </w:r>
      <w:r w:rsidR="000C2025">
        <w:rPr>
          <w:rFonts w:asciiTheme="majorHAnsi" w:hAnsiTheme="majorHAnsi" w:cstheme="majorHAnsi"/>
          <w:color w:val="000000"/>
        </w:rPr>
        <w:t>.</w:t>
      </w:r>
    </w:p>
    <w:p w:rsidR="0039720D" w:rsidRPr="00997135" w:rsidRDefault="00FE65FE" w:rsidP="00997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72"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Pregunta N° 3</w:t>
      </w:r>
    </w:p>
    <w:p w:rsidR="0039720D" w:rsidRPr="00997135" w:rsidRDefault="00102B7C" w:rsidP="00997135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72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No se dispone de información </w:t>
      </w:r>
      <w:r w:rsidR="002C5A11">
        <w:rPr>
          <w:rFonts w:asciiTheme="majorHAnsi" w:hAnsiTheme="majorHAnsi" w:cstheme="majorHAnsi"/>
          <w:color w:val="000000" w:themeColor="text1"/>
        </w:rPr>
        <w:t xml:space="preserve">sistematizada. </w:t>
      </w:r>
    </w:p>
    <w:p w:rsidR="00EC1853" w:rsidRDefault="00FE65FE" w:rsidP="00EC18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Pregunta N° 4</w:t>
      </w:r>
    </w:p>
    <w:p w:rsidR="00A94E3A" w:rsidRDefault="0039720D" w:rsidP="00A94E3A">
      <w:pPr>
        <w:spacing w:line="240" w:lineRule="auto"/>
        <w:jc w:val="both"/>
        <w:rPr>
          <w:rFonts w:asciiTheme="majorHAnsi" w:eastAsia="Cambria" w:hAnsiTheme="majorHAnsi" w:cstheme="majorHAnsi"/>
          <w:color w:val="000000" w:themeColor="text1"/>
        </w:rPr>
      </w:pPr>
      <w:r w:rsidRPr="00997135">
        <w:rPr>
          <w:rFonts w:asciiTheme="majorHAnsi" w:eastAsia="Cambria" w:hAnsiTheme="majorHAnsi" w:cstheme="majorHAnsi"/>
          <w:color w:val="000000" w:themeColor="text1"/>
        </w:rPr>
        <w:t>El 13 de junio de 2022</w:t>
      </w:r>
      <w:r w:rsidR="000C2025">
        <w:rPr>
          <w:rFonts w:asciiTheme="majorHAnsi" w:eastAsia="Cambria" w:hAnsiTheme="majorHAnsi" w:cstheme="majorHAnsi"/>
          <w:color w:val="000000" w:themeColor="text1"/>
        </w:rPr>
        <w:t>,</w:t>
      </w:r>
      <w:r w:rsidRPr="00997135">
        <w:rPr>
          <w:rFonts w:asciiTheme="majorHAnsi" w:eastAsia="Cambria" w:hAnsiTheme="majorHAnsi" w:cstheme="majorHAnsi"/>
          <w:color w:val="000000" w:themeColor="text1"/>
        </w:rPr>
        <w:t xml:space="preserve"> Chile promulgó su </w:t>
      </w:r>
      <w:r w:rsidRPr="00913E1C">
        <w:rPr>
          <w:rFonts w:asciiTheme="majorHAnsi" w:eastAsia="Cambria" w:hAnsiTheme="majorHAnsi" w:cstheme="majorHAnsi"/>
          <w:b/>
          <w:color w:val="000000" w:themeColor="text1"/>
        </w:rPr>
        <w:t xml:space="preserve">Ley Marco de Cambio Climático </w:t>
      </w:r>
      <w:r w:rsidR="000C2025" w:rsidRPr="000C2025">
        <w:rPr>
          <w:rFonts w:asciiTheme="majorHAnsi" w:eastAsia="Cambria" w:hAnsiTheme="majorHAnsi" w:cstheme="majorHAnsi"/>
          <w:color w:val="000000" w:themeColor="text1"/>
        </w:rPr>
        <w:t>(Ley</w:t>
      </w:r>
      <w:r w:rsidR="000C2025">
        <w:rPr>
          <w:rFonts w:asciiTheme="majorHAnsi" w:eastAsia="Cambria" w:hAnsiTheme="majorHAnsi" w:cstheme="majorHAnsi"/>
          <w:b/>
          <w:color w:val="000000" w:themeColor="text1"/>
        </w:rPr>
        <w:t xml:space="preserve"> </w:t>
      </w:r>
      <w:r w:rsidRPr="00997135">
        <w:rPr>
          <w:rFonts w:asciiTheme="majorHAnsi" w:eastAsia="Cambria" w:hAnsiTheme="majorHAnsi" w:cstheme="majorHAnsi"/>
          <w:color w:val="000000" w:themeColor="text1"/>
        </w:rPr>
        <w:t>N° 21.455</w:t>
      </w:r>
      <w:r w:rsidR="000C2025">
        <w:rPr>
          <w:rFonts w:asciiTheme="majorHAnsi" w:eastAsia="Cambria" w:hAnsiTheme="majorHAnsi" w:cstheme="majorHAnsi"/>
          <w:color w:val="000000" w:themeColor="text1"/>
        </w:rPr>
        <w:t>)</w:t>
      </w:r>
      <w:r w:rsidRPr="00997135">
        <w:rPr>
          <w:rStyle w:val="Refdenotaalpie"/>
          <w:rFonts w:asciiTheme="majorHAnsi" w:eastAsia="Cambria" w:hAnsiTheme="majorHAnsi" w:cstheme="majorHAnsi"/>
          <w:color w:val="000000" w:themeColor="text1"/>
        </w:rPr>
        <w:footnoteReference w:id="9"/>
      </w:r>
      <w:r w:rsidRPr="00997135">
        <w:rPr>
          <w:rFonts w:asciiTheme="majorHAnsi" w:hAnsiTheme="majorHAnsi" w:cstheme="majorHAnsi"/>
          <w:color w:val="000000"/>
          <w:shd w:val="clear" w:color="auto" w:fill="FFFFFF"/>
          <w:lang w:eastAsia="es-ES"/>
        </w:rPr>
        <w:t>.</w:t>
      </w:r>
      <w:r w:rsidR="002F0034">
        <w:rPr>
          <w:rFonts w:asciiTheme="majorHAnsi" w:hAnsiTheme="majorHAnsi" w:cstheme="majorHAnsi"/>
          <w:color w:val="000000"/>
          <w:shd w:val="clear" w:color="auto" w:fill="FFFFFF"/>
          <w:lang w:eastAsia="es-ES"/>
        </w:rPr>
        <w:t xml:space="preserve"> </w:t>
      </w:r>
      <w:r w:rsidRPr="00FB4591">
        <w:rPr>
          <w:rFonts w:asciiTheme="majorHAnsi" w:eastAsia="Cambria" w:hAnsiTheme="majorHAnsi" w:cstheme="majorHAnsi"/>
          <w:color w:val="000000" w:themeColor="text1"/>
        </w:rPr>
        <w:t xml:space="preserve">En su artículo 2 letra d), </w:t>
      </w:r>
      <w:r w:rsidR="004539F0">
        <w:rPr>
          <w:rFonts w:asciiTheme="majorHAnsi" w:eastAsia="Cambria" w:hAnsiTheme="majorHAnsi" w:cstheme="majorHAnsi"/>
          <w:color w:val="000000" w:themeColor="text1"/>
        </w:rPr>
        <w:t xml:space="preserve">consagra el </w:t>
      </w:r>
      <w:r w:rsidRPr="00FB4591">
        <w:rPr>
          <w:rFonts w:asciiTheme="majorHAnsi" w:eastAsia="Cambria" w:hAnsiTheme="majorHAnsi" w:cstheme="majorHAnsi"/>
          <w:color w:val="000000" w:themeColor="text1"/>
        </w:rPr>
        <w:t>principio</w:t>
      </w:r>
      <w:r w:rsidR="004539F0">
        <w:rPr>
          <w:rFonts w:asciiTheme="majorHAnsi" w:eastAsia="Cambria" w:hAnsiTheme="majorHAnsi" w:cstheme="majorHAnsi"/>
          <w:color w:val="000000" w:themeColor="text1"/>
        </w:rPr>
        <w:t xml:space="preserve"> de la </w:t>
      </w:r>
      <w:r w:rsidRPr="00F6780A">
        <w:rPr>
          <w:rFonts w:asciiTheme="majorHAnsi" w:eastAsia="Cambria" w:hAnsiTheme="majorHAnsi" w:cstheme="majorHAnsi"/>
          <w:bCs/>
          <w:color w:val="000000" w:themeColor="text1"/>
        </w:rPr>
        <w:t>Equidad y Justicia Climática</w:t>
      </w:r>
      <w:r w:rsidRPr="00F6780A">
        <w:rPr>
          <w:rFonts w:asciiTheme="majorHAnsi" w:eastAsia="Cambria" w:hAnsiTheme="majorHAnsi" w:cstheme="majorHAnsi"/>
          <w:color w:val="000000" w:themeColor="text1"/>
        </w:rPr>
        <w:t xml:space="preserve">, señalando que es deber del Estado procurar una justa asignación de cargas, costos y beneficios, resguardando la capacidad de las generaciones futuras de satisfacer sus propias necesidades, </w:t>
      </w:r>
      <w:r w:rsidRPr="00F6780A">
        <w:rPr>
          <w:rFonts w:asciiTheme="majorHAnsi" w:eastAsia="Cambria" w:hAnsiTheme="majorHAnsi" w:cstheme="majorHAnsi"/>
          <w:bCs/>
          <w:color w:val="000000" w:themeColor="text1"/>
        </w:rPr>
        <w:t>con enfoque de género</w:t>
      </w:r>
      <w:r w:rsidRPr="00F6780A">
        <w:rPr>
          <w:rFonts w:asciiTheme="majorHAnsi" w:eastAsia="Cambria" w:hAnsiTheme="majorHAnsi" w:cstheme="majorHAnsi"/>
          <w:color w:val="000000" w:themeColor="text1"/>
        </w:rPr>
        <w:t xml:space="preserve"> y especial énfasis en sectores, territorios, comunidades y ecosistemas vulnerables al cambio climático. </w:t>
      </w:r>
    </w:p>
    <w:p w:rsidR="0039720D" w:rsidRPr="00F6780A" w:rsidRDefault="00903827" w:rsidP="00A94E3A">
      <w:pPr>
        <w:spacing w:line="240" w:lineRule="auto"/>
        <w:jc w:val="both"/>
        <w:rPr>
          <w:rFonts w:asciiTheme="majorHAnsi" w:eastAsia="Cambria" w:hAnsiTheme="majorHAnsi" w:cstheme="majorHAnsi"/>
          <w:color w:val="000000" w:themeColor="text1"/>
        </w:rPr>
      </w:pPr>
      <w:r>
        <w:rPr>
          <w:rFonts w:asciiTheme="majorHAnsi" w:eastAsia="Cambria" w:hAnsiTheme="majorHAnsi" w:cstheme="majorHAnsi"/>
          <w:color w:val="000000" w:themeColor="text1"/>
        </w:rPr>
        <w:t>Asimismo, e</w:t>
      </w:r>
      <w:r w:rsidR="0039720D" w:rsidRPr="00F6780A">
        <w:rPr>
          <w:rFonts w:asciiTheme="majorHAnsi" w:eastAsia="Cambria" w:hAnsiTheme="majorHAnsi" w:cstheme="majorHAnsi"/>
          <w:color w:val="000000" w:themeColor="text1"/>
        </w:rPr>
        <w:t>n su artículo 17, indica que, en la elaboración de los pl</w:t>
      </w:r>
      <w:r w:rsidR="00A94E3A">
        <w:rPr>
          <w:rFonts w:asciiTheme="majorHAnsi" w:eastAsia="Cambria" w:hAnsiTheme="majorHAnsi" w:cstheme="majorHAnsi"/>
          <w:color w:val="000000" w:themeColor="text1"/>
        </w:rPr>
        <w:t>anes de mitigación y adaptación</w:t>
      </w:r>
      <w:r w:rsidR="0039720D" w:rsidRPr="00F6780A">
        <w:rPr>
          <w:rFonts w:asciiTheme="majorHAnsi" w:eastAsia="Cambria" w:hAnsiTheme="majorHAnsi" w:cstheme="majorHAnsi"/>
          <w:color w:val="000000" w:themeColor="text1"/>
        </w:rPr>
        <w:t xml:space="preserve">, las autoridades </w:t>
      </w:r>
      <w:r w:rsidR="00A94E3A">
        <w:rPr>
          <w:rFonts w:asciiTheme="majorHAnsi" w:eastAsia="Cambria" w:hAnsiTheme="majorHAnsi" w:cstheme="majorHAnsi"/>
          <w:color w:val="000000" w:themeColor="text1"/>
        </w:rPr>
        <w:t xml:space="preserve">deberán </w:t>
      </w:r>
      <w:r w:rsidR="0039720D" w:rsidRPr="00F6780A">
        <w:rPr>
          <w:rFonts w:asciiTheme="majorHAnsi" w:eastAsia="Cambria" w:hAnsiTheme="majorHAnsi" w:cstheme="majorHAnsi"/>
          <w:color w:val="000000" w:themeColor="text1"/>
        </w:rPr>
        <w:t>incorporar el enfoque de género y los grupos vulnerables.</w:t>
      </w:r>
    </w:p>
    <w:p w:rsidR="00F2774F" w:rsidRPr="00F6780A" w:rsidRDefault="006A6BAF" w:rsidP="00F2774F">
      <w:pPr>
        <w:tabs>
          <w:tab w:val="left" w:pos="955"/>
        </w:tabs>
        <w:spacing w:before="181" w:line="240" w:lineRule="auto"/>
        <w:jc w:val="both"/>
        <w:rPr>
          <w:rFonts w:asciiTheme="majorHAnsi" w:eastAsia="Cambria" w:hAnsiTheme="majorHAnsi" w:cstheme="majorHAnsi"/>
          <w:color w:val="000000" w:themeColor="text1"/>
        </w:rPr>
      </w:pPr>
      <w:r w:rsidRPr="00F6780A">
        <w:rPr>
          <w:rFonts w:asciiTheme="majorHAnsi" w:eastAsia="Cambria" w:hAnsiTheme="majorHAnsi" w:cstheme="majorHAnsi"/>
          <w:color w:val="000000" w:themeColor="text1"/>
        </w:rPr>
        <w:t>Por otro lado</w:t>
      </w:r>
      <w:r w:rsidR="00F2774F" w:rsidRPr="00F6780A">
        <w:rPr>
          <w:rFonts w:asciiTheme="majorHAnsi" w:eastAsia="Cambria" w:hAnsiTheme="majorHAnsi" w:cstheme="majorHAnsi"/>
          <w:color w:val="000000" w:themeColor="text1"/>
        </w:rPr>
        <w:t>, la ley contiene normas sobre la composición paritaria de los siguientes órganos: (i)</w:t>
      </w:r>
      <w:r w:rsidR="00220947" w:rsidRPr="00F6780A">
        <w:rPr>
          <w:rFonts w:asciiTheme="majorHAnsi" w:eastAsia="Cambria" w:hAnsiTheme="majorHAnsi" w:cstheme="majorHAnsi"/>
          <w:color w:val="000000" w:themeColor="text1"/>
        </w:rPr>
        <w:t xml:space="preserve"> el Consejo Nacional para la Sustentabilidad y el Cambio Climático</w:t>
      </w:r>
      <w:r w:rsidR="00F2774F" w:rsidRPr="00F6780A">
        <w:rPr>
          <w:rFonts w:asciiTheme="majorHAnsi" w:eastAsia="Cambria" w:hAnsiTheme="majorHAnsi" w:cstheme="majorHAnsi"/>
          <w:color w:val="000000" w:themeColor="text1"/>
        </w:rPr>
        <w:t xml:space="preserve">; (ii) </w:t>
      </w:r>
      <w:r w:rsidR="00220947" w:rsidRPr="00F6780A">
        <w:rPr>
          <w:rFonts w:asciiTheme="majorHAnsi" w:hAnsiTheme="majorHAnsi" w:cstheme="majorHAnsi"/>
        </w:rPr>
        <w:t>el Comité Científico Asesor para el Cambio Climático</w:t>
      </w:r>
      <w:r w:rsidR="00F2774F" w:rsidRPr="00F6780A">
        <w:rPr>
          <w:rFonts w:asciiTheme="majorHAnsi" w:hAnsiTheme="majorHAnsi" w:cstheme="majorHAnsi"/>
        </w:rPr>
        <w:t xml:space="preserve">; </w:t>
      </w:r>
      <w:r w:rsidRPr="00F6780A">
        <w:rPr>
          <w:rFonts w:asciiTheme="majorHAnsi" w:hAnsiTheme="majorHAnsi" w:cstheme="majorHAnsi"/>
        </w:rPr>
        <w:t xml:space="preserve">y </w:t>
      </w:r>
      <w:r w:rsidR="00F2774F" w:rsidRPr="00F6780A">
        <w:rPr>
          <w:rFonts w:asciiTheme="majorHAnsi" w:hAnsiTheme="majorHAnsi" w:cstheme="majorHAnsi"/>
        </w:rPr>
        <w:t>(iii) los Consejos Consultivos Regionales de Medio Ambiente.</w:t>
      </w:r>
    </w:p>
    <w:p w:rsidR="006A6BAF" w:rsidRDefault="0039720D" w:rsidP="0041457A">
      <w:pPr>
        <w:spacing w:line="240" w:lineRule="auto"/>
        <w:jc w:val="both"/>
        <w:rPr>
          <w:rFonts w:asciiTheme="majorHAnsi" w:eastAsia="Cambria" w:hAnsiTheme="majorHAnsi" w:cstheme="majorHAnsi"/>
        </w:rPr>
      </w:pPr>
      <w:r w:rsidRPr="00997135">
        <w:rPr>
          <w:rFonts w:asciiTheme="majorHAnsi" w:eastAsia="Cambria" w:hAnsiTheme="majorHAnsi" w:cstheme="majorHAnsi"/>
          <w:color w:val="000000" w:themeColor="text1"/>
        </w:rPr>
        <w:t>La</w:t>
      </w:r>
      <w:r w:rsidRPr="00997135">
        <w:rPr>
          <w:rFonts w:asciiTheme="majorHAnsi" w:eastAsia="Cambria" w:hAnsiTheme="majorHAnsi" w:cstheme="majorHAnsi"/>
          <w:b/>
          <w:bCs/>
          <w:color w:val="000000" w:themeColor="text1"/>
        </w:rPr>
        <w:t xml:space="preserve"> Estrategia Climática de Largo Plazo</w:t>
      </w:r>
      <w:r w:rsidR="0041457A">
        <w:rPr>
          <w:rFonts w:asciiTheme="majorHAnsi" w:eastAsia="Cambria" w:hAnsiTheme="majorHAnsi" w:cstheme="majorHAnsi"/>
          <w:b/>
          <w:bCs/>
          <w:color w:val="000000" w:themeColor="text1"/>
        </w:rPr>
        <w:t xml:space="preserve"> (ECLP)</w:t>
      </w:r>
      <w:r w:rsidRPr="00997135">
        <w:rPr>
          <w:rStyle w:val="Refdenotaalpie"/>
          <w:rFonts w:asciiTheme="majorHAnsi" w:eastAsia="Cambria" w:hAnsiTheme="majorHAnsi" w:cstheme="majorHAnsi"/>
          <w:b/>
          <w:bCs/>
          <w:color w:val="000000" w:themeColor="text1"/>
        </w:rPr>
        <w:footnoteReference w:id="10"/>
      </w:r>
      <w:r w:rsidRPr="00997135">
        <w:rPr>
          <w:rFonts w:asciiTheme="majorHAnsi" w:eastAsia="Cambria" w:hAnsiTheme="majorHAnsi" w:cstheme="majorHAnsi"/>
          <w:b/>
          <w:bCs/>
          <w:color w:val="000000" w:themeColor="text1"/>
        </w:rPr>
        <w:t xml:space="preserve"> </w:t>
      </w:r>
      <w:r w:rsidRPr="00997135">
        <w:rPr>
          <w:rFonts w:asciiTheme="majorHAnsi" w:eastAsia="Cambria" w:hAnsiTheme="majorHAnsi" w:cstheme="majorHAnsi"/>
        </w:rPr>
        <w:t>incluye objetivos y metas, bajo un componente específico del pilar soc</w:t>
      </w:r>
      <w:r w:rsidR="0041457A">
        <w:rPr>
          <w:rFonts w:asciiTheme="majorHAnsi" w:eastAsia="Cambria" w:hAnsiTheme="majorHAnsi" w:cstheme="majorHAnsi"/>
        </w:rPr>
        <w:t xml:space="preserve">ial, entre los cuales destaca la </w:t>
      </w:r>
      <w:r w:rsidR="0041457A" w:rsidRPr="0052177A">
        <w:rPr>
          <w:rFonts w:asciiTheme="majorHAnsi" w:eastAsia="Cambria" w:hAnsiTheme="majorHAnsi" w:cstheme="majorHAnsi"/>
        </w:rPr>
        <w:t>equidad e igualdad de g</w:t>
      </w:r>
      <w:r w:rsidRPr="0052177A">
        <w:rPr>
          <w:rFonts w:asciiTheme="majorHAnsi" w:eastAsia="Cambria" w:hAnsiTheme="majorHAnsi" w:cstheme="majorHAnsi"/>
        </w:rPr>
        <w:t>énero</w:t>
      </w:r>
      <w:r w:rsidR="0041457A" w:rsidRPr="0052177A">
        <w:rPr>
          <w:rFonts w:asciiTheme="majorHAnsi" w:eastAsia="Cambria" w:hAnsiTheme="majorHAnsi" w:cstheme="majorHAnsi"/>
        </w:rPr>
        <w:t>.</w:t>
      </w:r>
      <w:r w:rsidR="0041457A" w:rsidRPr="0041457A">
        <w:rPr>
          <w:rFonts w:asciiTheme="majorHAnsi" w:eastAsia="Cambria" w:hAnsiTheme="majorHAnsi" w:cstheme="majorHAnsi"/>
        </w:rPr>
        <w:t xml:space="preserve"> P</w:t>
      </w:r>
      <w:r w:rsidRPr="00997135">
        <w:rPr>
          <w:rFonts w:asciiTheme="majorHAnsi" w:eastAsia="Cambria" w:hAnsiTheme="majorHAnsi" w:cstheme="majorHAnsi"/>
        </w:rPr>
        <w:t xml:space="preserve">lantea como </w:t>
      </w:r>
      <w:r w:rsidRPr="00997135">
        <w:rPr>
          <w:rFonts w:asciiTheme="majorHAnsi" w:eastAsia="Cambria" w:hAnsiTheme="majorHAnsi" w:cstheme="majorHAnsi"/>
        </w:rPr>
        <w:lastRenderedPageBreak/>
        <w:t xml:space="preserve">objetivo “Reducir las brechas de género identificadas en los diferentes instrumentos de gestión del cambio climático a nivel nacional y </w:t>
      </w:r>
      <w:proofErr w:type="spellStart"/>
      <w:r w:rsidRPr="00997135">
        <w:rPr>
          <w:rFonts w:asciiTheme="majorHAnsi" w:eastAsia="Cambria" w:hAnsiTheme="majorHAnsi" w:cstheme="majorHAnsi"/>
        </w:rPr>
        <w:t>subnacional</w:t>
      </w:r>
      <w:proofErr w:type="spellEnd"/>
      <w:r w:rsidRPr="00997135">
        <w:rPr>
          <w:rFonts w:asciiTheme="majorHAnsi" w:eastAsia="Cambria" w:hAnsiTheme="majorHAnsi" w:cstheme="majorHAnsi"/>
        </w:rPr>
        <w:t>, para disminuir la vulnerabilidad de las mujeres al cambio climático y así garantizar la igualdad de las mujeres, su autonomía y la equidad de género” a través de metas para el 2030, 2040 y 2050.</w:t>
      </w:r>
      <w:r w:rsidR="00F6780A">
        <w:rPr>
          <w:rFonts w:asciiTheme="majorHAnsi" w:eastAsia="Cambria" w:hAnsiTheme="majorHAnsi" w:cstheme="majorHAnsi"/>
        </w:rPr>
        <w:t xml:space="preserve"> Entre </w:t>
      </w:r>
      <w:r w:rsidR="004539F0">
        <w:rPr>
          <w:rFonts w:asciiTheme="majorHAnsi" w:eastAsia="Cambria" w:hAnsiTheme="majorHAnsi" w:cstheme="majorHAnsi"/>
        </w:rPr>
        <w:t xml:space="preserve">estas </w:t>
      </w:r>
      <w:r w:rsidR="00F6780A">
        <w:rPr>
          <w:rFonts w:asciiTheme="majorHAnsi" w:eastAsia="Cambria" w:hAnsiTheme="majorHAnsi" w:cstheme="majorHAnsi"/>
        </w:rPr>
        <w:t>se considera que:</w:t>
      </w:r>
      <w:r w:rsidRPr="00997135">
        <w:rPr>
          <w:rFonts w:asciiTheme="majorHAnsi" w:eastAsia="Cambria" w:hAnsiTheme="majorHAnsi" w:cstheme="majorHAnsi"/>
        </w:rPr>
        <w:t xml:space="preserve"> </w:t>
      </w:r>
    </w:p>
    <w:p w:rsidR="0039720D" w:rsidRPr="00F3127B" w:rsidRDefault="0039720D" w:rsidP="00F3127B">
      <w:pPr>
        <w:pStyle w:val="Prrafodelista"/>
        <w:numPr>
          <w:ilvl w:val="0"/>
          <w:numId w:val="14"/>
        </w:numPr>
        <w:spacing w:before="0" w:after="120"/>
        <w:ind w:left="426" w:right="-7" w:hanging="357"/>
        <w:jc w:val="both"/>
        <w:rPr>
          <w:rFonts w:asciiTheme="majorHAnsi" w:eastAsia="Cambria" w:hAnsiTheme="majorHAnsi" w:cstheme="majorHAnsi"/>
        </w:rPr>
      </w:pPr>
      <w:r w:rsidRPr="00F3127B">
        <w:rPr>
          <w:rFonts w:asciiTheme="majorHAnsi" w:eastAsia="Cambria" w:hAnsiTheme="majorHAnsi" w:cstheme="majorHAnsi"/>
        </w:rPr>
        <w:t>Los sectores integrados en la ECLP elaboren análisis que permitan identificar brechas de género específicas para el diseño de los planes sectoriales de mitigación y/o</w:t>
      </w:r>
      <w:r w:rsidR="00F6780A">
        <w:rPr>
          <w:rFonts w:asciiTheme="majorHAnsi" w:eastAsia="Cambria" w:hAnsiTheme="majorHAnsi" w:cstheme="majorHAnsi"/>
        </w:rPr>
        <w:t xml:space="preserve"> adaptación al cambio climático</w:t>
      </w:r>
      <w:r w:rsidRPr="00F3127B">
        <w:rPr>
          <w:rFonts w:asciiTheme="majorHAnsi" w:eastAsia="Cambria" w:hAnsiTheme="majorHAnsi" w:cstheme="majorHAnsi"/>
        </w:rPr>
        <w:t xml:space="preserve"> (meta al 2030)</w:t>
      </w:r>
      <w:r w:rsidR="00F6780A">
        <w:rPr>
          <w:rFonts w:asciiTheme="majorHAnsi" w:eastAsia="Cambria" w:hAnsiTheme="majorHAnsi" w:cstheme="majorHAnsi"/>
        </w:rPr>
        <w:t>.</w:t>
      </w:r>
    </w:p>
    <w:p w:rsidR="0039720D" w:rsidRPr="00F3127B" w:rsidRDefault="0039720D" w:rsidP="00F3127B">
      <w:pPr>
        <w:pStyle w:val="Prrafodelista"/>
        <w:numPr>
          <w:ilvl w:val="0"/>
          <w:numId w:val="14"/>
        </w:numPr>
        <w:spacing w:before="0" w:after="120"/>
        <w:ind w:left="426" w:right="-7" w:hanging="357"/>
        <w:jc w:val="both"/>
        <w:rPr>
          <w:rFonts w:asciiTheme="majorHAnsi" w:eastAsia="Cambria" w:hAnsiTheme="majorHAnsi" w:cstheme="majorHAnsi"/>
        </w:rPr>
      </w:pPr>
      <w:r w:rsidRPr="00F3127B">
        <w:rPr>
          <w:rFonts w:asciiTheme="majorHAnsi" w:eastAsia="Cambria" w:hAnsiTheme="majorHAnsi" w:cstheme="majorHAnsi"/>
        </w:rPr>
        <w:t>Los Planes de Acción Regionales de Cambio Climático (PARCC) integren un análisis que identifique brechas de género específicas, que sean consideradas en el diseño de medidas de mitigación y/o adaptación (meta al 2030 y 2040)</w:t>
      </w:r>
      <w:r w:rsidR="00F6780A">
        <w:rPr>
          <w:rFonts w:asciiTheme="majorHAnsi" w:eastAsia="Cambria" w:hAnsiTheme="majorHAnsi" w:cstheme="majorHAnsi"/>
        </w:rPr>
        <w:t>.</w:t>
      </w:r>
    </w:p>
    <w:p w:rsidR="0039720D" w:rsidRPr="00F3127B" w:rsidRDefault="0039720D" w:rsidP="00F3127B">
      <w:pPr>
        <w:pStyle w:val="Prrafodelista"/>
        <w:numPr>
          <w:ilvl w:val="0"/>
          <w:numId w:val="14"/>
        </w:numPr>
        <w:spacing w:before="0" w:after="120"/>
        <w:ind w:left="426" w:right="-7" w:hanging="357"/>
        <w:jc w:val="both"/>
        <w:rPr>
          <w:rFonts w:asciiTheme="majorHAnsi" w:eastAsia="Cambria" w:hAnsiTheme="majorHAnsi" w:cstheme="majorHAnsi"/>
        </w:rPr>
      </w:pPr>
      <w:r w:rsidRPr="00F3127B">
        <w:rPr>
          <w:rFonts w:asciiTheme="majorHAnsi" w:eastAsia="Cambria" w:hAnsiTheme="majorHAnsi" w:cstheme="majorHAnsi"/>
        </w:rPr>
        <w:t>Exista una participación equitativa de mujeres y hombres en todas las instancias institucionales y de gobernanza nacionales, y regional y comunal relacionadas a la gestión del cambio climático (meta al 2030)</w:t>
      </w:r>
      <w:r w:rsidR="00F6780A">
        <w:rPr>
          <w:rFonts w:asciiTheme="majorHAnsi" w:eastAsia="Cambria" w:hAnsiTheme="majorHAnsi" w:cstheme="majorHAnsi"/>
        </w:rPr>
        <w:t>.</w:t>
      </w:r>
    </w:p>
    <w:p w:rsidR="0041457A" w:rsidRPr="00F3127B" w:rsidRDefault="0039720D" w:rsidP="00F3127B">
      <w:pPr>
        <w:pStyle w:val="Prrafodelista"/>
        <w:numPr>
          <w:ilvl w:val="0"/>
          <w:numId w:val="14"/>
        </w:numPr>
        <w:spacing w:before="0" w:after="120"/>
        <w:ind w:left="426" w:right="-7" w:hanging="357"/>
        <w:jc w:val="both"/>
        <w:rPr>
          <w:rFonts w:asciiTheme="majorHAnsi" w:eastAsia="Cambria" w:hAnsiTheme="majorHAnsi" w:cstheme="majorHAnsi"/>
        </w:rPr>
      </w:pPr>
      <w:r w:rsidRPr="00F3127B">
        <w:rPr>
          <w:rFonts w:asciiTheme="majorHAnsi" w:eastAsia="Cambria" w:hAnsiTheme="majorHAnsi" w:cstheme="majorHAnsi"/>
        </w:rPr>
        <w:t>Se sistematicen las experiencias por región sobre la incorporación del enfoque de género en acciones para enfrentar el</w:t>
      </w:r>
      <w:r w:rsidR="00F6780A">
        <w:rPr>
          <w:rFonts w:asciiTheme="majorHAnsi" w:eastAsia="Cambria" w:hAnsiTheme="majorHAnsi" w:cstheme="majorHAnsi"/>
        </w:rPr>
        <w:t xml:space="preserve"> cambio climático (meta 2040).</w:t>
      </w:r>
    </w:p>
    <w:p w:rsidR="0039720D" w:rsidRPr="00F3127B" w:rsidRDefault="0039720D" w:rsidP="00F3127B">
      <w:pPr>
        <w:pStyle w:val="Prrafodelista"/>
        <w:numPr>
          <w:ilvl w:val="0"/>
          <w:numId w:val="14"/>
        </w:numPr>
        <w:spacing w:after="160"/>
        <w:ind w:left="426" w:right="-7"/>
        <w:contextualSpacing/>
        <w:jc w:val="both"/>
        <w:rPr>
          <w:rFonts w:asciiTheme="majorHAnsi" w:eastAsia="Cambria" w:hAnsiTheme="majorHAnsi" w:cstheme="majorHAnsi"/>
        </w:rPr>
      </w:pPr>
      <w:r w:rsidRPr="00F3127B">
        <w:rPr>
          <w:rFonts w:asciiTheme="majorHAnsi" w:eastAsia="Cambria" w:hAnsiTheme="majorHAnsi" w:cstheme="majorHAnsi"/>
        </w:rPr>
        <w:t xml:space="preserve">Todos los instrumentos de gestión del cambio climático a nivel nacional y </w:t>
      </w:r>
      <w:proofErr w:type="spellStart"/>
      <w:r w:rsidRPr="00F3127B">
        <w:rPr>
          <w:rFonts w:asciiTheme="majorHAnsi" w:eastAsia="Cambria" w:hAnsiTheme="majorHAnsi" w:cstheme="majorHAnsi"/>
        </w:rPr>
        <w:t>subnacional</w:t>
      </w:r>
      <w:proofErr w:type="spellEnd"/>
      <w:r w:rsidRPr="00F3127B">
        <w:rPr>
          <w:rFonts w:asciiTheme="majorHAnsi" w:eastAsia="Cambria" w:hAnsiTheme="majorHAnsi" w:cstheme="majorHAnsi"/>
        </w:rPr>
        <w:t xml:space="preserve"> integren acciones género responsivas y/o transformadoras (Meta 2040).</w:t>
      </w:r>
    </w:p>
    <w:p w:rsidR="0039720D" w:rsidRPr="00997135" w:rsidRDefault="0039720D" w:rsidP="00997135">
      <w:pPr>
        <w:spacing w:line="240" w:lineRule="auto"/>
        <w:jc w:val="both"/>
        <w:rPr>
          <w:rFonts w:asciiTheme="majorHAnsi" w:eastAsia="Cambria" w:hAnsiTheme="majorHAnsi" w:cstheme="majorHAnsi"/>
          <w:b/>
          <w:bCs/>
          <w:color w:val="000000" w:themeColor="text1"/>
        </w:rPr>
      </w:pPr>
      <w:r w:rsidRPr="00997135">
        <w:rPr>
          <w:rFonts w:asciiTheme="majorHAnsi" w:eastAsia="Cambria" w:hAnsiTheme="majorHAnsi" w:cstheme="majorHAnsi"/>
          <w:color w:val="000000" w:themeColor="text1"/>
        </w:rPr>
        <w:t xml:space="preserve">La </w:t>
      </w:r>
      <w:r w:rsidRPr="00997135">
        <w:rPr>
          <w:rFonts w:asciiTheme="majorHAnsi" w:eastAsia="Cambria" w:hAnsiTheme="majorHAnsi" w:cstheme="majorHAnsi"/>
          <w:b/>
          <w:bCs/>
          <w:color w:val="000000" w:themeColor="text1"/>
        </w:rPr>
        <w:t xml:space="preserve">Contribución Determinada a Nivel Nacional de Chile </w:t>
      </w:r>
      <w:r w:rsidRPr="00997135">
        <w:rPr>
          <w:rFonts w:asciiTheme="majorHAnsi" w:eastAsia="Cambria" w:hAnsiTheme="majorHAnsi" w:cstheme="majorHAnsi"/>
          <w:color w:val="000000" w:themeColor="text1"/>
        </w:rPr>
        <w:t>ante el Acuerdo de París, integra lo</w:t>
      </w:r>
      <w:r w:rsidR="00A94E3A">
        <w:rPr>
          <w:rFonts w:asciiTheme="majorHAnsi" w:eastAsia="Cambria" w:hAnsiTheme="majorHAnsi" w:cstheme="majorHAnsi"/>
          <w:color w:val="000000" w:themeColor="text1"/>
        </w:rPr>
        <w:t>s</w:t>
      </w:r>
      <w:r w:rsidRPr="00997135">
        <w:rPr>
          <w:rFonts w:asciiTheme="majorHAnsi" w:eastAsia="Cambria" w:hAnsiTheme="majorHAnsi" w:cstheme="majorHAnsi"/>
          <w:color w:val="000000" w:themeColor="text1"/>
        </w:rPr>
        <w:t xml:space="preserve"> siguiente</w:t>
      </w:r>
      <w:r w:rsidR="00A94E3A">
        <w:rPr>
          <w:rFonts w:asciiTheme="majorHAnsi" w:eastAsia="Cambria" w:hAnsiTheme="majorHAnsi" w:cstheme="majorHAnsi"/>
          <w:color w:val="000000" w:themeColor="text1"/>
        </w:rPr>
        <w:t>s elementos</w:t>
      </w:r>
      <w:r w:rsidRPr="00997135">
        <w:rPr>
          <w:rFonts w:asciiTheme="majorHAnsi" w:eastAsia="Cambria" w:hAnsiTheme="majorHAnsi" w:cstheme="majorHAnsi"/>
          <w:color w:val="000000" w:themeColor="text1"/>
        </w:rPr>
        <w:t>:</w:t>
      </w:r>
    </w:p>
    <w:p w:rsidR="0039720D" w:rsidRPr="00997135" w:rsidRDefault="0039720D" w:rsidP="00F3127B">
      <w:pPr>
        <w:pStyle w:val="Prrafodelista"/>
        <w:widowControl/>
        <w:numPr>
          <w:ilvl w:val="0"/>
          <w:numId w:val="13"/>
        </w:numPr>
        <w:spacing w:before="0" w:after="120"/>
        <w:ind w:left="426" w:right="0" w:hanging="357"/>
        <w:jc w:val="both"/>
        <w:rPr>
          <w:rFonts w:asciiTheme="majorHAnsi" w:eastAsia="Cambria" w:hAnsiTheme="majorHAnsi" w:cstheme="majorHAnsi"/>
          <w:color w:val="000000" w:themeColor="text1"/>
        </w:rPr>
      </w:pPr>
      <w:r w:rsidRPr="00997135">
        <w:rPr>
          <w:rFonts w:asciiTheme="majorHAnsi" w:eastAsia="Cambria" w:hAnsiTheme="majorHAnsi" w:cstheme="majorHAnsi"/>
          <w:color w:val="000000" w:themeColor="text1"/>
        </w:rPr>
        <w:t xml:space="preserve">Un criterio de “Equidad e igualdad de género” en el pilar social de transición justa y desarrollo sostenible, con el cual se espera que el diseño y la implementación de la NDC considere una justa asignación de cargas, costos y beneficios, con enfoque de género y especial énfasis en sectores, territorios, comunidades y ecosistemas vulnerables al cambio climático. </w:t>
      </w:r>
    </w:p>
    <w:p w:rsidR="0039720D" w:rsidRPr="00997135" w:rsidRDefault="0039720D" w:rsidP="00F3127B">
      <w:pPr>
        <w:pStyle w:val="Prrafodelista"/>
        <w:widowControl/>
        <w:numPr>
          <w:ilvl w:val="0"/>
          <w:numId w:val="13"/>
        </w:numPr>
        <w:spacing w:before="0" w:after="120"/>
        <w:ind w:left="426" w:right="0" w:hanging="357"/>
        <w:jc w:val="both"/>
        <w:rPr>
          <w:rFonts w:asciiTheme="majorHAnsi" w:eastAsia="Cambria" w:hAnsiTheme="majorHAnsi" w:cstheme="majorHAnsi"/>
          <w:color w:val="000000" w:themeColor="text1"/>
        </w:rPr>
      </w:pPr>
      <w:r w:rsidRPr="00997135">
        <w:rPr>
          <w:rFonts w:asciiTheme="majorHAnsi" w:eastAsia="Cambria" w:hAnsiTheme="majorHAnsi" w:cstheme="majorHAnsi"/>
          <w:color w:val="000000" w:themeColor="text1"/>
        </w:rPr>
        <w:t xml:space="preserve">Una contribución específica del pilar de adaptación, de profundizar y actualizar los estudios y análisis existentes de vulnerabilidad y riesgos del país, considerando el enfoque de género, para abordar las amenazas, los que deberán ser considerados como insumos bases para el </w:t>
      </w:r>
      <w:r w:rsidR="002C5A11">
        <w:rPr>
          <w:rFonts w:asciiTheme="majorHAnsi" w:eastAsia="Cambria" w:hAnsiTheme="majorHAnsi" w:cstheme="majorHAnsi"/>
          <w:color w:val="000000" w:themeColor="text1"/>
        </w:rPr>
        <w:t>diseño de medidas de adaptación</w:t>
      </w:r>
      <w:r w:rsidRPr="00997135">
        <w:rPr>
          <w:rFonts w:asciiTheme="majorHAnsi" w:eastAsia="Cambria" w:hAnsiTheme="majorHAnsi" w:cstheme="majorHAnsi"/>
          <w:color w:val="000000" w:themeColor="text1"/>
        </w:rPr>
        <w:t>.</w:t>
      </w:r>
    </w:p>
    <w:p w:rsidR="0039720D" w:rsidRPr="00997135" w:rsidRDefault="0039720D" w:rsidP="00F3127B">
      <w:pPr>
        <w:pStyle w:val="Prrafodelista"/>
        <w:widowControl/>
        <w:numPr>
          <w:ilvl w:val="0"/>
          <w:numId w:val="13"/>
        </w:numPr>
        <w:spacing w:before="0" w:after="120"/>
        <w:ind w:left="426" w:right="0" w:hanging="357"/>
        <w:jc w:val="both"/>
        <w:rPr>
          <w:rFonts w:asciiTheme="majorHAnsi" w:eastAsia="Cambria" w:hAnsiTheme="majorHAnsi" w:cstheme="majorHAnsi"/>
          <w:color w:val="000000" w:themeColor="text1"/>
        </w:rPr>
      </w:pPr>
      <w:r w:rsidRPr="00997135">
        <w:rPr>
          <w:rFonts w:asciiTheme="majorHAnsi" w:eastAsia="Cambria" w:hAnsiTheme="majorHAnsi" w:cstheme="majorHAnsi"/>
          <w:color w:val="000000" w:themeColor="text1"/>
        </w:rPr>
        <w:t xml:space="preserve">En el sector uso de la tierra, cambio de uso de la tierra y silvicultura (UTCUTS), se establece que las metas propuestas consideraran la integración del enfoque de género, permitiendo el desarrollo de iniciativas más transparentes, inclusivas y dirigidas a disminuir y/o a erradicar las brechas de género existentes. Se reconoce el rol de las mujeres como agentes de cambio, capaces de hacer contribuciones significativas a la acción climática. </w:t>
      </w:r>
    </w:p>
    <w:p w:rsidR="0039720D" w:rsidRPr="00997135" w:rsidRDefault="0039720D" w:rsidP="00F3127B">
      <w:pPr>
        <w:pStyle w:val="Prrafodelista"/>
        <w:widowControl/>
        <w:numPr>
          <w:ilvl w:val="0"/>
          <w:numId w:val="13"/>
        </w:numPr>
        <w:spacing w:before="0" w:after="120"/>
        <w:ind w:left="426" w:right="0" w:hanging="357"/>
        <w:jc w:val="both"/>
        <w:rPr>
          <w:rFonts w:asciiTheme="majorHAnsi" w:eastAsia="Cambria" w:hAnsiTheme="majorHAnsi" w:cstheme="majorHAnsi"/>
          <w:color w:val="000000" w:themeColor="text1"/>
        </w:rPr>
      </w:pPr>
      <w:r w:rsidRPr="00997135">
        <w:rPr>
          <w:rFonts w:asciiTheme="majorHAnsi" w:eastAsia="Cambria" w:hAnsiTheme="majorHAnsi" w:cstheme="majorHAnsi"/>
          <w:color w:val="000000" w:themeColor="text1"/>
        </w:rPr>
        <w:t>Se plantea trabajar en la Integración de enfoque de género en todas las políticas, programas, planes y acciones de cambio climático, a través de la Estrategia de Desarrollo de Capacidades y Empoderamiento Climático”, incluida en los medios de implementación.</w:t>
      </w:r>
    </w:p>
    <w:p w:rsidR="0039720D" w:rsidRPr="00997135" w:rsidRDefault="0039720D" w:rsidP="00997135">
      <w:pPr>
        <w:pStyle w:val="Default"/>
        <w:spacing w:after="6"/>
        <w:jc w:val="both"/>
        <w:rPr>
          <w:rFonts w:asciiTheme="majorHAnsi" w:hAnsiTheme="majorHAnsi" w:cstheme="majorHAnsi"/>
          <w:sz w:val="22"/>
          <w:szCs w:val="22"/>
        </w:rPr>
      </w:pPr>
      <w:r w:rsidRPr="00997135">
        <w:rPr>
          <w:rFonts w:asciiTheme="majorHAnsi" w:hAnsiTheme="majorHAnsi" w:cstheme="majorHAnsi"/>
          <w:sz w:val="22"/>
          <w:szCs w:val="22"/>
        </w:rPr>
        <w:t xml:space="preserve">Finalmente, es importante destacar la </w:t>
      </w:r>
      <w:r w:rsidRPr="00997135">
        <w:rPr>
          <w:rFonts w:asciiTheme="majorHAnsi" w:hAnsiTheme="majorHAnsi" w:cstheme="majorHAnsi"/>
          <w:b/>
          <w:bCs/>
          <w:sz w:val="22"/>
          <w:szCs w:val="22"/>
        </w:rPr>
        <w:t xml:space="preserve">Adhesión de Chile al </w:t>
      </w:r>
      <w:r w:rsidRPr="00997135">
        <w:rPr>
          <w:rFonts w:asciiTheme="majorHAnsi" w:eastAsia="Calibri" w:hAnsiTheme="majorHAnsi" w:cstheme="majorHAnsi"/>
          <w:b/>
          <w:bCs/>
          <w:color w:val="333333"/>
          <w:sz w:val="22"/>
          <w:szCs w:val="22"/>
          <w:highlight w:val="white"/>
        </w:rPr>
        <w:t>Acuerdo Regional sobre el Acceso a la Información, la Participación Pública y el Acceso a la Justicia en Asuntos Ambientales en América Latina y el Caribe, conocido como el “</w:t>
      </w:r>
      <w:hyperlink r:id="rId8" w:history="1">
        <w:r w:rsidRPr="00997135">
          <w:rPr>
            <w:rFonts w:asciiTheme="majorHAnsi" w:eastAsia="Calibri" w:hAnsiTheme="majorHAnsi" w:cstheme="majorHAnsi"/>
            <w:b/>
            <w:bCs/>
            <w:sz w:val="22"/>
            <w:szCs w:val="22"/>
            <w:highlight w:val="white"/>
          </w:rPr>
          <w:t>Acuerdo de Escazú</w:t>
        </w:r>
      </w:hyperlink>
      <w:r w:rsidRPr="00997135">
        <w:rPr>
          <w:rFonts w:asciiTheme="majorHAnsi" w:eastAsia="Calibri" w:hAnsiTheme="majorHAnsi" w:cstheme="majorHAnsi"/>
          <w:b/>
          <w:bCs/>
          <w:color w:val="333333"/>
          <w:sz w:val="22"/>
          <w:szCs w:val="22"/>
          <w:highlight w:val="white"/>
        </w:rPr>
        <w:t>”</w:t>
      </w:r>
      <w:r w:rsidR="0052177A">
        <w:rPr>
          <w:rFonts w:asciiTheme="majorHAnsi" w:eastAsia="Calibri" w:hAnsiTheme="majorHAnsi" w:cstheme="majorHAnsi"/>
          <w:color w:val="333333"/>
          <w:sz w:val="22"/>
          <w:szCs w:val="22"/>
          <w:highlight w:val="white"/>
        </w:rPr>
        <w:t>.</w:t>
      </w:r>
    </w:p>
    <w:p w:rsidR="0039720D" w:rsidRPr="00997135" w:rsidRDefault="0039720D" w:rsidP="00997135">
      <w:pPr>
        <w:spacing w:line="240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FE65FE" w:rsidRDefault="00FE65FE" w:rsidP="00997135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8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Pregunta N° 5: </w:t>
      </w:r>
    </w:p>
    <w:p w:rsidR="0039720D" w:rsidRPr="00997135" w:rsidRDefault="0039720D" w:rsidP="00997135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80" w:line="240" w:lineRule="auto"/>
        <w:jc w:val="both"/>
        <w:rPr>
          <w:rFonts w:asciiTheme="majorHAnsi" w:hAnsiTheme="majorHAnsi" w:cstheme="majorHAnsi"/>
        </w:rPr>
      </w:pPr>
      <w:r w:rsidRPr="00997135">
        <w:rPr>
          <w:rFonts w:asciiTheme="majorHAnsi" w:hAnsiTheme="majorHAnsi" w:cstheme="majorHAnsi"/>
        </w:rPr>
        <w:t>No se dispone de información sistematizada</w:t>
      </w:r>
      <w:r w:rsidR="0052177A">
        <w:rPr>
          <w:rFonts w:asciiTheme="majorHAnsi" w:hAnsiTheme="majorHAnsi" w:cstheme="majorHAnsi"/>
        </w:rPr>
        <w:t>.</w:t>
      </w:r>
      <w:r w:rsidRPr="00997135">
        <w:rPr>
          <w:rFonts w:asciiTheme="majorHAnsi" w:hAnsiTheme="majorHAnsi" w:cstheme="majorHAnsi"/>
        </w:rPr>
        <w:t xml:space="preserve"> </w:t>
      </w:r>
    </w:p>
    <w:p w:rsidR="0039720D" w:rsidRPr="00997135" w:rsidRDefault="00FE65FE" w:rsidP="00997135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8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 xml:space="preserve">Pregunta N° 6: </w:t>
      </w:r>
    </w:p>
    <w:p w:rsidR="00A94E3A" w:rsidRDefault="008021C7" w:rsidP="00751CF2">
      <w:pPr>
        <w:tabs>
          <w:tab w:val="left" w:pos="955"/>
        </w:tabs>
        <w:spacing w:before="18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Chile aún existe</w:t>
      </w:r>
      <w:r w:rsidR="0039720D" w:rsidRPr="00997135">
        <w:rPr>
          <w:rFonts w:asciiTheme="majorHAnsi" w:hAnsiTheme="majorHAnsi" w:cstheme="majorHAnsi"/>
        </w:rPr>
        <w:t xml:space="preserve"> una gran cantidad de barreras para el ejercicio pleno de los derechos de mujeres, niñas y personas de sexo-genéricas diversas. </w:t>
      </w:r>
    </w:p>
    <w:p w:rsidR="00751CF2" w:rsidRDefault="00F3127B" w:rsidP="00751CF2">
      <w:pPr>
        <w:tabs>
          <w:tab w:val="left" w:pos="955"/>
        </w:tabs>
        <w:spacing w:before="18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9720D" w:rsidRPr="00997135">
        <w:rPr>
          <w:rFonts w:asciiTheme="majorHAnsi" w:hAnsiTheme="majorHAnsi" w:cstheme="majorHAnsi"/>
        </w:rPr>
        <w:t xml:space="preserve">ara el actual Gobierno, las políticas que promueven la igualdad y diversidad de género, son una </w:t>
      </w:r>
      <w:r w:rsidR="0052177A">
        <w:rPr>
          <w:rFonts w:asciiTheme="majorHAnsi" w:hAnsiTheme="majorHAnsi" w:cstheme="majorHAnsi"/>
        </w:rPr>
        <w:t xml:space="preserve">obligación de Estado y </w:t>
      </w:r>
      <w:r w:rsidR="0039720D" w:rsidRPr="00997135">
        <w:rPr>
          <w:rFonts w:asciiTheme="majorHAnsi" w:hAnsiTheme="majorHAnsi" w:cstheme="majorHAnsi"/>
        </w:rPr>
        <w:t xml:space="preserve">una herramienta fundamental para lograr </w:t>
      </w:r>
      <w:r w:rsidR="0052177A">
        <w:rPr>
          <w:rFonts w:asciiTheme="majorHAnsi" w:hAnsiTheme="majorHAnsi" w:cstheme="majorHAnsi"/>
        </w:rPr>
        <w:t xml:space="preserve">las transformaciones </w:t>
      </w:r>
      <w:r w:rsidR="0039720D" w:rsidRPr="00997135">
        <w:rPr>
          <w:rFonts w:asciiTheme="majorHAnsi" w:hAnsiTheme="majorHAnsi" w:cstheme="majorHAnsi"/>
        </w:rPr>
        <w:t>que permitan atender los problemas que afectan a las mujeres y mejorar sus condiciones de vida</w:t>
      </w:r>
      <w:r w:rsidR="001038F3">
        <w:rPr>
          <w:rFonts w:asciiTheme="majorHAnsi" w:hAnsiTheme="majorHAnsi" w:cstheme="majorHAnsi"/>
        </w:rPr>
        <w:t>.</w:t>
      </w:r>
      <w:r w:rsidR="00751CF2">
        <w:rPr>
          <w:rFonts w:asciiTheme="majorHAnsi" w:hAnsiTheme="majorHAnsi" w:cstheme="majorHAnsi"/>
        </w:rPr>
        <w:t xml:space="preserve"> </w:t>
      </w:r>
      <w:r w:rsidR="0039720D" w:rsidRPr="00997135">
        <w:rPr>
          <w:rFonts w:asciiTheme="majorHAnsi" w:hAnsiTheme="majorHAnsi" w:cstheme="majorHAnsi"/>
        </w:rPr>
        <w:t xml:space="preserve">En esa línea, </w:t>
      </w:r>
      <w:r w:rsidR="001038F3">
        <w:rPr>
          <w:rFonts w:asciiTheme="majorHAnsi" w:hAnsiTheme="majorHAnsi" w:cstheme="majorHAnsi"/>
        </w:rPr>
        <w:t xml:space="preserve">en </w:t>
      </w:r>
      <w:r w:rsidR="0039720D" w:rsidRPr="00997135">
        <w:rPr>
          <w:rFonts w:asciiTheme="majorHAnsi" w:hAnsiTheme="majorHAnsi" w:cstheme="majorHAnsi"/>
        </w:rPr>
        <w:t xml:space="preserve">la </w:t>
      </w:r>
      <w:r w:rsidR="0039720D" w:rsidRPr="001038F3">
        <w:rPr>
          <w:rFonts w:asciiTheme="majorHAnsi" w:hAnsiTheme="majorHAnsi" w:cstheme="majorHAnsi"/>
          <w:b/>
        </w:rPr>
        <w:t xml:space="preserve">Agenda de Género (2022-2026) </w:t>
      </w:r>
      <w:r w:rsidR="001038F3">
        <w:rPr>
          <w:rFonts w:asciiTheme="majorHAnsi" w:hAnsiTheme="majorHAnsi" w:cstheme="majorHAnsi"/>
        </w:rPr>
        <w:t xml:space="preserve">comprende </w:t>
      </w:r>
      <w:r w:rsidR="00751CF2">
        <w:rPr>
          <w:rFonts w:asciiTheme="majorHAnsi" w:hAnsiTheme="majorHAnsi" w:cstheme="majorHAnsi"/>
        </w:rPr>
        <w:t>un conjunto de medidas orientadas hacia la</w:t>
      </w:r>
      <w:r w:rsidR="00751CF2" w:rsidRPr="00751CF2">
        <w:rPr>
          <w:rFonts w:asciiTheme="majorHAnsi" w:hAnsiTheme="majorHAnsi" w:cstheme="majorHAnsi"/>
        </w:rPr>
        <w:t xml:space="preserve"> </w:t>
      </w:r>
      <w:proofErr w:type="spellStart"/>
      <w:r w:rsidR="00751CF2" w:rsidRPr="00751CF2">
        <w:rPr>
          <w:rFonts w:asciiTheme="majorHAnsi" w:hAnsiTheme="majorHAnsi" w:cstheme="majorHAnsi"/>
        </w:rPr>
        <w:t>transvers</w:t>
      </w:r>
      <w:r w:rsidR="00751CF2">
        <w:rPr>
          <w:rFonts w:asciiTheme="majorHAnsi" w:hAnsiTheme="majorHAnsi" w:cstheme="majorHAnsi"/>
        </w:rPr>
        <w:t>alización</w:t>
      </w:r>
      <w:proofErr w:type="spellEnd"/>
      <w:r w:rsidR="00751CF2">
        <w:rPr>
          <w:rFonts w:asciiTheme="majorHAnsi" w:hAnsiTheme="majorHAnsi" w:cstheme="majorHAnsi"/>
        </w:rPr>
        <w:t xml:space="preserve"> del enfoque de género. </w:t>
      </w:r>
    </w:p>
    <w:p w:rsidR="0039720D" w:rsidRPr="00997135" w:rsidRDefault="008021C7" w:rsidP="00997135">
      <w:pPr>
        <w:tabs>
          <w:tab w:val="left" w:pos="955"/>
        </w:tabs>
        <w:spacing w:before="181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Pregunta N° 7: </w:t>
      </w:r>
    </w:p>
    <w:p w:rsidR="00A94E3A" w:rsidRDefault="00A94E3A" w:rsidP="00A94E3A">
      <w:pPr>
        <w:tabs>
          <w:tab w:val="left" w:pos="1546"/>
        </w:tabs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</w:t>
      </w:r>
      <w:r w:rsidRPr="00B513C2">
        <w:rPr>
          <w:rFonts w:asciiTheme="majorHAnsi" w:hAnsiTheme="majorHAnsi" w:cstheme="majorHAnsi"/>
          <w:color w:val="000000" w:themeColor="text1"/>
        </w:rPr>
        <w:t xml:space="preserve">l </w:t>
      </w:r>
      <w:r w:rsidRPr="00B513C2">
        <w:rPr>
          <w:rFonts w:asciiTheme="majorHAnsi" w:hAnsiTheme="majorHAnsi" w:cstheme="majorHAnsi"/>
          <w:bCs/>
          <w:color w:val="000000" w:themeColor="text1"/>
        </w:rPr>
        <w:t>indicador de género del Programa de Mejoramiento de la Gestión (PMG)</w:t>
      </w:r>
      <w:r w:rsidRPr="00B513C2">
        <w:rPr>
          <w:rFonts w:asciiTheme="majorHAnsi" w:hAnsiTheme="majorHAnsi" w:cstheme="majorHAnsi"/>
          <w:color w:val="000000" w:themeColor="text1"/>
        </w:rPr>
        <w:t xml:space="preserve"> tiene por objetivo que el enfoque de género sea incorporado en la provisión de los servicios y/o productos estratégicos</w:t>
      </w:r>
      <w:r w:rsidRPr="00997135">
        <w:rPr>
          <w:rFonts w:asciiTheme="majorHAnsi" w:hAnsiTheme="majorHAnsi" w:cstheme="majorHAnsi"/>
          <w:color w:val="000000" w:themeColor="text1"/>
        </w:rPr>
        <w:t xml:space="preserve"> y los sistemas de información de los servicios públicos, a fin de que identifiquen necesidades y otorguen respuestas diferenciadas para hombres y mujeres.</w:t>
      </w:r>
    </w:p>
    <w:p w:rsidR="0039720D" w:rsidRPr="00B513C2" w:rsidRDefault="00A94E3A" w:rsidP="00997135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8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39720D" w:rsidRPr="00997135">
        <w:rPr>
          <w:rFonts w:asciiTheme="majorHAnsi" w:hAnsiTheme="majorHAnsi" w:cstheme="majorHAnsi"/>
        </w:rPr>
        <w:t>os fondos a nivel mundial, como el Fondo Verde del Clima, Fondo Global de Adaptación, Fondo Mundial de Medio Ambiente</w:t>
      </w:r>
      <w:r>
        <w:rPr>
          <w:rFonts w:asciiTheme="majorHAnsi" w:hAnsiTheme="majorHAnsi" w:cstheme="majorHAnsi"/>
        </w:rPr>
        <w:t>,</w:t>
      </w:r>
      <w:r w:rsidR="003C1D8D">
        <w:rPr>
          <w:rFonts w:asciiTheme="majorHAnsi" w:hAnsiTheme="majorHAnsi" w:cstheme="majorHAnsi"/>
        </w:rPr>
        <w:t xml:space="preserve"> considera </w:t>
      </w:r>
      <w:r w:rsidR="0039720D" w:rsidRPr="00997135">
        <w:rPr>
          <w:rFonts w:asciiTheme="majorHAnsi" w:hAnsiTheme="majorHAnsi" w:cstheme="majorHAnsi"/>
        </w:rPr>
        <w:t>como parte de sus requisitos que los proyectos integren una perspectiva de género, lo que no siempre se traduce en presupuesto específico. Sería ideal que</w:t>
      </w:r>
      <w:r>
        <w:rPr>
          <w:rFonts w:asciiTheme="majorHAnsi" w:hAnsiTheme="majorHAnsi" w:cstheme="majorHAnsi"/>
        </w:rPr>
        <w:t>,</w:t>
      </w:r>
      <w:r w:rsidR="0039720D" w:rsidRPr="00997135">
        <w:rPr>
          <w:rFonts w:asciiTheme="majorHAnsi" w:hAnsiTheme="majorHAnsi" w:cstheme="majorHAnsi"/>
        </w:rPr>
        <w:t xml:space="preserve"> junto con e</w:t>
      </w:r>
      <w:r>
        <w:rPr>
          <w:rFonts w:asciiTheme="majorHAnsi" w:hAnsiTheme="majorHAnsi" w:cstheme="majorHAnsi"/>
        </w:rPr>
        <w:t>ste</w:t>
      </w:r>
      <w:r w:rsidR="0039720D" w:rsidRPr="00997135">
        <w:rPr>
          <w:rFonts w:asciiTheme="majorHAnsi" w:hAnsiTheme="majorHAnsi" w:cstheme="majorHAnsi"/>
        </w:rPr>
        <w:t xml:space="preserve"> requisito</w:t>
      </w:r>
      <w:r>
        <w:rPr>
          <w:rFonts w:asciiTheme="majorHAnsi" w:hAnsiTheme="majorHAnsi" w:cstheme="majorHAnsi"/>
        </w:rPr>
        <w:t>,</w:t>
      </w:r>
      <w:r w:rsidR="0039720D" w:rsidRPr="00997135">
        <w:rPr>
          <w:rFonts w:asciiTheme="majorHAnsi" w:hAnsiTheme="majorHAnsi" w:cstheme="majorHAnsi"/>
        </w:rPr>
        <w:t xml:space="preserve"> se establezca un % mínimo </w:t>
      </w:r>
      <w:r w:rsidR="0039720D" w:rsidRPr="00B513C2">
        <w:rPr>
          <w:rFonts w:asciiTheme="majorHAnsi" w:hAnsiTheme="majorHAnsi" w:cstheme="majorHAnsi"/>
        </w:rPr>
        <w:t>del presupuesto para abordar acciones género responsivas.</w:t>
      </w:r>
    </w:p>
    <w:p w:rsidR="0039720D" w:rsidRPr="00997135" w:rsidRDefault="008021C7" w:rsidP="008021C7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82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Pregunta N° 8: </w:t>
      </w:r>
    </w:p>
    <w:p w:rsidR="00C4589B" w:rsidRPr="00C4589B" w:rsidRDefault="00C4589B" w:rsidP="00997135">
      <w:pPr>
        <w:spacing w:line="240" w:lineRule="auto"/>
        <w:jc w:val="both"/>
        <w:textAlignment w:val="baseline"/>
        <w:rPr>
          <w:rFonts w:asciiTheme="majorHAnsi" w:hAnsiTheme="majorHAnsi" w:cstheme="majorHAnsi"/>
          <w:b/>
          <w:lang w:eastAsia="es-CL"/>
        </w:rPr>
      </w:pPr>
      <w:r w:rsidRPr="00C4589B">
        <w:rPr>
          <w:rFonts w:asciiTheme="majorHAnsi" w:hAnsiTheme="majorHAnsi" w:cstheme="majorHAnsi"/>
          <w:b/>
          <w:lang w:eastAsia="es-CL"/>
        </w:rPr>
        <w:t>Plan de Acción Nacional de Derechos Humanos y Empresas</w:t>
      </w:r>
    </w:p>
    <w:p w:rsidR="000A5478" w:rsidRDefault="0039720D" w:rsidP="00997135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000000"/>
          <w:lang w:eastAsia="es-CL"/>
        </w:rPr>
      </w:pPr>
      <w:r w:rsidRPr="00997135">
        <w:rPr>
          <w:rFonts w:asciiTheme="majorHAnsi" w:hAnsiTheme="majorHAnsi" w:cstheme="majorHAnsi"/>
          <w:lang w:eastAsia="es-CL"/>
        </w:rPr>
        <w:t>C</w:t>
      </w:r>
      <w:r w:rsidRPr="00997135">
        <w:rPr>
          <w:rFonts w:asciiTheme="majorHAnsi" w:hAnsiTheme="majorHAnsi" w:cstheme="majorHAnsi"/>
          <w:color w:val="000000"/>
          <w:lang w:eastAsia="es-CL"/>
        </w:rPr>
        <w:t xml:space="preserve">hile elaboró su segunda versión </w:t>
      </w:r>
      <w:r w:rsidRPr="00FE3A73">
        <w:rPr>
          <w:rFonts w:asciiTheme="majorHAnsi" w:hAnsiTheme="majorHAnsi" w:cstheme="majorHAnsi"/>
          <w:color w:val="000000"/>
          <w:lang w:eastAsia="es-CL"/>
        </w:rPr>
        <w:t xml:space="preserve">del </w:t>
      </w:r>
      <w:r w:rsidRPr="00FE3A73">
        <w:rPr>
          <w:rFonts w:asciiTheme="majorHAnsi" w:hAnsiTheme="majorHAnsi" w:cstheme="majorHAnsi"/>
          <w:color w:val="000000"/>
          <w:shd w:val="clear" w:color="auto" w:fill="FFFFFF"/>
          <w:lang w:eastAsia="es-CL"/>
        </w:rPr>
        <w:t>Plan de Acción Nacional de Derechos Humanos y Empresas (2022- 2025)</w:t>
      </w:r>
      <w:r w:rsidR="000970DE" w:rsidRPr="00FE3A73">
        <w:rPr>
          <w:rFonts w:asciiTheme="majorHAnsi" w:hAnsiTheme="majorHAnsi" w:cstheme="majorHAnsi"/>
          <w:color w:val="000000"/>
          <w:shd w:val="clear" w:color="auto" w:fill="FFFFFF"/>
          <w:lang w:eastAsia="es-CL"/>
        </w:rPr>
        <w:t>,</w:t>
      </w:r>
      <w:r w:rsidRPr="00FE3A73">
        <w:rPr>
          <w:rFonts w:asciiTheme="majorHAnsi" w:hAnsiTheme="majorHAnsi" w:cstheme="majorHAnsi"/>
          <w:bCs/>
          <w:color w:val="000000"/>
          <w:shd w:val="clear" w:color="auto" w:fill="FFFFFF"/>
          <w:lang w:eastAsia="es-CL"/>
        </w:rPr>
        <w:t xml:space="preserve"> </w:t>
      </w:r>
      <w:r w:rsidRPr="00FE3A73">
        <w:rPr>
          <w:rFonts w:asciiTheme="majorHAnsi" w:hAnsiTheme="majorHAnsi" w:cstheme="majorHAnsi"/>
          <w:color w:val="000000"/>
          <w:shd w:val="clear" w:color="auto" w:fill="FFFFFF"/>
          <w:lang w:eastAsia="es-CL"/>
        </w:rPr>
        <w:t>el</w:t>
      </w:r>
      <w:r w:rsidRPr="00997135">
        <w:rPr>
          <w:rFonts w:asciiTheme="majorHAnsi" w:hAnsiTheme="majorHAnsi" w:cstheme="majorHAnsi"/>
          <w:color w:val="000000"/>
          <w:shd w:val="clear" w:color="auto" w:fill="FFFFFF"/>
          <w:lang w:eastAsia="es-CL"/>
        </w:rPr>
        <w:t xml:space="preserve"> cual establece</w:t>
      </w:r>
      <w:r w:rsidR="000970DE">
        <w:rPr>
          <w:rFonts w:asciiTheme="majorHAnsi" w:hAnsiTheme="majorHAnsi" w:cstheme="majorHAnsi"/>
          <w:color w:val="000000"/>
          <w:shd w:val="clear" w:color="auto" w:fill="FFFFFF"/>
          <w:lang w:eastAsia="es-CL"/>
        </w:rPr>
        <w:t>,</w:t>
      </w:r>
      <w:r w:rsidRPr="00997135">
        <w:rPr>
          <w:rFonts w:asciiTheme="majorHAnsi" w:hAnsiTheme="majorHAnsi" w:cstheme="majorHAnsi"/>
          <w:color w:val="000000"/>
          <w:shd w:val="clear" w:color="auto" w:fill="FFFFFF"/>
          <w:lang w:eastAsia="es-CL"/>
        </w:rPr>
        <w:t xml:space="preserve"> dentro de sus objetivos</w:t>
      </w:r>
      <w:r w:rsidR="000970DE">
        <w:rPr>
          <w:rFonts w:asciiTheme="majorHAnsi" w:hAnsiTheme="majorHAnsi" w:cstheme="majorHAnsi"/>
          <w:color w:val="000000"/>
          <w:shd w:val="clear" w:color="auto" w:fill="FFFFFF"/>
          <w:lang w:eastAsia="es-CL"/>
        </w:rPr>
        <w:t>,</w:t>
      </w:r>
      <w:r w:rsidRPr="00997135">
        <w:rPr>
          <w:rFonts w:asciiTheme="majorHAnsi" w:hAnsiTheme="majorHAnsi" w:cstheme="majorHAnsi"/>
          <w:color w:val="000000"/>
          <w:shd w:val="clear" w:color="auto" w:fill="FFFFFF"/>
          <w:lang w:eastAsia="es-CL"/>
        </w:rPr>
        <w:t xml:space="preserve"> los de </w:t>
      </w:r>
      <w:r w:rsidRPr="00997135">
        <w:rPr>
          <w:rFonts w:asciiTheme="majorHAnsi" w:hAnsiTheme="majorHAnsi" w:cstheme="majorHAnsi"/>
          <w:color w:val="000000"/>
          <w:lang w:eastAsia="es-CL"/>
        </w:rPr>
        <w:t xml:space="preserve">promover la sensibilización y de la capacitación en materia de derechos humanos y empresas, impulsar la adopción de procesos de debida diligencia en el sector empresarial y favorecer el desarrollo de mecanismos de transparencia y </w:t>
      </w:r>
      <w:proofErr w:type="spellStart"/>
      <w:r w:rsidRPr="00997135">
        <w:rPr>
          <w:rFonts w:asciiTheme="majorHAnsi" w:hAnsiTheme="majorHAnsi" w:cstheme="majorHAnsi"/>
          <w:color w:val="000000"/>
          <w:lang w:eastAsia="es-CL"/>
        </w:rPr>
        <w:t>reportabilidad</w:t>
      </w:r>
      <w:proofErr w:type="spellEnd"/>
      <w:r w:rsidRPr="00997135">
        <w:rPr>
          <w:rFonts w:asciiTheme="majorHAnsi" w:hAnsiTheme="majorHAnsi" w:cstheme="majorHAnsi"/>
          <w:color w:val="000000"/>
          <w:lang w:eastAsia="es-CL"/>
        </w:rPr>
        <w:t xml:space="preserve"> en derechos humanos y empresas. </w:t>
      </w:r>
    </w:p>
    <w:p w:rsidR="00C4589B" w:rsidRPr="00C4589B" w:rsidRDefault="00C4589B" w:rsidP="00C4589B">
      <w:pPr>
        <w:spacing w:after="0" w:line="240" w:lineRule="auto"/>
        <w:jc w:val="both"/>
        <w:textAlignment w:val="baseline"/>
        <w:rPr>
          <w:rFonts w:asciiTheme="majorHAnsi" w:hAnsiTheme="majorHAnsi" w:cstheme="majorHAnsi"/>
          <w:b/>
          <w:lang w:eastAsia="es-CL"/>
        </w:rPr>
      </w:pPr>
      <w:r w:rsidRPr="00C4589B">
        <w:rPr>
          <w:rFonts w:asciiTheme="majorHAnsi" w:hAnsiTheme="majorHAnsi" w:cstheme="majorHAnsi"/>
          <w:b/>
          <w:lang w:eastAsia="es-CL"/>
        </w:rPr>
        <w:t>Sistema de Evaluación de Impacto Ambiental</w:t>
      </w:r>
    </w:p>
    <w:p w:rsidR="00C4589B" w:rsidRDefault="00C4589B" w:rsidP="00C4589B">
      <w:pPr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es-CL"/>
        </w:rPr>
      </w:pPr>
    </w:p>
    <w:p w:rsidR="00DC5FFD" w:rsidRDefault="00C4589B" w:rsidP="00E02A44">
      <w:pPr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es-CL"/>
        </w:rPr>
      </w:pPr>
      <w:r>
        <w:rPr>
          <w:rFonts w:asciiTheme="majorHAnsi" w:hAnsiTheme="majorHAnsi" w:cstheme="majorHAnsi"/>
          <w:lang w:eastAsia="es-CL"/>
        </w:rPr>
        <w:t>L</w:t>
      </w:r>
      <w:r w:rsidR="0039720D" w:rsidRPr="00997135">
        <w:rPr>
          <w:rFonts w:asciiTheme="majorHAnsi" w:hAnsiTheme="majorHAnsi" w:cstheme="majorHAnsi"/>
          <w:lang w:eastAsia="es-CL"/>
        </w:rPr>
        <w:t xml:space="preserve">as actividades que generen impactos ambientales deban someterse al Sistema de Evaluación de Impacto Ambiental, de conformidad con la Ley 19.300 de Bases Generales del </w:t>
      </w:r>
      <w:r w:rsidR="00E02A44">
        <w:rPr>
          <w:rFonts w:asciiTheme="majorHAnsi" w:hAnsiTheme="majorHAnsi" w:cstheme="majorHAnsi"/>
          <w:lang w:eastAsia="es-CL"/>
        </w:rPr>
        <w:t>Medio Ambiente y su reglamento. Este instrumento contempla instancias de participación ciudadana.</w:t>
      </w:r>
    </w:p>
    <w:p w:rsidR="0039720D" w:rsidRPr="00997135" w:rsidRDefault="0039720D" w:rsidP="00DC5FFD">
      <w:pPr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es-CL"/>
        </w:rPr>
      </w:pPr>
      <w:r w:rsidRPr="00997135">
        <w:rPr>
          <w:rFonts w:asciiTheme="majorHAnsi" w:hAnsiTheme="majorHAnsi" w:cstheme="majorHAnsi"/>
          <w:lang w:eastAsia="es-CL"/>
        </w:rPr>
        <w:t> </w:t>
      </w:r>
    </w:p>
    <w:p w:rsidR="008021C7" w:rsidRDefault="008021C7" w:rsidP="00DC5FFD">
      <w:pPr>
        <w:spacing w:line="240" w:lineRule="auto"/>
        <w:jc w:val="both"/>
        <w:textAlignment w:val="baseline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Pregunta N° </w:t>
      </w:r>
      <w:r w:rsidR="0039720D" w:rsidRPr="00997135">
        <w:rPr>
          <w:rFonts w:asciiTheme="majorHAnsi" w:hAnsiTheme="majorHAnsi" w:cstheme="majorHAnsi"/>
          <w:b/>
          <w:bCs/>
          <w:color w:val="000000"/>
        </w:rPr>
        <w:t>9</w:t>
      </w:r>
      <w:r>
        <w:rPr>
          <w:rFonts w:asciiTheme="majorHAnsi" w:hAnsiTheme="majorHAnsi" w:cstheme="majorHAnsi"/>
          <w:b/>
          <w:bCs/>
          <w:color w:val="000000"/>
        </w:rPr>
        <w:t xml:space="preserve">: </w:t>
      </w:r>
    </w:p>
    <w:p w:rsidR="00225334" w:rsidRPr="00225334" w:rsidRDefault="00225334" w:rsidP="00997135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69" w:line="240" w:lineRule="auto"/>
        <w:jc w:val="both"/>
        <w:rPr>
          <w:rFonts w:asciiTheme="majorHAnsi" w:hAnsiTheme="majorHAnsi" w:cstheme="majorHAnsi"/>
          <w:b/>
        </w:rPr>
      </w:pPr>
      <w:r w:rsidRPr="00225334">
        <w:rPr>
          <w:rFonts w:asciiTheme="majorHAnsi" w:hAnsiTheme="majorHAnsi" w:cstheme="majorHAnsi"/>
          <w:b/>
        </w:rPr>
        <w:t>Mesa de género y cambio climático</w:t>
      </w:r>
    </w:p>
    <w:p w:rsidR="00225334" w:rsidRDefault="0039720D" w:rsidP="00E02A44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69" w:line="240" w:lineRule="auto"/>
        <w:jc w:val="both"/>
        <w:rPr>
          <w:rFonts w:asciiTheme="majorHAnsi" w:hAnsiTheme="majorHAnsi" w:cstheme="majorHAnsi"/>
          <w:lang w:eastAsia="es-ES_tradnl"/>
        </w:rPr>
      </w:pPr>
      <w:r w:rsidRPr="00997135">
        <w:rPr>
          <w:rFonts w:asciiTheme="majorHAnsi" w:hAnsiTheme="majorHAnsi" w:cstheme="majorHAnsi"/>
        </w:rPr>
        <w:t xml:space="preserve">Chile estableció una </w:t>
      </w:r>
      <w:r w:rsidRPr="00225334">
        <w:rPr>
          <w:rStyle w:val="normaltextrun"/>
          <w:rFonts w:asciiTheme="majorHAnsi" w:hAnsiTheme="majorHAnsi" w:cstheme="majorHAnsi"/>
          <w:bCs/>
        </w:rPr>
        <w:t>Mesa de género y cambio climático</w:t>
      </w:r>
      <w:r w:rsidRPr="00997135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Pr="00997135">
        <w:rPr>
          <w:rStyle w:val="normaltextrun"/>
          <w:rFonts w:asciiTheme="majorHAnsi" w:hAnsiTheme="majorHAnsi" w:cstheme="majorHAnsi"/>
        </w:rPr>
        <w:t xml:space="preserve">a inicios del 2020, liderada por el </w:t>
      </w:r>
      <w:r w:rsidR="007577CC">
        <w:rPr>
          <w:rStyle w:val="normaltextrun"/>
          <w:rFonts w:asciiTheme="majorHAnsi" w:hAnsiTheme="majorHAnsi" w:cstheme="majorHAnsi"/>
        </w:rPr>
        <w:t>MMA</w:t>
      </w:r>
      <w:r w:rsidR="00957521">
        <w:rPr>
          <w:rStyle w:val="normaltextrun"/>
          <w:rFonts w:asciiTheme="majorHAnsi" w:hAnsiTheme="majorHAnsi" w:cstheme="majorHAnsi"/>
        </w:rPr>
        <w:t xml:space="preserve"> junto </w:t>
      </w:r>
      <w:r w:rsidR="007577CC">
        <w:rPr>
          <w:rStyle w:val="normaltextrun"/>
          <w:rFonts w:asciiTheme="majorHAnsi" w:hAnsiTheme="majorHAnsi" w:cstheme="majorHAnsi"/>
        </w:rPr>
        <w:t>al MMyEG</w:t>
      </w:r>
      <w:r w:rsidRPr="00997135">
        <w:rPr>
          <w:rStyle w:val="normaltextrun"/>
          <w:rFonts w:asciiTheme="majorHAnsi" w:hAnsiTheme="majorHAnsi" w:cstheme="majorHAnsi"/>
        </w:rPr>
        <w:t>, cuyo objetivo es avanzar en las brechas identificadas para incorporar el enfoque de género al interior de los instrumentos de políticas públicas de cambio climático.</w:t>
      </w:r>
      <w:r w:rsidR="00E02A44">
        <w:rPr>
          <w:rStyle w:val="normaltextrun"/>
          <w:rFonts w:asciiTheme="majorHAnsi" w:hAnsiTheme="majorHAnsi" w:cstheme="majorHAnsi"/>
        </w:rPr>
        <w:t xml:space="preserve"> </w:t>
      </w:r>
      <w:r w:rsidRPr="00997135">
        <w:rPr>
          <w:rStyle w:val="normaltextrun"/>
          <w:rFonts w:asciiTheme="majorHAnsi" w:hAnsiTheme="majorHAnsi" w:cstheme="majorHAnsi"/>
        </w:rPr>
        <w:t>La mesa está integrada por representantes de 25 sectores públicos vinculados al cambio climático y además cuenta con la participación de agencias internacionales expertas en materia de género y cambio climático. </w:t>
      </w:r>
    </w:p>
    <w:p w:rsidR="002F0034" w:rsidRDefault="002F0034" w:rsidP="00997135">
      <w:pPr>
        <w:tabs>
          <w:tab w:val="left" w:pos="955"/>
        </w:tabs>
        <w:spacing w:before="181" w:line="240" w:lineRule="auto"/>
        <w:jc w:val="both"/>
        <w:rPr>
          <w:rFonts w:asciiTheme="majorHAnsi" w:hAnsiTheme="majorHAnsi" w:cstheme="majorHAnsi"/>
          <w:b/>
          <w:lang w:eastAsia="es-ES_tradnl"/>
        </w:rPr>
      </w:pPr>
    </w:p>
    <w:p w:rsidR="00225334" w:rsidRPr="00225334" w:rsidRDefault="00225334" w:rsidP="00997135">
      <w:pPr>
        <w:tabs>
          <w:tab w:val="left" w:pos="955"/>
        </w:tabs>
        <w:spacing w:before="181" w:line="240" w:lineRule="auto"/>
        <w:jc w:val="both"/>
        <w:rPr>
          <w:rFonts w:asciiTheme="majorHAnsi" w:hAnsiTheme="majorHAnsi" w:cstheme="majorHAnsi"/>
          <w:b/>
          <w:lang w:eastAsia="es-ES_tradnl"/>
        </w:rPr>
      </w:pPr>
      <w:r w:rsidRPr="00225334">
        <w:rPr>
          <w:rFonts w:asciiTheme="majorHAnsi" w:hAnsiTheme="majorHAnsi" w:cstheme="majorHAnsi"/>
          <w:b/>
          <w:lang w:eastAsia="es-ES_tradnl"/>
        </w:rPr>
        <w:lastRenderedPageBreak/>
        <w:t>Programa de Trabajo Reforzado de Lima y su Plan de Acción de Género reforzados</w:t>
      </w:r>
    </w:p>
    <w:p w:rsidR="0039720D" w:rsidRPr="00997135" w:rsidRDefault="00913A78" w:rsidP="00997135">
      <w:pPr>
        <w:tabs>
          <w:tab w:val="left" w:pos="955"/>
        </w:tabs>
        <w:spacing w:before="18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es-ES_tradnl"/>
        </w:rPr>
        <w:t>E</w:t>
      </w:r>
      <w:r w:rsidR="0039720D" w:rsidRPr="00997135">
        <w:rPr>
          <w:rFonts w:asciiTheme="majorHAnsi" w:hAnsiTheme="majorHAnsi" w:cstheme="majorHAnsi"/>
          <w:lang w:eastAsia="es-ES_tradnl"/>
        </w:rPr>
        <w:t>n el marco de la Vigésimo Quinta Conferencia de las Partes de Cambio Climático bajo la Convención Marco de Naciones Unidas sobre el Cambio Climático</w:t>
      </w:r>
      <w:r w:rsidR="00957521">
        <w:rPr>
          <w:rFonts w:asciiTheme="majorHAnsi" w:hAnsiTheme="majorHAnsi" w:cstheme="majorHAnsi"/>
          <w:lang w:eastAsia="es-ES_tradnl"/>
        </w:rPr>
        <w:t>,</w:t>
      </w:r>
      <w:r w:rsidR="0039720D" w:rsidRPr="00997135">
        <w:rPr>
          <w:rFonts w:asciiTheme="majorHAnsi" w:hAnsiTheme="majorHAnsi" w:cstheme="majorHAnsi"/>
          <w:lang w:eastAsia="es-ES_tradnl"/>
        </w:rPr>
        <w:t xml:space="preserve"> presidida por el Gobierno de Chile</w:t>
      </w:r>
      <w:r w:rsidR="00957521">
        <w:rPr>
          <w:rFonts w:asciiTheme="majorHAnsi" w:hAnsiTheme="majorHAnsi" w:cstheme="majorHAnsi"/>
          <w:lang w:eastAsia="es-ES_tradnl"/>
        </w:rPr>
        <w:t>,</w:t>
      </w:r>
      <w:r w:rsidR="0039720D" w:rsidRPr="00997135">
        <w:rPr>
          <w:rFonts w:asciiTheme="majorHAnsi" w:hAnsiTheme="majorHAnsi" w:cstheme="majorHAnsi"/>
          <w:lang w:eastAsia="es-ES_tradnl"/>
        </w:rPr>
        <w:t xml:space="preserve"> se adoptó con éxito el </w:t>
      </w:r>
      <w:r w:rsidR="0039720D" w:rsidRPr="00225334">
        <w:rPr>
          <w:rFonts w:asciiTheme="majorHAnsi" w:hAnsiTheme="majorHAnsi" w:cstheme="majorHAnsi"/>
        </w:rPr>
        <w:t>Programa de Trabajo Reforzado de Lima y su Plan de Acción de Género reforzado</w:t>
      </w:r>
      <w:r w:rsidR="009E58FD" w:rsidRPr="00225334">
        <w:rPr>
          <w:rFonts w:asciiTheme="majorHAnsi" w:hAnsiTheme="majorHAnsi" w:cstheme="majorHAnsi"/>
        </w:rPr>
        <w:t>s</w:t>
      </w:r>
      <w:r w:rsidR="00CC4D0F">
        <w:rPr>
          <w:rFonts w:asciiTheme="majorHAnsi" w:hAnsiTheme="majorHAnsi" w:cstheme="majorHAnsi"/>
        </w:rPr>
        <w:t xml:space="preserve">. En su </w:t>
      </w:r>
      <w:r w:rsidR="0039720D" w:rsidRPr="00997135">
        <w:rPr>
          <w:rFonts w:asciiTheme="majorHAnsi" w:hAnsiTheme="majorHAnsi" w:cstheme="majorHAnsi"/>
        </w:rPr>
        <w:t xml:space="preserve">actividad D.2 </w:t>
      </w:r>
      <w:r w:rsidR="00CC4D0F">
        <w:rPr>
          <w:rFonts w:asciiTheme="majorHAnsi" w:hAnsiTheme="majorHAnsi" w:cstheme="majorHAnsi"/>
        </w:rPr>
        <w:t>propone d</w:t>
      </w:r>
      <w:r w:rsidR="0039720D" w:rsidRPr="00997135">
        <w:rPr>
          <w:rFonts w:asciiTheme="majorHAnsi" w:hAnsiTheme="majorHAnsi" w:cstheme="majorHAnsi"/>
        </w:rPr>
        <w:t>ar a conocer mejor el apoyo financiero y técnico disponible para promover una mejor integración de las cuestiones de género en las políticas, planes, estrategias y medidas sobre el clima, según proceda, incluidas las buenas prácticas para facilitar el acceso de las organizaciones de base de mujeres, de los pueblos indígenas y las comunidades locales a la financiación para el clima”.</w:t>
      </w:r>
    </w:p>
    <w:p w:rsidR="00225334" w:rsidRPr="00225334" w:rsidRDefault="00225334" w:rsidP="00997135">
      <w:pPr>
        <w:tabs>
          <w:tab w:val="left" w:pos="955"/>
        </w:tabs>
        <w:spacing w:before="181" w:line="240" w:lineRule="auto"/>
        <w:jc w:val="both"/>
        <w:rPr>
          <w:rFonts w:asciiTheme="majorHAnsi" w:hAnsiTheme="majorHAnsi" w:cstheme="majorHAnsi"/>
          <w:b/>
          <w:lang w:eastAsia="es-ES_tradnl"/>
        </w:rPr>
      </w:pPr>
      <w:r w:rsidRPr="00225334">
        <w:rPr>
          <w:rFonts w:asciiTheme="majorHAnsi" w:hAnsiTheme="majorHAnsi" w:cstheme="majorHAnsi"/>
          <w:b/>
          <w:lang w:eastAsia="es-ES_tradnl"/>
        </w:rPr>
        <w:t>Grupo de Género y Medio Ambiente del Foro de Ministras y Ministros de Medio Ambiente de América Latina y el Caribe</w:t>
      </w:r>
    </w:p>
    <w:p w:rsidR="00CC4D0F" w:rsidRDefault="00225334" w:rsidP="00913A78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before="183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Pr="00997135">
        <w:rPr>
          <w:rFonts w:asciiTheme="majorHAnsi" w:hAnsiTheme="majorHAnsi" w:cstheme="majorHAnsi"/>
          <w:color w:val="000000"/>
        </w:rPr>
        <w:t xml:space="preserve">n conjunto con el Programa de las Naciones </w:t>
      </w:r>
      <w:r w:rsidRPr="00032170">
        <w:rPr>
          <w:rFonts w:asciiTheme="majorHAnsi" w:hAnsiTheme="majorHAnsi" w:cstheme="majorHAnsi"/>
          <w:color w:val="000000"/>
        </w:rPr>
        <w:t>Unidas y El Caribe en calidad de Secretaría Técnica, se ha impulsado el trabajo regional mediante</w:t>
      </w:r>
      <w:r w:rsidR="00CC4D0F">
        <w:rPr>
          <w:rFonts w:asciiTheme="majorHAnsi" w:hAnsiTheme="majorHAnsi" w:cstheme="majorHAnsi"/>
          <w:color w:val="000000"/>
        </w:rPr>
        <w:t xml:space="preserve"> este Grupo, a través del cual</w:t>
      </w:r>
      <w:r w:rsidRPr="00997135">
        <w:rPr>
          <w:rFonts w:asciiTheme="majorHAnsi" w:hAnsiTheme="majorHAnsi" w:cstheme="majorHAnsi"/>
          <w:color w:val="000000"/>
        </w:rPr>
        <w:t xml:space="preserve"> se han elaborado distintas herramientas y políticas para entender la conexión, brechas y beneficios de género y medio ambiente</w:t>
      </w:r>
      <w:r w:rsidR="00CC4D0F">
        <w:rPr>
          <w:rStyle w:val="Refdenotaalpie"/>
          <w:rFonts w:asciiTheme="majorHAnsi" w:hAnsiTheme="majorHAnsi" w:cstheme="majorHAnsi"/>
          <w:color w:val="000000"/>
        </w:rPr>
        <w:footnoteReference w:id="11"/>
      </w:r>
      <w:r w:rsidR="00FA59DB">
        <w:rPr>
          <w:rFonts w:asciiTheme="majorHAnsi" w:hAnsiTheme="majorHAnsi" w:cstheme="majorHAnsi"/>
          <w:color w:val="000000"/>
        </w:rPr>
        <w:t>.</w:t>
      </w:r>
    </w:p>
    <w:p w:rsidR="00913A78" w:rsidRDefault="00913A78" w:rsidP="00913A78">
      <w:pPr>
        <w:spacing w:line="240" w:lineRule="auto"/>
        <w:jc w:val="both"/>
        <w:textAlignment w:val="baseline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Pregunta N° 10:</w:t>
      </w:r>
    </w:p>
    <w:p w:rsidR="00913A78" w:rsidRPr="00997135" w:rsidRDefault="00913A78" w:rsidP="00913A78">
      <w:pPr>
        <w:spacing w:line="240" w:lineRule="auto"/>
        <w:jc w:val="both"/>
        <w:textAlignment w:val="baseline"/>
        <w:rPr>
          <w:rFonts w:asciiTheme="majorHAnsi" w:hAnsiTheme="majorHAnsi" w:cstheme="majorHAnsi"/>
        </w:rPr>
      </w:pPr>
      <w:r w:rsidRPr="00913A78">
        <w:rPr>
          <w:rFonts w:asciiTheme="majorHAnsi" w:hAnsiTheme="majorHAnsi" w:cstheme="majorHAnsi"/>
          <w:bCs/>
          <w:color w:val="000000"/>
        </w:rPr>
        <w:t xml:space="preserve">No </w:t>
      </w:r>
      <w:r>
        <w:rPr>
          <w:rFonts w:asciiTheme="majorHAnsi" w:hAnsiTheme="majorHAnsi" w:cstheme="majorHAnsi"/>
          <w:bCs/>
          <w:color w:val="000000"/>
        </w:rPr>
        <w:t>se dispone de información</w:t>
      </w:r>
      <w:r w:rsidR="0052177A">
        <w:rPr>
          <w:rFonts w:asciiTheme="majorHAnsi" w:hAnsiTheme="majorHAnsi" w:cstheme="majorHAnsi"/>
          <w:bCs/>
          <w:color w:val="000000"/>
        </w:rPr>
        <w:t xml:space="preserve"> sistematizada</w:t>
      </w:r>
      <w:r>
        <w:rPr>
          <w:rFonts w:asciiTheme="majorHAnsi" w:hAnsiTheme="majorHAnsi" w:cstheme="majorHAnsi"/>
          <w:bCs/>
          <w:color w:val="000000"/>
        </w:rPr>
        <w:t xml:space="preserve">. </w:t>
      </w:r>
    </w:p>
    <w:sectPr w:rsidR="00913A78" w:rsidRPr="00997135" w:rsidSect="00997135">
      <w:headerReference w:type="default" r:id="rId9"/>
      <w:footerReference w:type="even" r:id="rId10"/>
      <w:foot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FF" w:rsidRDefault="002B31FF" w:rsidP="00E85557">
      <w:pPr>
        <w:spacing w:after="0" w:line="240" w:lineRule="auto"/>
      </w:pPr>
      <w:r>
        <w:separator/>
      </w:r>
    </w:p>
  </w:endnote>
  <w:endnote w:type="continuationSeparator" w:id="0">
    <w:p w:rsidR="002B31FF" w:rsidRDefault="002B31FF" w:rsidP="00E8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2506245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9720D" w:rsidRDefault="0039720D" w:rsidP="009C7A4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9720D" w:rsidRDefault="0039720D" w:rsidP="009C7A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15391270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9720D" w:rsidRDefault="0039720D" w:rsidP="009C7A4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E3518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:rsidR="0039720D" w:rsidRDefault="0039720D" w:rsidP="009C7A44">
    <w:pPr>
      <w:pBdr>
        <w:top w:val="nil"/>
        <w:left w:val="nil"/>
        <w:bottom w:val="nil"/>
        <w:right w:val="nil"/>
        <w:between w:val="nil"/>
      </w:pBdr>
      <w:spacing w:line="14" w:lineRule="auto"/>
      <w:ind w:right="360"/>
      <w:rPr>
        <w:color w:val="000000"/>
        <w:sz w:val="17"/>
        <w:szCs w:val="17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217E8B1C" wp14:editId="0EAB71FD">
              <wp:simplePos x="0" y="0"/>
              <wp:positionH relativeFrom="column">
                <wp:posOffset>5295900</wp:posOffset>
              </wp:positionH>
              <wp:positionV relativeFrom="paragraph">
                <wp:posOffset>9880600</wp:posOffset>
              </wp:positionV>
              <wp:extent cx="652145" cy="177165"/>
              <wp:effectExtent l="0" t="0" r="0" b="0"/>
              <wp:wrapNone/>
              <wp:docPr id="10" name="Forma lib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23190" y="3696180"/>
                        <a:ext cx="642620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2620" h="167640" extrusionOk="0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42620" y="167640"/>
                            </a:lnTo>
                            <a:lnTo>
                              <a:pt x="6426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9720D" w:rsidRDefault="0039720D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7E8B1C" id="Forma libre 10" o:spid="_x0000_s1026" style="position:absolute;margin-left:417pt;margin-top:778pt;width:51.35pt;height:13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262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" adj="-11796480,,5400" path="m,l,167640r642620,l642620,,,xe" stroked="f">
              <v:stroke joinstyle="miter"/>
              <v:formulas/>
              <v:path arrowok="t" o:extrusionok="f" o:connecttype="custom" textboxrect="0,0,642620,167640"/>
              <v:textbox inset="7pt,3pt,7pt,3pt">
                <w:txbxContent>
                  <w:p w:rsidR="0039720D" w:rsidRDefault="0039720D">
                    <w:pPr>
                      <w:spacing w:before="12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20"/>
                      </w:rPr>
                      <w:t xml:space="preserve">Page 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20"/>
                      </w:rPr>
                      <w:t>PAGE</w:t>
                    </w:r>
                    <w:proofErr w:type="spellEnd"/>
                    <w:proofErr w:type="gramEnd"/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of </w:t>
                    </w:r>
                    <w:r>
                      <w:rPr>
                        <w:b/>
                        <w:color w:val="000000"/>
                        <w:sz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FF" w:rsidRDefault="002B31FF" w:rsidP="00E85557">
      <w:pPr>
        <w:spacing w:after="0" w:line="240" w:lineRule="auto"/>
      </w:pPr>
      <w:r>
        <w:separator/>
      </w:r>
    </w:p>
  </w:footnote>
  <w:footnote w:type="continuationSeparator" w:id="0">
    <w:p w:rsidR="002B31FF" w:rsidRDefault="002B31FF" w:rsidP="00E85557">
      <w:pPr>
        <w:spacing w:after="0" w:line="240" w:lineRule="auto"/>
      </w:pPr>
      <w:r>
        <w:continuationSeparator/>
      </w:r>
    </w:p>
  </w:footnote>
  <w:footnote w:id="1">
    <w:p w:rsidR="00436FD8" w:rsidRPr="004E264B" w:rsidRDefault="00436FD8" w:rsidP="00436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4E264B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Corte Suprema. (2019). Resolución Rol Núm. 5888-2019. Recuperado de: </w:t>
      </w:r>
      <w:hyperlink r:id="rId1" w:history="1">
        <w:r w:rsidRPr="004E264B">
          <w:rPr>
            <w:rStyle w:val="Hipervnculo"/>
            <w:rFonts w:asciiTheme="majorHAnsi" w:hAnsiTheme="majorHAnsi" w:cstheme="majorHAnsi"/>
            <w:sz w:val="18"/>
            <w:szCs w:val="18"/>
          </w:rPr>
          <w:t>https://observatoriop10.cepal.org/sites/default/files/documents/5888-2019_corte_suprema.pdf</w:t>
        </w:r>
      </w:hyperlink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</w:footnote>
  <w:footnote w:id="2">
    <w:p w:rsidR="00CE6C9F" w:rsidRPr="004E264B" w:rsidRDefault="00CE6C9F" w:rsidP="00C4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4E264B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4E264B">
        <w:rPr>
          <w:rFonts w:asciiTheme="majorHAnsi" w:hAnsiTheme="majorHAnsi" w:cstheme="majorHAnsi"/>
          <w:sz w:val="18"/>
          <w:szCs w:val="18"/>
        </w:rPr>
        <w:t xml:space="preserve"> </w:t>
      </w:r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Defensoría de la niñez. (2019). AFECTACIÓN DE NIÑOS, NIÑAS Y ADOLESCENTES POR CONTAMINACIÓN EN QUINTERO Y PUCHUNCAVÍ: Análisis multinivel de afectación, abordaje y soporte normativo de la emergencia. Recuperado de: </w:t>
      </w:r>
      <w:hyperlink r:id="rId2" w:history="1">
        <w:r w:rsidRPr="004E264B">
          <w:rPr>
            <w:rStyle w:val="Hipervnculo"/>
            <w:rFonts w:asciiTheme="majorHAnsi" w:hAnsiTheme="majorHAnsi" w:cstheme="majorHAnsi"/>
            <w:sz w:val="18"/>
            <w:szCs w:val="18"/>
          </w:rPr>
          <w:t>https://www.defensorianinez.cl/wp-content/uploads/2020/05/Presentaci%C3%B3n-Estudio-Afectaci%C3%B3n-Quintero-Puchuncavi-EN-FORMATO-02082019.pdf</w:t>
        </w:r>
      </w:hyperlink>
    </w:p>
  </w:footnote>
  <w:footnote w:id="3">
    <w:p w:rsidR="007A75D9" w:rsidRPr="004E264B" w:rsidRDefault="007A75D9" w:rsidP="00957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4E264B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4E264B">
        <w:rPr>
          <w:rFonts w:asciiTheme="majorHAnsi" w:hAnsiTheme="majorHAnsi" w:cstheme="majorHAnsi"/>
          <w:sz w:val="18"/>
          <w:szCs w:val="18"/>
        </w:rPr>
        <w:t xml:space="preserve"> </w:t>
      </w:r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Universidad de Valparaíso. (2022). Estudio UV detecta falla en gen que protege del cáncer en habitantes de Quintero y </w:t>
      </w:r>
      <w:proofErr w:type="spellStart"/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>Puchuncaví</w:t>
      </w:r>
      <w:proofErr w:type="spellEnd"/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. Recuperado de: </w:t>
      </w:r>
      <w:hyperlink r:id="rId3" w:history="1">
        <w:r w:rsidRPr="004E264B">
          <w:rPr>
            <w:rStyle w:val="Hipervnculo"/>
            <w:rFonts w:asciiTheme="majorHAnsi" w:hAnsiTheme="majorHAnsi" w:cstheme="majorHAnsi"/>
            <w:sz w:val="18"/>
            <w:szCs w:val="18"/>
          </w:rPr>
          <w:t>https://www.uv.cl/pdn/?id=12965</w:t>
        </w:r>
      </w:hyperlink>
    </w:p>
  </w:footnote>
  <w:footnote w:id="4">
    <w:p w:rsidR="007A75D9" w:rsidRPr="004E264B" w:rsidRDefault="007A75D9" w:rsidP="00C4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4E264B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4E264B">
        <w:rPr>
          <w:rFonts w:asciiTheme="majorHAnsi" w:hAnsiTheme="majorHAnsi" w:cstheme="majorHAnsi"/>
          <w:sz w:val="18"/>
          <w:szCs w:val="18"/>
        </w:rPr>
        <w:t xml:space="preserve"> </w:t>
      </w:r>
      <w:r w:rsidRPr="009E3518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Berasaluce et al. </w:t>
      </w:r>
      <w:r w:rsidRPr="004E264B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(2019). Soil and indoor dust as environmental media of human exposure to As, Cd, Cu, and </w:t>
      </w:r>
      <w:proofErr w:type="spellStart"/>
      <w:r w:rsidRPr="004E264B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>Pb</w:t>
      </w:r>
      <w:proofErr w:type="spellEnd"/>
      <w:r w:rsidRPr="004E264B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near a copper smelter in central Chile, Journal of Trace Elements in Medicine and Biology, 54, pp.156-162. </w:t>
      </w:r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Recuperado de: </w:t>
      </w:r>
      <w:hyperlink r:id="rId4" w:history="1">
        <w:r w:rsidRPr="004E264B">
          <w:rPr>
            <w:rStyle w:val="Hipervnculo"/>
            <w:rFonts w:asciiTheme="majorHAnsi" w:hAnsiTheme="majorHAnsi" w:cstheme="majorHAnsi"/>
            <w:sz w:val="18"/>
            <w:szCs w:val="18"/>
          </w:rPr>
          <w:t>https://www.sciencedirect.com/science/article/abs/pii/S0946672X18306461?via%3Dihub</w:t>
        </w:r>
      </w:hyperlink>
    </w:p>
  </w:footnote>
  <w:footnote w:id="5">
    <w:p w:rsidR="007A75D9" w:rsidRPr="004E264B" w:rsidRDefault="007A75D9" w:rsidP="00C4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4E264B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4E264B">
        <w:rPr>
          <w:rFonts w:asciiTheme="majorHAnsi" w:hAnsiTheme="majorHAnsi" w:cstheme="majorHAnsi"/>
          <w:sz w:val="18"/>
          <w:szCs w:val="18"/>
        </w:rPr>
        <w:t xml:space="preserve"> </w:t>
      </w:r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Colegio Médico. (2018). INFORME DEL COLEGIO MEDICO PARA COMISION INVESTIGADORA DE LA CÁMARA DE DIPUTADOS SOBRE LA ALTA CONTAMINACIÓN EN Q-P-C Y EL PLAN DE DESCONTAMINACIÓN. Recuperado de: </w:t>
      </w:r>
      <w:hyperlink r:id="rId5" w:history="1">
        <w:r w:rsidRPr="004E264B">
          <w:rPr>
            <w:rStyle w:val="Hipervnculo"/>
            <w:rFonts w:asciiTheme="majorHAnsi" w:hAnsiTheme="majorHAnsi" w:cstheme="majorHAnsi"/>
            <w:sz w:val="18"/>
            <w:szCs w:val="18"/>
          </w:rPr>
          <w:t>https://www.camara.cl/verDoc.aspx?prmID=156373&amp;prmTIPO=DOCUMENTOCOMISION</w:t>
        </w:r>
      </w:hyperlink>
    </w:p>
  </w:footnote>
  <w:footnote w:id="6">
    <w:p w:rsidR="007A75D9" w:rsidRPr="004E264B" w:rsidRDefault="007A75D9" w:rsidP="00C4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4E264B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4E264B">
        <w:rPr>
          <w:rFonts w:asciiTheme="majorHAnsi" w:hAnsiTheme="majorHAnsi" w:cstheme="majorHAnsi"/>
          <w:sz w:val="18"/>
          <w:szCs w:val="18"/>
        </w:rPr>
        <w:t xml:space="preserve"> </w:t>
      </w:r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Blanco, E. (2021). Contaminación atmosférica, efectos adversos al nacer e impacto de posibles medidas de mitigación: el caso de Temuco y Padre Las Casas, Chile. Recuperado de: </w:t>
      </w:r>
      <w:hyperlink r:id="rId6" w:history="1">
        <w:r w:rsidRPr="004E264B">
          <w:rPr>
            <w:rStyle w:val="Hipervnculo"/>
            <w:rFonts w:asciiTheme="majorHAnsi" w:hAnsiTheme="majorHAnsi" w:cstheme="majorHAnsi"/>
            <w:sz w:val="18"/>
            <w:szCs w:val="18"/>
          </w:rPr>
          <w:t>http://bibliodigital.saludpublica.uchile.cl:8080/dspace/bitstream/handle/123456789/740/Tesis_Estela_Blanco.pdf?sequence=1&amp;isAllowed=y</w:t>
        </w:r>
      </w:hyperlink>
    </w:p>
  </w:footnote>
  <w:footnote w:id="7">
    <w:p w:rsidR="00975F84" w:rsidRPr="004E264B" w:rsidRDefault="00975F84" w:rsidP="00C4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4E264B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4E264B">
        <w:rPr>
          <w:rFonts w:asciiTheme="majorHAnsi" w:hAnsiTheme="majorHAnsi" w:cstheme="majorHAnsi"/>
          <w:sz w:val="18"/>
          <w:szCs w:val="18"/>
        </w:rPr>
        <w:t xml:space="preserve"> </w:t>
      </w:r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ONU Mujeres. (2021). Mujeres, la primera línea de defensa contra el cambio climático, pero también las más afectadas. Recuperado de: </w:t>
      </w:r>
      <w:hyperlink r:id="rId7" w:history="1">
        <w:r w:rsidRPr="004E264B">
          <w:rPr>
            <w:rStyle w:val="Hipervnculo"/>
            <w:rFonts w:asciiTheme="majorHAnsi" w:hAnsiTheme="majorHAnsi" w:cstheme="majorHAnsi"/>
            <w:sz w:val="18"/>
            <w:szCs w:val="18"/>
          </w:rPr>
          <w:t>https://lac.unwomen.org/es/noticias-y-eventos/articulos/2021/11/mujeres-la-primera-linea-de-defensa-contra-el-cambio-climatico-pero-tambien-las-mas-afectadas</w:t>
        </w:r>
      </w:hyperlink>
    </w:p>
  </w:footnote>
  <w:footnote w:id="8">
    <w:p w:rsidR="004E264B" w:rsidRPr="004E264B" w:rsidRDefault="004E264B" w:rsidP="00C45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E264B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4E264B">
        <w:rPr>
          <w:rFonts w:asciiTheme="majorHAnsi" w:hAnsiTheme="majorHAnsi" w:cstheme="majorHAnsi"/>
          <w:sz w:val="18"/>
          <w:szCs w:val="18"/>
        </w:rPr>
        <w:t xml:space="preserve"> </w:t>
      </w:r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Peña, A. (2021). Una Lectura de Julieta </w:t>
      </w:r>
      <w:proofErr w:type="spellStart"/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>Kirkwood</w:t>
      </w:r>
      <w:proofErr w:type="spellEnd"/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en Tiempos de Crisis Climática, Revista </w:t>
      </w:r>
      <w:proofErr w:type="spellStart"/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>Nomadías</w:t>
      </w:r>
      <w:proofErr w:type="spellEnd"/>
      <w:r w:rsidRPr="004E264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(30), pp.243-254.  Recuperado de: </w:t>
      </w:r>
    </w:p>
    <w:p w:rsidR="004E264B" w:rsidRPr="004E264B" w:rsidRDefault="002B31FF" w:rsidP="007408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hyperlink r:id="rId8" w:history="1">
        <w:r w:rsidR="004E264B" w:rsidRPr="004E264B">
          <w:rPr>
            <w:rStyle w:val="Hipervnculo"/>
            <w:rFonts w:asciiTheme="majorHAnsi" w:hAnsiTheme="majorHAnsi" w:cstheme="majorHAnsi"/>
            <w:sz w:val="18"/>
            <w:szCs w:val="18"/>
          </w:rPr>
          <w:t>https://nomadias.uchile.cl/index.php/NO/article/view/66100/69731</w:t>
        </w:r>
      </w:hyperlink>
    </w:p>
  </w:footnote>
  <w:footnote w:id="9">
    <w:p w:rsidR="0039720D" w:rsidRPr="004E264B" w:rsidRDefault="0039720D" w:rsidP="00C4589B">
      <w:pPr>
        <w:pStyle w:val="Textonotapie"/>
        <w:rPr>
          <w:rFonts w:asciiTheme="majorHAnsi" w:hAnsiTheme="majorHAnsi" w:cstheme="majorHAnsi"/>
          <w:sz w:val="18"/>
          <w:szCs w:val="18"/>
          <w:lang w:val="es-ES"/>
        </w:rPr>
      </w:pPr>
      <w:r w:rsidRPr="004E264B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4E264B">
        <w:rPr>
          <w:rFonts w:asciiTheme="majorHAnsi" w:hAnsiTheme="majorHAnsi" w:cstheme="majorHAnsi"/>
          <w:sz w:val="18"/>
          <w:szCs w:val="18"/>
        </w:rPr>
        <w:t xml:space="preserve"> </w:t>
      </w:r>
      <w:r w:rsidRPr="004E264B">
        <w:rPr>
          <w:rFonts w:asciiTheme="majorHAnsi" w:hAnsiTheme="majorHAnsi" w:cstheme="majorHAnsi"/>
          <w:sz w:val="18"/>
          <w:szCs w:val="18"/>
          <w:lang w:val="es-ES"/>
        </w:rPr>
        <w:t xml:space="preserve">Revisar </w:t>
      </w:r>
      <w:hyperlink r:id="rId9" w:history="1">
        <w:r w:rsidRPr="004E264B">
          <w:rPr>
            <w:rStyle w:val="Hipervnculo"/>
            <w:rFonts w:asciiTheme="majorHAnsi" w:hAnsiTheme="majorHAnsi" w:cstheme="majorHAnsi"/>
            <w:sz w:val="18"/>
            <w:szCs w:val="18"/>
            <w:lang w:val="es-ES"/>
          </w:rPr>
          <w:t>https://www.bcn.cl/leychile/navegar?idNorma=1177286</w:t>
        </w:r>
      </w:hyperlink>
      <w:r w:rsidRPr="004E264B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</w:footnote>
  <w:footnote w:id="10">
    <w:p w:rsidR="0039720D" w:rsidRPr="004E264B" w:rsidRDefault="0039720D" w:rsidP="00C4589B">
      <w:pPr>
        <w:pStyle w:val="Textonotapie"/>
        <w:rPr>
          <w:rFonts w:asciiTheme="majorHAnsi" w:hAnsiTheme="majorHAnsi" w:cstheme="majorHAnsi"/>
          <w:sz w:val="18"/>
          <w:szCs w:val="18"/>
          <w:lang w:val="es-ES"/>
        </w:rPr>
      </w:pPr>
      <w:r w:rsidRPr="004E264B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4E264B">
        <w:rPr>
          <w:rFonts w:asciiTheme="majorHAnsi" w:hAnsiTheme="majorHAnsi" w:cstheme="majorHAnsi"/>
          <w:sz w:val="18"/>
          <w:szCs w:val="18"/>
        </w:rPr>
        <w:t xml:space="preserve"> Revisar </w:t>
      </w:r>
      <w:hyperlink r:id="rId10" w:history="1">
        <w:r w:rsidRPr="004E264B">
          <w:rPr>
            <w:rStyle w:val="Hipervnculo"/>
            <w:rFonts w:asciiTheme="majorHAnsi" w:hAnsiTheme="majorHAnsi" w:cstheme="majorHAnsi"/>
            <w:sz w:val="18"/>
            <w:szCs w:val="18"/>
          </w:rPr>
          <w:t>https://cambioclimatico.mma.gob.cl/estrategia-climatica-de-largo-plazo-2050/descripcion-del-instrumento/</w:t>
        </w:r>
      </w:hyperlink>
      <w:r w:rsidRPr="004E264B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11">
    <w:p w:rsidR="00CC4D0F" w:rsidRDefault="00CC4D0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Ver, por ejemplo: </w:t>
      </w:r>
    </w:p>
    <w:p w:rsidR="00CC4D0F" w:rsidRPr="00CC4D0F" w:rsidRDefault="002B31FF">
      <w:pPr>
        <w:pStyle w:val="Textonotapie"/>
        <w:rPr>
          <w:lang w:val="es-ES"/>
        </w:rPr>
      </w:pPr>
      <w:hyperlink r:id="rId11" w:history="1">
        <w:r w:rsidR="00CC4D0F" w:rsidRPr="009D366E">
          <w:rPr>
            <w:rStyle w:val="Hipervnculo"/>
            <w:lang w:val="es-ES"/>
          </w:rPr>
          <w:t>https://wedocs.unep.org/bitstream/handle/20.500.11822/34929/GEN_ES.pdf?sequence=2&amp;isAllowed=y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0D" w:rsidRDefault="0039720D" w:rsidP="00224AB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B51"/>
    <w:multiLevelType w:val="hybridMultilevel"/>
    <w:tmpl w:val="6350485E"/>
    <w:lvl w:ilvl="0" w:tplc="52BA1140">
      <w:start w:val="10"/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256D"/>
    <w:multiLevelType w:val="multilevel"/>
    <w:tmpl w:val="04C8F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F01C0"/>
    <w:multiLevelType w:val="hybridMultilevel"/>
    <w:tmpl w:val="8E748A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2CA4"/>
    <w:multiLevelType w:val="hybridMultilevel"/>
    <w:tmpl w:val="FD3C8C58"/>
    <w:lvl w:ilvl="0" w:tplc="7CDA1A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844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2E8A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6BB43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AE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EA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E6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6A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6F61"/>
    <w:multiLevelType w:val="hybridMultilevel"/>
    <w:tmpl w:val="4E0CA62A"/>
    <w:lvl w:ilvl="0" w:tplc="52BA1140">
      <w:start w:val="10"/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6181"/>
    <w:multiLevelType w:val="hybridMultilevel"/>
    <w:tmpl w:val="45484BA2"/>
    <w:lvl w:ilvl="0" w:tplc="52BA1140">
      <w:start w:val="10"/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B1D06"/>
    <w:multiLevelType w:val="multilevel"/>
    <w:tmpl w:val="3918C7FC"/>
    <w:lvl w:ilvl="0">
      <w:start w:val="1"/>
      <w:numFmt w:val="decimal"/>
      <w:lvlText w:val="%1."/>
      <w:lvlJc w:val="left"/>
      <w:pPr>
        <w:ind w:left="954" w:hanging="3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86" w:hanging="356"/>
      </w:pPr>
    </w:lvl>
    <w:lvl w:ilvl="2">
      <w:numFmt w:val="bullet"/>
      <w:lvlText w:val="•"/>
      <w:lvlJc w:val="left"/>
      <w:pPr>
        <w:ind w:left="2812" w:hanging="356"/>
      </w:pPr>
    </w:lvl>
    <w:lvl w:ilvl="3">
      <w:numFmt w:val="bullet"/>
      <w:lvlText w:val="•"/>
      <w:lvlJc w:val="left"/>
      <w:pPr>
        <w:ind w:left="3738" w:hanging="356"/>
      </w:pPr>
    </w:lvl>
    <w:lvl w:ilvl="4">
      <w:numFmt w:val="bullet"/>
      <w:lvlText w:val="•"/>
      <w:lvlJc w:val="left"/>
      <w:pPr>
        <w:ind w:left="4664" w:hanging="356"/>
      </w:pPr>
    </w:lvl>
    <w:lvl w:ilvl="5">
      <w:numFmt w:val="bullet"/>
      <w:lvlText w:val="•"/>
      <w:lvlJc w:val="left"/>
      <w:pPr>
        <w:ind w:left="5590" w:hanging="356"/>
      </w:pPr>
    </w:lvl>
    <w:lvl w:ilvl="6">
      <w:numFmt w:val="bullet"/>
      <w:lvlText w:val="•"/>
      <w:lvlJc w:val="left"/>
      <w:pPr>
        <w:ind w:left="6516" w:hanging="356"/>
      </w:pPr>
    </w:lvl>
    <w:lvl w:ilvl="7">
      <w:numFmt w:val="bullet"/>
      <w:lvlText w:val="•"/>
      <w:lvlJc w:val="left"/>
      <w:pPr>
        <w:ind w:left="7442" w:hanging="356"/>
      </w:pPr>
    </w:lvl>
    <w:lvl w:ilvl="8">
      <w:numFmt w:val="bullet"/>
      <w:lvlText w:val="•"/>
      <w:lvlJc w:val="left"/>
      <w:pPr>
        <w:ind w:left="8368" w:hanging="356"/>
      </w:pPr>
    </w:lvl>
  </w:abstractNum>
  <w:abstractNum w:abstractNumId="7" w15:restartNumberingAfterBreak="0">
    <w:nsid w:val="41C352CE"/>
    <w:multiLevelType w:val="hybridMultilevel"/>
    <w:tmpl w:val="7AD0DB54"/>
    <w:lvl w:ilvl="0" w:tplc="B072847E">
      <w:start w:val="1"/>
      <w:numFmt w:val="lowerRoman"/>
      <w:lvlText w:val="%1."/>
      <w:lvlJc w:val="right"/>
      <w:pPr>
        <w:ind w:left="720" w:hanging="360"/>
      </w:pPr>
    </w:lvl>
    <w:lvl w:ilvl="1" w:tplc="748A2D86">
      <w:start w:val="1"/>
      <w:numFmt w:val="lowerLetter"/>
      <w:lvlText w:val="%2."/>
      <w:lvlJc w:val="left"/>
      <w:pPr>
        <w:ind w:left="1440" w:hanging="360"/>
      </w:pPr>
    </w:lvl>
    <w:lvl w:ilvl="2" w:tplc="EFB460CC">
      <w:start w:val="1"/>
      <w:numFmt w:val="lowerRoman"/>
      <w:lvlText w:val="%3."/>
      <w:lvlJc w:val="right"/>
      <w:pPr>
        <w:ind w:left="2160" w:hanging="180"/>
      </w:pPr>
    </w:lvl>
    <w:lvl w:ilvl="3" w:tplc="C66CD54A">
      <w:start w:val="1"/>
      <w:numFmt w:val="decimal"/>
      <w:lvlText w:val="%4."/>
      <w:lvlJc w:val="left"/>
      <w:pPr>
        <w:ind w:left="2880" w:hanging="360"/>
      </w:pPr>
    </w:lvl>
    <w:lvl w:ilvl="4" w:tplc="FBE4DEE0">
      <w:start w:val="1"/>
      <w:numFmt w:val="lowerLetter"/>
      <w:lvlText w:val="%5."/>
      <w:lvlJc w:val="left"/>
      <w:pPr>
        <w:ind w:left="3600" w:hanging="360"/>
      </w:pPr>
    </w:lvl>
    <w:lvl w:ilvl="5" w:tplc="F0C68CF0">
      <w:start w:val="1"/>
      <w:numFmt w:val="lowerRoman"/>
      <w:lvlText w:val="%6."/>
      <w:lvlJc w:val="right"/>
      <w:pPr>
        <w:ind w:left="4320" w:hanging="180"/>
      </w:pPr>
    </w:lvl>
    <w:lvl w:ilvl="6" w:tplc="4470D354">
      <w:start w:val="1"/>
      <w:numFmt w:val="decimal"/>
      <w:lvlText w:val="%7."/>
      <w:lvlJc w:val="left"/>
      <w:pPr>
        <w:ind w:left="5040" w:hanging="360"/>
      </w:pPr>
    </w:lvl>
    <w:lvl w:ilvl="7" w:tplc="DCBCA2FC">
      <w:start w:val="1"/>
      <w:numFmt w:val="lowerLetter"/>
      <w:lvlText w:val="%8."/>
      <w:lvlJc w:val="left"/>
      <w:pPr>
        <w:ind w:left="5760" w:hanging="360"/>
      </w:pPr>
    </w:lvl>
    <w:lvl w:ilvl="8" w:tplc="2F2C0D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DFAB"/>
    <w:multiLevelType w:val="hybridMultilevel"/>
    <w:tmpl w:val="7152E8C0"/>
    <w:lvl w:ilvl="0" w:tplc="A5D2DB4E">
      <w:start w:val="1"/>
      <w:numFmt w:val="decimal"/>
      <w:lvlText w:val="%1."/>
      <w:lvlJc w:val="left"/>
      <w:pPr>
        <w:ind w:left="720" w:hanging="360"/>
      </w:pPr>
    </w:lvl>
    <w:lvl w:ilvl="1" w:tplc="C4C2E98A">
      <w:start w:val="1"/>
      <w:numFmt w:val="lowerLetter"/>
      <w:lvlText w:val="%2."/>
      <w:lvlJc w:val="left"/>
      <w:pPr>
        <w:ind w:left="1440" w:hanging="360"/>
      </w:pPr>
    </w:lvl>
    <w:lvl w:ilvl="2" w:tplc="D66C9040">
      <w:start w:val="1"/>
      <w:numFmt w:val="lowerRoman"/>
      <w:lvlText w:val="%3."/>
      <w:lvlJc w:val="right"/>
      <w:pPr>
        <w:ind w:left="2160" w:hanging="180"/>
      </w:pPr>
    </w:lvl>
    <w:lvl w:ilvl="3" w:tplc="6694DA9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55E6AD8E">
      <w:start w:val="1"/>
      <w:numFmt w:val="lowerLetter"/>
      <w:lvlText w:val="%5."/>
      <w:lvlJc w:val="left"/>
      <w:pPr>
        <w:ind w:left="3600" w:hanging="360"/>
      </w:pPr>
    </w:lvl>
    <w:lvl w:ilvl="5" w:tplc="8CA072DE">
      <w:start w:val="1"/>
      <w:numFmt w:val="lowerRoman"/>
      <w:lvlText w:val="%6."/>
      <w:lvlJc w:val="right"/>
      <w:pPr>
        <w:ind w:left="4320" w:hanging="180"/>
      </w:pPr>
    </w:lvl>
    <w:lvl w:ilvl="6" w:tplc="2A58EEB4">
      <w:start w:val="1"/>
      <w:numFmt w:val="decimal"/>
      <w:lvlText w:val="%7."/>
      <w:lvlJc w:val="left"/>
      <w:pPr>
        <w:ind w:left="5040" w:hanging="360"/>
      </w:pPr>
    </w:lvl>
    <w:lvl w:ilvl="7" w:tplc="173A9512">
      <w:start w:val="1"/>
      <w:numFmt w:val="lowerLetter"/>
      <w:lvlText w:val="%8."/>
      <w:lvlJc w:val="left"/>
      <w:pPr>
        <w:ind w:left="5760" w:hanging="360"/>
      </w:pPr>
    </w:lvl>
    <w:lvl w:ilvl="8" w:tplc="5CBC04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92F5E"/>
    <w:multiLevelType w:val="multilevel"/>
    <w:tmpl w:val="D0AA91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8765C"/>
    <w:multiLevelType w:val="multilevel"/>
    <w:tmpl w:val="DE006B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41DAD"/>
    <w:multiLevelType w:val="multilevel"/>
    <w:tmpl w:val="5456EF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B6AFC"/>
    <w:multiLevelType w:val="hybridMultilevel"/>
    <w:tmpl w:val="3CA84284"/>
    <w:lvl w:ilvl="0" w:tplc="52BA1140">
      <w:start w:val="10"/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A928B"/>
    <w:multiLevelType w:val="hybridMultilevel"/>
    <w:tmpl w:val="9392D000"/>
    <w:lvl w:ilvl="0" w:tplc="461AE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CF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64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AE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CB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C9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86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2B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6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CEFE4"/>
    <w:multiLevelType w:val="hybridMultilevel"/>
    <w:tmpl w:val="369C4542"/>
    <w:lvl w:ilvl="0" w:tplc="83363D54">
      <w:start w:val="1"/>
      <w:numFmt w:val="decimal"/>
      <w:lvlText w:val="%1."/>
      <w:lvlJc w:val="left"/>
      <w:pPr>
        <w:ind w:left="720" w:hanging="360"/>
      </w:pPr>
    </w:lvl>
    <w:lvl w:ilvl="1" w:tplc="4F18A71C">
      <w:start w:val="1"/>
      <w:numFmt w:val="lowerLetter"/>
      <w:lvlText w:val="%2."/>
      <w:lvlJc w:val="left"/>
      <w:pPr>
        <w:ind w:left="1440" w:hanging="360"/>
      </w:pPr>
    </w:lvl>
    <w:lvl w:ilvl="2" w:tplc="6F4C4BFE">
      <w:start w:val="1"/>
      <w:numFmt w:val="lowerRoman"/>
      <w:lvlText w:val="%3."/>
      <w:lvlJc w:val="right"/>
      <w:pPr>
        <w:ind w:left="2160" w:hanging="180"/>
      </w:pPr>
    </w:lvl>
    <w:lvl w:ilvl="3" w:tplc="CFD493B0">
      <w:start w:val="1"/>
      <w:numFmt w:val="decimal"/>
      <w:lvlText w:val="%4."/>
      <w:lvlJc w:val="left"/>
      <w:pPr>
        <w:ind w:left="2880" w:hanging="360"/>
      </w:pPr>
    </w:lvl>
    <w:lvl w:ilvl="4" w:tplc="64080A2C">
      <w:start w:val="1"/>
      <w:numFmt w:val="lowerLetter"/>
      <w:lvlText w:val="%5."/>
      <w:lvlJc w:val="left"/>
      <w:pPr>
        <w:ind w:left="3600" w:hanging="360"/>
      </w:pPr>
    </w:lvl>
    <w:lvl w:ilvl="5" w:tplc="9CA27BCC">
      <w:start w:val="1"/>
      <w:numFmt w:val="lowerRoman"/>
      <w:lvlText w:val="%6."/>
      <w:lvlJc w:val="right"/>
      <w:pPr>
        <w:ind w:left="4320" w:hanging="180"/>
      </w:pPr>
    </w:lvl>
    <w:lvl w:ilvl="6" w:tplc="E09A2998">
      <w:start w:val="1"/>
      <w:numFmt w:val="decimal"/>
      <w:lvlText w:val="%7."/>
      <w:lvlJc w:val="left"/>
      <w:pPr>
        <w:ind w:left="5040" w:hanging="360"/>
      </w:pPr>
    </w:lvl>
    <w:lvl w:ilvl="7" w:tplc="342855D8">
      <w:start w:val="1"/>
      <w:numFmt w:val="lowerLetter"/>
      <w:lvlText w:val="%8."/>
      <w:lvlJc w:val="left"/>
      <w:pPr>
        <w:ind w:left="5760" w:hanging="360"/>
      </w:pPr>
    </w:lvl>
    <w:lvl w:ilvl="8" w:tplc="BD4A3E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7"/>
    <w:rsid w:val="000206B9"/>
    <w:rsid w:val="00032170"/>
    <w:rsid w:val="00056757"/>
    <w:rsid w:val="000970DE"/>
    <w:rsid w:val="000A5478"/>
    <w:rsid w:val="000B328D"/>
    <w:rsid w:val="000C2025"/>
    <w:rsid w:val="000D4CCF"/>
    <w:rsid w:val="00102B7C"/>
    <w:rsid w:val="001038F3"/>
    <w:rsid w:val="001253EF"/>
    <w:rsid w:val="00150261"/>
    <w:rsid w:val="00220947"/>
    <w:rsid w:val="00225334"/>
    <w:rsid w:val="002B31FF"/>
    <w:rsid w:val="002C5A11"/>
    <w:rsid w:val="002C701D"/>
    <w:rsid w:val="002F0034"/>
    <w:rsid w:val="00333C90"/>
    <w:rsid w:val="003368E3"/>
    <w:rsid w:val="00354AAA"/>
    <w:rsid w:val="00375A3C"/>
    <w:rsid w:val="0039720D"/>
    <w:rsid w:val="003C1D8D"/>
    <w:rsid w:val="003F4211"/>
    <w:rsid w:val="00400011"/>
    <w:rsid w:val="0041457A"/>
    <w:rsid w:val="00436FD8"/>
    <w:rsid w:val="00446679"/>
    <w:rsid w:val="004539F0"/>
    <w:rsid w:val="004E264B"/>
    <w:rsid w:val="0052177A"/>
    <w:rsid w:val="00531FDC"/>
    <w:rsid w:val="006A6BAF"/>
    <w:rsid w:val="006C6024"/>
    <w:rsid w:val="00740866"/>
    <w:rsid w:val="00751CF2"/>
    <w:rsid w:val="007577CC"/>
    <w:rsid w:val="0077532C"/>
    <w:rsid w:val="007A75D9"/>
    <w:rsid w:val="007F2006"/>
    <w:rsid w:val="008021C7"/>
    <w:rsid w:val="0082317B"/>
    <w:rsid w:val="00843173"/>
    <w:rsid w:val="008B617E"/>
    <w:rsid w:val="008C44EB"/>
    <w:rsid w:val="00902A6C"/>
    <w:rsid w:val="00903827"/>
    <w:rsid w:val="00913A78"/>
    <w:rsid w:val="00913E1C"/>
    <w:rsid w:val="00957521"/>
    <w:rsid w:val="00975F84"/>
    <w:rsid w:val="00997135"/>
    <w:rsid w:val="009E3518"/>
    <w:rsid w:val="009E58FD"/>
    <w:rsid w:val="00A94E3A"/>
    <w:rsid w:val="00B513C2"/>
    <w:rsid w:val="00C33E22"/>
    <w:rsid w:val="00C4589B"/>
    <w:rsid w:val="00CB209A"/>
    <w:rsid w:val="00CB546D"/>
    <w:rsid w:val="00CC4D0F"/>
    <w:rsid w:val="00CE6C9F"/>
    <w:rsid w:val="00D161EB"/>
    <w:rsid w:val="00D344A0"/>
    <w:rsid w:val="00DC5FFD"/>
    <w:rsid w:val="00DD2221"/>
    <w:rsid w:val="00DF389A"/>
    <w:rsid w:val="00E02A44"/>
    <w:rsid w:val="00E85557"/>
    <w:rsid w:val="00EC1853"/>
    <w:rsid w:val="00ED29D4"/>
    <w:rsid w:val="00F00FFE"/>
    <w:rsid w:val="00F2774F"/>
    <w:rsid w:val="00F3127B"/>
    <w:rsid w:val="00F54169"/>
    <w:rsid w:val="00F6780A"/>
    <w:rsid w:val="00FA59DB"/>
    <w:rsid w:val="00FB4591"/>
    <w:rsid w:val="00FD548D"/>
    <w:rsid w:val="00FE3A7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1CD6"/>
  <w15:chartTrackingRefBased/>
  <w15:docId w15:val="{1589DE07-F4C7-4488-8B84-3936BB0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5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557"/>
  </w:style>
  <w:style w:type="paragraph" w:styleId="Piedepgina">
    <w:name w:val="footer"/>
    <w:basedOn w:val="Normal"/>
    <w:link w:val="PiedepginaCar"/>
    <w:uiPriority w:val="99"/>
    <w:unhideWhenUsed/>
    <w:rsid w:val="00E85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557"/>
  </w:style>
  <w:style w:type="table" w:styleId="Tablaconcuadrcula">
    <w:name w:val="Table Grid"/>
    <w:basedOn w:val="Tablanormal"/>
    <w:uiPriority w:val="59"/>
    <w:rsid w:val="00E8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,DINFO_Materia,List Paragraph,Título Tablas y Figuras,Heading 2_sj,List Paragraph (numbered (a)),Bullets,List Paragraph1,Lapis Bulleted List,Dot pt,F5 List Paragraph,No Spacing1,List Paragraph Char Char Char,Indicator Text"/>
    <w:basedOn w:val="Normal"/>
    <w:link w:val="PrrafodelistaCar"/>
    <w:uiPriority w:val="34"/>
    <w:qFormat/>
    <w:rsid w:val="0039720D"/>
    <w:pPr>
      <w:widowControl w:val="0"/>
      <w:spacing w:before="180" w:after="0" w:line="240" w:lineRule="auto"/>
      <w:ind w:left="954" w:right="1115" w:hanging="356"/>
    </w:pPr>
    <w:rPr>
      <w:rFonts w:ascii="Times New Roman" w:eastAsia="Times New Roman" w:hAnsi="Times New Roman" w:cs="Times New Roman"/>
      <w:lang w:val="es-ES"/>
    </w:rPr>
  </w:style>
  <w:style w:type="character" w:customStyle="1" w:styleId="PrrafodelistaCar">
    <w:name w:val="Párrafo de lista Car"/>
    <w:aliases w:val="Párrafo Car,DINFO_Materia Car,List Paragraph Car,Título Tablas y Figuras Car,Heading 2_sj Car,List Paragraph (numbered (a)) Car,Bullets Car,List Paragraph1 Car,Lapis Bulleted List Car,Dot pt Car,F5 List Paragraph Car,No Spacing1 Car"/>
    <w:link w:val="Prrafodelista"/>
    <w:uiPriority w:val="34"/>
    <w:qFormat/>
    <w:locked/>
    <w:rsid w:val="0039720D"/>
    <w:rPr>
      <w:rFonts w:ascii="Times New Roman" w:eastAsia="Times New Roman" w:hAnsi="Times New Roman" w:cs="Times New Roman"/>
      <w:lang w:val="es-ES"/>
    </w:rPr>
  </w:style>
  <w:style w:type="character" w:customStyle="1" w:styleId="normaltextrun">
    <w:name w:val="normaltextrun"/>
    <w:basedOn w:val="Fuentedeprrafopredeter"/>
    <w:rsid w:val="0039720D"/>
  </w:style>
  <w:style w:type="character" w:customStyle="1" w:styleId="eop">
    <w:name w:val="eop"/>
    <w:basedOn w:val="Fuentedeprrafopredeter"/>
    <w:rsid w:val="0039720D"/>
  </w:style>
  <w:style w:type="character" w:styleId="Hipervnculo">
    <w:name w:val="Hyperlink"/>
    <w:basedOn w:val="Fuentedeprrafopredeter"/>
    <w:uiPriority w:val="99"/>
    <w:unhideWhenUsed/>
    <w:rsid w:val="0039720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72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72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720D"/>
    <w:rPr>
      <w:vertAlign w:val="superscript"/>
    </w:rPr>
  </w:style>
  <w:style w:type="paragraph" w:customStyle="1" w:styleId="Default">
    <w:name w:val="Default"/>
    <w:rsid w:val="003972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9720D"/>
  </w:style>
  <w:style w:type="paragraph" w:styleId="Bibliografa">
    <w:name w:val="Bibliography"/>
    <w:basedOn w:val="Normal"/>
    <w:next w:val="Normal"/>
    <w:uiPriority w:val="37"/>
    <w:unhideWhenUsed/>
    <w:rsid w:val="0039720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9720D"/>
  </w:style>
  <w:style w:type="character" w:styleId="Hipervnculovisitado">
    <w:name w:val="FollowedHyperlink"/>
    <w:basedOn w:val="Fuentedeprrafopredeter"/>
    <w:uiPriority w:val="99"/>
    <w:semiHidden/>
    <w:unhideWhenUsed/>
    <w:rsid w:val="000C2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al.org/es/organos-subsidiarios/regional-agreement-access-information-public-participation-and-justice/texto-acuerdo-region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nomadias.uchile.cl/index.php/NO/article/view/66100/69731" TargetMode="External"/><Relationship Id="rId3" Type="http://schemas.openxmlformats.org/officeDocument/2006/relationships/hyperlink" Target="https://www.uv.cl/pdn/?id=12965" TargetMode="External"/><Relationship Id="rId7" Type="http://schemas.openxmlformats.org/officeDocument/2006/relationships/hyperlink" Target="https://lac.unwomen.org/es/noticias-y-eventos/articulos/2021/11/mujeres-la-primera-linea-de-defensa-contra-el-cambio-climatico-pero-tambien-las-mas-afectadas" TargetMode="External"/><Relationship Id="rId2" Type="http://schemas.openxmlformats.org/officeDocument/2006/relationships/hyperlink" Target="https://www.defensorianinez.cl/wp-content/uploads/2020/05/Presentaci%C3%B3n-Estudio-Afectaci%C3%B3n-Quintero-Puchuncavi-EN-FORMATO-02082019.pdf" TargetMode="External"/><Relationship Id="rId1" Type="http://schemas.openxmlformats.org/officeDocument/2006/relationships/hyperlink" Target="https://observatoriop10.cepal.org/sites/default/files/documents/5888-2019_corte_suprema.pdf" TargetMode="External"/><Relationship Id="rId6" Type="http://schemas.openxmlformats.org/officeDocument/2006/relationships/hyperlink" Target="http://bibliodigital.saludpublica.uchile.cl:8080/dspace/bitstream/handle/123456789/740/Tesis_Estela_Blanco.pdf?sequence=1&amp;isAllowed=y" TargetMode="External"/><Relationship Id="rId11" Type="http://schemas.openxmlformats.org/officeDocument/2006/relationships/hyperlink" Target="https://wedocs.unep.org/bitstream/handle/20.500.11822/34929/GEN_ES.pdf?sequence=2&amp;isAllowed=y" TargetMode="External"/><Relationship Id="rId5" Type="http://schemas.openxmlformats.org/officeDocument/2006/relationships/hyperlink" Target="https://www.camara.cl/verDoc.aspx?prmID=156373&amp;prmTIPO=DOCUMENTOCOMISION" TargetMode="External"/><Relationship Id="rId10" Type="http://schemas.openxmlformats.org/officeDocument/2006/relationships/hyperlink" Target="https://cambioclimatico.mma.gob.cl/estrategia-climatica-de-largo-plazo-2050/descripcion-del-instrumento/" TargetMode="External"/><Relationship Id="rId4" Type="http://schemas.openxmlformats.org/officeDocument/2006/relationships/hyperlink" Target="https://www.sciencedirect.com/science/article/abs/pii/S0946672X18306461?via%3Dihub" TargetMode="External"/><Relationship Id="rId9" Type="http://schemas.openxmlformats.org/officeDocument/2006/relationships/hyperlink" Target="https://www.bcn.cl/leychile/navegar?idNorma=11772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BF3E-8521-4B8D-81C6-E7E58089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1836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Nogueira Muñoz</dc:creator>
  <cp:keywords/>
  <dc:description/>
  <cp:lastModifiedBy>Camilo Godoy Peña</cp:lastModifiedBy>
  <cp:revision>66</cp:revision>
  <dcterms:created xsi:type="dcterms:W3CDTF">2022-10-14T12:42:00Z</dcterms:created>
  <dcterms:modified xsi:type="dcterms:W3CDTF">2022-10-18T12:16:00Z</dcterms:modified>
</cp:coreProperties>
</file>