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93F6F" w14:textId="5B17F143" w:rsidR="008E2E9E" w:rsidRPr="003D3211" w:rsidRDefault="003D3211" w:rsidP="008E2E9E">
      <w:pPr>
        <w:jc w:val="right"/>
        <w:rPr>
          <w:sz w:val="22"/>
          <w:szCs w:val="22"/>
          <w:lang w:val="fr-FR"/>
        </w:rPr>
      </w:pPr>
      <w:r w:rsidRPr="003D3211">
        <w:rPr>
          <w:sz w:val="22"/>
          <w:szCs w:val="22"/>
          <w:lang w:val="fr-FR"/>
        </w:rPr>
        <w:t>5</w:t>
      </w:r>
      <w:r w:rsidR="008E2E9E" w:rsidRPr="003D3211">
        <w:rPr>
          <w:sz w:val="22"/>
          <w:szCs w:val="22"/>
          <w:lang w:val="fr-FR"/>
        </w:rPr>
        <w:t xml:space="preserve"> </w:t>
      </w:r>
      <w:r w:rsidR="0082106C" w:rsidRPr="0082106C">
        <w:rPr>
          <w:sz w:val="22"/>
          <w:szCs w:val="22"/>
          <w:lang w:val="fr-FR"/>
        </w:rPr>
        <w:t>décembre</w:t>
      </w:r>
      <w:r w:rsidR="0082106C">
        <w:rPr>
          <w:sz w:val="22"/>
          <w:szCs w:val="22"/>
          <w:lang w:val="fr-FR"/>
        </w:rPr>
        <w:t xml:space="preserve"> </w:t>
      </w:r>
      <w:r w:rsidR="008E2E9E" w:rsidRPr="003D3211">
        <w:rPr>
          <w:sz w:val="22"/>
          <w:szCs w:val="22"/>
          <w:lang w:val="fr-FR"/>
        </w:rPr>
        <w:t>2023</w:t>
      </w:r>
    </w:p>
    <w:p w14:paraId="14C33F19" w14:textId="02213D8D" w:rsidR="008E2E9E" w:rsidRPr="00DB005C" w:rsidRDefault="008E2E9E" w:rsidP="00211595">
      <w:pPr>
        <w:spacing w:after="160" w:line="259" w:lineRule="auto"/>
        <w:jc w:val="both"/>
        <w:rPr>
          <w:sz w:val="22"/>
          <w:szCs w:val="22"/>
          <w:lang w:val="fr-FR"/>
        </w:rPr>
      </w:pPr>
      <w:r w:rsidRPr="00DB005C">
        <w:rPr>
          <w:rFonts w:eastAsia="Calibri"/>
          <w:sz w:val="22"/>
          <w:szCs w:val="22"/>
          <w:lang w:val="fr-FR"/>
        </w:rPr>
        <w:t>Référence</w:t>
      </w:r>
      <w:r w:rsidR="00A64BE2" w:rsidRPr="00DB005C">
        <w:rPr>
          <w:rFonts w:eastAsia="Calibri"/>
          <w:sz w:val="22"/>
          <w:szCs w:val="22"/>
          <w:lang w:val="fr-FR"/>
        </w:rPr>
        <w:t xml:space="preserve"> </w:t>
      </w:r>
      <w:r w:rsidRPr="00DB005C">
        <w:rPr>
          <w:rFonts w:eastAsia="Calibri"/>
          <w:sz w:val="22"/>
          <w:szCs w:val="22"/>
          <w:lang w:val="fr-FR"/>
        </w:rPr>
        <w:t>: WHRGS/HRC/RES/54/19</w:t>
      </w:r>
    </w:p>
    <w:p w14:paraId="657AD62A" w14:textId="1E2584C1" w:rsidR="00A65FFD" w:rsidRPr="00DB005C" w:rsidRDefault="00211595" w:rsidP="00211595">
      <w:pPr>
        <w:jc w:val="both"/>
        <w:rPr>
          <w:b/>
          <w:bCs/>
          <w:sz w:val="22"/>
          <w:szCs w:val="22"/>
          <w:lang w:val="fr-FR"/>
        </w:rPr>
      </w:pPr>
      <w:r w:rsidRPr="00DB005C">
        <w:rPr>
          <w:b/>
          <w:bCs/>
          <w:sz w:val="22"/>
          <w:szCs w:val="22"/>
          <w:lang w:val="fr-FR"/>
        </w:rPr>
        <w:t>Objet :</w:t>
      </w:r>
      <w:r w:rsidR="008E2E9E" w:rsidRPr="00DB005C">
        <w:rPr>
          <w:b/>
          <w:bCs/>
          <w:sz w:val="22"/>
          <w:szCs w:val="22"/>
          <w:lang w:val="fr-FR"/>
        </w:rPr>
        <w:t xml:space="preserve"> Appel à contribution pour un rapport sur</w:t>
      </w:r>
      <w:r w:rsidR="008E2E9E" w:rsidRPr="00DB005C">
        <w:rPr>
          <w:sz w:val="22"/>
          <w:szCs w:val="22"/>
          <w:lang w:val="fr-FR"/>
        </w:rPr>
        <w:t xml:space="preserve"> </w:t>
      </w:r>
      <w:r w:rsidR="008E2E9E" w:rsidRPr="00DB005C">
        <w:rPr>
          <w:b/>
          <w:bCs/>
          <w:sz w:val="22"/>
          <w:szCs w:val="22"/>
          <w:lang w:val="fr-FR"/>
        </w:rPr>
        <w:t>les effets que les changements climatiques peuvent avoir sur l’exercice du droit à l’éducation par toutes les filles dans des conditions d’égalité</w:t>
      </w:r>
    </w:p>
    <w:p w14:paraId="48D90104" w14:textId="77777777" w:rsidR="00C768CC" w:rsidRPr="00DB005C" w:rsidRDefault="00C768CC" w:rsidP="00211595">
      <w:pPr>
        <w:jc w:val="both"/>
        <w:rPr>
          <w:b/>
          <w:bCs/>
          <w:sz w:val="22"/>
          <w:szCs w:val="22"/>
          <w:lang w:val="fr-FR"/>
        </w:rPr>
      </w:pPr>
    </w:p>
    <w:p w14:paraId="15A4597D" w14:textId="7A033A68" w:rsidR="00C768CC" w:rsidRPr="00DB005C" w:rsidRDefault="00C768CC" w:rsidP="00211595">
      <w:pPr>
        <w:jc w:val="both"/>
        <w:rPr>
          <w:sz w:val="22"/>
          <w:szCs w:val="22"/>
          <w:lang w:val="fr-FR"/>
        </w:rPr>
      </w:pPr>
      <w:r w:rsidRPr="00DB005C">
        <w:rPr>
          <w:sz w:val="22"/>
          <w:szCs w:val="22"/>
          <w:lang w:val="fr-FR"/>
        </w:rPr>
        <w:t>Le Haut-Commissariat des Nations Unies aux droits de l'homme (HCDH) présente ses compliments aux missions permanentes auprès de l'Office des Nations Unies et des autres organisations internationales à Genève et a l'honneur de se référer à la résolution 54/19 du Conseil des droits de l'homme sur le droit à l’éducation par toutes les filles dans des conditions d’égalité.</w:t>
      </w:r>
    </w:p>
    <w:p w14:paraId="268BE631" w14:textId="77777777" w:rsidR="00C768CC" w:rsidRPr="00DB005C" w:rsidRDefault="00C768CC" w:rsidP="00211595">
      <w:pPr>
        <w:jc w:val="both"/>
        <w:rPr>
          <w:sz w:val="22"/>
          <w:szCs w:val="22"/>
          <w:lang w:val="fr-FR"/>
        </w:rPr>
      </w:pPr>
    </w:p>
    <w:p w14:paraId="12B81E2F" w14:textId="0E993B60" w:rsidR="00C768CC" w:rsidRPr="00DB005C" w:rsidRDefault="00CD6B15" w:rsidP="00211595">
      <w:pPr>
        <w:jc w:val="both"/>
        <w:rPr>
          <w:sz w:val="22"/>
          <w:szCs w:val="22"/>
          <w:lang w:val="fr-FR"/>
        </w:rPr>
      </w:pPr>
      <w:r w:rsidRPr="00DB005C">
        <w:rPr>
          <w:sz w:val="22"/>
          <w:szCs w:val="22"/>
          <w:lang w:val="fr-FR"/>
        </w:rPr>
        <w:t xml:space="preserve">Le Conseil des droits de l'homme a demandé au HCDH de présenter, avant la fin de sa cinquante-septième session, un rapport fondé sur des éléments probants sur </w:t>
      </w:r>
      <w:r w:rsidRPr="00DB005C">
        <w:rPr>
          <w:b/>
          <w:bCs/>
          <w:sz w:val="22"/>
          <w:szCs w:val="22"/>
          <w:lang w:val="fr-FR"/>
        </w:rPr>
        <w:t xml:space="preserve">les effets que les changements climatiques peuvent avoir sur l’exercice du droit à l’éducation par toutes les filles dans des conditions d’égalité, en mettant en lumière </w:t>
      </w:r>
      <w:r w:rsidR="001F1D97" w:rsidRPr="00DB005C">
        <w:rPr>
          <w:b/>
          <w:bCs/>
          <w:sz w:val="22"/>
          <w:szCs w:val="22"/>
          <w:lang w:val="fr-FR"/>
        </w:rPr>
        <w:t>la</w:t>
      </w:r>
      <w:r w:rsidRPr="00DB005C">
        <w:rPr>
          <w:b/>
          <w:bCs/>
          <w:sz w:val="22"/>
          <w:szCs w:val="22"/>
          <w:lang w:val="fr-FR"/>
        </w:rPr>
        <w:t xml:space="preserve"> manière </w:t>
      </w:r>
      <w:r w:rsidR="001F1D97" w:rsidRPr="00DB005C">
        <w:rPr>
          <w:b/>
          <w:bCs/>
          <w:sz w:val="22"/>
          <w:szCs w:val="22"/>
          <w:lang w:val="fr-FR"/>
        </w:rPr>
        <w:t xml:space="preserve">dont </w:t>
      </w:r>
      <w:r w:rsidRPr="00DB005C">
        <w:rPr>
          <w:b/>
          <w:bCs/>
          <w:sz w:val="22"/>
          <w:szCs w:val="22"/>
          <w:lang w:val="fr-FR"/>
        </w:rPr>
        <w:t>l’exercice du droit à l’éducation par toutes les filles dans des conditions d’égalité peut contribuer à l’action climatique et en formulant des recommandations</w:t>
      </w:r>
      <w:r w:rsidRPr="00DB005C">
        <w:rPr>
          <w:sz w:val="22"/>
          <w:szCs w:val="22"/>
          <w:lang w:val="fr-FR"/>
        </w:rPr>
        <w:t xml:space="preserve"> en utilisant les informations fournies par les États, les organismes, fonds et programmes des Nations Unies, les procédures spéciales du Conseil des droits de l’homme, les organes conventionnels, les institutions nationales des droits de l'homme, les organisations de la société civile et d’autres parties prenantes.</w:t>
      </w:r>
    </w:p>
    <w:p w14:paraId="390B8FE4" w14:textId="77777777" w:rsidR="00CD6B15" w:rsidRPr="00DB005C" w:rsidRDefault="00CD6B15" w:rsidP="00211595">
      <w:pPr>
        <w:jc w:val="both"/>
        <w:rPr>
          <w:sz w:val="22"/>
          <w:szCs w:val="22"/>
          <w:lang w:val="fr-FR"/>
        </w:rPr>
      </w:pPr>
    </w:p>
    <w:p w14:paraId="785B299F" w14:textId="099E1CEC" w:rsidR="00CD6B15" w:rsidRPr="00DB005C" w:rsidRDefault="00B64FAF" w:rsidP="00211595">
      <w:pPr>
        <w:jc w:val="both"/>
        <w:rPr>
          <w:sz w:val="22"/>
          <w:szCs w:val="22"/>
          <w:lang w:val="fr-FR"/>
        </w:rPr>
      </w:pPr>
      <w:r w:rsidRPr="0CA88CD8">
        <w:rPr>
          <w:sz w:val="22"/>
          <w:szCs w:val="22"/>
          <w:lang w:val="fr-FR"/>
        </w:rPr>
        <w:t xml:space="preserve">À cet égard, le HCDH sollicite les contributions des États et d'autres parties prenantes afin </w:t>
      </w:r>
      <w:r w:rsidR="006C0453" w:rsidRPr="0CA88CD8">
        <w:rPr>
          <w:sz w:val="22"/>
          <w:szCs w:val="22"/>
          <w:lang w:val="fr-FR"/>
        </w:rPr>
        <w:t xml:space="preserve">de renseigner </w:t>
      </w:r>
      <w:r w:rsidRPr="0CA88CD8">
        <w:rPr>
          <w:sz w:val="22"/>
          <w:szCs w:val="22"/>
          <w:lang w:val="fr-FR"/>
        </w:rPr>
        <w:t xml:space="preserve">la préparation du rapport susmentionné. </w:t>
      </w:r>
      <w:r w:rsidR="004D7457" w:rsidRPr="0CA88CD8">
        <w:rPr>
          <w:sz w:val="22"/>
          <w:szCs w:val="22"/>
        </w:rPr>
        <w:t xml:space="preserve">Le HCDH </w:t>
      </w:r>
      <w:proofErr w:type="spellStart"/>
      <w:r w:rsidR="004D7457" w:rsidRPr="0CA88CD8">
        <w:rPr>
          <w:sz w:val="22"/>
          <w:szCs w:val="22"/>
        </w:rPr>
        <w:t>souhaiterait</w:t>
      </w:r>
      <w:proofErr w:type="spellEnd"/>
      <w:r w:rsidR="004D7457" w:rsidRPr="0CA88CD8">
        <w:rPr>
          <w:sz w:val="22"/>
          <w:szCs w:val="22"/>
        </w:rPr>
        <w:t xml:space="preserve"> </w:t>
      </w:r>
      <w:proofErr w:type="spellStart"/>
      <w:r w:rsidR="004D7457" w:rsidRPr="0CA88CD8">
        <w:rPr>
          <w:sz w:val="22"/>
          <w:szCs w:val="22"/>
        </w:rPr>
        <w:t>recevoir</w:t>
      </w:r>
      <w:proofErr w:type="spellEnd"/>
      <w:r w:rsidR="004D7457" w:rsidRPr="0CA88CD8">
        <w:rPr>
          <w:sz w:val="22"/>
          <w:szCs w:val="22"/>
        </w:rPr>
        <w:t xml:space="preserve"> </w:t>
      </w:r>
      <w:r w:rsidR="0A6F1ACC" w:rsidRPr="0CA88CD8">
        <w:rPr>
          <w:sz w:val="22"/>
          <w:szCs w:val="22"/>
        </w:rPr>
        <w:t>d</w:t>
      </w:r>
      <w:r w:rsidR="004D7457" w:rsidRPr="0CA88CD8">
        <w:rPr>
          <w:sz w:val="22"/>
          <w:szCs w:val="22"/>
        </w:rPr>
        <w:t xml:space="preserve">es contributions </w:t>
      </w:r>
      <w:proofErr w:type="spellStart"/>
      <w:r w:rsidR="004D7457" w:rsidRPr="0CA88CD8">
        <w:rPr>
          <w:sz w:val="22"/>
          <w:szCs w:val="22"/>
        </w:rPr>
        <w:t>écrites</w:t>
      </w:r>
      <w:proofErr w:type="spellEnd"/>
      <w:r w:rsidR="004D7457" w:rsidRPr="0CA88CD8">
        <w:rPr>
          <w:sz w:val="22"/>
          <w:szCs w:val="22"/>
        </w:rPr>
        <w:t xml:space="preserve">, </w:t>
      </w:r>
      <w:proofErr w:type="spellStart"/>
      <w:r w:rsidR="004D7457" w:rsidRPr="0CA88CD8">
        <w:rPr>
          <w:sz w:val="22"/>
          <w:szCs w:val="22"/>
        </w:rPr>
        <w:t>comprenant</w:t>
      </w:r>
      <w:proofErr w:type="spellEnd"/>
      <w:r w:rsidR="004D7457" w:rsidRPr="0CA88CD8">
        <w:rPr>
          <w:sz w:val="22"/>
          <w:szCs w:val="22"/>
        </w:rPr>
        <w:t xml:space="preserve"> </w:t>
      </w:r>
      <w:r w:rsidR="372155C2" w:rsidRPr="0CA88CD8">
        <w:rPr>
          <w:sz w:val="22"/>
          <w:szCs w:val="22"/>
        </w:rPr>
        <w:t>l</w:t>
      </w:r>
      <w:r w:rsidR="004D7457" w:rsidRPr="0CA88CD8">
        <w:rPr>
          <w:sz w:val="22"/>
          <w:szCs w:val="22"/>
        </w:rPr>
        <w:t xml:space="preserve">es </w:t>
      </w:r>
      <w:proofErr w:type="spellStart"/>
      <w:r w:rsidR="004D7457" w:rsidRPr="0CA88CD8">
        <w:rPr>
          <w:sz w:val="22"/>
          <w:szCs w:val="22"/>
        </w:rPr>
        <w:t>éléments</w:t>
      </w:r>
      <w:proofErr w:type="spellEnd"/>
      <w:r w:rsidR="004D7457" w:rsidRPr="0CA88CD8">
        <w:rPr>
          <w:sz w:val="22"/>
          <w:szCs w:val="22"/>
        </w:rPr>
        <w:t xml:space="preserve"> de </w:t>
      </w:r>
      <w:proofErr w:type="spellStart"/>
      <w:r w:rsidR="004D7457" w:rsidRPr="0CA88CD8">
        <w:rPr>
          <w:sz w:val="22"/>
          <w:szCs w:val="22"/>
        </w:rPr>
        <w:t>réponse</w:t>
      </w:r>
      <w:proofErr w:type="spellEnd"/>
      <w:r w:rsidR="004D7457" w:rsidRPr="0CA88CD8">
        <w:rPr>
          <w:sz w:val="22"/>
          <w:szCs w:val="22"/>
        </w:rPr>
        <w:t xml:space="preserve"> </w:t>
      </w:r>
      <w:proofErr w:type="spellStart"/>
      <w:r w:rsidR="004D7457" w:rsidRPr="0CA88CD8">
        <w:rPr>
          <w:sz w:val="22"/>
          <w:szCs w:val="22"/>
        </w:rPr>
        <w:t>requis</w:t>
      </w:r>
      <w:proofErr w:type="spellEnd"/>
      <w:r w:rsidR="004D7457" w:rsidRPr="0CA88CD8">
        <w:rPr>
          <w:sz w:val="22"/>
          <w:szCs w:val="22"/>
        </w:rPr>
        <w:t xml:space="preserve"> </w:t>
      </w:r>
      <w:proofErr w:type="spellStart"/>
      <w:r w:rsidR="004D7457" w:rsidRPr="0CA88CD8">
        <w:rPr>
          <w:sz w:val="22"/>
          <w:szCs w:val="22"/>
        </w:rPr>
        <w:t>en</w:t>
      </w:r>
      <w:proofErr w:type="spellEnd"/>
      <w:r w:rsidR="004D7457" w:rsidRPr="0CA88CD8">
        <w:rPr>
          <w:sz w:val="22"/>
          <w:szCs w:val="22"/>
        </w:rPr>
        <w:t xml:space="preserve"> annexe.</w:t>
      </w:r>
    </w:p>
    <w:p w14:paraId="3AA66712" w14:textId="77777777" w:rsidR="00B64FAF" w:rsidRPr="00DB005C" w:rsidRDefault="00B64FAF" w:rsidP="00211595">
      <w:pPr>
        <w:jc w:val="both"/>
        <w:rPr>
          <w:sz w:val="22"/>
          <w:szCs w:val="22"/>
          <w:lang w:val="fr-FR"/>
        </w:rPr>
      </w:pPr>
    </w:p>
    <w:p w14:paraId="7AE27C72" w14:textId="16D26D92" w:rsidR="00B64FAF" w:rsidRPr="00DB005C" w:rsidRDefault="00B64FAF" w:rsidP="00211595">
      <w:pPr>
        <w:jc w:val="both"/>
        <w:rPr>
          <w:sz w:val="22"/>
          <w:szCs w:val="22"/>
          <w:lang w:val="fr-FR"/>
        </w:rPr>
      </w:pPr>
      <w:r w:rsidRPr="00DB005C">
        <w:rPr>
          <w:sz w:val="22"/>
          <w:szCs w:val="22"/>
          <w:lang w:val="fr-FR"/>
        </w:rPr>
        <w:t xml:space="preserve">Les soumissions doivent être reçues avant le </w:t>
      </w:r>
      <w:r w:rsidRPr="00DB005C">
        <w:rPr>
          <w:b/>
          <w:bCs/>
          <w:sz w:val="22"/>
          <w:szCs w:val="22"/>
          <w:lang w:val="fr-FR"/>
        </w:rPr>
        <w:t>1er mars 2024</w:t>
      </w:r>
      <w:r w:rsidRPr="00DB005C">
        <w:rPr>
          <w:sz w:val="22"/>
          <w:szCs w:val="22"/>
          <w:lang w:val="fr-FR"/>
        </w:rPr>
        <w:t xml:space="preserve"> et être :</w:t>
      </w:r>
    </w:p>
    <w:p w14:paraId="3213CA38" w14:textId="77777777" w:rsidR="00B64FAF" w:rsidRPr="00DB005C" w:rsidRDefault="00B64FAF" w:rsidP="00211595">
      <w:pPr>
        <w:jc w:val="both"/>
        <w:rPr>
          <w:sz w:val="22"/>
          <w:szCs w:val="22"/>
          <w:lang w:val="fr-FR"/>
        </w:rPr>
      </w:pPr>
    </w:p>
    <w:p w14:paraId="4D4E79A6" w14:textId="594530A5" w:rsidR="00B64FAF" w:rsidRPr="004D7457" w:rsidRDefault="00B64FAF" w:rsidP="004D7457">
      <w:pPr>
        <w:pStyle w:val="ListParagraph"/>
        <w:numPr>
          <w:ilvl w:val="0"/>
          <w:numId w:val="1"/>
        </w:numPr>
        <w:jc w:val="both"/>
        <w:rPr>
          <w:sz w:val="22"/>
          <w:szCs w:val="22"/>
          <w:lang w:val="fr-FR"/>
        </w:rPr>
      </w:pPr>
      <w:r w:rsidRPr="00DB005C">
        <w:rPr>
          <w:sz w:val="22"/>
          <w:szCs w:val="22"/>
          <w:lang w:val="fr-FR"/>
        </w:rPr>
        <w:t>Limitées à 5 pages</w:t>
      </w:r>
      <w:r w:rsidR="004D7457">
        <w:rPr>
          <w:sz w:val="22"/>
          <w:szCs w:val="22"/>
          <w:lang w:val="fr-FR"/>
        </w:rPr>
        <w:t>, a</w:t>
      </w:r>
      <w:r w:rsidRPr="004D7457">
        <w:rPr>
          <w:sz w:val="22"/>
          <w:szCs w:val="22"/>
          <w:lang w:val="fr-FR"/>
        </w:rPr>
        <w:t>u format Microsoft Word ;</w:t>
      </w:r>
    </w:p>
    <w:p w14:paraId="77685141" w14:textId="17BFC097" w:rsidR="00B64FAF" w:rsidRPr="00DB005C" w:rsidRDefault="00B64FAF" w:rsidP="00211595">
      <w:pPr>
        <w:pStyle w:val="ListParagraph"/>
        <w:numPr>
          <w:ilvl w:val="0"/>
          <w:numId w:val="1"/>
        </w:numPr>
        <w:jc w:val="both"/>
        <w:rPr>
          <w:sz w:val="22"/>
          <w:szCs w:val="22"/>
          <w:lang w:val="fr-FR"/>
        </w:rPr>
      </w:pPr>
      <w:r w:rsidRPr="00DB005C">
        <w:rPr>
          <w:sz w:val="22"/>
          <w:szCs w:val="22"/>
          <w:lang w:val="fr-FR"/>
        </w:rPr>
        <w:t>Dans la mesure du possible, rédigées en anglais, français ou espagnol et accompagnées d'un résumé en anglais</w:t>
      </w:r>
      <w:r w:rsidR="00E763B4" w:rsidRPr="00DB005C">
        <w:rPr>
          <w:sz w:val="22"/>
          <w:szCs w:val="22"/>
          <w:lang w:val="fr-FR"/>
        </w:rPr>
        <w:t> ;</w:t>
      </w:r>
    </w:p>
    <w:p w14:paraId="7FB88FD9" w14:textId="5E679CFE" w:rsidR="00E763B4" w:rsidRPr="00DB005C" w:rsidRDefault="00E763B4" w:rsidP="00211595">
      <w:pPr>
        <w:pStyle w:val="ListParagraph"/>
        <w:numPr>
          <w:ilvl w:val="0"/>
          <w:numId w:val="1"/>
        </w:numPr>
        <w:jc w:val="both"/>
        <w:rPr>
          <w:sz w:val="22"/>
          <w:szCs w:val="22"/>
          <w:lang w:val="fr-FR"/>
        </w:rPr>
      </w:pPr>
      <w:r w:rsidRPr="00DB005C">
        <w:rPr>
          <w:sz w:val="22"/>
          <w:szCs w:val="22"/>
          <w:lang w:val="fr-FR"/>
        </w:rPr>
        <w:t>Envoyée</w:t>
      </w:r>
      <w:r w:rsidR="00224FDC" w:rsidRPr="00DB005C">
        <w:rPr>
          <w:sz w:val="22"/>
          <w:szCs w:val="22"/>
          <w:lang w:val="fr-FR"/>
        </w:rPr>
        <w:t>s</w:t>
      </w:r>
      <w:r w:rsidRPr="00DB005C">
        <w:rPr>
          <w:sz w:val="22"/>
          <w:szCs w:val="22"/>
          <w:lang w:val="fr-FR"/>
        </w:rPr>
        <w:t xml:space="preserve"> par voie électronique à </w:t>
      </w:r>
      <w:hyperlink r:id="rId11" w:history="1">
        <w:r w:rsidRPr="00DB005C">
          <w:rPr>
            <w:rStyle w:val="Hyperlink"/>
            <w:sz w:val="22"/>
            <w:szCs w:val="22"/>
            <w:lang w:val="fr-FR"/>
          </w:rPr>
          <w:t>ohchr-registry@un.org</w:t>
        </w:r>
      </w:hyperlink>
      <w:r w:rsidRPr="00DB005C">
        <w:rPr>
          <w:sz w:val="22"/>
          <w:szCs w:val="22"/>
          <w:lang w:val="fr-FR"/>
        </w:rPr>
        <w:t xml:space="preserve"> avec </w:t>
      </w:r>
      <w:hyperlink r:id="rId12" w:history="1">
        <w:r w:rsidRPr="00DB005C">
          <w:rPr>
            <w:rStyle w:val="Hyperlink"/>
            <w:sz w:val="22"/>
            <w:szCs w:val="22"/>
            <w:lang w:val="fr-FR"/>
          </w:rPr>
          <w:t>aydan.figaroa@un.org</w:t>
        </w:r>
      </w:hyperlink>
      <w:r w:rsidRPr="00DB005C">
        <w:rPr>
          <w:sz w:val="22"/>
          <w:szCs w:val="22"/>
          <w:lang w:val="fr-FR"/>
        </w:rPr>
        <w:t xml:space="preserve"> en </w:t>
      </w:r>
      <w:r w:rsidR="00224FDC" w:rsidRPr="00DB005C">
        <w:rPr>
          <w:sz w:val="22"/>
          <w:szCs w:val="22"/>
          <w:lang w:val="fr-FR"/>
        </w:rPr>
        <w:t>copie</w:t>
      </w:r>
      <w:r w:rsidRPr="00DB005C">
        <w:rPr>
          <w:sz w:val="22"/>
          <w:szCs w:val="22"/>
          <w:lang w:val="fr-FR"/>
        </w:rPr>
        <w:t xml:space="preserve">, </w:t>
      </w:r>
      <w:r w:rsidR="009D5157" w:rsidRPr="00DB005C">
        <w:rPr>
          <w:sz w:val="22"/>
          <w:szCs w:val="22"/>
          <w:lang w:val="fr-FR"/>
        </w:rPr>
        <w:t>précisant</w:t>
      </w:r>
      <w:r w:rsidRPr="00DB005C">
        <w:rPr>
          <w:sz w:val="22"/>
          <w:szCs w:val="22"/>
          <w:lang w:val="fr-FR"/>
        </w:rPr>
        <w:t xml:space="preserve"> dans l'objet du </w:t>
      </w:r>
      <w:r w:rsidR="00211595" w:rsidRPr="00DB005C">
        <w:rPr>
          <w:sz w:val="22"/>
          <w:szCs w:val="22"/>
          <w:lang w:val="fr-FR"/>
        </w:rPr>
        <w:t>courriel :</w:t>
      </w:r>
      <w:r w:rsidRPr="00DB005C">
        <w:rPr>
          <w:sz w:val="22"/>
          <w:szCs w:val="22"/>
          <w:lang w:val="fr-FR"/>
        </w:rPr>
        <w:t xml:space="preserve"> </w:t>
      </w:r>
      <w:r w:rsidR="005C5642" w:rsidRPr="00DB005C">
        <w:rPr>
          <w:b/>
          <w:bCs/>
          <w:sz w:val="22"/>
          <w:szCs w:val="22"/>
          <w:lang w:val="fr-FR"/>
        </w:rPr>
        <w:t>soumission rapport</w:t>
      </w:r>
      <w:r w:rsidR="00C401E5" w:rsidRPr="00DB005C">
        <w:rPr>
          <w:b/>
          <w:bCs/>
          <w:sz w:val="22"/>
          <w:szCs w:val="22"/>
          <w:lang w:val="fr-FR"/>
        </w:rPr>
        <w:t xml:space="preserve"> sur l’exercice du droit à l’éducation par toutes les filles dans des conditions d’égalité, résolution 54/19</w:t>
      </w:r>
    </w:p>
    <w:p w14:paraId="70475620" w14:textId="77777777" w:rsidR="00C401E5" w:rsidRPr="00DB005C" w:rsidRDefault="00C401E5" w:rsidP="00211595">
      <w:pPr>
        <w:jc w:val="both"/>
        <w:rPr>
          <w:sz w:val="22"/>
          <w:szCs w:val="22"/>
          <w:lang w:val="fr-FR"/>
        </w:rPr>
      </w:pPr>
    </w:p>
    <w:p w14:paraId="52954832" w14:textId="49C7A77D" w:rsidR="00C401E5" w:rsidRPr="00DB005C" w:rsidRDefault="009D5157" w:rsidP="00211595">
      <w:pPr>
        <w:jc w:val="both"/>
        <w:rPr>
          <w:sz w:val="22"/>
          <w:szCs w:val="22"/>
          <w:lang w:val="fr-FR"/>
        </w:rPr>
      </w:pPr>
      <w:r w:rsidRPr="00DB005C">
        <w:rPr>
          <w:sz w:val="22"/>
          <w:szCs w:val="22"/>
          <w:lang w:val="fr-FR"/>
        </w:rPr>
        <w:t>Les s</w:t>
      </w:r>
      <w:r w:rsidR="00C401E5" w:rsidRPr="00DB005C">
        <w:rPr>
          <w:sz w:val="22"/>
          <w:szCs w:val="22"/>
          <w:lang w:val="fr-FR"/>
        </w:rPr>
        <w:t>oumissions seront rendues publiques dans leur intégralité et telles qu'elles ont été reçues sur le site web du HCDH, sauf demande contraire.</w:t>
      </w:r>
    </w:p>
    <w:p w14:paraId="1B3A0E2D" w14:textId="77777777" w:rsidR="00C401E5" w:rsidRPr="00DB005C" w:rsidRDefault="00C401E5" w:rsidP="00211595">
      <w:pPr>
        <w:jc w:val="both"/>
        <w:rPr>
          <w:sz w:val="22"/>
          <w:szCs w:val="22"/>
          <w:lang w:val="fr-FR"/>
        </w:rPr>
      </w:pPr>
    </w:p>
    <w:p w14:paraId="05F0A68A" w14:textId="1ED480C4" w:rsidR="00734AD1" w:rsidRPr="00DB005C" w:rsidRDefault="00C401E5" w:rsidP="00211595">
      <w:pPr>
        <w:jc w:val="both"/>
        <w:rPr>
          <w:sz w:val="22"/>
          <w:szCs w:val="22"/>
          <w:lang w:val="fr-FR"/>
        </w:rPr>
      </w:pPr>
      <w:r w:rsidRPr="00DB005C">
        <w:rPr>
          <w:sz w:val="22"/>
          <w:szCs w:val="22"/>
          <w:lang w:val="fr-FR"/>
        </w:rPr>
        <w:t xml:space="preserve">Toute demande de renseignements peut être adressée à Aydan Figaroa à l'adresse </w:t>
      </w:r>
      <w:hyperlink r:id="rId13" w:history="1">
        <w:r w:rsidRPr="00DB005C">
          <w:rPr>
            <w:rStyle w:val="Hyperlink"/>
            <w:sz w:val="22"/>
            <w:szCs w:val="22"/>
            <w:lang w:val="fr-FR"/>
          </w:rPr>
          <w:t>aydan.figaroa@un.org</w:t>
        </w:r>
      </w:hyperlink>
      <w:r w:rsidRPr="00DB005C">
        <w:rPr>
          <w:sz w:val="22"/>
          <w:szCs w:val="22"/>
          <w:lang w:val="fr-FR"/>
        </w:rPr>
        <w:t xml:space="preserve">. </w:t>
      </w:r>
    </w:p>
    <w:p w14:paraId="5083068A" w14:textId="77777777" w:rsidR="00BB4F9A" w:rsidRPr="00DB005C" w:rsidRDefault="00BB4F9A" w:rsidP="00211595">
      <w:pPr>
        <w:jc w:val="both"/>
        <w:rPr>
          <w:sz w:val="22"/>
          <w:szCs w:val="22"/>
          <w:lang w:val="fr-FR"/>
        </w:rPr>
      </w:pPr>
    </w:p>
    <w:p w14:paraId="3780EBA8" w14:textId="77777777" w:rsidR="00C401E5" w:rsidRPr="00DB005C" w:rsidRDefault="00C401E5" w:rsidP="00734AD1">
      <w:pPr>
        <w:jc w:val="both"/>
        <w:rPr>
          <w:sz w:val="22"/>
          <w:szCs w:val="22"/>
          <w:lang w:val="fr-FR"/>
        </w:rPr>
      </w:pPr>
      <w:r w:rsidRPr="00DB005C">
        <w:rPr>
          <w:sz w:val="22"/>
          <w:szCs w:val="22"/>
          <w:lang w:val="fr-FR"/>
        </w:rPr>
        <w:t xml:space="preserve">Le Haut-Commissariat aux droits de l'homme saisit cette occasion pour renouveler aux Missions </w:t>
      </w:r>
    </w:p>
    <w:p w14:paraId="31201424" w14:textId="77777777" w:rsidR="00734AD1" w:rsidRDefault="00211595" w:rsidP="00734AD1">
      <w:pPr>
        <w:spacing w:after="160" w:line="259" w:lineRule="auto"/>
        <w:jc w:val="both"/>
        <w:rPr>
          <w:sz w:val="22"/>
          <w:szCs w:val="22"/>
          <w:lang w:val="fr-FR"/>
        </w:rPr>
      </w:pPr>
      <w:r w:rsidRPr="00DB005C">
        <w:rPr>
          <w:sz w:val="22"/>
          <w:szCs w:val="22"/>
          <w:lang w:val="fr-FR"/>
        </w:rPr>
        <w:t>Permanentes</w:t>
      </w:r>
      <w:r w:rsidR="00C401E5" w:rsidRPr="00DB005C">
        <w:rPr>
          <w:sz w:val="22"/>
          <w:szCs w:val="22"/>
          <w:lang w:val="fr-FR"/>
        </w:rPr>
        <w:t xml:space="preserve"> auprès de l'Office des Nations Unies à Genève les assurances de sa très haute considération.</w:t>
      </w:r>
      <w:r w:rsidR="00C401E5" w:rsidRPr="00DB005C">
        <w:rPr>
          <w:sz w:val="22"/>
          <w:szCs w:val="22"/>
          <w:lang w:val="fr-FR"/>
        </w:rPr>
        <w:cr/>
      </w:r>
      <w:r w:rsidR="00C401E5" w:rsidRPr="00C401E5">
        <w:rPr>
          <w:sz w:val="22"/>
          <w:szCs w:val="22"/>
          <w:lang w:val="fr-FR"/>
        </w:rPr>
        <w:br w:type="page"/>
      </w:r>
    </w:p>
    <w:p w14:paraId="47CFDFC0" w14:textId="6A5745DD" w:rsidR="00C401E5" w:rsidRPr="00734AD1" w:rsidRDefault="00C401E5" w:rsidP="00734AD1">
      <w:pPr>
        <w:spacing w:after="160" w:line="259" w:lineRule="auto"/>
        <w:jc w:val="center"/>
        <w:rPr>
          <w:sz w:val="22"/>
          <w:szCs w:val="22"/>
          <w:lang w:val="fr-FR"/>
        </w:rPr>
      </w:pPr>
      <w:r w:rsidRPr="00C401E5">
        <w:rPr>
          <w:rFonts w:eastAsia="Calibri"/>
          <w:b/>
          <w:sz w:val="24"/>
          <w:szCs w:val="24"/>
          <w:lang w:val="fr-FR"/>
        </w:rPr>
        <w:lastRenderedPageBreak/>
        <w:t>ANNEXE</w:t>
      </w:r>
    </w:p>
    <w:p w14:paraId="315A1044" w14:textId="77777777" w:rsidR="00C401E5" w:rsidRPr="00C401E5" w:rsidRDefault="00C401E5" w:rsidP="00211595">
      <w:pPr>
        <w:jc w:val="both"/>
        <w:rPr>
          <w:rFonts w:eastAsia="Calibri"/>
          <w:b/>
          <w:sz w:val="24"/>
          <w:szCs w:val="24"/>
          <w:lang w:val="fr-FR"/>
        </w:rPr>
      </w:pPr>
    </w:p>
    <w:p w14:paraId="07278A5A" w14:textId="196540D0" w:rsidR="00C401E5" w:rsidRPr="00C401E5" w:rsidRDefault="00C401E5" w:rsidP="00211595">
      <w:pPr>
        <w:pStyle w:val="ListParagraph"/>
        <w:numPr>
          <w:ilvl w:val="0"/>
          <w:numId w:val="2"/>
        </w:numPr>
        <w:jc w:val="both"/>
        <w:rPr>
          <w:bCs/>
          <w:lang w:val="fr-FR"/>
        </w:rPr>
      </w:pPr>
      <w:r w:rsidRPr="00C401E5">
        <w:rPr>
          <w:b/>
          <w:lang w:val="fr-FR"/>
        </w:rPr>
        <w:t>Les obstacles les plus importants qui empêchent les filles de jouir du droit à l'éducation sur un pied d'égalité avec les hommes</w:t>
      </w:r>
      <w:r w:rsidRPr="00C401E5">
        <w:rPr>
          <w:bCs/>
          <w:lang w:val="fr-FR"/>
        </w:rPr>
        <w:t xml:space="preserve">, en ce qui </w:t>
      </w:r>
      <w:r w:rsidR="00211595" w:rsidRPr="00C401E5">
        <w:rPr>
          <w:bCs/>
          <w:lang w:val="fr-FR"/>
        </w:rPr>
        <w:t>concerne :</w:t>
      </w:r>
    </w:p>
    <w:p w14:paraId="38BC695D" w14:textId="77777777" w:rsidR="00C401E5" w:rsidRPr="00C401E5" w:rsidRDefault="00C401E5" w:rsidP="00211595">
      <w:pPr>
        <w:pStyle w:val="ListParagraph"/>
        <w:jc w:val="both"/>
        <w:rPr>
          <w:bCs/>
          <w:lang w:val="fr-FR"/>
        </w:rPr>
      </w:pPr>
    </w:p>
    <w:p w14:paraId="060D467E" w14:textId="46486C8C" w:rsidR="00C401E5" w:rsidRPr="00C401E5" w:rsidRDefault="00C401E5" w:rsidP="00211595">
      <w:pPr>
        <w:pStyle w:val="ListParagraph"/>
        <w:numPr>
          <w:ilvl w:val="1"/>
          <w:numId w:val="2"/>
        </w:numPr>
        <w:jc w:val="both"/>
        <w:rPr>
          <w:bCs/>
          <w:lang w:val="fr-FR"/>
        </w:rPr>
      </w:pPr>
      <w:r w:rsidRPr="00C401E5">
        <w:rPr>
          <w:bCs/>
          <w:lang w:val="fr-FR"/>
        </w:rPr>
        <w:t>Les effets potentiellement néfastes du changement climatique, y compris ceux sur la dégradation de l'environnement et/</w:t>
      </w:r>
      <w:r w:rsidR="00211595" w:rsidRPr="00C401E5">
        <w:rPr>
          <w:bCs/>
          <w:lang w:val="fr-FR"/>
        </w:rPr>
        <w:t>ou ;</w:t>
      </w:r>
    </w:p>
    <w:p w14:paraId="4451955A" w14:textId="0B7135EA" w:rsidR="00C401E5" w:rsidRPr="00C401E5" w:rsidRDefault="00C401E5" w:rsidP="00211595">
      <w:pPr>
        <w:pStyle w:val="ListParagraph"/>
        <w:numPr>
          <w:ilvl w:val="1"/>
          <w:numId w:val="2"/>
        </w:numPr>
        <w:jc w:val="both"/>
        <w:rPr>
          <w:bCs/>
          <w:lang w:val="fr-FR"/>
        </w:rPr>
      </w:pPr>
      <w:r w:rsidRPr="00C401E5">
        <w:rPr>
          <w:bCs/>
          <w:lang w:val="fr-FR"/>
        </w:rPr>
        <w:t>Les causes profondes de</w:t>
      </w:r>
      <w:r w:rsidR="00947E87">
        <w:rPr>
          <w:bCs/>
          <w:lang w:val="fr-FR"/>
        </w:rPr>
        <w:t>s</w:t>
      </w:r>
      <w:r w:rsidRPr="00C401E5">
        <w:rPr>
          <w:bCs/>
          <w:lang w:val="fr-FR"/>
        </w:rPr>
        <w:t xml:space="preserve"> inégalité</w:t>
      </w:r>
      <w:r w:rsidR="00947E87">
        <w:rPr>
          <w:bCs/>
          <w:lang w:val="fr-FR"/>
        </w:rPr>
        <w:t>s</w:t>
      </w:r>
      <w:r w:rsidRPr="00C401E5">
        <w:rPr>
          <w:bCs/>
          <w:lang w:val="fr-FR"/>
        </w:rPr>
        <w:t xml:space="preserve"> dans l'exercice de ce droit, exacerbées par le changement climatique.</w:t>
      </w:r>
    </w:p>
    <w:p w14:paraId="0A16BAEC" w14:textId="77777777" w:rsidR="00C401E5" w:rsidRPr="00C401E5" w:rsidRDefault="00C401E5" w:rsidP="00211595">
      <w:pPr>
        <w:pStyle w:val="ListParagraph"/>
        <w:ind w:left="1440"/>
        <w:jc w:val="both"/>
        <w:rPr>
          <w:bCs/>
          <w:lang w:val="fr-FR"/>
        </w:rPr>
      </w:pPr>
    </w:p>
    <w:p w14:paraId="4719CBEC" w14:textId="390C7898" w:rsidR="00C401E5" w:rsidRDefault="00C401E5" w:rsidP="00211595">
      <w:pPr>
        <w:ind w:left="720"/>
        <w:jc w:val="both"/>
        <w:rPr>
          <w:lang w:val="fr-FR"/>
        </w:rPr>
      </w:pPr>
      <w:r w:rsidRPr="00C401E5">
        <w:rPr>
          <w:lang w:val="fr-FR"/>
        </w:rPr>
        <w:t>Veuillez expliquer, dans la mesure du possible, comment ces obstacles affectent les quatre éléments suivants du droit à l'éducation :</w:t>
      </w:r>
    </w:p>
    <w:p w14:paraId="44AE0FA2" w14:textId="77777777" w:rsidR="00C401E5" w:rsidRPr="00C401E5" w:rsidRDefault="00C401E5" w:rsidP="00211595">
      <w:pPr>
        <w:ind w:left="720"/>
        <w:jc w:val="both"/>
        <w:rPr>
          <w:lang w:val="fr-FR"/>
        </w:rPr>
      </w:pPr>
    </w:p>
    <w:p w14:paraId="7F2F39C8" w14:textId="35155232" w:rsidR="00C401E5" w:rsidRPr="00C401E5" w:rsidRDefault="00C401E5" w:rsidP="00211595">
      <w:pPr>
        <w:pStyle w:val="ListParagraph"/>
        <w:numPr>
          <w:ilvl w:val="0"/>
          <w:numId w:val="3"/>
        </w:numPr>
        <w:jc w:val="both"/>
        <w:rPr>
          <w:lang w:val="fr-FR"/>
        </w:rPr>
      </w:pPr>
      <w:r w:rsidRPr="00C401E5">
        <w:rPr>
          <w:lang w:val="fr-FR"/>
        </w:rPr>
        <w:t>La disponibilité</w:t>
      </w:r>
      <w:r>
        <w:rPr>
          <w:lang w:val="fr-FR"/>
        </w:rPr>
        <w:t xml:space="preserve"> </w:t>
      </w:r>
      <w:r w:rsidRPr="00C401E5">
        <w:rPr>
          <w:lang w:val="fr-FR"/>
        </w:rPr>
        <w:t>(y compris une infrastructure adéquate pour répondre aux besoins des filles) ;</w:t>
      </w:r>
    </w:p>
    <w:p w14:paraId="5CD26C92" w14:textId="36FBD2CD" w:rsidR="00C401E5" w:rsidRPr="00C401E5" w:rsidRDefault="00C401E5" w:rsidP="00211595">
      <w:pPr>
        <w:pStyle w:val="ListParagraph"/>
        <w:numPr>
          <w:ilvl w:val="0"/>
          <w:numId w:val="3"/>
        </w:numPr>
        <w:jc w:val="both"/>
        <w:rPr>
          <w:lang w:val="fr-FR"/>
        </w:rPr>
      </w:pPr>
      <w:r w:rsidRPr="00C401E5">
        <w:rPr>
          <w:lang w:val="fr-FR"/>
        </w:rPr>
        <w:t>L’accessibilité</w:t>
      </w:r>
      <w:r>
        <w:rPr>
          <w:lang w:val="fr-FR"/>
        </w:rPr>
        <w:t xml:space="preserve"> </w:t>
      </w:r>
      <w:r w:rsidRPr="00C401E5">
        <w:rPr>
          <w:lang w:val="fr-FR"/>
        </w:rPr>
        <w:t>(y compris l'accessibilité physique, le caractère abordable et l'accès sans discrimination)</w:t>
      </w:r>
      <w:r>
        <w:rPr>
          <w:lang w:val="fr-FR"/>
        </w:rPr>
        <w:t> ;</w:t>
      </w:r>
    </w:p>
    <w:p w14:paraId="36BAEF3E" w14:textId="479EAA65" w:rsidR="00C401E5" w:rsidRPr="00C401E5" w:rsidRDefault="00C401E5" w:rsidP="00211595">
      <w:pPr>
        <w:pStyle w:val="ListParagraph"/>
        <w:numPr>
          <w:ilvl w:val="0"/>
          <w:numId w:val="3"/>
        </w:numPr>
        <w:jc w:val="both"/>
        <w:rPr>
          <w:lang w:val="fr-FR"/>
        </w:rPr>
      </w:pPr>
      <w:r w:rsidRPr="00C401E5">
        <w:rPr>
          <w:lang w:val="fr-FR"/>
        </w:rPr>
        <w:t>L'acceptabilité (y compris la qualité de l'éducation) ;</w:t>
      </w:r>
    </w:p>
    <w:p w14:paraId="50D7986E" w14:textId="2BFA2A37" w:rsidR="00C401E5" w:rsidRPr="005628EB" w:rsidRDefault="00C401E5" w:rsidP="005628EB">
      <w:pPr>
        <w:pStyle w:val="ListParagraph"/>
        <w:numPr>
          <w:ilvl w:val="0"/>
          <w:numId w:val="3"/>
        </w:numPr>
        <w:jc w:val="both"/>
        <w:rPr>
          <w:lang w:val="fr-FR"/>
        </w:rPr>
      </w:pPr>
      <w:r w:rsidRPr="00C401E5">
        <w:rPr>
          <w:lang w:val="fr-FR"/>
        </w:rPr>
        <w:t>L’adaptabilité (adaptée aux besoins des étudiant</w:t>
      </w:r>
      <w:r w:rsidR="008015F6">
        <w:rPr>
          <w:lang w:val="fr-FR"/>
        </w:rPr>
        <w:t>e</w:t>
      </w:r>
      <w:r w:rsidRPr="00C401E5">
        <w:rPr>
          <w:lang w:val="fr-FR"/>
        </w:rPr>
        <w:t xml:space="preserve">s et </w:t>
      </w:r>
      <w:r w:rsidR="005628EB">
        <w:rPr>
          <w:lang w:val="fr-FR"/>
        </w:rPr>
        <w:t>selon le contexte</w:t>
      </w:r>
      <w:r w:rsidRPr="005628EB">
        <w:rPr>
          <w:lang w:val="fr-FR"/>
        </w:rPr>
        <w:t>).</w:t>
      </w:r>
    </w:p>
    <w:p w14:paraId="18DECD69" w14:textId="77777777" w:rsidR="00C401E5" w:rsidRPr="00C401E5" w:rsidRDefault="00C401E5" w:rsidP="00211595">
      <w:pPr>
        <w:pStyle w:val="ListParagraph"/>
        <w:ind w:left="1440"/>
        <w:jc w:val="both"/>
        <w:rPr>
          <w:bCs/>
          <w:lang w:val="fr-FR"/>
        </w:rPr>
      </w:pPr>
    </w:p>
    <w:p w14:paraId="61B8CCEC" w14:textId="1DEF6A07" w:rsidR="00C401E5" w:rsidRDefault="00C401E5" w:rsidP="00211595">
      <w:pPr>
        <w:pStyle w:val="ListParagraph"/>
        <w:numPr>
          <w:ilvl w:val="0"/>
          <w:numId w:val="2"/>
        </w:numPr>
        <w:jc w:val="both"/>
        <w:rPr>
          <w:bCs/>
          <w:lang w:val="fr-FR"/>
        </w:rPr>
      </w:pPr>
      <w:r w:rsidRPr="00C401E5">
        <w:rPr>
          <w:b/>
          <w:lang w:val="fr-FR"/>
        </w:rPr>
        <w:t>Mesures concrètes prises pour répondre aux obstacles rencontrés par les filles indiqués ci-dessus</w:t>
      </w:r>
      <w:r w:rsidRPr="00C401E5">
        <w:rPr>
          <w:bCs/>
          <w:lang w:val="fr-FR"/>
        </w:rPr>
        <w:t xml:space="preserve">, en relation avec les quatre éléments du droit à l'éducation. Une attention particulière </w:t>
      </w:r>
      <w:r w:rsidR="008643EF">
        <w:rPr>
          <w:bCs/>
          <w:lang w:val="fr-FR"/>
        </w:rPr>
        <w:t>envers</w:t>
      </w:r>
      <w:r w:rsidRPr="00C401E5">
        <w:rPr>
          <w:bCs/>
          <w:lang w:val="fr-FR"/>
        </w:rPr>
        <w:t xml:space="preserve"> celles qui sont marginalisées et exclues en raison de</w:t>
      </w:r>
      <w:r w:rsidR="008643EF">
        <w:rPr>
          <w:bCs/>
          <w:lang w:val="fr-FR"/>
        </w:rPr>
        <w:t xml:space="preserve"> facteur</w:t>
      </w:r>
      <w:r w:rsidRPr="00C401E5">
        <w:rPr>
          <w:bCs/>
          <w:lang w:val="fr-FR"/>
        </w:rPr>
        <w:t>s supplémentaires de discrimination serait la bienvenue.</w:t>
      </w:r>
    </w:p>
    <w:p w14:paraId="3AFB92E0" w14:textId="77777777" w:rsidR="00C401E5" w:rsidRDefault="00C401E5" w:rsidP="00211595">
      <w:pPr>
        <w:pStyle w:val="ListParagraph"/>
        <w:jc w:val="both"/>
        <w:rPr>
          <w:bCs/>
          <w:lang w:val="fr-FR"/>
        </w:rPr>
      </w:pPr>
    </w:p>
    <w:p w14:paraId="483216D6" w14:textId="4E08A352" w:rsidR="00C401E5" w:rsidRDefault="00C401E5" w:rsidP="00211595">
      <w:pPr>
        <w:pStyle w:val="ListParagraph"/>
        <w:numPr>
          <w:ilvl w:val="0"/>
          <w:numId w:val="2"/>
        </w:numPr>
        <w:jc w:val="both"/>
        <w:rPr>
          <w:bCs/>
          <w:lang w:val="fr-FR"/>
        </w:rPr>
      </w:pPr>
      <w:r w:rsidRPr="00C401E5">
        <w:rPr>
          <w:b/>
          <w:lang w:val="fr-FR"/>
        </w:rPr>
        <w:t>Les lacunes et les défis les plus importants en matière d'éducation pour permettre à toutes les filles de contribuer à l'agenda du changement climatique</w:t>
      </w:r>
      <w:r w:rsidRPr="00C401E5">
        <w:rPr>
          <w:bCs/>
          <w:lang w:val="fr-FR"/>
        </w:rPr>
        <w:t>, y compris à l'âge adulte, comme dans le contexte de :</w:t>
      </w:r>
    </w:p>
    <w:p w14:paraId="64BD1116" w14:textId="77777777" w:rsidR="00C401E5" w:rsidRPr="00C401E5" w:rsidRDefault="00C401E5" w:rsidP="00211595">
      <w:pPr>
        <w:pStyle w:val="ListParagraph"/>
        <w:jc w:val="both"/>
        <w:rPr>
          <w:bCs/>
          <w:lang w:val="fr-FR"/>
        </w:rPr>
      </w:pPr>
    </w:p>
    <w:p w14:paraId="7227322E" w14:textId="7A6721B3" w:rsidR="00C401E5" w:rsidRPr="007C0056" w:rsidRDefault="00211595" w:rsidP="00211595">
      <w:pPr>
        <w:pStyle w:val="ListParagraph"/>
        <w:numPr>
          <w:ilvl w:val="1"/>
          <w:numId w:val="2"/>
        </w:numPr>
        <w:jc w:val="both"/>
        <w:rPr>
          <w:bCs/>
          <w:lang w:val="fr-FR"/>
        </w:rPr>
      </w:pPr>
      <w:r w:rsidRPr="00211595">
        <w:rPr>
          <w:bCs/>
          <w:lang w:val="fr-FR"/>
        </w:rPr>
        <w:t xml:space="preserve">Développer la compréhension du droit à un environnement sain et des questions relatives aux impacts du changement </w:t>
      </w:r>
      <w:r w:rsidRPr="007C0056">
        <w:rPr>
          <w:bCs/>
          <w:lang w:val="fr-FR"/>
        </w:rPr>
        <w:t>climatique, y compris celles relatives à la dégradation de l'environnement, par l'intégration de l'éducation au climat et à l'environnement dans les programmes d'études ;</w:t>
      </w:r>
    </w:p>
    <w:p w14:paraId="3BBD0138" w14:textId="042D1189" w:rsidR="00211595" w:rsidRDefault="00211595" w:rsidP="00211595">
      <w:pPr>
        <w:pStyle w:val="ListParagraph"/>
        <w:numPr>
          <w:ilvl w:val="1"/>
          <w:numId w:val="2"/>
        </w:numPr>
        <w:jc w:val="both"/>
        <w:rPr>
          <w:bCs/>
          <w:lang w:val="fr-FR"/>
        </w:rPr>
      </w:pPr>
      <w:r w:rsidRPr="007C0056">
        <w:rPr>
          <w:bCs/>
          <w:lang w:val="fr-FR"/>
        </w:rPr>
        <w:t>Réponse directe au changement climatique, grâce à leur leadership et</w:t>
      </w:r>
      <w:r w:rsidRPr="00211595">
        <w:rPr>
          <w:bCs/>
          <w:lang w:val="fr-FR"/>
        </w:rPr>
        <w:t xml:space="preserve"> à leur participation ;</w:t>
      </w:r>
    </w:p>
    <w:p w14:paraId="2183A2EE" w14:textId="123F3749" w:rsidR="00211595" w:rsidRDefault="00211595" w:rsidP="00211595">
      <w:pPr>
        <w:pStyle w:val="ListParagraph"/>
        <w:numPr>
          <w:ilvl w:val="1"/>
          <w:numId w:val="2"/>
        </w:numPr>
        <w:jc w:val="both"/>
        <w:rPr>
          <w:bCs/>
          <w:lang w:val="fr-FR"/>
        </w:rPr>
      </w:pPr>
      <w:r w:rsidRPr="00211595">
        <w:rPr>
          <w:bCs/>
          <w:lang w:val="fr-FR"/>
        </w:rPr>
        <w:t>Renforcer leur résilience et leur capacité d'adaptation dans le contexte du changement climatique, y compris l'accès au développement des compétences et à l'enseignement et à la formation techniques et professionnels.</w:t>
      </w:r>
    </w:p>
    <w:p w14:paraId="7EE57DDC" w14:textId="77777777" w:rsidR="00211595" w:rsidRDefault="00211595" w:rsidP="00211595">
      <w:pPr>
        <w:ind w:firstLine="720"/>
        <w:jc w:val="both"/>
        <w:rPr>
          <w:bCs/>
          <w:lang w:val="fr-FR"/>
        </w:rPr>
      </w:pPr>
    </w:p>
    <w:p w14:paraId="49C63102" w14:textId="3A5235C4" w:rsidR="00211595" w:rsidRDefault="00211595" w:rsidP="00211595">
      <w:pPr>
        <w:ind w:left="720"/>
        <w:jc w:val="both"/>
        <w:rPr>
          <w:bCs/>
          <w:lang w:val="fr-FR"/>
        </w:rPr>
      </w:pPr>
      <w:r w:rsidRPr="00211595">
        <w:rPr>
          <w:bCs/>
          <w:lang w:val="fr-FR"/>
        </w:rPr>
        <w:t>Veuillez expliquer, le cas échéant, comment ces lacunes et ces difficultés affectent les quatre éléments du droit à l'éducation.</w:t>
      </w:r>
    </w:p>
    <w:p w14:paraId="20579703" w14:textId="77777777" w:rsidR="00211595" w:rsidRDefault="00211595" w:rsidP="00211595">
      <w:pPr>
        <w:ind w:left="720"/>
        <w:jc w:val="both"/>
        <w:rPr>
          <w:bCs/>
          <w:lang w:val="fr-FR"/>
        </w:rPr>
      </w:pPr>
    </w:p>
    <w:p w14:paraId="1CF8B064" w14:textId="73D1173F" w:rsidR="00211595" w:rsidRDefault="00211595" w:rsidP="00211595">
      <w:pPr>
        <w:pStyle w:val="ListParagraph"/>
        <w:numPr>
          <w:ilvl w:val="0"/>
          <w:numId w:val="2"/>
        </w:numPr>
        <w:jc w:val="both"/>
        <w:rPr>
          <w:bCs/>
          <w:lang w:val="fr-FR"/>
        </w:rPr>
      </w:pPr>
      <w:r w:rsidRPr="00211595">
        <w:rPr>
          <w:b/>
          <w:lang w:val="fr-FR"/>
        </w:rPr>
        <w:t>Mesures concrètes prises pour donner à toutes les filles, grâce à l'éducation, les moyens de contribuer à la lutte contre le changement climatique</w:t>
      </w:r>
      <w:r w:rsidRPr="00211595">
        <w:rPr>
          <w:bCs/>
          <w:lang w:val="fr-FR"/>
        </w:rPr>
        <w:t>, y compris à l'âge adulte et, le cas échéant, en relation avec les quatre éléments du droit à l'éducation.</w:t>
      </w:r>
    </w:p>
    <w:p w14:paraId="2AE7B14A" w14:textId="77777777" w:rsidR="00211595" w:rsidRDefault="00211595" w:rsidP="00211595">
      <w:pPr>
        <w:pStyle w:val="ListParagraph"/>
        <w:jc w:val="both"/>
        <w:rPr>
          <w:bCs/>
          <w:lang w:val="fr-FR"/>
        </w:rPr>
      </w:pPr>
    </w:p>
    <w:p w14:paraId="23412314" w14:textId="66EDBB41" w:rsidR="00211595" w:rsidRDefault="00211595" w:rsidP="00211595">
      <w:pPr>
        <w:pStyle w:val="ListParagraph"/>
        <w:numPr>
          <w:ilvl w:val="0"/>
          <w:numId w:val="2"/>
        </w:numPr>
        <w:jc w:val="both"/>
        <w:rPr>
          <w:bCs/>
          <w:lang w:val="fr-FR"/>
        </w:rPr>
      </w:pPr>
      <w:r w:rsidRPr="00211595">
        <w:rPr>
          <w:bCs/>
          <w:lang w:val="fr-FR"/>
        </w:rPr>
        <w:t xml:space="preserve">Dans la mesure du possible, nous apprécierions recevoir les informations suivantes en relation avec vos réponses aux </w:t>
      </w:r>
      <w:r w:rsidR="003417B7">
        <w:rPr>
          <w:bCs/>
          <w:lang w:val="fr-FR"/>
        </w:rPr>
        <w:t>points</w:t>
      </w:r>
      <w:r w:rsidR="003417B7" w:rsidRPr="00211595">
        <w:rPr>
          <w:bCs/>
          <w:lang w:val="fr-FR"/>
        </w:rPr>
        <w:t xml:space="preserve"> </w:t>
      </w:r>
      <w:r w:rsidRPr="00211595">
        <w:rPr>
          <w:bCs/>
          <w:lang w:val="fr-FR"/>
        </w:rPr>
        <w:t>1</w:t>
      </w:r>
      <w:r w:rsidR="006B39AA">
        <w:rPr>
          <w:bCs/>
          <w:lang w:val="fr-FR"/>
        </w:rPr>
        <w:t xml:space="preserve"> à </w:t>
      </w:r>
      <w:r>
        <w:rPr>
          <w:bCs/>
          <w:lang w:val="fr-FR"/>
        </w:rPr>
        <w:t xml:space="preserve">4 </w:t>
      </w:r>
      <w:r w:rsidRPr="00211595">
        <w:rPr>
          <w:bCs/>
          <w:lang w:val="fr-FR"/>
        </w:rPr>
        <w:t>ci-dessus :</w:t>
      </w:r>
    </w:p>
    <w:p w14:paraId="1EC43D67" w14:textId="77777777" w:rsidR="00211595" w:rsidRPr="00211595" w:rsidRDefault="00211595" w:rsidP="00211595">
      <w:pPr>
        <w:pStyle w:val="ListParagraph"/>
        <w:jc w:val="both"/>
        <w:rPr>
          <w:bCs/>
          <w:lang w:val="fr-FR"/>
        </w:rPr>
      </w:pPr>
    </w:p>
    <w:p w14:paraId="4ABB490A" w14:textId="17A986D2" w:rsidR="00211595" w:rsidRDefault="00211595" w:rsidP="00211595">
      <w:pPr>
        <w:pStyle w:val="ListParagraph"/>
        <w:numPr>
          <w:ilvl w:val="1"/>
          <w:numId w:val="2"/>
        </w:numPr>
        <w:jc w:val="both"/>
        <w:rPr>
          <w:bCs/>
          <w:lang w:val="fr-FR"/>
        </w:rPr>
      </w:pPr>
      <w:r w:rsidRPr="00211595">
        <w:rPr>
          <w:b/>
          <w:lang w:val="fr-FR"/>
        </w:rPr>
        <w:t>Données désagrégées par sexe/genre, âge, handicap</w:t>
      </w:r>
      <w:r w:rsidRPr="00211595">
        <w:rPr>
          <w:bCs/>
          <w:lang w:val="fr-FR"/>
        </w:rPr>
        <w:t>, et si possible suivant d'autres critères tels</w:t>
      </w:r>
      <w:r w:rsidR="00AC3068">
        <w:rPr>
          <w:bCs/>
          <w:lang w:val="fr-FR"/>
        </w:rPr>
        <w:t xml:space="preserve"> que</w:t>
      </w:r>
      <w:r w:rsidRPr="00211595">
        <w:rPr>
          <w:bCs/>
          <w:lang w:val="fr-FR"/>
        </w:rPr>
        <w:t xml:space="preserve"> le revenu, la race/ethnie, la localisation et le statut migratoire ; </w:t>
      </w:r>
    </w:p>
    <w:p w14:paraId="02B66FD9" w14:textId="4071B0ED" w:rsidR="00211595" w:rsidRPr="00211595" w:rsidRDefault="00211595" w:rsidP="00211595">
      <w:pPr>
        <w:pStyle w:val="ListParagraph"/>
        <w:numPr>
          <w:ilvl w:val="1"/>
          <w:numId w:val="2"/>
        </w:numPr>
        <w:jc w:val="both"/>
        <w:rPr>
          <w:bCs/>
          <w:lang w:val="fr-FR"/>
        </w:rPr>
      </w:pPr>
      <w:r w:rsidRPr="00211595">
        <w:rPr>
          <w:b/>
          <w:lang w:val="fr-FR"/>
        </w:rPr>
        <w:t xml:space="preserve">Informations sur les filles en situation de vulnérabilité et/ou confrontées à des formes de discrimination </w:t>
      </w:r>
      <w:r w:rsidR="00211842">
        <w:rPr>
          <w:b/>
          <w:lang w:val="fr-FR"/>
        </w:rPr>
        <w:t>intersectionnelles</w:t>
      </w:r>
      <w:r w:rsidRPr="00211595">
        <w:rPr>
          <w:bCs/>
          <w:lang w:val="fr-FR"/>
        </w:rPr>
        <w:t xml:space="preserve">, notamment celles vivant dans les contextes de crises humanitaires, de </w:t>
      </w:r>
      <w:r>
        <w:rPr>
          <w:bCs/>
          <w:lang w:val="fr-FR"/>
        </w:rPr>
        <w:t>conflits</w:t>
      </w:r>
      <w:r w:rsidRPr="00211595">
        <w:rPr>
          <w:bCs/>
          <w:lang w:val="fr-FR"/>
        </w:rPr>
        <w:t xml:space="preserve"> armés et de catastrophes ; celles vivant dans la pauvreté ; celles qui sont mariées, enceintes ou ont des enfants ; celles qui sont </w:t>
      </w:r>
      <w:r w:rsidR="00D278E7">
        <w:rPr>
          <w:bCs/>
          <w:lang w:val="fr-FR"/>
        </w:rPr>
        <w:t xml:space="preserve">en situation de </w:t>
      </w:r>
      <w:r w:rsidRPr="00211595">
        <w:rPr>
          <w:bCs/>
          <w:lang w:val="fr-FR"/>
        </w:rPr>
        <w:t>handicap et/ou qui font partie des minorités ou des populations autochtones.</w:t>
      </w:r>
    </w:p>
    <w:sectPr w:rsidR="00211595" w:rsidRPr="00211595" w:rsidSect="00444187">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2ED03" w14:textId="77777777" w:rsidR="003B1CC0" w:rsidRDefault="003B1CC0" w:rsidP="00444187">
      <w:r>
        <w:separator/>
      </w:r>
    </w:p>
  </w:endnote>
  <w:endnote w:type="continuationSeparator" w:id="0">
    <w:p w14:paraId="757C673D" w14:textId="77777777" w:rsidR="003B1CC0" w:rsidRDefault="003B1CC0" w:rsidP="00444187">
      <w:r>
        <w:continuationSeparator/>
      </w:r>
    </w:p>
  </w:endnote>
  <w:endnote w:type="continuationNotice" w:id="1">
    <w:p w14:paraId="2869F4D0" w14:textId="77777777" w:rsidR="00165A4E" w:rsidRDefault="00165A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84F0A" w14:textId="77777777" w:rsidR="003B1CC0" w:rsidRDefault="003B1CC0" w:rsidP="00444187">
      <w:r>
        <w:separator/>
      </w:r>
    </w:p>
  </w:footnote>
  <w:footnote w:type="continuationSeparator" w:id="0">
    <w:p w14:paraId="3005B61D" w14:textId="77777777" w:rsidR="003B1CC0" w:rsidRDefault="003B1CC0" w:rsidP="00444187">
      <w:r>
        <w:continuationSeparator/>
      </w:r>
    </w:p>
  </w:footnote>
  <w:footnote w:type="continuationNotice" w:id="1">
    <w:p w14:paraId="30F14375" w14:textId="77777777" w:rsidR="00165A4E" w:rsidRDefault="00165A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238C" w14:textId="77777777" w:rsidR="00444187" w:rsidRDefault="00444187" w:rsidP="00444187">
    <w:pPr>
      <w:spacing w:after="60"/>
      <w:jc w:val="center"/>
      <w:rPr>
        <w:snapToGrid w:val="0"/>
        <w:sz w:val="14"/>
        <w:szCs w:val="14"/>
      </w:rPr>
    </w:pPr>
    <w:r w:rsidRPr="00250C1B">
      <w:rPr>
        <w:noProof/>
        <w:snapToGrid w:val="0"/>
        <w:lang w:eastAsia="en-GB"/>
      </w:rPr>
      <w:drawing>
        <wp:anchor distT="0" distB="0" distL="114300" distR="114300" simplePos="0" relativeHeight="251658240" behindDoc="1" locked="0" layoutInCell="1" allowOverlap="1" wp14:anchorId="74B3F845" wp14:editId="3748763D">
          <wp:simplePos x="0" y="0"/>
          <wp:positionH relativeFrom="column">
            <wp:posOffset>716915</wp:posOffset>
          </wp:positionH>
          <wp:positionV relativeFrom="paragraph">
            <wp:posOffset>219049</wp:posOffset>
          </wp:positionV>
          <wp:extent cx="3962400" cy="723900"/>
          <wp:effectExtent l="0" t="0" r="0" b="0"/>
          <wp:wrapTopAndBottom/>
          <wp:docPr id="868864265" name="Picture 868864265"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864265" name="Picture 868864265" descr="A black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947A05" w14:textId="77777777" w:rsidR="00444187" w:rsidRDefault="00444187" w:rsidP="00444187">
    <w:pPr>
      <w:spacing w:after="60"/>
      <w:jc w:val="center"/>
      <w:rPr>
        <w:snapToGrid w:val="0"/>
        <w:sz w:val="14"/>
        <w:szCs w:val="14"/>
      </w:rPr>
    </w:pPr>
  </w:p>
  <w:p w14:paraId="4319C238" w14:textId="77777777" w:rsidR="00444187" w:rsidRDefault="00444187" w:rsidP="00444187">
    <w:pPr>
      <w:spacing w:after="60"/>
      <w:jc w:val="center"/>
      <w:rPr>
        <w:snapToGrid w:val="0"/>
        <w:sz w:val="14"/>
        <w:szCs w:val="14"/>
      </w:rPr>
    </w:pPr>
  </w:p>
  <w:p w14:paraId="4E3CC538" w14:textId="77777777" w:rsidR="00444187" w:rsidRPr="00311FF3" w:rsidRDefault="00444187" w:rsidP="00444187">
    <w:pPr>
      <w:spacing w:after="60"/>
      <w:jc w:val="center"/>
      <w:rPr>
        <w:snapToGrid w:val="0"/>
        <w:sz w:val="14"/>
        <w:szCs w:val="14"/>
      </w:rPr>
    </w:pPr>
    <w:r w:rsidRPr="00311FF3">
      <w:rPr>
        <w:snapToGrid w:val="0"/>
        <w:sz w:val="14"/>
        <w:szCs w:val="14"/>
      </w:rPr>
      <w:t>HAUT-COMMISSARIAT AUX DROITS DE L’HOMME • OFFICE OF THE HIGH COMMISSIONER FOR HUMAN RIGHTS</w:t>
    </w:r>
  </w:p>
  <w:p w14:paraId="0C66DE3F" w14:textId="77777777" w:rsidR="00444187" w:rsidRPr="00311FF3" w:rsidRDefault="00444187" w:rsidP="00444187">
    <w:pPr>
      <w:tabs>
        <w:tab w:val="right" w:pos="3686"/>
        <w:tab w:val="left" w:pos="5812"/>
        <w:tab w:val="right" w:pos="8306"/>
      </w:tabs>
      <w:jc w:val="center"/>
      <w:rPr>
        <w:snapToGrid w:val="0"/>
        <w:sz w:val="14"/>
        <w:szCs w:val="14"/>
        <w:lang w:val="fr-FR"/>
      </w:rPr>
    </w:pPr>
    <w:r w:rsidRPr="00311FF3">
      <w:rPr>
        <w:snapToGrid w:val="0"/>
        <w:sz w:val="14"/>
        <w:szCs w:val="14"/>
        <w:lang w:val="fr-FR"/>
      </w:rPr>
      <w:t>PALAIS DES NATIONS • 1211 GENEVA 10, SWITZERLAND</w:t>
    </w:r>
  </w:p>
  <w:p w14:paraId="6168D5C0" w14:textId="68211162" w:rsidR="00444187" w:rsidRPr="00311FF3" w:rsidRDefault="00444187" w:rsidP="00444187">
    <w:pPr>
      <w:tabs>
        <w:tab w:val="right" w:pos="3686"/>
        <w:tab w:val="left" w:pos="5812"/>
      </w:tabs>
      <w:spacing w:before="80" w:after="360"/>
      <w:jc w:val="center"/>
      <w:rPr>
        <w:snapToGrid w:val="0"/>
        <w:sz w:val="14"/>
        <w:szCs w:val="14"/>
        <w:lang w:val="fr-FR"/>
      </w:rPr>
    </w:pPr>
    <w:r w:rsidRPr="00311FF3">
      <w:rPr>
        <w:snapToGrid w:val="0"/>
        <w:sz w:val="14"/>
        <w:szCs w:val="14"/>
        <w:lang w:val="fr-FR"/>
      </w:rPr>
      <w:t xml:space="preserve">www.ohchr.org • </w:t>
    </w:r>
    <w:proofErr w:type="gramStart"/>
    <w:r w:rsidRPr="00311FF3">
      <w:rPr>
        <w:snapToGrid w:val="0"/>
        <w:sz w:val="14"/>
        <w:szCs w:val="14"/>
        <w:lang w:val="fr-FR"/>
      </w:rPr>
      <w:t>TEL:</w:t>
    </w:r>
    <w:proofErr w:type="gramEnd"/>
    <w:r w:rsidRPr="00311FF3">
      <w:rPr>
        <w:snapToGrid w:val="0"/>
        <w:sz w:val="14"/>
        <w:szCs w:val="14"/>
        <w:lang w:val="fr-FR"/>
      </w:rPr>
      <w:t xml:space="preserve">  +41 22 917 9000 • FAX:  +41 22 917 9008 • E-MAIL:  </w:t>
    </w:r>
    <w:r w:rsidR="00256996">
      <w:rPr>
        <w:snapToGrid w:val="0"/>
        <w:sz w:val="14"/>
        <w:szCs w:val="14"/>
        <w:lang w:val="fr-FR"/>
      </w:rPr>
      <w:t>ohchr-</w:t>
    </w:r>
    <w:r w:rsidR="00256996" w:rsidRPr="00311FF3">
      <w:rPr>
        <w:snapToGrid w:val="0"/>
        <w:sz w:val="14"/>
        <w:szCs w:val="14"/>
        <w:lang w:val="fr-FR"/>
      </w:rPr>
      <w:t>registry@</w:t>
    </w:r>
    <w:r w:rsidR="00256996">
      <w:rPr>
        <w:snapToGrid w:val="0"/>
        <w:sz w:val="14"/>
        <w:szCs w:val="14"/>
        <w:lang w:val="fr-FR"/>
      </w:rPr>
      <w:t>un</w:t>
    </w:r>
    <w:r w:rsidR="00256996" w:rsidRPr="00311FF3">
      <w:rPr>
        <w:snapToGrid w:val="0"/>
        <w:sz w:val="14"/>
        <w:szCs w:val="14"/>
        <w:lang w:val="fr-FR"/>
      </w:rPr>
      <w:t>.org</w:t>
    </w:r>
  </w:p>
  <w:p w14:paraId="0DDD0FCE" w14:textId="77777777" w:rsidR="00444187" w:rsidRPr="00F04236" w:rsidRDefault="00444187" w:rsidP="00444187">
    <w:pPr>
      <w:pStyle w:val="Header"/>
      <w:rPr>
        <w:lang w:val="fr-FR"/>
      </w:rPr>
    </w:pPr>
  </w:p>
  <w:p w14:paraId="4821942A" w14:textId="77777777" w:rsidR="00444187" w:rsidRPr="00444187" w:rsidRDefault="00444187">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E6235"/>
    <w:multiLevelType w:val="hybridMultilevel"/>
    <w:tmpl w:val="99025A2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D6D47D8"/>
    <w:multiLevelType w:val="hybridMultilevel"/>
    <w:tmpl w:val="1F848A0A"/>
    <w:lvl w:ilvl="0" w:tplc="818677A6">
      <w:start w:val="1"/>
      <w:numFmt w:val="decimal"/>
      <w:lvlText w:val="%1."/>
      <w:lvlJc w:val="left"/>
      <w:pPr>
        <w:ind w:left="720" w:hanging="360"/>
      </w:pPr>
      <w:rPr>
        <w:rFonts w:eastAsia="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9C7FE3"/>
    <w:multiLevelType w:val="hybridMultilevel"/>
    <w:tmpl w:val="FC141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7721808">
    <w:abstractNumId w:val="2"/>
  </w:num>
  <w:num w:numId="2" w16cid:durableId="1621254812">
    <w:abstractNumId w:val="1"/>
  </w:num>
  <w:num w:numId="3" w16cid:durableId="84620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M0NzczNDUzNjc1NTFW0lEKTi0uzszPAykwrAUA04eOvywAAAA="/>
  </w:docVars>
  <w:rsids>
    <w:rsidRoot w:val="00444187"/>
    <w:rsid w:val="000B5D49"/>
    <w:rsid w:val="00103B8F"/>
    <w:rsid w:val="001109A1"/>
    <w:rsid w:val="001443C1"/>
    <w:rsid w:val="00165A4E"/>
    <w:rsid w:val="00176BFE"/>
    <w:rsid w:val="001F1D97"/>
    <w:rsid w:val="002031ED"/>
    <w:rsid w:val="00211595"/>
    <w:rsid w:val="00211842"/>
    <w:rsid w:val="00224FDC"/>
    <w:rsid w:val="00256996"/>
    <w:rsid w:val="00292C63"/>
    <w:rsid w:val="002B795D"/>
    <w:rsid w:val="003417B7"/>
    <w:rsid w:val="00356875"/>
    <w:rsid w:val="00393891"/>
    <w:rsid w:val="003A0D91"/>
    <w:rsid w:val="003B1CC0"/>
    <w:rsid w:val="003D3211"/>
    <w:rsid w:val="00421002"/>
    <w:rsid w:val="00444187"/>
    <w:rsid w:val="00474067"/>
    <w:rsid w:val="004D7457"/>
    <w:rsid w:val="00521CE1"/>
    <w:rsid w:val="005628EB"/>
    <w:rsid w:val="00571CDD"/>
    <w:rsid w:val="005C5642"/>
    <w:rsid w:val="006A3712"/>
    <w:rsid w:val="006B39AA"/>
    <w:rsid w:val="006C0453"/>
    <w:rsid w:val="00733D8D"/>
    <w:rsid w:val="00734AD1"/>
    <w:rsid w:val="00763792"/>
    <w:rsid w:val="007665CC"/>
    <w:rsid w:val="00767AD3"/>
    <w:rsid w:val="007B679D"/>
    <w:rsid w:val="007C0056"/>
    <w:rsid w:val="008015F6"/>
    <w:rsid w:val="0082106C"/>
    <w:rsid w:val="00821720"/>
    <w:rsid w:val="008643EF"/>
    <w:rsid w:val="008B6EF7"/>
    <w:rsid w:val="008D096F"/>
    <w:rsid w:val="008E2E9E"/>
    <w:rsid w:val="008F25DD"/>
    <w:rsid w:val="009409C0"/>
    <w:rsid w:val="00941372"/>
    <w:rsid w:val="00947E87"/>
    <w:rsid w:val="009852DF"/>
    <w:rsid w:val="009D5157"/>
    <w:rsid w:val="009D7373"/>
    <w:rsid w:val="009F7B31"/>
    <w:rsid w:val="00A23061"/>
    <w:rsid w:val="00A644B3"/>
    <w:rsid w:val="00A64BE2"/>
    <w:rsid w:val="00A65FFD"/>
    <w:rsid w:val="00A66107"/>
    <w:rsid w:val="00AC3068"/>
    <w:rsid w:val="00B26C02"/>
    <w:rsid w:val="00B64FAF"/>
    <w:rsid w:val="00BB4F9A"/>
    <w:rsid w:val="00C3616A"/>
    <w:rsid w:val="00C401E5"/>
    <w:rsid w:val="00C41F5E"/>
    <w:rsid w:val="00C502F2"/>
    <w:rsid w:val="00C768CC"/>
    <w:rsid w:val="00CD6B15"/>
    <w:rsid w:val="00CF48F8"/>
    <w:rsid w:val="00D278E7"/>
    <w:rsid w:val="00DA6608"/>
    <w:rsid w:val="00DB005C"/>
    <w:rsid w:val="00E763B4"/>
    <w:rsid w:val="00E86CAE"/>
    <w:rsid w:val="00EA21EF"/>
    <w:rsid w:val="00F13627"/>
    <w:rsid w:val="00F13A89"/>
    <w:rsid w:val="00F317C6"/>
    <w:rsid w:val="00FA7394"/>
    <w:rsid w:val="00FC5AAB"/>
    <w:rsid w:val="00FE4E1F"/>
    <w:rsid w:val="0A6F1ACC"/>
    <w:rsid w:val="0CA88CD8"/>
    <w:rsid w:val="344543F7"/>
    <w:rsid w:val="372155C2"/>
    <w:rsid w:val="51BC98DD"/>
    <w:rsid w:val="77FF18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ED1F4"/>
  <w15:chartTrackingRefBased/>
  <w15:docId w15:val="{9DD18824-F122-46F9-8A64-12361B0A5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E9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18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44187"/>
  </w:style>
  <w:style w:type="paragraph" w:styleId="Footer">
    <w:name w:val="footer"/>
    <w:basedOn w:val="Normal"/>
    <w:link w:val="FooterChar"/>
    <w:uiPriority w:val="99"/>
    <w:unhideWhenUsed/>
    <w:rsid w:val="0044418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44187"/>
  </w:style>
  <w:style w:type="paragraph" w:styleId="ListParagraph">
    <w:name w:val="List Paragraph"/>
    <w:basedOn w:val="Normal"/>
    <w:uiPriority w:val="34"/>
    <w:qFormat/>
    <w:rsid w:val="00B64FAF"/>
    <w:pPr>
      <w:ind w:left="720"/>
      <w:contextualSpacing/>
    </w:pPr>
  </w:style>
  <w:style w:type="character" w:styleId="Hyperlink">
    <w:name w:val="Hyperlink"/>
    <w:basedOn w:val="DefaultParagraphFont"/>
    <w:uiPriority w:val="99"/>
    <w:unhideWhenUsed/>
    <w:rsid w:val="00E763B4"/>
    <w:rPr>
      <w:color w:val="0563C1" w:themeColor="hyperlink"/>
      <w:u w:val="single"/>
    </w:rPr>
  </w:style>
  <w:style w:type="character" w:styleId="UnresolvedMention">
    <w:name w:val="Unresolved Mention"/>
    <w:basedOn w:val="DefaultParagraphFont"/>
    <w:uiPriority w:val="99"/>
    <w:semiHidden/>
    <w:unhideWhenUsed/>
    <w:rsid w:val="00E763B4"/>
    <w:rPr>
      <w:color w:val="605E5C"/>
      <w:shd w:val="clear" w:color="auto" w:fill="E1DFDD"/>
    </w:rPr>
  </w:style>
  <w:style w:type="character" w:styleId="CommentReference">
    <w:name w:val="annotation reference"/>
    <w:basedOn w:val="DefaultParagraphFont"/>
    <w:uiPriority w:val="99"/>
    <w:semiHidden/>
    <w:unhideWhenUsed/>
    <w:rsid w:val="00211595"/>
    <w:rPr>
      <w:sz w:val="16"/>
      <w:szCs w:val="16"/>
    </w:rPr>
  </w:style>
  <w:style w:type="paragraph" w:styleId="CommentText">
    <w:name w:val="annotation text"/>
    <w:basedOn w:val="Normal"/>
    <w:link w:val="CommentTextChar"/>
    <w:uiPriority w:val="99"/>
    <w:unhideWhenUsed/>
    <w:rsid w:val="00211595"/>
  </w:style>
  <w:style w:type="character" w:customStyle="1" w:styleId="CommentTextChar">
    <w:name w:val="Comment Text Char"/>
    <w:basedOn w:val="DefaultParagraphFont"/>
    <w:link w:val="CommentText"/>
    <w:uiPriority w:val="99"/>
    <w:rsid w:val="002115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1595"/>
    <w:rPr>
      <w:b/>
      <w:bCs/>
    </w:rPr>
  </w:style>
  <w:style w:type="character" w:customStyle="1" w:styleId="CommentSubjectChar">
    <w:name w:val="Comment Subject Char"/>
    <w:basedOn w:val="CommentTextChar"/>
    <w:link w:val="CommentSubject"/>
    <w:uiPriority w:val="99"/>
    <w:semiHidden/>
    <w:rsid w:val="00211595"/>
    <w:rPr>
      <w:rFonts w:ascii="Times New Roman" w:eastAsia="Times New Roman" w:hAnsi="Times New Roman" w:cs="Times New Roman"/>
      <w:b/>
      <w:bCs/>
      <w:sz w:val="20"/>
      <w:szCs w:val="20"/>
    </w:rPr>
  </w:style>
  <w:style w:type="paragraph" w:styleId="Revision">
    <w:name w:val="Revision"/>
    <w:hidden/>
    <w:uiPriority w:val="99"/>
    <w:semiHidden/>
    <w:rsid w:val="00A64BE2"/>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55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ydan.figaroa@u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ydan.figaroa@u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hchr-registry@un.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a1020ff-48ad-4b90-98f4-7161a6f3b630">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2" ma:contentTypeDescription="Create a new document." ma:contentTypeScope="" ma:versionID="dd020c2b76bd5cf67e6dfbf9215ef648">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69822d2f6c9eb46d3b37a2d42054b039"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0F986D-0971-4AA4-95B4-64FAE1DAB80D}">
  <ds:schemaRefs>
    <ds:schemaRef ds:uri="eebda7d3-fbd3-4fc2-a4cf-80344efde34f"/>
    <ds:schemaRef ds:uri="http://purl.org/dc/terms/"/>
    <ds:schemaRef ds:uri="http://schemas.microsoft.com/office/2006/documentManagement/types"/>
    <ds:schemaRef ds:uri="http://purl.org/dc/elements/1.1/"/>
    <ds:schemaRef ds:uri="http://schemas.microsoft.com/office/infopath/2007/PartnerControls"/>
    <ds:schemaRef ds:uri="http://purl.org/dc/dcmitype/"/>
    <ds:schemaRef ds:uri="http://www.w3.org/XML/1998/namespace"/>
    <ds:schemaRef ds:uri="http://schemas.openxmlformats.org/package/2006/metadata/core-properties"/>
    <ds:schemaRef ds:uri="8a56169f-f16f-4d51-8ecc-bcf2bd15a713"/>
    <ds:schemaRef ds:uri="http://schemas.microsoft.com/office/2006/metadata/properties"/>
  </ds:schemaRefs>
</ds:datastoreItem>
</file>

<file path=customXml/itemProps2.xml><?xml version="1.0" encoding="utf-8"?>
<ds:datastoreItem xmlns:ds="http://schemas.openxmlformats.org/officeDocument/2006/customXml" ds:itemID="{99097DA2-3E0D-434E-8869-92762826F73A}"/>
</file>

<file path=customXml/itemProps3.xml><?xml version="1.0" encoding="utf-8"?>
<ds:datastoreItem xmlns:ds="http://schemas.openxmlformats.org/officeDocument/2006/customXml" ds:itemID="{C9E81D4B-5C05-45AF-BB47-6C59EF42F395}">
  <ds:schemaRefs>
    <ds:schemaRef ds:uri="http://schemas.openxmlformats.org/officeDocument/2006/bibliography"/>
  </ds:schemaRefs>
</ds:datastoreItem>
</file>

<file path=customXml/itemProps4.xml><?xml version="1.0" encoding="utf-8"?>
<ds:datastoreItem xmlns:ds="http://schemas.openxmlformats.org/officeDocument/2006/customXml" ds:itemID="{313E513B-0F69-4EAD-AE04-A78ACA2C76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4999</Characters>
  <Application>Microsoft Office Word</Application>
  <DocSecurity>0</DocSecurity>
  <Lines>41</Lines>
  <Paragraphs>11</Paragraphs>
  <ScaleCrop>false</ScaleCrop>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Aydan Efren Antonie Figaroa</dc:title>
  <dc:subject/>
  <dc:creator>Aydan Efren Antonie Figaroa</dc:creator>
  <cp:keywords/>
  <dc:description/>
  <cp:lastModifiedBy>Aydan Efren Antonie Figaroa</cp:lastModifiedBy>
  <cp:revision>47</cp:revision>
  <dcterms:created xsi:type="dcterms:W3CDTF">2023-12-01T03:39:00Z</dcterms:created>
  <dcterms:modified xsi:type="dcterms:W3CDTF">2023-12-05T14:04:00Z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MediaServiceImageTags">
    <vt:lpwstr/>
  </property>
  <property fmtid="{D5CDD505-2E9C-101B-9397-08002B2CF9AE}" pid="4" name="_ExtendedDescription">
    <vt:lpwstr>RE&amp;#58; Templates reports + call for submissions website</vt:lpwstr>
  </property>
</Properties>
</file>