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772118" w:rsidRDefault="00AE3819" w:rsidP="00B73FD1">
      <w:pPr>
        <w:jc w:val="center"/>
        <w:rPr>
          <w:rStyle w:val="normaltextrun"/>
          <w:b/>
          <w:bCs/>
          <w:color w:val="000000"/>
          <w:sz w:val="24"/>
          <w:szCs w:val="24"/>
          <w:shd w:val="clear" w:color="auto" w:fill="FFFFFF"/>
          <w:lang w:val="en-US"/>
        </w:rPr>
      </w:pPr>
      <w:r w:rsidRPr="00772118">
        <w:rPr>
          <w:rStyle w:val="normaltextrun"/>
          <w:b/>
          <w:bCs/>
          <w:color w:val="000000"/>
          <w:sz w:val="24"/>
          <w:szCs w:val="24"/>
          <w:shd w:val="clear" w:color="auto" w:fill="FFFFFF"/>
          <w:lang w:val="en-US"/>
        </w:rPr>
        <w:t xml:space="preserve">Mandate of the Special Rapporteur on the </w:t>
      </w:r>
      <w:r w:rsidR="00D16D56" w:rsidRPr="00772118">
        <w:rPr>
          <w:rStyle w:val="normaltextrun"/>
          <w:b/>
          <w:bCs/>
          <w:color w:val="000000"/>
          <w:sz w:val="24"/>
          <w:szCs w:val="24"/>
          <w:shd w:val="clear" w:color="auto" w:fill="FFFFFF"/>
          <w:lang w:val="en-US"/>
        </w:rPr>
        <w:t>right to education</w:t>
      </w:r>
    </w:p>
    <w:p w14:paraId="1686E839" w14:textId="77777777" w:rsidR="00B73FD1" w:rsidRPr="00772118" w:rsidRDefault="00B73FD1" w:rsidP="00B73FD1">
      <w:pPr>
        <w:ind w:right="-1"/>
        <w:jc w:val="right"/>
        <w:rPr>
          <w:sz w:val="24"/>
          <w:szCs w:val="24"/>
          <w:lang w:val="en-US"/>
        </w:rPr>
      </w:pPr>
    </w:p>
    <w:p w14:paraId="1A96A8E4" w14:textId="4ABA196D" w:rsidR="00987912" w:rsidRPr="00772118" w:rsidRDefault="00987912" w:rsidP="00987912">
      <w:pPr>
        <w:jc w:val="center"/>
        <w:rPr>
          <w:rStyle w:val="normaltextrun"/>
          <w:b/>
          <w:bCs/>
          <w:color w:val="000000"/>
          <w:sz w:val="24"/>
          <w:szCs w:val="24"/>
          <w:shd w:val="clear" w:color="auto" w:fill="FFFFFF"/>
          <w:lang w:val="en-US"/>
        </w:rPr>
      </w:pPr>
      <w:r w:rsidRPr="00772118">
        <w:rPr>
          <w:rStyle w:val="normaltextrun"/>
          <w:b/>
          <w:bCs/>
          <w:color w:val="000000"/>
          <w:sz w:val="24"/>
          <w:szCs w:val="24"/>
          <w:shd w:val="clear" w:color="auto" w:fill="FFFFFF"/>
          <w:lang w:val="en-US"/>
        </w:rPr>
        <w:t xml:space="preserve">ACADEMIC FREEDOM AND FREEDOM OF EXPRESSION </w:t>
      </w:r>
    </w:p>
    <w:p w14:paraId="20D9FF42" w14:textId="77777777" w:rsidR="00987912" w:rsidRPr="00772118" w:rsidRDefault="00987912" w:rsidP="00987912">
      <w:pPr>
        <w:jc w:val="center"/>
        <w:rPr>
          <w:rStyle w:val="normaltextrun"/>
          <w:b/>
          <w:bCs/>
          <w:color w:val="000000"/>
          <w:sz w:val="24"/>
          <w:szCs w:val="24"/>
          <w:shd w:val="clear" w:color="auto" w:fill="FFFFFF"/>
          <w:lang w:val="en-US"/>
        </w:rPr>
      </w:pPr>
      <w:r w:rsidRPr="00772118">
        <w:rPr>
          <w:rStyle w:val="normaltextrun"/>
          <w:b/>
          <w:bCs/>
          <w:color w:val="000000"/>
          <w:sz w:val="24"/>
          <w:szCs w:val="24"/>
          <w:shd w:val="clear" w:color="auto" w:fill="FFFFFF"/>
          <w:lang w:val="en-US"/>
        </w:rPr>
        <w:t xml:space="preserve">IN </w:t>
      </w:r>
      <w:r w:rsidRPr="00772118">
        <w:rPr>
          <w:b/>
          <w:bCs/>
          <w:sz w:val="24"/>
          <w:szCs w:val="24"/>
          <w:lang w:val="en-US"/>
        </w:rPr>
        <w:t>EDUCATIONAL INSTITUTIONS</w:t>
      </w:r>
    </w:p>
    <w:p w14:paraId="662244F1" w14:textId="77777777" w:rsidR="00987912" w:rsidRPr="00772118" w:rsidRDefault="00987912" w:rsidP="00987912">
      <w:pPr>
        <w:rPr>
          <w:sz w:val="24"/>
          <w:szCs w:val="24"/>
          <w:lang w:val="en-US"/>
        </w:rPr>
      </w:pPr>
    </w:p>
    <w:p w14:paraId="4BBBB3B5" w14:textId="3E12D5C5" w:rsidR="00987912" w:rsidRPr="00772118" w:rsidRDefault="00987912" w:rsidP="00987912">
      <w:pPr>
        <w:jc w:val="center"/>
        <w:rPr>
          <w:rStyle w:val="CommentReference"/>
          <w:b/>
          <w:caps/>
          <w:sz w:val="24"/>
          <w:szCs w:val="24"/>
          <w:lang w:val="en-US"/>
        </w:rPr>
      </w:pPr>
      <w:r w:rsidRPr="00772118">
        <w:rPr>
          <w:rStyle w:val="CommentReference"/>
          <w:b/>
          <w:caps/>
          <w:sz w:val="24"/>
          <w:szCs w:val="24"/>
          <w:lang w:val="en-US"/>
        </w:rPr>
        <w:t>Call for CONTRIBUTIONs</w:t>
      </w:r>
    </w:p>
    <w:p w14:paraId="77EC44A8" w14:textId="77777777" w:rsidR="004614D4" w:rsidRPr="00772118" w:rsidRDefault="004614D4" w:rsidP="00987912">
      <w:pPr>
        <w:jc w:val="center"/>
        <w:rPr>
          <w:sz w:val="24"/>
          <w:szCs w:val="24"/>
          <w:lang w:val="en-US"/>
        </w:rPr>
      </w:pPr>
    </w:p>
    <w:p w14:paraId="7DDADC40" w14:textId="77777777" w:rsidR="00987912" w:rsidRPr="0077211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772118">
        <w:rPr>
          <w:sz w:val="24"/>
          <w:szCs w:val="24"/>
          <w:lang w:val="en-US"/>
        </w:rPr>
        <w:t xml:space="preserve">For her upcoming report to the Human Rights Council to be presented in June 2024, the United Nations Special Rapporteur on the right to education, Ms. Farida Shaheed, will consider </w:t>
      </w:r>
      <w:r w:rsidRPr="00772118">
        <w:rPr>
          <w:rStyle w:val="normaltextrun"/>
          <w:color w:val="000000"/>
          <w:sz w:val="24"/>
          <w:szCs w:val="24"/>
          <w:shd w:val="clear" w:color="auto" w:fill="FFFFFF"/>
          <w:lang w:val="en-US"/>
        </w:rPr>
        <w:t xml:space="preserve">academic freedom and freedom of expression in </w:t>
      </w:r>
      <w:r w:rsidRPr="00772118">
        <w:rPr>
          <w:sz w:val="24"/>
          <w:szCs w:val="24"/>
          <w:lang w:val="en-US"/>
        </w:rPr>
        <w:t>educational institutions.</w:t>
      </w:r>
    </w:p>
    <w:p w14:paraId="50407B0F" w14:textId="77777777" w:rsidR="00987912" w:rsidRPr="0077211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77211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772118">
        <w:rPr>
          <w:sz w:val="24"/>
          <w:szCs w:val="24"/>
        </w:rPr>
        <w:t xml:space="preserve">While recognizing that there is no single, exclusive international human rights framework for the subject, Ms. Shaheed will </w:t>
      </w:r>
      <w:r w:rsidRPr="0077211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772118" w:rsidRDefault="00987912" w:rsidP="00987912">
      <w:pPr>
        <w:spacing w:before="120" w:after="120"/>
        <w:ind w:firstLine="425"/>
        <w:jc w:val="both"/>
        <w:rPr>
          <w:sz w:val="24"/>
          <w:szCs w:val="24"/>
          <w:lang w:val="en-US"/>
        </w:rPr>
      </w:pPr>
      <w:r w:rsidRPr="0077211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772118">
        <w:rPr>
          <w:sz w:val="24"/>
          <w:szCs w:val="24"/>
          <w:lang w:val="en-US"/>
        </w:rPr>
        <w:t>actors</w:t>
      </w:r>
      <w:proofErr w:type="gramEnd"/>
      <w:r w:rsidRPr="00772118">
        <w:rPr>
          <w:sz w:val="24"/>
          <w:szCs w:val="24"/>
          <w:lang w:val="en-US"/>
        </w:rPr>
        <w:t xml:space="preserve"> and protecting it from attacks and interferences.</w:t>
      </w:r>
    </w:p>
    <w:p w14:paraId="1248F312" w14:textId="77777777" w:rsidR="00987912" w:rsidRPr="00772118" w:rsidRDefault="00987912" w:rsidP="00987912">
      <w:pPr>
        <w:spacing w:before="120" w:after="120"/>
        <w:ind w:firstLine="425"/>
        <w:jc w:val="both"/>
        <w:rPr>
          <w:sz w:val="24"/>
          <w:szCs w:val="24"/>
          <w:lang w:val="en-US"/>
        </w:rPr>
      </w:pPr>
      <w:r w:rsidRPr="0077211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Pr="00772118"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rsidRPr="00772118" w14:paraId="21A4DA32" w14:textId="77777777" w:rsidTr="00386C90">
        <w:tc>
          <w:tcPr>
            <w:tcW w:w="4247" w:type="dxa"/>
          </w:tcPr>
          <w:p w14:paraId="0267538F" w14:textId="72D64FFD" w:rsidR="004C72E6" w:rsidRPr="00772118" w:rsidRDefault="004C72E6" w:rsidP="004C72E6">
            <w:pPr>
              <w:spacing w:before="120" w:after="120"/>
              <w:jc w:val="both"/>
              <w:rPr>
                <w:sz w:val="24"/>
                <w:szCs w:val="24"/>
                <w:lang w:val="en-US"/>
              </w:rPr>
            </w:pPr>
            <w:r w:rsidRPr="00772118">
              <w:rPr>
                <w:b/>
                <w:bCs/>
                <w:sz w:val="24"/>
                <w:szCs w:val="24"/>
                <w:lang w:val="en-US"/>
              </w:rPr>
              <w:t>Name of the country/entity submitting information</w:t>
            </w:r>
          </w:p>
        </w:tc>
        <w:tc>
          <w:tcPr>
            <w:tcW w:w="4247" w:type="dxa"/>
          </w:tcPr>
          <w:p w14:paraId="50FD54A3" w14:textId="6A201E3D" w:rsidR="004C72E6" w:rsidRPr="00772118" w:rsidRDefault="006F55DE" w:rsidP="00987912">
            <w:pPr>
              <w:spacing w:before="120" w:after="120"/>
              <w:jc w:val="both"/>
              <w:rPr>
                <w:b/>
                <w:bCs/>
                <w:sz w:val="24"/>
                <w:szCs w:val="24"/>
                <w:lang w:val="en-US"/>
              </w:rPr>
            </w:pPr>
            <w:r w:rsidRPr="00772118">
              <w:rPr>
                <w:b/>
                <w:bCs/>
                <w:sz w:val="24"/>
                <w:szCs w:val="24"/>
                <w:lang w:val="en-US"/>
              </w:rPr>
              <w:t>Ghana/University of Ghana School of Law (Prof Kwadwo Appiagyei-Atua)</w:t>
            </w:r>
          </w:p>
        </w:tc>
      </w:tr>
    </w:tbl>
    <w:p w14:paraId="4C1A65D3" w14:textId="77777777" w:rsidR="004C72E6" w:rsidRDefault="004C72E6" w:rsidP="00987912">
      <w:pPr>
        <w:spacing w:before="120" w:after="120"/>
        <w:ind w:firstLine="425"/>
        <w:jc w:val="both"/>
        <w:rPr>
          <w:sz w:val="24"/>
          <w:szCs w:val="24"/>
        </w:rPr>
      </w:pPr>
    </w:p>
    <w:p w14:paraId="09F0EADF" w14:textId="77777777" w:rsidR="00961DF9" w:rsidRDefault="00961DF9" w:rsidP="00987912">
      <w:pPr>
        <w:spacing w:before="120" w:after="120"/>
        <w:ind w:firstLine="425"/>
        <w:jc w:val="both"/>
        <w:rPr>
          <w:sz w:val="24"/>
          <w:szCs w:val="24"/>
        </w:rPr>
      </w:pPr>
    </w:p>
    <w:p w14:paraId="14EAA553" w14:textId="77777777" w:rsidR="00961DF9" w:rsidRPr="00961DF9" w:rsidRDefault="00961DF9" w:rsidP="00987912">
      <w:pPr>
        <w:spacing w:before="120" w:after="120"/>
        <w:ind w:firstLine="425"/>
        <w:jc w:val="both"/>
        <w:rPr>
          <w:sz w:val="24"/>
          <w:szCs w:val="24"/>
        </w:rPr>
      </w:pPr>
    </w:p>
    <w:p w14:paraId="13A1C00D" w14:textId="77777777" w:rsidR="00987912" w:rsidRPr="00772118" w:rsidRDefault="00987912" w:rsidP="00987912">
      <w:pPr>
        <w:spacing w:before="120" w:after="120"/>
        <w:ind w:firstLine="425"/>
        <w:jc w:val="both"/>
        <w:rPr>
          <w:sz w:val="24"/>
          <w:szCs w:val="24"/>
          <w:lang w:val="en-US"/>
        </w:rPr>
      </w:pPr>
    </w:p>
    <w:p w14:paraId="0515F7CC" w14:textId="77777777" w:rsidR="004C72E6" w:rsidRPr="00772118" w:rsidRDefault="004C72E6" w:rsidP="00987912">
      <w:pPr>
        <w:spacing w:before="120" w:after="120"/>
        <w:ind w:firstLine="425"/>
        <w:jc w:val="both"/>
        <w:rPr>
          <w:sz w:val="24"/>
          <w:szCs w:val="24"/>
          <w:lang w:val="en-US"/>
        </w:rPr>
      </w:pPr>
    </w:p>
    <w:p w14:paraId="654305B2" w14:textId="77777777" w:rsidR="004C72E6" w:rsidRPr="00772118" w:rsidRDefault="004C72E6" w:rsidP="00987912">
      <w:pPr>
        <w:spacing w:before="120" w:after="120"/>
        <w:ind w:firstLine="425"/>
        <w:jc w:val="both"/>
        <w:rPr>
          <w:sz w:val="24"/>
          <w:szCs w:val="24"/>
          <w:lang w:val="en-US"/>
        </w:rPr>
      </w:pPr>
    </w:p>
    <w:p w14:paraId="3F516347" w14:textId="77777777" w:rsidR="00987912" w:rsidRPr="00772118" w:rsidRDefault="00987912" w:rsidP="00987912">
      <w:pPr>
        <w:pBdr>
          <w:bottom w:val="single" w:sz="4" w:space="1" w:color="auto"/>
        </w:pBdr>
        <w:spacing w:before="120" w:after="120"/>
        <w:ind w:firstLine="425"/>
        <w:rPr>
          <w:bCs/>
          <w:sz w:val="24"/>
          <w:szCs w:val="24"/>
          <w:lang w:val="en-US"/>
        </w:rPr>
      </w:pPr>
      <w:r w:rsidRPr="00772118">
        <w:rPr>
          <w:b/>
          <w:sz w:val="24"/>
          <w:szCs w:val="24"/>
          <w:lang w:val="en-US"/>
        </w:rPr>
        <w:lastRenderedPageBreak/>
        <w:t xml:space="preserve">Questions </w:t>
      </w:r>
    </w:p>
    <w:p w14:paraId="305A693F" w14:textId="77777777" w:rsidR="00987912" w:rsidRPr="00772118" w:rsidRDefault="00987912" w:rsidP="00987912">
      <w:pPr>
        <w:spacing w:before="120" w:after="120"/>
        <w:rPr>
          <w:b/>
          <w:bCs/>
          <w:sz w:val="24"/>
          <w:szCs w:val="24"/>
          <w:lang w:val="en-US"/>
        </w:rPr>
      </w:pPr>
    </w:p>
    <w:p w14:paraId="1784502F" w14:textId="77777777" w:rsidR="00987912" w:rsidRPr="00772118" w:rsidRDefault="00987912" w:rsidP="00987912">
      <w:pPr>
        <w:spacing w:before="120" w:after="120"/>
        <w:rPr>
          <w:b/>
          <w:bCs/>
          <w:sz w:val="24"/>
          <w:szCs w:val="24"/>
          <w:lang w:val="en-US"/>
        </w:rPr>
      </w:pPr>
      <w:r w:rsidRPr="00772118">
        <w:rPr>
          <w:b/>
          <w:bCs/>
          <w:sz w:val="24"/>
          <w:szCs w:val="24"/>
          <w:lang w:val="en-US"/>
        </w:rPr>
        <w:t>General framework</w:t>
      </w:r>
    </w:p>
    <w:p w14:paraId="4A04DAB0" w14:textId="28EA7557" w:rsidR="00987912" w:rsidRPr="00772118" w:rsidRDefault="00506218" w:rsidP="004D14C7">
      <w:pPr>
        <w:spacing w:before="120" w:after="120"/>
        <w:ind w:left="567" w:hanging="567"/>
        <w:jc w:val="both"/>
        <w:rPr>
          <w:sz w:val="24"/>
          <w:szCs w:val="24"/>
          <w:lang w:val="en-US"/>
        </w:rPr>
      </w:pPr>
      <w:r w:rsidRPr="00772118">
        <w:rPr>
          <w:sz w:val="24"/>
          <w:szCs w:val="24"/>
          <w:lang w:val="en-US"/>
        </w:rPr>
        <w:t>1.</w:t>
      </w:r>
      <w:r w:rsidR="00E14B3F" w:rsidRPr="00772118">
        <w:rPr>
          <w:sz w:val="24"/>
          <w:szCs w:val="24"/>
          <w:lang w:val="en-US"/>
        </w:rPr>
        <w:tab/>
      </w:r>
      <w:r w:rsidR="00987912" w:rsidRPr="007721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6057EC1" w14:textId="08F3182E" w:rsidR="007450A7" w:rsidRPr="00772118" w:rsidRDefault="00B33B85" w:rsidP="000418B5">
      <w:pPr>
        <w:autoSpaceDE w:val="0"/>
        <w:autoSpaceDN w:val="0"/>
        <w:adjustRightInd w:val="0"/>
        <w:ind w:left="567"/>
        <w:jc w:val="both"/>
        <w:rPr>
          <w:i/>
          <w:iCs/>
          <w:sz w:val="24"/>
          <w:szCs w:val="24"/>
          <w:lang w:eastAsia="en-GB"/>
        </w:rPr>
      </w:pPr>
      <w:r w:rsidRPr="00772118">
        <w:rPr>
          <w:rFonts w:eastAsia="Calibri"/>
          <w:i/>
          <w:iCs/>
          <w:color w:val="231F20"/>
          <w:sz w:val="24"/>
          <w:szCs w:val="24"/>
          <w:lang w:eastAsia="en-GB"/>
        </w:rPr>
        <w:t xml:space="preserve">However, there is no </w:t>
      </w:r>
      <w:proofErr w:type="gramStart"/>
      <w:r w:rsidRPr="00772118">
        <w:rPr>
          <w:rFonts w:eastAsia="Calibri"/>
          <w:i/>
          <w:iCs/>
          <w:color w:val="231F20"/>
          <w:sz w:val="24"/>
          <w:szCs w:val="24"/>
          <w:lang w:eastAsia="en-GB"/>
        </w:rPr>
        <w:t>particular charter</w:t>
      </w:r>
      <w:proofErr w:type="gramEnd"/>
      <w:r w:rsidRPr="00772118">
        <w:rPr>
          <w:rFonts w:eastAsia="Calibri"/>
          <w:i/>
          <w:iCs/>
          <w:color w:val="231F20"/>
          <w:sz w:val="24"/>
          <w:szCs w:val="24"/>
          <w:lang w:eastAsia="en-GB"/>
        </w:rPr>
        <w:t xml:space="preserve"> or policy document that spells out the content of freedom, as is the case in some jurisdictions or institutions. </w:t>
      </w:r>
      <w:r w:rsidR="007450A7" w:rsidRPr="00772118">
        <w:rPr>
          <w:i/>
          <w:iCs/>
          <w:sz w:val="24"/>
          <w:szCs w:val="24"/>
          <w:lang w:val="en-US"/>
        </w:rPr>
        <w:t>Academic freedom is provided under article 21</w:t>
      </w:r>
      <w:r w:rsidR="00F266F4" w:rsidRPr="00772118">
        <w:rPr>
          <w:i/>
          <w:iCs/>
          <w:sz w:val="24"/>
          <w:szCs w:val="24"/>
          <w:lang w:val="en-US"/>
        </w:rPr>
        <w:t>(1)(b) of the Fourth Republican Constitution of Ghana as follows</w:t>
      </w:r>
      <w:r w:rsidR="00F266F4" w:rsidRPr="00772118">
        <w:rPr>
          <w:i/>
          <w:iCs/>
          <w:sz w:val="24"/>
          <w:szCs w:val="24"/>
          <w:lang w:eastAsia="en-GB"/>
        </w:rPr>
        <w:t xml:space="preserve">: All persons shall have the right to freedom of thought, </w:t>
      </w:r>
      <w:proofErr w:type="gramStart"/>
      <w:r w:rsidR="00F266F4" w:rsidRPr="00772118">
        <w:rPr>
          <w:i/>
          <w:iCs/>
          <w:sz w:val="24"/>
          <w:szCs w:val="24"/>
          <w:lang w:eastAsia="en-GB"/>
        </w:rPr>
        <w:t>conscience</w:t>
      </w:r>
      <w:proofErr w:type="gramEnd"/>
      <w:r w:rsidR="00F266F4" w:rsidRPr="00772118">
        <w:rPr>
          <w:i/>
          <w:iCs/>
          <w:sz w:val="24"/>
          <w:szCs w:val="24"/>
          <w:lang w:eastAsia="en-GB"/>
        </w:rPr>
        <w:t xml:space="preserve"> and belief, which shall </w:t>
      </w:r>
      <w:proofErr w:type="spellStart"/>
      <w:r w:rsidR="00F266F4" w:rsidRPr="00772118">
        <w:rPr>
          <w:i/>
          <w:iCs/>
          <w:sz w:val="24"/>
          <w:szCs w:val="24"/>
          <w:lang w:eastAsia="en-GB"/>
        </w:rPr>
        <w:t>includeacademic</w:t>
      </w:r>
      <w:proofErr w:type="spellEnd"/>
      <w:r w:rsidR="00F266F4" w:rsidRPr="00772118">
        <w:rPr>
          <w:i/>
          <w:iCs/>
          <w:sz w:val="24"/>
          <w:szCs w:val="24"/>
          <w:lang w:eastAsia="en-GB"/>
        </w:rPr>
        <w:t xml:space="preserve"> freedom.</w:t>
      </w:r>
    </w:p>
    <w:p w14:paraId="0C3AF185" w14:textId="77777777" w:rsidR="002A7891" w:rsidRPr="00772118" w:rsidRDefault="002A7891" w:rsidP="000418B5">
      <w:pPr>
        <w:autoSpaceDE w:val="0"/>
        <w:autoSpaceDN w:val="0"/>
        <w:adjustRightInd w:val="0"/>
        <w:ind w:left="567"/>
        <w:jc w:val="both"/>
        <w:rPr>
          <w:i/>
          <w:iCs/>
          <w:sz w:val="24"/>
          <w:szCs w:val="24"/>
          <w:lang w:eastAsia="en-GB"/>
        </w:rPr>
      </w:pPr>
    </w:p>
    <w:p w14:paraId="3D815800" w14:textId="6E34BF65" w:rsidR="002A7891" w:rsidRPr="00772118" w:rsidRDefault="002A7891" w:rsidP="000418B5">
      <w:pPr>
        <w:autoSpaceDE w:val="0"/>
        <w:autoSpaceDN w:val="0"/>
        <w:adjustRightInd w:val="0"/>
        <w:ind w:left="567"/>
        <w:jc w:val="both"/>
        <w:rPr>
          <w:i/>
          <w:iCs/>
          <w:sz w:val="24"/>
          <w:szCs w:val="24"/>
          <w:lang w:eastAsia="en-GB"/>
        </w:rPr>
      </w:pPr>
      <w:r w:rsidRPr="00772118">
        <w:rPr>
          <w:i/>
          <w:iCs/>
          <w:sz w:val="24"/>
          <w:szCs w:val="24"/>
          <w:lang w:eastAsia="en-GB"/>
        </w:rPr>
        <w:t xml:space="preserve">There has not been a direct reference on the subject before a court for it to provide a definitive pronouncement on how the </w:t>
      </w:r>
      <w:r w:rsidR="00926704" w:rsidRPr="00772118">
        <w:rPr>
          <w:i/>
          <w:iCs/>
          <w:sz w:val="24"/>
          <w:szCs w:val="24"/>
          <w:lang w:eastAsia="en-GB"/>
        </w:rPr>
        <w:t>freedom</w:t>
      </w:r>
      <w:r w:rsidRPr="00772118">
        <w:rPr>
          <w:i/>
          <w:iCs/>
          <w:sz w:val="24"/>
          <w:szCs w:val="24"/>
          <w:lang w:eastAsia="en-GB"/>
        </w:rPr>
        <w:t xml:space="preserve"> is supposed </w:t>
      </w:r>
      <w:r w:rsidR="00892477" w:rsidRPr="00772118">
        <w:rPr>
          <w:i/>
          <w:iCs/>
          <w:sz w:val="24"/>
          <w:szCs w:val="24"/>
          <w:lang w:eastAsia="en-GB"/>
        </w:rPr>
        <w:t>is defined and</w:t>
      </w:r>
      <w:r w:rsidRPr="00772118">
        <w:rPr>
          <w:i/>
          <w:iCs/>
          <w:sz w:val="24"/>
          <w:szCs w:val="24"/>
          <w:lang w:eastAsia="en-GB"/>
        </w:rPr>
        <w:t xml:space="preserve"> protected under the Constitution.</w:t>
      </w:r>
    </w:p>
    <w:p w14:paraId="1EA285C6" w14:textId="77777777" w:rsidR="00F266F4" w:rsidRPr="00772118" w:rsidRDefault="00F266F4" w:rsidP="00F266F4">
      <w:pPr>
        <w:autoSpaceDE w:val="0"/>
        <w:autoSpaceDN w:val="0"/>
        <w:adjustRightInd w:val="0"/>
        <w:rPr>
          <w:i/>
          <w:iCs/>
          <w:sz w:val="24"/>
          <w:szCs w:val="24"/>
          <w:lang w:eastAsia="en-GB"/>
        </w:rPr>
      </w:pPr>
    </w:p>
    <w:p w14:paraId="374673F2" w14:textId="24FC790D" w:rsidR="00987912" w:rsidRPr="00772118" w:rsidRDefault="00E14B3F" w:rsidP="000003A9">
      <w:pPr>
        <w:spacing w:before="120" w:after="120"/>
        <w:ind w:left="567" w:hanging="567"/>
        <w:jc w:val="both"/>
        <w:rPr>
          <w:sz w:val="24"/>
          <w:szCs w:val="24"/>
          <w:lang w:val="en-US"/>
        </w:rPr>
      </w:pPr>
      <w:r w:rsidRPr="00772118">
        <w:rPr>
          <w:sz w:val="24"/>
          <w:szCs w:val="24"/>
          <w:lang w:val="en-US"/>
        </w:rPr>
        <w:t>2.</w:t>
      </w:r>
      <w:r w:rsidR="000003A9" w:rsidRPr="00772118">
        <w:rPr>
          <w:sz w:val="24"/>
          <w:szCs w:val="24"/>
          <w:lang w:val="en-US"/>
        </w:rPr>
        <w:tab/>
      </w:r>
      <w:r w:rsidR="00987912" w:rsidRPr="00772118">
        <w:rPr>
          <w:sz w:val="24"/>
          <w:szCs w:val="24"/>
          <w:lang w:val="en-US"/>
        </w:rPr>
        <w:t>Are academic staff, teachers, students all entitled to academic freedom? Does this differ by level of education? Please explain.</w:t>
      </w:r>
    </w:p>
    <w:p w14:paraId="21751985" w14:textId="180673C5" w:rsidR="00926704" w:rsidRPr="00772118" w:rsidRDefault="000418B5" w:rsidP="000418B5">
      <w:pPr>
        <w:spacing w:before="120" w:after="120"/>
        <w:ind w:left="567"/>
        <w:jc w:val="both"/>
        <w:rPr>
          <w:i/>
          <w:iCs/>
          <w:sz w:val="24"/>
          <w:szCs w:val="24"/>
          <w:lang w:val="en-US"/>
        </w:rPr>
      </w:pPr>
      <w:r w:rsidRPr="00772118">
        <w:rPr>
          <w:i/>
          <w:iCs/>
          <w:sz w:val="24"/>
          <w:szCs w:val="24"/>
          <w:lang w:val="en-US"/>
        </w:rPr>
        <w:t xml:space="preserve">Yes, all are entitled to academic freedom, relying on article 21(1)(b) of the Constitution of Ghana. </w:t>
      </w:r>
      <w:r w:rsidR="008328CD" w:rsidRPr="00772118">
        <w:rPr>
          <w:i/>
          <w:iCs/>
          <w:sz w:val="24"/>
          <w:szCs w:val="24"/>
          <w:lang w:val="en-US"/>
        </w:rPr>
        <w:t>There is no specific law or court decision that deals with or has dealt with this question.</w:t>
      </w:r>
    </w:p>
    <w:p w14:paraId="66FA864E" w14:textId="77777777" w:rsidR="008328CD" w:rsidRPr="00772118" w:rsidRDefault="008328CD" w:rsidP="000003A9">
      <w:pPr>
        <w:spacing w:before="120" w:after="120"/>
        <w:ind w:left="567" w:hanging="567"/>
        <w:jc w:val="both"/>
        <w:rPr>
          <w:sz w:val="24"/>
          <w:szCs w:val="24"/>
          <w:lang w:val="en-US"/>
        </w:rPr>
      </w:pPr>
    </w:p>
    <w:p w14:paraId="24DAD4DF" w14:textId="6B56DF7C" w:rsidR="00987912" w:rsidRPr="00772118" w:rsidRDefault="000003A9" w:rsidP="0020144A">
      <w:pPr>
        <w:spacing w:before="120" w:after="120"/>
        <w:ind w:left="567" w:hanging="567"/>
        <w:jc w:val="both"/>
        <w:rPr>
          <w:sz w:val="24"/>
          <w:szCs w:val="24"/>
          <w:lang w:val="en-US"/>
        </w:rPr>
      </w:pPr>
      <w:r w:rsidRPr="00772118">
        <w:rPr>
          <w:sz w:val="24"/>
          <w:szCs w:val="24"/>
          <w:lang w:val="en-US"/>
        </w:rPr>
        <w:t>3.</w:t>
      </w:r>
      <w:r w:rsidRPr="00772118">
        <w:rPr>
          <w:sz w:val="24"/>
          <w:szCs w:val="24"/>
          <w:lang w:val="en-US"/>
        </w:rPr>
        <w:tab/>
      </w:r>
      <w:r w:rsidR="00987912" w:rsidRPr="00772118">
        <w:rPr>
          <w:sz w:val="24"/>
          <w:szCs w:val="24"/>
          <w:lang w:val="en-US"/>
        </w:rPr>
        <w:t xml:space="preserve">What do you consider to be (a) the main challenges to academic freedom, and (b) gaps in the legal framework for protecting academic freedom? </w:t>
      </w:r>
    </w:p>
    <w:p w14:paraId="627C781C" w14:textId="26B2C2C5" w:rsidR="008328CD" w:rsidRPr="00772118" w:rsidRDefault="00565553" w:rsidP="00716886">
      <w:pPr>
        <w:spacing w:before="120" w:after="120"/>
        <w:jc w:val="both"/>
        <w:rPr>
          <w:i/>
          <w:iCs/>
          <w:sz w:val="24"/>
          <w:szCs w:val="24"/>
          <w:lang w:val="en-US"/>
        </w:rPr>
      </w:pPr>
      <w:r w:rsidRPr="00772118">
        <w:rPr>
          <w:i/>
          <w:iCs/>
          <w:sz w:val="24"/>
          <w:szCs w:val="24"/>
          <w:lang w:val="en-US"/>
        </w:rPr>
        <w:t xml:space="preserve">(a) </w:t>
      </w:r>
      <w:r w:rsidR="00370E88" w:rsidRPr="00772118">
        <w:rPr>
          <w:i/>
          <w:iCs/>
          <w:sz w:val="24"/>
          <w:szCs w:val="24"/>
          <w:lang w:val="en-US"/>
        </w:rPr>
        <w:t xml:space="preserve">Governmental interference in the operation of universities through influencing decisions made by individual Vice Chancellors, the </w:t>
      </w:r>
      <w:r w:rsidR="00E53239" w:rsidRPr="00772118">
        <w:rPr>
          <w:i/>
          <w:iCs/>
          <w:sz w:val="24"/>
          <w:szCs w:val="24"/>
          <w:lang w:val="en-US"/>
        </w:rPr>
        <w:t>umbrella body for VCs in Ghana called Vice Chancellors Ghana</w:t>
      </w:r>
      <w:r w:rsidR="00F9730F" w:rsidRPr="00772118">
        <w:rPr>
          <w:i/>
          <w:iCs/>
          <w:sz w:val="24"/>
          <w:szCs w:val="24"/>
          <w:lang w:val="en-US"/>
        </w:rPr>
        <w:t xml:space="preserve"> (VCG)</w:t>
      </w:r>
      <w:r w:rsidR="00E53239" w:rsidRPr="00772118">
        <w:rPr>
          <w:i/>
          <w:iCs/>
          <w:sz w:val="24"/>
          <w:szCs w:val="24"/>
          <w:lang w:val="en-US"/>
        </w:rPr>
        <w:t xml:space="preserve">, the Ghana Tertiary Education Commission, </w:t>
      </w:r>
      <w:r w:rsidR="00F9730F" w:rsidRPr="00772118">
        <w:rPr>
          <w:i/>
          <w:iCs/>
          <w:sz w:val="24"/>
          <w:szCs w:val="24"/>
          <w:lang w:val="en-US"/>
        </w:rPr>
        <w:t xml:space="preserve">the </w:t>
      </w:r>
      <w:r w:rsidR="00E53239" w:rsidRPr="00772118">
        <w:rPr>
          <w:i/>
          <w:iCs/>
          <w:sz w:val="24"/>
          <w:szCs w:val="24"/>
          <w:lang w:val="en-US"/>
        </w:rPr>
        <w:t xml:space="preserve">Ministry of Education, </w:t>
      </w:r>
      <w:r w:rsidR="006A701B" w:rsidRPr="00772118">
        <w:rPr>
          <w:i/>
          <w:iCs/>
          <w:sz w:val="24"/>
          <w:szCs w:val="24"/>
          <w:lang w:val="en-US"/>
        </w:rPr>
        <w:t xml:space="preserve">and </w:t>
      </w:r>
      <w:r w:rsidR="00FA17D1" w:rsidRPr="00772118">
        <w:rPr>
          <w:i/>
          <w:iCs/>
          <w:sz w:val="24"/>
          <w:szCs w:val="24"/>
          <w:lang w:val="en-US"/>
        </w:rPr>
        <w:t>governing councils of universities</w:t>
      </w:r>
      <w:r w:rsidR="006A701B" w:rsidRPr="00772118">
        <w:rPr>
          <w:i/>
          <w:iCs/>
          <w:sz w:val="24"/>
          <w:szCs w:val="24"/>
          <w:lang w:val="en-US"/>
        </w:rPr>
        <w:t xml:space="preserve">. To a limited extent, the government </w:t>
      </w:r>
      <w:r w:rsidRPr="00772118">
        <w:rPr>
          <w:i/>
          <w:iCs/>
          <w:sz w:val="24"/>
          <w:szCs w:val="24"/>
          <w:lang w:val="en-US"/>
        </w:rPr>
        <w:t>seeks to influence the</w:t>
      </w:r>
      <w:r w:rsidR="00FA17D1" w:rsidRPr="00772118">
        <w:rPr>
          <w:i/>
          <w:iCs/>
          <w:sz w:val="24"/>
          <w:szCs w:val="24"/>
          <w:lang w:val="en-US"/>
        </w:rPr>
        <w:t xml:space="preserve"> </w:t>
      </w:r>
      <w:r w:rsidR="001B30DC" w:rsidRPr="00772118">
        <w:rPr>
          <w:i/>
          <w:iCs/>
          <w:sz w:val="24"/>
          <w:szCs w:val="24"/>
          <w:lang w:val="en-US"/>
        </w:rPr>
        <w:t xml:space="preserve">University Teachers Association of Ghana </w:t>
      </w:r>
      <w:r w:rsidR="00F9730F" w:rsidRPr="00772118">
        <w:rPr>
          <w:i/>
          <w:iCs/>
          <w:sz w:val="24"/>
          <w:szCs w:val="24"/>
          <w:lang w:val="en-US"/>
        </w:rPr>
        <w:t xml:space="preserve">(UTAG) </w:t>
      </w:r>
      <w:r w:rsidR="001B30DC" w:rsidRPr="00772118">
        <w:rPr>
          <w:i/>
          <w:iCs/>
          <w:sz w:val="24"/>
          <w:szCs w:val="24"/>
          <w:lang w:val="en-US"/>
        </w:rPr>
        <w:t>and Student Representative Councils</w:t>
      </w:r>
      <w:r w:rsidR="006A701B" w:rsidRPr="00772118">
        <w:rPr>
          <w:i/>
          <w:iCs/>
          <w:sz w:val="24"/>
          <w:szCs w:val="24"/>
          <w:lang w:val="en-US"/>
        </w:rPr>
        <w:t xml:space="preserve"> (SRC)</w:t>
      </w:r>
      <w:r w:rsidRPr="00772118">
        <w:rPr>
          <w:i/>
          <w:iCs/>
          <w:sz w:val="24"/>
          <w:szCs w:val="24"/>
          <w:lang w:val="en-US"/>
        </w:rPr>
        <w:t xml:space="preserve"> through divide and rule</w:t>
      </w:r>
      <w:r w:rsidR="001B30DC" w:rsidRPr="00772118">
        <w:rPr>
          <w:i/>
          <w:iCs/>
          <w:sz w:val="24"/>
          <w:szCs w:val="24"/>
          <w:lang w:val="en-US"/>
        </w:rPr>
        <w:t>.</w:t>
      </w:r>
    </w:p>
    <w:p w14:paraId="6A3F5E37" w14:textId="7FEFBB7B" w:rsidR="00D86786" w:rsidRPr="00772118" w:rsidRDefault="00A7296C" w:rsidP="00716886">
      <w:pPr>
        <w:spacing w:before="120" w:after="120"/>
        <w:jc w:val="both"/>
        <w:rPr>
          <w:i/>
          <w:iCs/>
          <w:sz w:val="24"/>
          <w:szCs w:val="24"/>
          <w:lang w:val="en-US"/>
        </w:rPr>
      </w:pPr>
      <w:r w:rsidRPr="00772118">
        <w:rPr>
          <w:i/>
          <w:iCs/>
          <w:sz w:val="24"/>
          <w:szCs w:val="24"/>
          <w:lang w:val="en-US"/>
        </w:rPr>
        <w:t xml:space="preserve">(b) </w:t>
      </w:r>
      <w:r w:rsidR="00D86786" w:rsidRPr="00772118">
        <w:rPr>
          <w:i/>
          <w:iCs/>
          <w:sz w:val="24"/>
          <w:szCs w:val="24"/>
          <w:lang w:val="en-US"/>
        </w:rPr>
        <w:t xml:space="preserve">The laws of the land </w:t>
      </w:r>
      <w:r w:rsidR="0038711F">
        <w:rPr>
          <w:i/>
          <w:iCs/>
          <w:sz w:val="24"/>
          <w:szCs w:val="24"/>
          <w:lang w:val="en-US"/>
        </w:rPr>
        <w:t xml:space="preserve">generally </w:t>
      </w:r>
      <w:r w:rsidR="00D86786" w:rsidRPr="00772118">
        <w:rPr>
          <w:i/>
          <w:iCs/>
          <w:sz w:val="24"/>
          <w:szCs w:val="24"/>
          <w:lang w:val="en-US"/>
        </w:rPr>
        <w:t>seem to be protective of academic freedom. For example, apart from the specific recognition of academic freedom in the Constitution, the Constitution also provides that the President cannot be appointed as Chancellor</w:t>
      </w:r>
      <w:r w:rsidR="009C7A2B" w:rsidRPr="00772118">
        <w:rPr>
          <w:i/>
          <w:iCs/>
          <w:sz w:val="24"/>
          <w:szCs w:val="24"/>
          <w:lang w:val="en-US"/>
        </w:rPr>
        <w:t xml:space="preserve"> while in office. Two, the chair of the governing council of each public university is to be appointed by the university</w:t>
      </w:r>
      <w:r w:rsidR="004E1AAE" w:rsidRPr="00772118">
        <w:rPr>
          <w:i/>
          <w:iCs/>
          <w:sz w:val="24"/>
          <w:szCs w:val="24"/>
          <w:lang w:val="en-US"/>
        </w:rPr>
        <w:t xml:space="preserve">. Three, the university council is not considered as </w:t>
      </w:r>
    </w:p>
    <w:p w14:paraId="2C0095FA" w14:textId="6AA2C43D" w:rsidR="003D16E8" w:rsidRPr="00772118" w:rsidRDefault="00A7296C" w:rsidP="003D16E8">
      <w:pPr>
        <w:jc w:val="both"/>
        <w:rPr>
          <w:i/>
          <w:iCs/>
          <w:sz w:val="24"/>
          <w:szCs w:val="24"/>
          <w:lang w:eastAsia="en-GB"/>
        </w:rPr>
      </w:pPr>
      <w:r w:rsidRPr="00772118">
        <w:rPr>
          <w:i/>
          <w:iCs/>
          <w:sz w:val="24"/>
          <w:szCs w:val="24"/>
          <w:lang w:val="en-US"/>
        </w:rPr>
        <w:t>Each university</w:t>
      </w:r>
      <w:r w:rsidR="003D16E8" w:rsidRPr="00772118">
        <w:rPr>
          <w:i/>
          <w:iCs/>
          <w:sz w:val="24"/>
          <w:szCs w:val="24"/>
        </w:rPr>
        <w:t xml:space="preserve"> is established as an autonomous institution with perpetual succession and the right to sue and be sued. The qualification of a Chancellor is provided for in the Constitution and t</w:t>
      </w:r>
      <w:r w:rsidR="003D16E8" w:rsidRPr="00772118">
        <w:rPr>
          <w:i/>
          <w:iCs/>
          <w:sz w:val="24"/>
          <w:szCs w:val="24"/>
          <w:lang w:eastAsia="en-GB"/>
        </w:rPr>
        <w:t xml:space="preserve">he President is barred, while he continues in office as President, </w:t>
      </w:r>
      <w:bookmarkStart w:id="0" w:name="51"/>
      <w:bookmarkEnd w:id="0"/>
      <w:r w:rsidR="003D16E8" w:rsidRPr="00772118">
        <w:rPr>
          <w:i/>
          <w:iCs/>
          <w:sz w:val="24"/>
          <w:szCs w:val="24"/>
          <w:lang w:eastAsia="en-GB"/>
        </w:rPr>
        <w:t>from holding the office of Chancellor or head of any university in Ghana (</w:t>
      </w:r>
      <w:r w:rsidR="003D16E8" w:rsidRPr="00772118">
        <w:rPr>
          <w:i/>
          <w:iCs/>
          <w:sz w:val="24"/>
          <w:szCs w:val="24"/>
        </w:rPr>
        <w:t xml:space="preserve">Article </w:t>
      </w:r>
      <w:r w:rsidR="003D16E8" w:rsidRPr="00772118">
        <w:rPr>
          <w:i/>
          <w:iCs/>
          <w:sz w:val="24"/>
          <w:szCs w:val="24"/>
          <w:lang w:eastAsia="en-GB"/>
        </w:rPr>
        <w:t xml:space="preserve">68 (1) Constitution of Ghana, 1992). </w:t>
      </w:r>
    </w:p>
    <w:p w14:paraId="5C6DD469" w14:textId="77777777" w:rsidR="00555399" w:rsidRPr="00772118" w:rsidRDefault="00555399" w:rsidP="003D16E8">
      <w:pPr>
        <w:jc w:val="both"/>
        <w:rPr>
          <w:i/>
          <w:iCs/>
          <w:sz w:val="24"/>
          <w:szCs w:val="24"/>
          <w:lang w:eastAsia="en-GB"/>
        </w:rPr>
      </w:pPr>
    </w:p>
    <w:p w14:paraId="69EDF192" w14:textId="029F0ED1" w:rsidR="00E40C21" w:rsidRPr="00772118" w:rsidRDefault="00AC30DF" w:rsidP="00C10B70">
      <w:pPr>
        <w:jc w:val="both"/>
        <w:rPr>
          <w:i/>
          <w:iCs/>
          <w:sz w:val="24"/>
          <w:szCs w:val="24"/>
        </w:rPr>
      </w:pPr>
      <w:r>
        <w:rPr>
          <w:i/>
          <w:iCs/>
          <w:sz w:val="24"/>
          <w:szCs w:val="24"/>
        </w:rPr>
        <w:t xml:space="preserve">However, the interpretation and application of Article 70 is controversial and </w:t>
      </w:r>
      <w:r w:rsidR="00C333C5">
        <w:rPr>
          <w:i/>
          <w:iCs/>
          <w:sz w:val="24"/>
          <w:szCs w:val="24"/>
        </w:rPr>
        <w:t xml:space="preserve">illegal. </w:t>
      </w:r>
      <w:r w:rsidR="00CD148E" w:rsidRPr="00772118">
        <w:rPr>
          <w:i/>
          <w:iCs/>
          <w:sz w:val="24"/>
          <w:szCs w:val="24"/>
        </w:rPr>
        <w:t xml:space="preserve">The Act establishing each </w:t>
      </w:r>
      <w:r w:rsidR="00495ED4" w:rsidRPr="00772118">
        <w:rPr>
          <w:i/>
          <w:iCs/>
          <w:sz w:val="24"/>
          <w:szCs w:val="24"/>
        </w:rPr>
        <w:t>university give</w:t>
      </w:r>
      <w:r w:rsidR="00CD148E" w:rsidRPr="00772118">
        <w:rPr>
          <w:i/>
          <w:iCs/>
          <w:sz w:val="24"/>
          <w:szCs w:val="24"/>
        </w:rPr>
        <w:t>s</w:t>
      </w:r>
      <w:r w:rsidR="00495ED4" w:rsidRPr="00772118">
        <w:rPr>
          <w:i/>
          <w:iCs/>
          <w:sz w:val="24"/>
          <w:szCs w:val="24"/>
        </w:rPr>
        <w:t xml:space="preserve"> the</w:t>
      </w:r>
      <w:r w:rsidR="003D16E8" w:rsidRPr="00772118">
        <w:rPr>
          <w:i/>
          <w:iCs/>
          <w:sz w:val="24"/>
          <w:szCs w:val="24"/>
        </w:rPr>
        <w:t xml:space="preserve"> President the power to appoint the chairperson </w:t>
      </w:r>
      <w:r w:rsidR="003D16E8" w:rsidRPr="00772118">
        <w:rPr>
          <w:i/>
          <w:iCs/>
          <w:sz w:val="24"/>
          <w:szCs w:val="24"/>
        </w:rPr>
        <w:lastRenderedPageBreak/>
        <w:t>and other members of the Council “[i]n line with article 70 of the Constitution</w:t>
      </w:r>
      <w:r w:rsidR="00C10B70" w:rsidRPr="00772118">
        <w:rPr>
          <w:i/>
          <w:iCs/>
          <w:sz w:val="24"/>
          <w:szCs w:val="24"/>
        </w:rPr>
        <w:t>.</w:t>
      </w:r>
      <w:r w:rsidR="003D16E8" w:rsidRPr="00772118">
        <w:rPr>
          <w:i/>
          <w:iCs/>
          <w:sz w:val="24"/>
          <w:szCs w:val="24"/>
        </w:rPr>
        <w:t>”</w:t>
      </w:r>
      <w:r w:rsidR="00C10B70" w:rsidRPr="00772118">
        <w:rPr>
          <w:i/>
          <w:iCs/>
          <w:sz w:val="24"/>
          <w:szCs w:val="24"/>
        </w:rPr>
        <w:t xml:space="preserve"> </w:t>
      </w:r>
      <w:r w:rsidR="00C10B70" w:rsidRPr="00772118">
        <w:rPr>
          <w:rFonts w:eastAsia="Calibri"/>
          <w:i/>
          <w:iCs/>
          <w:sz w:val="24"/>
          <w:szCs w:val="24"/>
          <w:vertAlign w:val="superscript"/>
        </w:rPr>
        <w:footnoteReference w:id="1"/>
      </w:r>
      <w:r w:rsidR="003D16E8" w:rsidRPr="00772118">
        <w:rPr>
          <w:i/>
          <w:iCs/>
          <w:sz w:val="24"/>
          <w:szCs w:val="24"/>
        </w:rPr>
        <w:t xml:space="preserve"> </w:t>
      </w:r>
      <w:r w:rsidR="00DD402E" w:rsidRPr="00772118">
        <w:rPr>
          <w:i/>
          <w:iCs/>
          <w:sz w:val="24"/>
          <w:szCs w:val="24"/>
        </w:rPr>
        <w:t>Article 70</w:t>
      </w:r>
      <w:r w:rsidR="00AD22F1">
        <w:rPr>
          <w:i/>
          <w:iCs/>
          <w:sz w:val="24"/>
          <w:szCs w:val="24"/>
        </w:rPr>
        <w:t>(d)(iv)</w:t>
      </w:r>
      <w:r w:rsidR="00DD402E" w:rsidRPr="00772118">
        <w:rPr>
          <w:i/>
          <w:iCs/>
          <w:sz w:val="24"/>
          <w:szCs w:val="24"/>
        </w:rPr>
        <w:t xml:space="preserve"> of the Constitutions</w:t>
      </w:r>
      <w:r w:rsidR="00E40C21" w:rsidRPr="00772118">
        <w:rPr>
          <w:rFonts w:eastAsia="Calibri"/>
          <w:i/>
          <w:iCs/>
          <w:sz w:val="24"/>
          <w:szCs w:val="24"/>
        </w:rPr>
        <w:t xml:space="preserve"> provides that:</w:t>
      </w:r>
    </w:p>
    <w:p w14:paraId="27BA5752" w14:textId="77777777" w:rsidR="00772118" w:rsidRPr="00772118" w:rsidRDefault="00772118" w:rsidP="00E40C21">
      <w:pPr>
        <w:ind w:left="720"/>
        <w:jc w:val="both"/>
        <w:rPr>
          <w:rFonts w:eastAsia="Calibri"/>
          <w:i/>
          <w:iCs/>
          <w:sz w:val="24"/>
          <w:szCs w:val="24"/>
        </w:rPr>
      </w:pPr>
    </w:p>
    <w:p w14:paraId="78597CF2" w14:textId="5B1F0B0D" w:rsidR="00C10B70" w:rsidRDefault="00E40C21" w:rsidP="00AD22F1">
      <w:pPr>
        <w:jc w:val="both"/>
        <w:rPr>
          <w:i/>
          <w:iCs/>
          <w:sz w:val="24"/>
          <w:szCs w:val="24"/>
        </w:rPr>
      </w:pPr>
      <w:r w:rsidRPr="00772118">
        <w:rPr>
          <w:rFonts w:eastAsia="Calibri"/>
          <w:i/>
          <w:iCs/>
          <w:sz w:val="24"/>
          <w:szCs w:val="24"/>
        </w:rPr>
        <w:t xml:space="preserve">The President shall, acting in consultation with the Council of State, appoint </w:t>
      </w:r>
      <w:r w:rsidRPr="00772118">
        <w:rPr>
          <w:i/>
          <w:iCs/>
          <w:sz w:val="24"/>
          <w:szCs w:val="24"/>
        </w:rPr>
        <w:t>a National Council for Higher Education, howsoever described</w:t>
      </w:r>
      <w:r w:rsidR="00AD22F1">
        <w:rPr>
          <w:i/>
          <w:iCs/>
          <w:sz w:val="24"/>
          <w:szCs w:val="24"/>
        </w:rPr>
        <w:t xml:space="preserve">. </w:t>
      </w:r>
    </w:p>
    <w:p w14:paraId="1B9A2BD5" w14:textId="77777777" w:rsidR="00AD22F1" w:rsidRPr="00772118" w:rsidRDefault="00AD22F1" w:rsidP="00AD22F1">
      <w:pPr>
        <w:jc w:val="both"/>
        <w:rPr>
          <w:rFonts w:eastAsia="Calibri"/>
          <w:i/>
          <w:iCs/>
          <w:sz w:val="24"/>
          <w:szCs w:val="24"/>
        </w:rPr>
      </w:pPr>
    </w:p>
    <w:p w14:paraId="3AE2F1C0" w14:textId="62D9CDD4" w:rsidR="00B33B85" w:rsidRDefault="00E40C21" w:rsidP="004F774B">
      <w:pPr>
        <w:pStyle w:val="NoSpacing"/>
        <w:rPr>
          <w:i/>
          <w:iCs/>
          <w:sz w:val="24"/>
          <w:szCs w:val="24"/>
        </w:rPr>
      </w:pPr>
      <w:r w:rsidRPr="00772118">
        <w:rPr>
          <w:rFonts w:ascii="Times New Roman" w:hAnsi="Times New Roman"/>
          <w:i/>
          <w:iCs/>
          <w:sz w:val="24"/>
          <w:szCs w:val="24"/>
        </w:rPr>
        <w:t xml:space="preserve">Yet, </w:t>
      </w:r>
      <w:r w:rsidR="00AD22F1">
        <w:rPr>
          <w:rFonts w:ascii="Times New Roman" w:hAnsi="Times New Roman"/>
          <w:i/>
          <w:iCs/>
          <w:sz w:val="24"/>
          <w:szCs w:val="24"/>
        </w:rPr>
        <w:t xml:space="preserve">the </w:t>
      </w:r>
      <w:r w:rsidR="00032DB0">
        <w:rPr>
          <w:rFonts w:ascii="Times New Roman" w:hAnsi="Times New Roman"/>
          <w:i/>
          <w:iCs/>
          <w:sz w:val="24"/>
          <w:szCs w:val="24"/>
        </w:rPr>
        <w:t>National Council for Higher Education is a different body from a university council</w:t>
      </w:r>
      <w:r w:rsidR="003C2525">
        <w:rPr>
          <w:rFonts w:ascii="Times New Roman" w:hAnsi="Times New Roman"/>
          <w:i/>
          <w:iCs/>
          <w:sz w:val="24"/>
          <w:szCs w:val="24"/>
        </w:rPr>
        <w:t xml:space="preserve"> and is set up separately under </w:t>
      </w:r>
      <w:r w:rsidR="00FD68BA">
        <w:rPr>
          <w:rFonts w:ascii="Times New Roman" w:hAnsi="Times New Roman"/>
          <w:i/>
          <w:iCs/>
          <w:sz w:val="24"/>
          <w:szCs w:val="24"/>
        </w:rPr>
        <w:t xml:space="preserve">the </w:t>
      </w:r>
      <w:r w:rsidR="00FD68BA" w:rsidRPr="00FD68BA">
        <w:rPr>
          <w:rFonts w:ascii="Times New Roman" w:hAnsi="Times New Roman"/>
          <w:i/>
          <w:iCs/>
          <w:sz w:val="24"/>
          <w:szCs w:val="24"/>
          <w:shd w:val="clear" w:color="auto" w:fill="F8F8F8"/>
        </w:rPr>
        <w:t>Education Regulatory Bodies Act, 2020 (Act 1023)</w:t>
      </w:r>
      <w:r w:rsidR="00E11B36">
        <w:rPr>
          <w:rFonts w:ascii="Times New Roman" w:hAnsi="Times New Roman"/>
          <w:i/>
          <w:iCs/>
          <w:sz w:val="24"/>
          <w:szCs w:val="24"/>
        </w:rPr>
        <w:t xml:space="preserve">. </w:t>
      </w:r>
      <w:r w:rsidR="00B81625">
        <w:rPr>
          <w:rFonts w:ascii="Times New Roman" w:hAnsi="Times New Roman"/>
          <w:i/>
          <w:iCs/>
          <w:sz w:val="24"/>
          <w:szCs w:val="24"/>
        </w:rPr>
        <w:t xml:space="preserve">The university council and how it goes about appointing its </w:t>
      </w:r>
      <w:r w:rsidR="007F16AC">
        <w:rPr>
          <w:rFonts w:ascii="Times New Roman" w:hAnsi="Times New Roman"/>
          <w:i/>
          <w:iCs/>
          <w:sz w:val="24"/>
          <w:szCs w:val="24"/>
        </w:rPr>
        <w:t xml:space="preserve">chair and membership, on the other hand, is regulated by </w:t>
      </w:r>
      <w:r w:rsidRPr="00772118">
        <w:rPr>
          <w:rFonts w:ascii="Times New Roman" w:hAnsi="Times New Roman"/>
          <w:i/>
          <w:iCs/>
          <w:sz w:val="24"/>
          <w:szCs w:val="24"/>
        </w:rPr>
        <w:t>article 195(3) of the same Constitution</w:t>
      </w:r>
      <w:r w:rsidR="004F774B">
        <w:rPr>
          <w:rFonts w:ascii="Times New Roman" w:hAnsi="Times New Roman"/>
          <w:i/>
          <w:iCs/>
          <w:sz w:val="24"/>
          <w:szCs w:val="24"/>
        </w:rPr>
        <w:t xml:space="preserve"> and provides that ‘[t]</w:t>
      </w:r>
      <w:r w:rsidRPr="00772118">
        <w:rPr>
          <w:rFonts w:ascii="Times New Roman" w:hAnsi="Times New Roman"/>
          <w:i/>
          <w:iCs/>
          <w:sz w:val="24"/>
          <w:szCs w:val="24"/>
        </w:rPr>
        <w:t xml:space="preserve">he </w:t>
      </w:r>
      <w:proofErr w:type="gramStart"/>
      <w:r w:rsidRPr="00772118">
        <w:rPr>
          <w:rFonts w:ascii="Times New Roman" w:hAnsi="Times New Roman"/>
          <w:i/>
          <w:iCs/>
          <w:sz w:val="24"/>
          <w:szCs w:val="24"/>
        </w:rPr>
        <w:t>power</w:t>
      </w:r>
      <w:proofErr w:type="gramEnd"/>
      <w:r w:rsidRPr="00772118">
        <w:rPr>
          <w:rFonts w:ascii="Times New Roman" w:hAnsi="Times New Roman"/>
          <w:i/>
          <w:iCs/>
          <w:sz w:val="24"/>
          <w:szCs w:val="24"/>
        </w:rPr>
        <w:t xml:space="preserve"> to appoint persons to hold or act in an office in a body of higher education, research or professional training, shall vest in the council or other governing body of that institution or body.</w:t>
      </w:r>
    </w:p>
    <w:p w14:paraId="004273B9" w14:textId="77777777" w:rsidR="00772118" w:rsidRPr="00772118" w:rsidRDefault="00772118" w:rsidP="00772118">
      <w:pPr>
        <w:ind w:left="720"/>
        <w:jc w:val="both"/>
        <w:rPr>
          <w:rFonts w:eastAsia="Calibri"/>
          <w:i/>
          <w:iCs/>
          <w:sz w:val="24"/>
          <w:szCs w:val="24"/>
        </w:rPr>
      </w:pPr>
    </w:p>
    <w:p w14:paraId="54FD38C5" w14:textId="52AF17B0" w:rsidR="00716886" w:rsidRPr="00772118" w:rsidRDefault="00987912" w:rsidP="00716886">
      <w:pPr>
        <w:spacing w:before="120" w:after="120"/>
        <w:jc w:val="both"/>
        <w:rPr>
          <w:b/>
          <w:bCs/>
          <w:sz w:val="24"/>
          <w:szCs w:val="24"/>
          <w:lang w:val="en-US"/>
        </w:rPr>
      </w:pPr>
      <w:r w:rsidRPr="00772118">
        <w:rPr>
          <w:b/>
          <w:bCs/>
          <w:sz w:val="24"/>
          <w:szCs w:val="24"/>
          <w:lang w:val="en-US"/>
        </w:rPr>
        <w:t>Autonomy of educational institutions</w:t>
      </w:r>
    </w:p>
    <w:p w14:paraId="743C7643" w14:textId="77777777" w:rsidR="00091AC2" w:rsidRPr="00772118" w:rsidRDefault="00716886" w:rsidP="00716886">
      <w:pPr>
        <w:spacing w:before="120" w:after="120"/>
        <w:ind w:left="567" w:hanging="567"/>
        <w:jc w:val="both"/>
        <w:rPr>
          <w:sz w:val="24"/>
          <w:szCs w:val="24"/>
          <w:lang w:val="en-US"/>
        </w:rPr>
      </w:pPr>
      <w:r w:rsidRPr="00772118">
        <w:rPr>
          <w:sz w:val="24"/>
          <w:szCs w:val="24"/>
          <w:lang w:val="en-US"/>
        </w:rPr>
        <w:t>4.</w:t>
      </w:r>
      <w:r w:rsidRPr="00772118">
        <w:rPr>
          <w:sz w:val="24"/>
          <w:szCs w:val="24"/>
          <w:lang w:val="en-US"/>
        </w:rPr>
        <w:tab/>
      </w:r>
      <w:r w:rsidR="00987912" w:rsidRPr="00772118">
        <w:rPr>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789E2E27" w14:textId="2F355BFB" w:rsidR="002B5E11" w:rsidRPr="00772118" w:rsidRDefault="006A24C5" w:rsidP="006A24C5">
      <w:pPr>
        <w:spacing w:before="120" w:after="120"/>
        <w:ind w:left="567"/>
        <w:jc w:val="both"/>
        <w:rPr>
          <w:i/>
          <w:iCs/>
          <w:sz w:val="24"/>
          <w:szCs w:val="24"/>
          <w:lang w:val="en-US"/>
        </w:rPr>
      </w:pPr>
      <w:r w:rsidRPr="00772118">
        <w:rPr>
          <w:i/>
          <w:iCs/>
          <w:sz w:val="24"/>
          <w:szCs w:val="24"/>
          <w:lang w:val="en-US"/>
        </w:rPr>
        <w:t xml:space="preserve">Generally, on the face of it, autonomy and self-governance exist at the university level. </w:t>
      </w:r>
      <w:r w:rsidR="00220609" w:rsidRPr="00772118">
        <w:rPr>
          <w:i/>
          <w:iCs/>
          <w:sz w:val="24"/>
          <w:szCs w:val="24"/>
          <w:lang w:val="en-US"/>
        </w:rPr>
        <w:t>However,</w:t>
      </w:r>
      <w:r w:rsidR="002B5E11" w:rsidRPr="00772118">
        <w:rPr>
          <w:i/>
          <w:iCs/>
          <w:sz w:val="24"/>
          <w:szCs w:val="24"/>
          <w:lang w:val="en-US"/>
        </w:rPr>
        <w:t xml:space="preserve"> one can refer to the </w:t>
      </w:r>
      <w:r w:rsidR="0037527A" w:rsidRPr="00772118">
        <w:rPr>
          <w:i/>
          <w:iCs/>
          <w:sz w:val="24"/>
          <w:szCs w:val="24"/>
          <w:lang w:val="en-US"/>
        </w:rPr>
        <w:t xml:space="preserve">controversy surrounding the interpretation of article 70 of the </w:t>
      </w:r>
      <w:r w:rsidRPr="00772118">
        <w:rPr>
          <w:i/>
          <w:iCs/>
          <w:sz w:val="24"/>
          <w:szCs w:val="24"/>
          <w:lang w:val="en-US"/>
        </w:rPr>
        <w:t>Constitution mentioned above.</w:t>
      </w:r>
      <w:r w:rsidR="006B2E55" w:rsidRPr="00772118">
        <w:rPr>
          <w:i/>
          <w:iCs/>
          <w:sz w:val="24"/>
          <w:szCs w:val="24"/>
          <w:lang w:val="en-US"/>
        </w:rPr>
        <w:t xml:space="preserve"> The reference to governmental interference, direct and indirect, also indicates attempts </w:t>
      </w:r>
      <w:r w:rsidR="0065295E" w:rsidRPr="00772118">
        <w:rPr>
          <w:i/>
          <w:iCs/>
          <w:sz w:val="24"/>
          <w:szCs w:val="24"/>
          <w:lang w:val="en-US"/>
        </w:rPr>
        <w:t>by the State to compromise the autonomy and self-governance of the university.</w:t>
      </w:r>
    </w:p>
    <w:p w14:paraId="4FB6B8AD" w14:textId="77777777" w:rsidR="0065295E" w:rsidRPr="00772118" w:rsidRDefault="0065295E" w:rsidP="006A24C5">
      <w:pPr>
        <w:spacing w:before="120" w:after="120"/>
        <w:ind w:left="567"/>
        <w:jc w:val="both"/>
        <w:rPr>
          <w:sz w:val="24"/>
          <w:szCs w:val="24"/>
          <w:lang w:val="en-US"/>
        </w:rPr>
      </w:pPr>
    </w:p>
    <w:p w14:paraId="5C833CFB" w14:textId="48B8C31B" w:rsidR="00987912" w:rsidRPr="00772118" w:rsidRDefault="00091AC2" w:rsidP="00716886">
      <w:pPr>
        <w:spacing w:before="120" w:after="120"/>
        <w:ind w:left="567" w:hanging="567"/>
        <w:jc w:val="both"/>
        <w:rPr>
          <w:b/>
          <w:bCs/>
          <w:sz w:val="24"/>
          <w:szCs w:val="24"/>
          <w:lang w:val="en-US"/>
        </w:rPr>
      </w:pPr>
      <w:r w:rsidRPr="00772118">
        <w:rPr>
          <w:sz w:val="24"/>
          <w:szCs w:val="24"/>
          <w:lang w:val="en-US"/>
        </w:rPr>
        <w:t>5.</w:t>
      </w:r>
      <w:r w:rsidRPr="00772118">
        <w:rPr>
          <w:sz w:val="24"/>
          <w:szCs w:val="24"/>
          <w:lang w:val="en-US"/>
        </w:rPr>
        <w:tab/>
      </w:r>
      <w:r w:rsidR="00987912" w:rsidRPr="00772118">
        <w:rPr>
          <w:sz w:val="24"/>
          <w:szCs w:val="24"/>
          <w:lang w:val="en-US"/>
        </w:rPr>
        <w:t xml:space="preserve">Please provide examples of institutional guidelines/codes of conduct developed to ensure respect for academic freedom, including from external public or private actors. </w:t>
      </w:r>
    </w:p>
    <w:p w14:paraId="0DAB5C00" w14:textId="4B5BED38" w:rsidR="00DB6C64" w:rsidRPr="00772118" w:rsidRDefault="000C7745" w:rsidP="00D97FEA">
      <w:pPr>
        <w:pStyle w:val="ListParagraph"/>
        <w:spacing w:before="120" w:after="120"/>
        <w:ind w:left="426"/>
        <w:contextualSpacing w:val="0"/>
        <w:jc w:val="both"/>
        <w:rPr>
          <w:rFonts w:eastAsia="Calibri"/>
          <w:i/>
          <w:iCs/>
          <w:sz w:val="24"/>
          <w:szCs w:val="24"/>
        </w:rPr>
      </w:pPr>
      <w:r w:rsidRPr="00772118">
        <w:rPr>
          <w:i/>
          <w:iCs/>
          <w:sz w:val="24"/>
          <w:szCs w:val="24"/>
          <w:lang w:val="en-US"/>
        </w:rPr>
        <w:t xml:space="preserve">Each </w:t>
      </w:r>
      <w:r w:rsidR="00E70975" w:rsidRPr="00772118">
        <w:rPr>
          <w:i/>
          <w:iCs/>
          <w:sz w:val="24"/>
          <w:szCs w:val="24"/>
          <w:lang w:val="en-US"/>
        </w:rPr>
        <w:t>u</w:t>
      </w:r>
      <w:r w:rsidR="001577AD" w:rsidRPr="00772118">
        <w:rPr>
          <w:i/>
          <w:iCs/>
          <w:sz w:val="24"/>
          <w:szCs w:val="24"/>
          <w:lang w:val="en-US"/>
        </w:rPr>
        <w:t>niversity has statutes which spell out the leve</w:t>
      </w:r>
      <w:r w:rsidRPr="00772118">
        <w:rPr>
          <w:i/>
          <w:iCs/>
          <w:sz w:val="24"/>
          <w:szCs w:val="24"/>
          <w:lang w:val="en-US"/>
        </w:rPr>
        <w:t>l</w:t>
      </w:r>
      <w:r w:rsidR="001577AD" w:rsidRPr="00772118">
        <w:rPr>
          <w:i/>
          <w:iCs/>
          <w:sz w:val="24"/>
          <w:szCs w:val="24"/>
          <w:lang w:val="en-US"/>
        </w:rPr>
        <w:t xml:space="preserve"> of respect for academic freedom. For example, at the University of Ghana, </w:t>
      </w:r>
      <w:r w:rsidRPr="00772118">
        <w:rPr>
          <w:rFonts w:eastAsia="Calibri"/>
          <w:i/>
          <w:iCs/>
          <w:color w:val="231F20"/>
          <w:sz w:val="24"/>
          <w:szCs w:val="24"/>
          <w:lang w:eastAsia="en-GB"/>
        </w:rPr>
        <w:t>w</w:t>
      </w:r>
      <w:r w:rsidR="00DB6C64" w:rsidRPr="00772118">
        <w:rPr>
          <w:rFonts w:eastAsia="Calibri"/>
          <w:i/>
          <w:iCs/>
          <w:color w:val="231F20"/>
          <w:sz w:val="24"/>
          <w:szCs w:val="24"/>
          <w:lang w:eastAsia="en-GB"/>
        </w:rPr>
        <w:t xml:space="preserve">ith respect to individual rights and freedoms for academics, </w:t>
      </w:r>
      <w:r w:rsidRPr="00772118">
        <w:rPr>
          <w:rFonts w:eastAsia="Calibri"/>
          <w:i/>
          <w:iCs/>
          <w:color w:val="231F20"/>
          <w:sz w:val="24"/>
          <w:szCs w:val="24"/>
          <w:lang w:eastAsia="en-GB"/>
        </w:rPr>
        <w:t>there is</w:t>
      </w:r>
      <w:r w:rsidR="00DB6C64" w:rsidRPr="00772118">
        <w:rPr>
          <w:rFonts w:eastAsia="Calibri"/>
          <w:i/>
          <w:iCs/>
          <w:color w:val="231F20"/>
          <w:sz w:val="24"/>
          <w:szCs w:val="24"/>
          <w:lang w:eastAsia="en-GB"/>
        </w:rPr>
        <w:t xml:space="preserve"> specific reference to “academic freedom” in </w:t>
      </w:r>
      <w:r w:rsidR="00D97FEA" w:rsidRPr="00772118">
        <w:rPr>
          <w:rFonts w:eastAsia="Calibri"/>
          <w:i/>
          <w:iCs/>
          <w:color w:val="231F20"/>
          <w:sz w:val="24"/>
          <w:szCs w:val="24"/>
          <w:lang w:eastAsia="en-GB"/>
        </w:rPr>
        <w:t>its statute</w:t>
      </w:r>
      <w:r w:rsidR="00DB6C64" w:rsidRPr="00772118">
        <w:rPr>
          <w:rFonts w:eastAsia="Calibri"/>
          <w:i/>
          <w:iCs/>
          <w:color w:val="231F20"/>
          <w:sz w:val="24"/>
          <w:szCs w:val="24"/>
          <w:lang w:eastAsia="en-GB"/>
        </w:rPr>
        <w:t xml:space="preserve">. The application, though, only seems indirectly implied. Thus, under clause </w:t>
      </w:r>
      <w:r w:rsidR="00DB6C64" w:rsidRPr="00772118">
        <w:rPr>
          <w:rFonts w:eastAsia="Calibri"/>
          <w:i/>
          <w:iCs/>
          <w:sz w:val="24"/>
          <w:szCs w:val="24"/>
        </w:rPr>
        <w:t>42(1)(f)(iii) of the Statute, it is provided that: Without prejudice to the application of the national laws by the University, no member of the University shall engage in a course of vexatious conduct that is directed at one or more specific individuals, and that exceeds the bounds of freedom of expression or academic freedom as these are understood in University policies and accepted practices, including but not restricted to those explicitly adopted.</w:t>
      </w:r>
      <w:r w:rsidR="00DB6C64" w:rsidRPr="00772118">
        <w:rPr>
          <w:rFonts w:eastAsia="Calibri"/>
          <w:i/>
          <w:iCs/>
          <w:sz w:val="24"/>
          <w:szCs w:val="24"/>
          <w:vertAlign w:val="superscript"/>
        </w:rPr>
        <w:footnoteReference w:id="2"/>
      </w:r>
      <w:r w:rsidR="00DB6C64" w:rsidRPr="00772118">
        <w:rPr>
          <w:rFonts w:eastAsia="Calibri"/>
          <w:i/>
          <w:iCs/>
          <w:sz w:val="24"/>
          <w:szCs w:val="24"/>
        </w:rPr>
        <w:t xml:space="preserve"> </w:t>
      </w:r>
    </w:p>
    <w:p w14:paraId="01F514D7" w14:textId="77777777" w:rsidR="00DB6C64" w:rsidRPr="00772118" w:rsidRDefault="00DB6C64" w:rsidP="00DB6C64">
      <w:pPr>
        <w:autoSpaceDE w:val="0"/>
        <w:autoSpaceDN w:val="0"/>
        <w:adjustRightInd w:val="0"/>
        <w:rPr>
          <w:rFonts w:eastAsia="Calibri"/>
          <w:color w:val="231F20"/>
          <w:sz w:val="24"/>
          <w:szCs w:val="24"/>
          <w:lang w:eastAsia="en-GB"/>
        </w:rPr>
      </w:pPr>
    </w:p>
    <w:p w14:paraId="34E0E8A5" w14:textId="37CAD3BC" w:rsidR="00DA53AA" w:rsidRPr="00213F79" w:rsidRDefault="00DB6C64" w:rsidP="00E70975">
      <w:pPr>
        <w:pStyle w:val="NoSpacing"/>
        <w:ind w:left="426"/>
        <w:jc w:val="both"/>
        <w:rPr>
          <w:rFonts w:ascii="Times New Roman" w:hAnsi="Times New Roman"/>
          <w:i/>
          <w:iCs/>
          <w:sz w:val="24"/>
          <w:szCs w:val="24"/>
        </w:rPr>
      </w:pPr>
      <w:r w:rsidRPr="00213F79">
        <w:rPr>
          <w:rFonts w:ascii="Times New Roman" w:hAnsi="Times New Roman"/>
          <w:i/>
          <w:iCs/>
          <w:sz w:val="24"/>
          <w:szCs w:val="24"/>
          <w:lang w:eastAsia="en-GB"/>
        </w:rPr>
        <w:t>This statement connotes the meaning that academic freedom is recognised in the basic laws of the University, which is largely true. For example, the University recognises the right of every employee to freedom of association and of the right to demonstrate in order to protect his economic and social interests.</w:t>
      </w:r>
      <w:r w:rsidRPr="00213F79">
        <w:rPr>
          <w:rFonts w:ascii="Times New Roman" w:hAnsi="Times New Roman"/>
          <w:i/>
          <w:iCs/>
          <w:sz w:val="24"/>
          <w:szCs w:val="24"/>
          <w:vertAlign w:val="superscript"/>
          <w:lang w:eastAsia="en-GB"/>
        </w:rPr>
        <w:footnoteReference w:id="3"/>
      </w:r>
      <w:r w:rsidRPr="00213F79">
        <w:rPr>
          <w:rFonts w:ascii="Times New Roman" w:hAnsi="Times New Roman"/>
          <w:i/>
          <w:iCs/>
          <w:sz w:val="24"/>
          <w:szCs w:val="24"/>
          <w:lang w:eastAsia="en-GB"/>
        </w:rPr>
        <w:t xml:space="preserve"> Also, the </w:t>
      </w:r>
      <w:r w:rsidRPr="00213F79">
        <w:rPr>
          <w:rFonts w:ascii="Times New Roman" w:hAnsi="Times New Roman"/>
          <w:i/>
          <w:iCs/>
          <w:sz w:val="24"/>
          <w:szCs w:val="24"/>
          <w:lang w:eastAsia="en-GB"/>
        </w:rPr>
        <w:lastRenderedPageBreak/>
        <w:t xml:space="preserve">university’s code of conduct for academic staff prohibits harassment or discrimination </w:t>
      </w:r>
      <w:r w:rsidRPr="00213F79">
        <w:rPr>
          <w:rFonts w:ascii="Times New Roman" w:hAnsi="Times New Roman"/>
          <w:i/>
          <w:iCs/>
          <w:sz w:val="24"/>
          <w:szCs w:val="24"/>
        </w:rPr>
        <w:t>against a colleague on the basis of religion, gender, race, ethnicity, ideology or disability.</w:t>
      </w:r>
      <w:r w:rsidRPr="00213F79">
        <w:rPr>
          <w:rFonts w:ascii="Times New Roman" w:hAnsi="Times New Roman"/>
          <w:i/>
          <w:iCs/>
          <w:sz w:val="24"/>
          <w:szCs w:val="24"/>
          <w:vertAlign w:val="superscript"/>
        </w:rPr>
        <w:footnoteReference w:id="4"/>
      </w:r>
      <w:r w:rsidRPr="00213F79">
        <w:rPr>
          <w:rFonts w:ascii="Times New Roman" w:hAnsi="Times New Roman"/>
          <w:i/>
          <w:iCs/>
          <w:sz w:val="24"/>
          <w:szCs w:val="24"/>
        </w:rPr>
        <w:t xml:space="preserve"> The same code recognises respect for the dignity of others, and respect for their right to express different opinions.</w:t>
      </w:r>
      <w:r w:rsidRPr="00213F79">
        <w:rPr>
          <w:rFonts w:ascii="Times New Roman" w:hAnsi="Times New Roman"/>
          <w:i/>
          <w:iCs/>
          <w:sz w:val="24"/>
          <w:szCs w:val="24"/>
          <w:vertAlign w:val="superscript"/>
        </w:rPr>
        <w:footnoteReference w:id="5"/>
      </w:r>
      <w:r w:rsidR="00E70975" w:rsidRPr="00213F79">
        <w:rPr>
          <w:rFonts w:ascii="Times New Roman" w:hAnsi="Times New Roman"/>
          <w:i/>
          <w:iCs/>
          <w:sz w:val="24"/>
          <w:szCs w:val="24"/>
        </w:rPr>
        <w:t xml:space="preserve"> </w:t>
      </w:r>
      <w:r w:rsidRPr="00213F79">
        <w:rPr>
          <w:rFonts w:ascii="Times New Roman" w:hAnsi="Times New Roman"/>
          <w:i/>
          <w:iCs/>
          <w:sz w:val="24"/>
          <w:szCs w:val="24"/>
          <w:lang w:eastAsia="en-GB"/>
        </w:rPr>
        <w:t>However, there is no particular charter or policy document that spells out the content of freedom, as is the case in some jurisdictions or institutions.</w:t>
      </w:r>
    </w:p>
    <w:p w14:paraId="5C11DDBB" w14:textId="77777777" w:rsidR="00091AC2" w:rsidRPr="00772118" w:rsidRDefault="00987912" w:rsidP="00091AC2">
      <w:pPr>
        <w:spacing w:before="120" w:after="120"/>
        <w:jc w:val="both"/>
        <w:rPr>
          <w:b/>
          <w:bCs/>
          <w:sz w:val="24"/>
          <w:szCs w:val="24"/>
          <w:lang w:val="en-US"/>
        </w:rPr>
      </w:pPr>
      <w:r w:rsidRPr="00772118">
        <w:rPr>
          <w:b/>
          <w:bCs/>
          <w:sz w:val="24"/>
          <w:szCs w:val="24"/>
          <w:lang w:val="en-US"/>
        </w:rPr>
        <w:t>Funding</w:t>
      </w:r>
    </w:p>
    <w:p w14:paraId="0A93E4AD" w14:textId="77777777" w:rsidR="00091AC2" w:rsidRPr="00772118" w:rsidRDefault="00091AC2" w:rsidP="00091AC2">
      <w:pPr>
        <w:spacing w:before="120" w:after="120"/>
        <w:ind w:left="567" w:hanging="567"/>
        <w:jc w:val="both"/>
        <w:rPr>
          <w:sz w:val="24"/>
          <w:szCs w:val="24"/>
          <w:lang w:val="en-US"/>
        </w:rPr>
      </w:pPr>
      <w:r w:rsidRPr="00772118">
        <w:rPr>
          <w:sz w:val="24"/>
          <w:szCs w:val="24"/>
          <w:lang w:val="en-US"/>
        </w:rPr>
        <w:t>6.</w:t>
      </w:r>
      <w:r w:rsidRPr="00772118">
        <w:rPr>
          <w:sz w:val="24"/>
          <w:szCs w:val="24"/>
          <w:lang w:val="en-US"/>
        </w:rPr>
        <w:tab/>
      </w:r>
      <w:r w:rsidR="00987912" w:rsidRPr="00772118">
        <w:rPr>
          <w:sz w:val="24"/>
          <w:szCs w:val="24"/>
          <w:lang w:val="en-US"/>
        </w:rPr>
        <w:t>How is funding, including for research, regulated? Is the process transparent, and are there any guarantees put in place to ensure respect for academic freedom?</w:t>
      </w:r>
    </w:p>
    <w:p w14:paraId="3FB73145" w14:textId="750DC3B1" w:rsidR="005E0735" w:rsidRPr="00213F79" w:rsidRDefault="005F07F9" w:rsidP="005F07F9">
      <w:pPr>
        <w:spacing w:before="120" w:after="120"/>
        <w:ind w:left="567"/>
        <w:jc w:val="both"/>
        <w:rPr>
          <w:i/>
          <w:iCs/>
          <w:sz w:val="24"/>
          <w:szCs w:val="24"/>
          <w:lang w:val="en-US"/>
        </w:rPr>
      </w:pPr>
      <w:r w:rsidRPr="00213F79">
        <w:rPr>
          <w:i/>
          <w:iCs/>
          <w:sz w:val="24"/>
          <w:szCs w:val="24"/>
          <w:lang w:val="en-US"/>
        </w:rPr>
        <w:t xml:space="preserve">Each university has </w:t>
      </w:r>
      <w:r w:rsidR="00D97F07" w:rsidRPr="00213F79">
        <w:rPr>
          <w:i/>
          <w:iCs/>
          <w:sz w:val="24"/>
          <w:szCs w:val="24"/>
          <w:lang w:val="en-US"/>
        </w:rPr>
        <w:t>processes for accessing university funds for research outlined in its statutes or one of the basic laws of the university</w:t>
      </w:r>
      <w:r w:rsidR="00845B20" w:rsidRPr="00213F79">
        <w:rPr>
          <w:i/>
          <w:iCs/>
          <w:sz w:val="24"/>
          <w:szCs w:val="24"/>
          <w:lang w:val="en-US"/>
        </w:rPr>
        <w:t xml:space="preserve">, with laid-down criteria to access such funds. Such funds are generally </w:t>
      </w:r>
      <w:r w:rsidR="005A7133" w:rsidRPr="00213F79">
        <w:rPr>
          <w:i/>
          <w:iCs/>
          <w:sz w:val="24"/>
          <w:szCs w:val="24"/>
          <w:lang w:val="en-US"/>
        </w:rPr>
        <w:t>solicited for by the university itself</w:t>
      </w:r>
      <w:r w:rsidR="0096673B" w:rsidRPr="00213F79">
        <w:rPr>
          <w:i/>
          <w:iCs/>
          <w:sz w:val="24"/>
          <w:szCs w:val="24"/>
          <w:lang w:val="en-US"/>
        </w:rPr>
        <w:t>.</w:t>
      </w:r>
      <w:r w:rsidR="005A7133" w:rsidRPr="00213F79">
        <w:rPr>
          <w:i/>
          <w:iCs/>
          <w:sz w:val="24"/>
          <w:szCs w:val="24"/>
          <w:lang w:val="en-US"/>
        </w:rPr>
        <w:t xml:space="preserve"> Research generally is not state-funded. Majority of lecturers </w:t>
      </w:r>
      <w:r w:rsidR="00C517E7" w:rsidRPr="00213F79">
        <w:rPr>
          <w:i/>
          <w:iCs/>
          <w:sz w:val="24"/>
          <w:szCs w:val="24"/>
          <w:lang w:val="en-US"/>
        </w:rPr>
        <w:t>write proposals to solicit for their own funding.</w:t>
      </w:r>
    </w:p>
    <w:p w14:paraId="60E914DB" w14:textId="77777777" w:rsidR="00C517E7" w:rsidRPr="00772118" w:rsidRDefault="00C517E7" w:rsidP="005F07F9">
      <w:pPr>
        <w:spacing w:before="120" w:after="120"/>
        <w:ind w:left="567"/>
        <w:jc w:val="both"/>
        <w:rPr>
          <w:sz w:val="24"/>
          <w:szCs w:val="24"/>
          <w:lang w:val="en-US"/>
        </w:rPr>
      </w:pPr>
    </w:p>
    <w:p w14:paraId="58359724" w14:textId="269A2ECA" w:rsidR="00987912" w:rsidRPr="00772118" w:rsidRDefault="00091AC2" w:rsidP="00091AC2">
      <w:pPr>
        <w:spacing w:before="120" w:after="120"/>
        <w:ind w:left="567" w:hanging="567"/>
        <w:jc w:val="both"/>
        <w:rPr>
          <w:b/>
          <w:bCs/>
          <w:sz w:val="24"/>
          <w:szCs w:val="24"/>
          <w:lang w:val="en-US"/>
        </w:rPr>
      </w:pPr>
      <w:r w:rsidRPr="00772118">
        <w:rPr>
          <w:sz w:val="24"/>
          <w:szCs w:val="24"/>
          <w:lang w:val="en-US"/>
        </w:rPr>
        <w:t>7.</w:t>
      </w:r>
      <w:r w:rsidRPr="00772118">
        <w:rPr>
          <w:sz w:val="24"/>
          <w:szCs w:val="24"/>
          <w:lang w:val="en-US"/>
        </w:rPr>
        <w:tab/>
      </w:r>
      <w:r w:rsidR="00987912" w:rsidRPr="00772118">
        <w:rPr>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1AF4248F" w14:textId="0E049F07" w:rsidR="00987912" w:rsidRPr="00C1056E" w:rsidRDefault="0096673B" w:rsidP="00C517E7">
      <w:pPr>
        <w:pStyle w:val="ListParagraph"/>
        <w:spacing w:before="120" w:after="120"/>
        <w:ind w:left="426" w:firstLine="141"/>
        <w:contextualSpacing w:val="0"/>
        <w:jc w:val="both"/>
        <w:rPr>
          <w:i/>
          <w:iCs/>
          <w:sz w:val="24"/>
          <w:szCs w:val="24"/>
          <w:lang w:val="en-US"/>
        </w:rPr>
      </w:pPr>
      <w:r w:rsidRPr="00C1056E">
        <w:rPr>
          <w:i/>
          <w:iCs/>
          <w:sz w:val="24"/>
          <w:szCs w:val="24"/>
          <w:lang w:val="en-US"/>
        </w:rPr>
        <w:t>None</w:t>
      </w:r>
      <w:r w:rsidR="00C517E7" w:rsidRPr="00C1056E">
        <w:rPr>
          <w:i/>
          <w:iCs/>
          <w:sz w:val="24"/>
          <w:szCs w:val="24"/>
          <w:lang w:val="en-US"/>
        </w:rPr>
        <w:t>.</w:t>
      </w:r>
    </w:p>
    <w:p w14:paraId="05B2A6F1" w14:textId="77777777" w:rsidR="00C517E7" w:rsidRPr="00772118" w:rsidRDefault="00C517E7" w:rsidP="00C517E7">
      <w:pPr>
        <w:pStyle w:val="ListParagraph"/>
        <w:spacing w:before="120" w:after="120"/>
        <w:ind w:left="426" w:firstLine="141"/>
        <w:contextualSpacing w:val="0"/>
        <w:jc w:val="both"/>
        <w:rPr>
          <w:sz w:val="24"/>
          <w:szCs w:val="24"/>
          <w:lang w:val="en-US"/>
        </w:rPr>
      </w:pPr>
    </w:p>
    <w:p w14:paraId="1DC956ED" w14:textId="77777777" w:rsidR="00091AC2" w:rsidRPr="00772118" w:rsidRDefault="00987912" w:rsidP="00091AC2">
      <w:pPr>
        <w:spacing w:before="120" w:after="120"/>
        <w:jc w:val="both"/>
        <w:rPr>
          <w:b/>
          <w:bCs/>
          <w:sz w:val="24"/>
          <w:szCs w:val="24"/>
          <w:lang w:val="en-US"/>
        </w:rPr>
      </w:pPr>
      <w:r w:rsidRPr="00772118">
        <w:rPr>
          <w:b/>
          <w:bCs/>
          <w:sz w:val="24"/>
          <w:szCs w:val="24"/>
          <w:lang w:val="en-US"/>
        </w:rPr>
        <w:t>Surveillance</w:t>
      </w:r>
    </w:p>
    <w:p w14:paraId="4F0321DC" w14:textId="088C1F99" w:rsidR="00987912" w:rsidRPr="00772118" w:rsidRDefault="00091AC2" w:rsidP="00091AC2">
      <w:pPr>
        <w:spacing w:before="120" w:after="120"/>
        <w:ind w:left="567" w:hanging="567"/>
        <w:jc w:val="both"/>
        <w:rPr>
          <w:sz w:val="24"/>
          <w:szCs w:val="24"/>
          <w:lang w:val="en-US"/>
        </w:rPr>
      </w:pPr>
      <w:r w:rsidRPr="00772118">
        <w:rPr>
          <w:sz w:val="24"/>
          <w:szCs w:val="24"/>
          <w:lang w:val="en-US"/>
        </w:rPr>
        <w:t>8.</w:t>
      </w:r>
      <w:r w:rsidRPr="00772118">
        <w:rPr>
          <w:sz w:val="24"/>
          <w:szCs w:val="24"/>
          <w:lang w:val="en-US"/>
        </w:rPr>
        <w:tab/>
      </w:r>
      <w:r w:rsidR="00987912" w:rsidRPr="0077211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4636D1FC" w14:textId="27D56289" w:rsidR="00987912" w:rsidRPr="00C1056E" w:rsidRDefault="00AC152C" w:rsidP="00AC152C">
      <w:pPr>
        <w:spacing w:before="120" w:after="120"/>
        <w:ind w:firstLine="567"/>
        <w:jc w:val="both"/>
        <w:rPr>
          <w:i/>
          <w:iCs/>
          <w:sz w:val="24"/>
          <w:szCs w:val="24"/>
          <w:lang w:val="en-US"/>
        </w:rPr>
      </w:pPr>
      <w:r w:rsidRPr="00C1056E">
        <w:rPr>
          <w:i/>
          <w:iCs/>
          <w:sz w:val="24"/>
          <w:szCs w:val="24"/>
          <w:lang w:val="en-US"/>
        </w:rPr>
        <w:t>There are n</w:t>
      </w:r>
      <w:r w:rsidR="00C0166E" w:rsidRPr="00C1056E">
        <w:rPr>
          <w:i/>
          <w:iCs/>
          <w:sz w:val="24"/>
          <w:szCs w:val="24"/>
          <w:lang w:val="en-US"/>
        </w:rPr>
        <w:t>o specific laws to deal with this</w:t>
      </w:r>
      <w:r w:rsidRPr="00C1056E">
        <w:rPr>
          <w:i/>
          <w:iCs/>
          <w:sz w:val="24"/>
          <w:szCs w:val="24"/>
          <w:lang w:val="en-US"/>
        </w:rPr>
        <w:t>.</w:t>
      </w:r>
    </w:p>
    <w:p w14:paraId="562FDCA1" w14:textId="77777777" w:rsidR="00AC152C" w:rsidRPr="00772118" w:rsidRDefault="00AC152C" w:rsidP="00AC152C">
      <w:pPr>
        <w:spacing w:before="120" w:after="120"/>
        <w:ind w:firstLine="567"/>
        <w:jc w:val="both"/>
        <w:rPr>
          <w:sz w:val="24"/>
          <w:szCs w:val="24"/>
          <w:lang w:val="en-US"/>
        </w:rPr>
      </w:pPr>
    </w:p>
    <w:p w14:paraId="505BC2D0" w14:textId="77777777" w:rsidR="00091AC2" w:rsidRPr="00772118" w:rsidRDefault="00987912" w:rsidP="00091AC2">
      <w:pPr>
        <w:spacing w:before="120" w:after="120"/>
        <w:jc w:val="both"/>
        <w:rPr>
          <w:b/>
          <w:bCs/>
          <w:sz w:val="24"/>
          <w:szCs w:val="24"/>
          <w:lang w:val="en-US"/>
        </w:rPr>
      </w:pPr>
      <w:r w:rsidRPr="00772118">
        <w:rPr>
          <w:b/>
          <w:bCs/>
          <w:sz w:val="24"/>
          <w:szCs w:val="24"/>
          <w:lang w:val="en-US"/>
        </w:rPr>
        <w:t>Freedom of expression in teaching and access to books</w:t>
      </w:r>
    </w:p>
    <w:p w14:paraId="218DBC5A" w14:textId="77777777" w:rsidR="00091AC2" w:rsidRPr="00772118" w:rsidRDefault="00091AC2" w:rsidP="00091AC2">
      <w:pPr>
        <w:spacing w:before="120" w:after="120"/>
        <w:ind w:left="567" w:hanging="567"/>
        <w:jc w:val="both"/>
        <w:rPr>
          <w:sz w:val="24"/>
          <w:szCs w:val="24"/>
          <w:lang w:val="en-US"/>
        </w:rPr>
      </w:pPr>
      <w:r w:rsidRPr="00772118">
        <w:rPr>
          <w:sz w:val="24"/>
          <w:szCs w:val="24"/>
          <w:lang w:val="en-US"/>
        </w:rPr>
        <w:t>9.</w:t>
      </w:r>
      <w:r w:rsidRPr="00772118">
        <w:rPr>
          <w:sz w:val="24"/>
          <w:szCs w:val="24"/>
          <w:lang w:val="en-US"/>
        </w:rPr>
        <w:tab/>
      </w:r>
      <w:r w:rsidR="00987912" w:rsidRPr="00772118">
        <w:rPr>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5C2FC732" w14:textId="7E292E78" w:rsidR="00C0166E" w:rsidRPr="00C1056E" w:rsidRDefault="00662154" w:rsidP="00662154">
      <w:pPr>
        <w:spacing w:before="120" w:after="120"/>
        <w:ind w:left="567"/>
        <w:jc w:val="both"/>
        <w:rPr>
          <w:i/>
          <w:iCs/>
          <w:sz w:val="24"/>
          <w:szCs w:val="24"/>
          <w:lang w:val="en-US"/>
        </w:rPr>
      </w:pPr>
      <w:r w:rsidRPr="00C1056E">
        <w:rPr>
          <w:i/>
          <w:iCs/>
          <w:sz w:val="24"/>
          <w:szCs w:val="24"/>
          <w:lang w:val="en-US"/>
        </w:rPr>
        <w:t>Yes, teachers and professors enjoy this freedom. However, t</w:t>
      </w:r>
      <w:r w:rsidR="004C5CFD" w:rsidRPr="00C1056E">
        <w:rPr>
          <w:i/>
          <w:iCs/>
          <w:sz w:val="24"/>
          <w:szCs w:val="24"/>
          <w:lang w:val="en-US"/>
        </w:rPr>
        <w:t xml:space="preserve">he </w:t>
      </w:r>
      <w:r w:rsidR="00C0166E" w:rsidRPr="00C1056E">
        <w:rPr>
          <w:i/>
          <w:iCs/>
          <w:sz w:val="24"/>
          <w:szCs w:val="24"/>
          <w:lang w:val="en-US"/>
        </w:rPr>
        <w:t>Pr</w:t>
      </w:r>
      <w:r w:rsidR="00392E66" w:rsidRPr="00C1056E">
        <w:rPr>
          <w:i/>
          <w:iCs/>
          <w:sz w:val="24"/>
          <w:szCs w:val="24"/>
          <w:lang w:val="en-US"/>
        </w:rPr>
        <w:t>omotion of Pr</w:t>
      </w:r>
      <w:r w:rsidR="00C0166E" w:rsidRPr="00C1056E">
        <w:rPr>
          <w:i/>
          <w:iCs/>
          <w:sz w:val="24"/>
          <w:szCs w:val="24"/>
          <w:lang w:val="en-US"/>
        </w:rPr>
        <w:t xml:space="preserve">oper </w:t>
      </w:r>
      <w:r w:rsidR="009367AB" w:rsidRPr="00C1056E">
        <w:rPr>
          <w:i/>
          <w:iCs/>
          <w:sz w:val="24"/>
          <w:szCs w:val="24"/>
          <w:lang w:val="en-US"/>
        </w:rPr>
        <w:t xml:space="preserve">Human </w:t>
      </w:r>
      <w:r w:rsidR="00C0166E" w:rsidRPr="00C1056E">
        <w:rPr>
          <w:i/>
          <w:iCs/>
          <w:sz w:val="24"/>
          <w:szCs w:val="24"/>
          <w:lang w:val="en-US"/>
        </w:rPr>
        <w:t xml:space="preserve">Sexual </w:t>
      </w:r>
      <w:r w:rsidR="009367AB" w:rsidRPr="00C1056E">
        <w:rPr>
          <w:i/>
          <w:iCs/>
          <w:sz w:val="24"/>
          <w:szCs w:val="24"/>
          <w:lang w:val="en-US"/>
        </w:rPr>
        <w:t>Rights and Ghanaian Family Values Bill</w:t>
      </w:r>
      <w:r w:rsidR="004C5CFD" w:rsidRPr="00C1056E">
        <w:rPr>
          <w:i/>
          <w:iCs/>
          <w:sz w:val="24"/>
          <w:szCs w:val="24"/>
          <w:lang w:val="en-US"/>
        </w:rPr>
        <w:t>, 2021</w:t>
      </w:r>
      <w:r w:rsidRPr="00C1056E">
        <w:rPr>
          <w:i/>
          <w:iCs/>
          <w:sz w:val="24"/>
          <w:szCs w:val="24"/>
          <w:lang w:val="en-US"/>
        </w:rPr>
        <w:t xml:space="preserve">, for example, seeks to </w:t>
      </w:r>
      <w:proofErr w:type="spellStart"/>
      <w:r w:rsidRPr="00C1056E">
        <w:rPr>
          <w:i/>
          <w:iCs/>
          <w:sz w:val="24"/>
          <w:szCs w:val="24"/>
          <w:lang w:val="en-US"/>
        </w:rPr>
        <w:t>criminalise</w:t>
      </w:r>
      <w:proofErr w:type="spellEnd"/>
      <w:r w:rsidRPr="00C1056E">
        <w:rPr>
          <w:i/>
          <w:iCs/>
          <w:sz w:val="24"/>
          <w:szCs w:val="24"/>
          <w:lang w:val="en-US"/>
        </w:rPr>
        <w:t xml:space="preserve"> freedom of expression and academic freedom on LGBTQ</w:t>
      </w:r>
      <w:r w:rsidR="00123FA7" w:rsidRPr="00C1056E">
        <w:rPr>
          <w:i/>
          <w:iCs/>
          <w:sz w:val="24"/>
          <w:szCs w:val="24"/>
          <w:lang w:val="en-US"/>
        </w:rPr>
        <w:t xml:space="preserve"> issues in the classroom.</w:t>
      </w:r>
    </w:p>
    <w:p w14:paraId="23521621" w14:textId="041B4150" w:rsidR="00987912" w:rsidRPr="00772118" w:rsidRDefault="00091AC2" w:rsidP="00091AC2">
      <w:pPr>
        <w:spacing w:before="120" w:after="120"/>
        <w:ind w:left="567" w:hanging="567"/>
        <w:jc w:val="both"/>
        <w:rPr>
          <w:b/>
          <w:bCs/>
          <w:sz w:val="24"/>
          <w:szCs w:val="24"/>
          <w:lang w:val="en-US"/>
        </w:rPr>
      </w:pPr>
      <w:r w:rsidRPr="00772118">
        <w:rPr>
          <w:sz w:val="24"/>
          <w:szCs w:val="24"/>
          <w:lang w:val="en-US"/>
        </w:rPr>
        <w:t>10.</w:t>
      </w:r>
      <w:r w:rsidRPr="00772118">
        <w:rPr>
          <w:sz w:val="24"/>
          <w:szCs w:val="24"/>
          <w:lang w:val="en-US"/>
        </w:rPr>
        <w:tab/>
      </w:r>
      <w:r w:rsidR="00987912" w:rsidRPr="00772118">
        <w:rPr>
          <w:sz w:val="24"/>
          <w:szCs w:val="24"/>
          <w:lang w:val="en-US"/>
        </w:rPr>
        <w:t xml:space="preserve">Please explain the extent to which teachers and professors at different education levels can chose school manuals and other books/resources for teaching, and the reasons for any restriction in this regard. Have any specific books/materials been </w:t>
      </w:r>
      <w:r w:rsidR="00987912" w:rsidRPr="00772118">
        <w:rPr>
          <w:sz w:val="24"/>
          <w:szCs w:val="24"/>
          <w:lang w:val="en-US"/>
        </w:rPr>
        <w:lastRenderedPageBreak/>
        <w:t>banned, including from school libraries, and alternatively is some material mandatory? If so, why?</w:t>
      </w:r>
    </w:p>
    <w:p w14:paraId="6939A303" w14:textId="04361002" w:rsidR="00EF3958" w:rsidRPr="00C1056E" w:rsidRDefault="00EF3958" w:rsidP="00987912">
      <w:pPr>
        <w:pStyle w:val="ListParagraph"/>
        <w:spacing w:before="120" w:after="120"/>
        <w:ind w:left="426"/>
        <w:contextualSpacing w:val="0"/>
        <w:rPr>
          <w:i/>
          <w:iCs/>
          <w:sz w:val="24"/>
          <w:szCs w:val="24"/>
          <w:lang w:val="en-US"/>
        </w:rPr>
      </w:pPr>
      <w:r w:rsidRPr="00C1056E">
        <w:rPr>
          <w:i/>
          <w:iCs/>
          <w:sz w:val="24"/>
          <w:szCs w:val="24"/>
          <w:lang w:val="en-US"/>
        </w:rPr>
        <w:t xml:space="preserve">There are no specific laws banning or restricting what materials teachers or professors can use in class. </w:t>
      </w:r>
      <w:r w:rsidR="00C64F0D" w:rsidRPr="00C1056E">
        <w:rPr>
          <w:i/>
          <w:iCs/>
          <w:sz w:val="24"/>
          <w:szCs w:val="24"/>
          <w:lang w:val="en-US"/>
        </w:rPr>
        <w:t xml:space="preserve">However, the proposed </w:t>
      </w:r>
      <w:r w:rsidR="00E243EC" w:rsidRPr="00C1056E">
        <w:rPr>
          <w:i/>
          <w:iCs/>
          <w:sz w:val="24"/>
          <w:szCs w:val="24"/>
          <w:lang w:val="en-US"/>
        </w:rPr>
        <w:t xml:space="preserve">anti-LGBTQ </w:t>
      </w:r>
      <w:r w:rsidR="00C64F0D" w:rsidRPr="00C1056E">
        <w:rPr>
          <w:i/>
          <w:iCs/>
          <w:sz w:val="24"/>
          <w:szCs w:val="24"/>
          <w:lang w:val="en-US"/>
        </w:rPr>
        <w:t xml:space="preserve">Bill could </w:t>
      </w:r>
      <w:r w:rsidR="00E243EC" w:rsidRPr="00C1056E">
        <w:rPr>
          <w:i/>
          <w:iCs/>
          <w:sz w:val="24"/>
          <w:szCs w:val="24"/>
          <w:lang w:val="en-US"/>
        </w:rPr>
        <w:t>im</w:t>
      </w:r>
      <w:r w:rsidR="00C64F0D" w:rsidRPr="00C1056E">
        <w:rPr>
          <w:i/>
          <w:iCs/>
          <w:sz w:val="24"/>
          <w:szCs w:val="24"/>
          <w:lang w:val="en-US"/>
        </w:rPr>
        <w:t>pose such restrictions</w:t>
      </w:r>
      <w:r w:rsidR="00E243EC" w:rsidRPr="00C1056E">
        <w:rPr>
          <w:i/>
          <w:iCs/>
          <w:sz w:val="24"/>
          <w:szCs w:val="24"/>
          <w:lang w:val="en-US"/>
        </w:rPr>
        <w:t>.</w:t>
      </w:r>
    </w:p>
    <w:p w14:paraId="0AF6EFEF" w14:textId="63A901F3" w:rsidR="00987912" w:rsidRPr="00772118" w:rsidRDefault="00D458A1" w:rsidP="00987912">
      <w:pPr>
        <w:pBdr>
          <w:bottom w:val="single" w:sz="4" w:space="1" w:color="auto"/>
        </w:pBdr>
        <w:spacing w:before="120" w:after="120"/>
        <w:ind w:firstLine="425"/>
        <w:jc w:val="both"/>
        <w:rPr>
          <w:b/>
          <w:bCs/>
          <w:sz w:val="24"/>
          <w:szCs w:val="24"/>
          <w:lang w:val="en-US"/>
        </w:rPr>
      </w:pPr>
      <w:r w:rsidRPr="00772118">
        <w:rPr>
          <w:b/>
          <w:bCs/>
          <w:sz w:val="24"/>
          <w:szCs w:val="24"/>
          <w:lang w:val="en-US"/>
        </w:rPr>
        <w:t>How to submit information</w:t>
      </w:r>
    </w:p>
    <w:p w14:paraId="662821B4" w14:textId="3E5F5C19" w:rsidR="00851B7C" w:rsidRPr="00772118" w:rsidRDefault="00851B7C">
      <w:pPr>
        <w:rPr>
          <w:bCs/>
          <w:noProof/>
          <w:sz w:val="24"/>
          <w:szCs w:val="24"/>
        </w:rPr>
      </w:pPr>
    </w:p>
    <w:p w14:paraId="49ECD365" w14:textId="15FDDD37" w:rsidR="00D458A1" w:rsidRPr="00772118" w:rsidRDefault="00D458A1" w:rsidP="00D458A1">
      <w:pPr>
        <w:ind w:firstLine="720"/>
        <w:jc w:val="both"/>
        <w:textAlignment w:val="baseline"/>
        <w:rPr>
          <w:sz w:val="24"/>
          <w:szCs w:val="24"/>
          <w:lang w:eastAsia="en-GB"/>
        </w:rPr>
      </w:pPr>
      <w:r w:rsidRPr="00772118">
        <w:rPr>
          <w:sz w:val="24"/>
          <w:szCs w:val="24"/>
          <w:lang w:eastAsia="en-GB"/>
        </w:rPr>
        <w:t xml:space="preserve">Submissions should be sent electronically no later than </w:t>
      </w:r>
      <w:r w:rsidRPr="00772118">
        <w:rPr>
          <w:b/>
          <w:bCs/>
          <w:sz w:val="24"/>
          <w:szCs w:val="24"/>
          <w:lang w:eastAsia="en-GB"/>
        </w:rPr>
        <w:t xml:space="preserve">2 February 2024 to </w:t>
      </w:r>
      <w:hyperlink r:id="rId11" w:history="1">
        <w:r w:rsidRPr="00772118">
          <w:rPr>
            <w:rStyle w:val="Hyperlink"/>
            <w:sz w:val="24"/>
            <w:szCs w:val="24"/>
            <w:lang w:eastAsia="en-GB"/>
          </w:rPr>
          <w:t>hrc-sr-education@un.org</w:t>
        </w:r>
      </w:hyperlink>
      <w:r w:rsidRPr="00772118">
        <w:rPr>
          <w:sz w:val="24"/>
          <w:szCs w:val="24"/>
          <w:lang w:eastAsia="en-GB"/>
        </w:rPr>
        <w:t>, using the email title: “Contribution: Academic freedom”.</w:t>
      </w:r>
    </w:p>
    <w:p w14:paraId="1D76A58E" w14:textId="77777777" w:rsidR="00D458A1" w:rsidRPr="00772118" w:rsidRDefault="00D458A1" w:rsidP="00D458A1">
      <w:pPr>
        <w:ind w:firstLine="720"/>
        <w:jc w:val="both"/>
        <w:textAlignment w:val="baseline"/>
        <w:rPr>
          <w:sz w:val="24"/>
          <w:szCs w:val="24"/>
          <w:lang w:eastAsia="en-GB"/>
        </w:rPr>
      </w:pPr>
    </w:p>
    <w:p w14:paraId="6BBA0695" w14:textId="77777777" w:rsidR="00D458A1" w:rsidRPr="00772118" w:rsidRDefault="00D458A1" w:rsidP="00D458A1">
      <w:pPr>
        <w:ind w:firstLine="720"/>
        <w:jc w:val="both"/>
        <w:rPr>
          <w:sz w:val="24"/>
          <w:szCs w:val="24"/>
        </w:rPr>
      </w:pPr>
      <w:r w:rsidRPr="00772118">
        <w:rPr>
          <w:sz w:val="24"/>
          <w:szCs w:val="24"/>
        </w:rPr>
        <w:t xml:space="preserve">Please select and answer the questions most relevant for your agency. Kindly limit your responses to </w:t>
      </w:r>
      <w:r w:rsidRPr="00772118">
        <w:rPr>
          <w:b/>
          <w:sz w:val="24"/>
          <w:szCs w:val="24"/>
        </w:rPr>
        <w:t>3,000 words</w:t>
      </w:r>
      <w:r w:rsidRPr="00772118">
        <w:rPr>
          <w:sz w:val="24"/>
          <w:szCs w:val="24"/>
        </w:rPr>
        <w:t xml:space="preserve"> </w:t>
      </w:r>
      <w:bookmarkStart w:id="1" w:name="_Hlk98425205"/>
      <w:r w:rsidRPr="00772118">
        <w:rPr>
          <w:sz w:val="24"/>
          <w:szCs w:val="24"/>
        </w:rPr>
        <w:t xml:space="preserve">and attach annexes where necessary. To facilitate their consideration, please send responses in a Word document, and in English, French, or Spanish. </w:t>
      </w:r>
      <w:r w:rsidRPr="00772118">
        <w:rPr>
          <w:b/>
          <w:bCs/>
          <w:sz w:val="24"/>
          <w:szCs w:val="24"/>
        </w:rPr>
        <w:t>Please clearly specify the entity making the contribution on the document itself and add paragraph numbers</w:t>
      </w:r>
      <w:r w:rsidRPr="00772118">
        <w:rPr>
          <w:sz w:val="24"/>
          <w:szCs w:val="24"/>
        </w:rPr>
        <w:t>.</w:t>
      </w:r>
    </w:p>
    <w:p w14:paraId="5A9B85B4" w14:textId="77777777" w:rsidR="00D458A1" w:rsidRPr="00772118" w:rsidRDefault="00D458A1" w:rsidP="00D458A1">
      <w:pPr>
        <w:ind w:firstLine="720"/>
        <w:jc w:val="both"/>
        <w:rPr>
          <w:sz w:val="24"/>
          <w:szCs w:val="24"/>
        </w:rPr>
      </w:pPr>
    </w:p>
    <w:bookmarkEnd w:id="1"/>
    <w:p w14:paraId="2FF23D3F" w14:textId="77777777" w:rsidR="00C91085" w:rsidRPr="00772118" w:rsidRDefault="00C91085" w:rsidP="00C91085">
      <w:pPr>
        <w:ind w:firstLine="720"/>
        <w:jc w:val="both"/>
        <w:rPr>
          <w:sz w:val="24"/>
          <w:szCs w:val="24"/>
        </w:rPr>
      </w:pPr>
      <w:r w:rsidRPr="00772118">
        <w:rPr>
          <w:sz w:val="24"/>
          <w:szCs w:val="24"/>
        </w:rPr>
        <w:t>All inputs received will be posted on the OHCHR website. Please indicate if you have any objections regarding to your reply being posted on the OHCHR website.</w:t>
      </w:r>
    </w:p>
    <w:p w14:paraId="44DF69DB" w14:textId="77777777" w:rsidR="00D458A1" w:rsidRPr="00772118" w:rsidRDefault="00D458A1" w:rsidP="00C91085">
      <w:pPr>
        <w:ind w:firstLine="720"/>
        <w:jc w:val="both"/>
        <w:rPr>
          <w:sz w:val="24"/>
          <w:szCs w:val="24"/>
        </w:rPr>
      </w:pPr>
    </w:p>
    <w:sectPr w:rsidR="00D458A1" w:rsidRPr="00772118" w:rsidSect="00BC0B2D">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15C2" w14:textId="77777777" w:rsidR="00BC0B2D" w:rsidRDefault="00BC0B2D">
      <w:r>
        <w:separator/>
      </w:r>
    </w:p>
  </w:endnote>
  <w:endnote w:type="continuationSeparator" w:id="0">
    <w:p w14:paraId="029411FF" w14:textId="77777777" w:rsidR="00BC0B2D" w:rsidRDefault="00BC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A4F4" w14:textId="77777777" w:rsidR="00BC0B2D" w:rsidRDefault="00BC0B2D">
      <w:r>
        <w:separator/>
      </w:r>
    </w:p>
  </w:footnote>
  <w:footnote w:type="continuationSeparator" w:id="0">
    <w:p w14:paraId="77A195EE" w14:textId="77777777" w:rsidR="00BC0B2D" w:rsidRDefault="00BC0B2D">
      <w:r>
        <w:continuationSeparator/>
      </w:r>
    </w:p>
  </w:footnote>
  <w:footnote w:id="1">
    <w:p w14:paraId="42EF4A89" w14:textId="77777777" w:rsidR="00C10B70" w:rsidRPr="00A2655B" w:rsidRDefault="00C10B70" w:rsidP="00C10B70">
      <w:pPr>
        <w:pStyle w:val="NoSpacing"/>
        <w:jc w:val="both"/>
        <w:rPr>
          <w:rFonts w:ascii="Times New Roman" w:hAnsi="Times New Roman"/>
          <w:sz w:val="20"/>
          <w:szCs w:val="20"/>
        </w:rPr>
      </w:pPr>
      <w:r w:rsidRPr="00A2655B">
        <w:rPr>
          <w:rStyle w:val="FootnoteReference"/>
          <w:rFonts w:ascii="Times New Roman" w:hAnsi="Times New Roman"/>
          <w:sz w:val="20"/>
          <w:szCs w:val="20"/>
        </w:rPr>
        <w:footnoteRef/>
      </w:r>
      <w:r w:rsidRPr="00A2655B">
        <w:rPr>
          <w:rFonts w:ascii="Times New Roman" w:hAnsi="Times New Roman"/>
          <w:sz w:val="20"/>
          <w:szCs w:val="20"/>
        </w:rPr>
        <w:t xml:space="preserve"> In line with article 70 of the Constitution of the Republic of Ghana: S. 8(1) of the University of Ghana Act, 2010 (Act 806).</w:t>
      </w:r>
    </w:p>
  </w:footnote>
  <w:footnote w:id="2">
    <w:p w14:paraId="4B981933" w14:textId="77777777" w:rsidR="00DB6C64" w:rsidRPr="00A2655B" w:rsidRDefault="00DB6C64" w:rsidP="00DB6C64">
      <w:pPr>
        <w:pStyle w:val="FootnoteText"/>
        <w:jc w:val="both"/>
      </w:pPr>
      <w:r w:rsidRPr="00A2655B">
        <w:rPr>
          <w:rStyle w:val="FootnoteReference"/>
        </w:rPr>
        <w:footnoteRef/>
      </w:r>
      <w:r w:rsidRPr="00A2655B">
        <w:t xml:space="preserve"> Emphasis mine.</w:t>
      </w:r>
    </w:p>
  </w:footnote>
  <w:footnote w:id="3">
    <w:p w14:paraId="250B90AC" w14:textId="77777777" w:rsidR="00DB6C64" w:rsidRPr="00A2655B" w:rsidRDefault="00DB6C64" w:rsidP="00DB6C64">
      <w:pPr>
        <w:pStyle w:val="NoSpacing"/>
        <w:jc w:val="both"/>
        <w:rPr>
          <w:rFonts w:ascii="Times New Roman" w:hAnsi="Times New Roman"/>
          <w:sz w:val="20"/>
          <w:szCs w:val="20"/>
        </w:rPr>
      </w:pPr>
      <w:r w:rsidRPr="00A2655B">
        <w:rPr>
          <w:rStyle w:val="FootnoteReference"/>
          <w:rFonts w:ascii="Times New Roman" w:hAnsi="Times New Roman"/>
          <w:sz w:val="20"/>
          <w:szCs w:val="20"/>
        </w:rPr>
        <w:footnoteRef/>
      </w:r>
      <w:r w:rsidRPr="00A2655B">
        <w:rPr>
          <w:rFonts w:ascii="Times New Roman" w:hAnsi="Times New Roman"/>
          <w:sz w:val="20"/>
          <w:szCs w:val="20"/>
        </w:rPr>
        <w:t xml:space="preserve"> S. </w:t>
      </w:r>
      <w:r w:rsidRPr="00A2655B">
        <w:rPr>
          <w:rFonts w:ascii="Times New Roman" w:hAnsi="Times New Roman"/>
          <w:bCs/>
          <w:color w:val="231F20"/>
          <w:sz w:val="20"/>
          <w:szCs w:val="20"/>
          <w:lang w:eastAsia="en-GB"/>
        </w:rPr>
        <w:t>51</w:t>
      </w:r>
      <w:r w:rsidRPr="00A2655B">
        <w:rPr>
          <w:rFonts w:ascii="Times New Roman" w:hAnsi="Times New Roman"/>
          <w:color w:val="231F20"/>
          <w:sz w:val="20"/>
          <w:szCs w:val="20"/>
          <w:lang w:eastAsia="en-GB"/>
        </w:rPr>
        <w:t xml:space="preserve">(1) of the </w:t>
      </w:r>
      <w:r w:rsidRPr="00A2655B">
        <w:rPr>
          <w:rFonts w:ascii="Times New Roman" w:hAnsi="Times New Roman"/>
          <w:sz w:val="20"/>
          <w:szCs w:val="20"/>
        </w:rPr>
        <w:t>University of Ghana Act, 2010 (Act 806).</w:t>
      </w:r>
    </w:p>
  </w:footnote>
  <w:footnote w:id="4">
    <w:p w14:paraId="47B9D37A" w14:textId="77777777" w:rsidR="00DB6C64" w:rsidRPr="00A2655B" w:rsidRDefault="00DB6C64" w:rsidP="00DB6C64">
      <w:pPr>
        <w:pStyle w:val="NoSpacing"/>
        <w:jc w:val="both"/>
        <w:rPr>
          <w:rFonts w:ascii="Times New Roman" w:hAnsi="Times New Roman"/>
          <w:sz w:val="20"/>
          <w:szCs w:val="20"/>
        </w:rPr>
      </w:pPr>
      <w:r w:rsidRPr="00A2655B">
        <w:rPr>
          <w:rStyle w:val="FootnoteReference"/>
          <w:rFonts w:ascii="Times New Roman" w:hAnsi="Times New Roman"/>
          <w:sz w:val="20"/>
          <w:szCs w:val="20"/>
        </w:rPr>
        <w:footnoteRef/>
      </w:r>
      <w:r w:rsidRPr="00A2655B">
        <w:rPr>
          <w:rFonts w:ascii="Times New Roman" w:hAnsi="Times New Roman"/>
          <w:sz w:val="20"/>
          <w:szCs w:val="20"/>
        </w:rPr>
        <w:t xml:space="preserve"> Para 7.4 of Code of Conduct for Academic Staff of the University of Ghana, adopted in March 2011 and published in the University Of Ghana Special Reporter (No. 798 Friday, October </w:t>
      </w:r>
      <w:r w:rsidRPr="00A2655B">
        <w:rPr>
          <w:rFonts w:ascii="Times New Roman" w:hAnsi="Times New Roman"/>
          <w:sz w:val="20"/>
          <w:szCs w:val="20"/>
        </w:rPr>
        <w:t>28 , 2011 Vol. 49 No. 4).</w:t>
      </w:r>
    </w:p>
  </w:footnote>
  <w:footnote w:id="5">
    <w:p w14:paraId="3EF2C39D" w14:textId="77777777" w:rsidR="00DB6C64" w:rsidRPr="00A2655B" w:rsidRDefault="00DB6C64" w:rsidP="00DB6C64">
      <w:pPr>
        <w:pStyle w:val="NoSpacing"/>
        <w:jc w:val="both"/>
        <w:rPr>
          <w:rFonts w:ascii="Times New Roman" w:hAnsi="Times New Roman"/>
          <w:sz w:val="20"/>
          <w:szCs w:val="20"/>
        </w:rPr>
      </w:pPr>
      <w:r w:rsidRPr="00A2655B">
        <w:rPr>
          <w:rStyle w:val="FootnoteReference"/>
          <w:rFonts w:ascii="Times New Roman" w:hAnsi="Times New Roman"/>
          <w:sz w:val="20"/>
          <w:szCs w:val="20"/>
        </w:rPr>
        <w:footnoteRef/>
      </w:r>
      <w:r w:rsidRPr="00A2655B">
        <w:rPr>
          <w:rFonts w:ascii="Times New Roman" w:hAnsi="Times New Roman"/>
          <w:sz w:val="20"/>
          <w:szCs w:val="20"/>
        </w:rPr>
        <w:t xml:space="preserve"> </w:t>
      </w:r>
      <w:r w:rsidRPr="00A2655B">
        <w:rPr>
          <w:rFonts w:ascii="Times New Roman" w:hAnsi="Times New Roman"/>
          <w:i/>
          <w:sz w:val="20"/>
          <w:szCs w:val="20"/>
        </w:rPr>
        <w:t>Ibid</w:t>
      </w:r>
      <w:r w:rsidRPr="00A2655B">
        <w:rPr>
          <w:rFonts w:ascii="Times New Roman" w:hAnsi="Times New Roman"/>
          <w:sz w:val="20"/>
          <w:szCs w:val="20"/>
        </w:rPr>
        <w:t xml:space="preserve">, para. 7.6.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1"/>
  </w:num>
  <w:num w:numId="2" w16cid:durableId="41102181">
    <w:abstractNumId w:val="31"/>
  </w:num>
  <w:num w:numId="3" w16cid:durableId="1383209208">
    <w:abstractNumId w:val="23"/>
  </w:num>
  <w:num w:numId="4" w16cid:durableId="1223062930">
    <w:abstractNumId w:val="10"/>
  </w:num>
  <w:num w:numId="5" w16cid:durableId="2118941600">
    <w:abstractNumId w:val="24"/>
  </w:num>
  <w:num w:numId="6" w16cid:durableId="337465453">
    <w:abstractNumId w:val="14"/>
  </w:num>
  <w:num w:numId="7" w16cid:durableId="1254700196">
    <w:abstractNumId w:val="2"/>
  </w:num>
  <w:num w:numId="8" w16cid:durableId="1317997900">
    <w:abstractNumId w:val="16"/>
  </w:num>
  <w:num w:numId="9" w16cid:durableId="695038539">
    <w:abstractNumId w:val="3"/>
  </w:num>
  <w:num w:numId="10" w16cid:durableId="2044551335">
    <w:abstractNumId w:val="1"/>
  </w:num>
  <w:num w:numId="11" w16cid:durableId="1306617363">
    <w:abstractNumId w:val="12"/>
  </w:num>
  <w:num w:numId="12" w16cid:durableId="528297581">
    <w:abstractNumId w:val="27"/>
  </w:num>
  <w:num w:numId="13" w16cid:durableId="687371278">
    <w:abstractNumId w:val="29"/>
  </w:num>
  <w:num w:numId="14" w16cid:durableId="1543320972">
    <w:abstractNumId w:val="20"/>
  </w:num>
  <w:num w:numId="15" w16cid:durableId="1306398189">
    <w:abstractNumId w:val="7"/>
  </w:num>
  <w:num w:numId="16" w16cid:durableId="1956328715">
    <w:abstractNumId w:val="0"/>
  </w:num>
  <w:num w:numId="17" w16cid:durableId="1002508268">
    <w:abstractNumId w:val="26"/>
  </w:num>
  <w:num w:numId="18" w16cid:durableId="1429934609">
    <w:abstractNumId w:val="8"/>
  </w:num>
  <w:num w:numId="19" w16cid:durableId="2054229550">
    <w:abstractNumId w:val="19"/>
  </w:num>
  <w:num w:numId="20" w16cid:durableId="457915957">
    <w:abstractNumId w:val="4"/>
  </w:num>
  <w:num w:numId="21" w16cid:durableId="1844466440">
    <w:abstractNumId w:val="25"/>
  </w:num>
  <w:num w:numId="22" w16cid:durableId="636640606">
    <w:abstractNumId w:val="22"/>
  </w:num>
  <w:num w:numId="23" w16cid:durableId="555507400">
    <w:abstractNumId w:val="17"/>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8"/>
  </w:num>
  <w:num w:numId="29" w16cid:durableId="1404913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426C"/>
    <w:rsid w:val="00026D1F"/>
    <w:rsid w:val="00032DB0"/>
    <w:rsid w:val="0003674D"/>
    <w:rsid w:val="000418B5"/>
    <w:rsid w:val="0005390B"/>
    <w:rsid w:val="00063BFD"/>
    <w:rsid w:val="00077294"/>
    <w:rsid w:val="000875C6"/>
    <w:rsid w:val="00091AC2"/>
    <w:rsid w:val="00091BF0"/>
    <w:rsid w:val="000A2B89"/>
    <w:rsid w:val="000A6F03"/>
    <w:rsid w:val="000C7660"/>
    <w:rsid w:val="000C7745"/>
    <w:rsid w:val="000D210E"/>
    <w:rsid w:val="000D34F2"/>
    <w:rsid w:val="000D5600"/>
    <w:rsid w:val="000E2860"/>
    <w:rsid w:val="000E42EE"/>
    <w:rsid w:val="000E7AF7"/>
    <w:rsid w:val="000F183C"/>
    <w:rsid w:val="000F2385"/>
    <w:rsid w:val="00103AE3"/>
    <w:rsid w:val="00106F64"/>
    <w:rsid w:val="00115798"/>
    <w:rsid w:val="00117F5F"/>
    <w:rsid w:val="001205D6"/>
    <w:rsid w:val="00123FA7"/>
    <w:rsid w:val="0013487C"/>
    <w:rsid w:val="001456CB"/>
    <w:rsid w:val="001537CC"/>
    <w:rsid w:val="00153DB2"/>
    <w:rsid w:val="0015615C"/>
    <w:rsid w:val="001577AD"/>
    <w:rsid w:val="001676BA"/>
    <w:rsid w:val="00183B60"/>
    <w:rsid w:val="00186C4F"/>
    <w:rsid w:val="00194332"/>
    <w:rsid w:val="00196A2E"/>
    <w:rsid w:val="001A46C3"/>
    <w:rsid w:val="001B0523"/>
    <w:rsid w:val="001B30DC"/>
    <w:rsid w:val="001B7B09"/>
    <w:rsid w:val="001C4360"/>
    <w:rsid w:val="001D3313"/>
    <w:rsid w:val="001E3384"/>
    <w:rsid w:val="0020144A"/>
    <w:rsid w:val="002028A9"/>
    <w:rsid w:val="0021296A"/>
    <w:rsid w:val="002129D5"/>
    <w:rsid w:val="00213F79"/>
    <w:rsid w:val="00220609"/>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A7891"/>
    <w:rsid w:val="002B3D33"/>
    <w:rsid w:val="002B4B8A"/>
    <w:rsid w:val="002B5E11"/>
    <w:rsid w:val="002D21F2"/>
    <w:rsid w:val="002E65F4"/>
    <w:rsid w:val="002F68F0"/>
    <w:rsid w:val="00305B08"/>
    <w:rsid w:val="00317F0A"/>
    <w:rsid w:val="00335FB9"/>
    <w:rsid w:val="003376D0"/>
    <w:rsid w:val="00356299"/>
    <w:rsid w:val="003577DB"/>
    <w:rsid w:val="00360493"/>
    <w:rsid w:val="00370E88"/>
    <w:rsid w:val="0037527A"/>
    <w:rsid w:val="00380489"/>
    <w:rsid w:val="00384E88"/>
    <w:rsid w:val="00386C90"/>
    <w:rsid w:val="0038711F"/>
    <w:rsid w:val="00392E66"/>
    <w:rsid w:val="003956EF"/>
    <w:rsid w:val="00396E4C"/>
    <w:rsid w:val="003A3957"/>
    <w:rsid w:val="003B488C"/>
    <w:rsid w:val="003C2525"/>
    <w:rsid w:val="003C37C3"/>
    <w:rsid w:val="003D0C10"/>
    <w:rsid w:val="003D16E8"/>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5C6D"/>
    <w:rsid w:val="00456419"/>
    <w:rsid w:val="00460258"/>
    <w:rsid w:val="004614D4"/>
    <w:rsid w:val="00483FC0"/>
    <w:rsid w:val="00485B7C"/>
    <w:rsid w:val="00495C01"/>
    <w:rsid w:val="00495ED4"/>
    <w:rsid w:val="004A5D9B"/>
    <w:rsid w:val="004B4CAC"/>
    <w:rsid w:val="004B709A"/>
    <w:rsid w:val="004C044F"/>
    <w:rsid w:val="004C3786"/>
    <w:rsid w:val="004C5CFD"/>
    <w:rsid w:val="004C72E6"/>
    <w:rsid w:val="004D14C7"/>
    <w:rsid w:val="004D21C9"/>
    <w:rsid w:val="004D3D30"/>
    <w:rsid w:val="004D5717"/>
    <w:rsid w:val="004D5D19"/>
    <w:rsid w:val="004E0AB6"/>
    <w:rsid w:val="004E1AAE"/>
    <w:rsid w:val="004E49EC"/>
    <w:rsid w:val="004E4D86"/>
    <w:rsid w:val="004F4DB0"/>
    <w:rsid w:val="004F774B"/>
    <w:rsid w:val="0050455C"/>
    <w:rsid w:val="00506218"/>
    <w:rsid w:val="005167F0"/>
    <w:rsid w:val="00520DCB"/>
    <w:rsid w:val="005245DD"/>
    <w:rsid w:val="00530EF5"/>
    <w:rsid w:val="00535992"/>
    <w:rsid w:val="005417E4"/>
    <w:rsid w:val="005455F8"/>
    <w:rsid w:val="00555399"/>
    <w:rsid w:val="0055573E"/>
    <w:rsid w:val="00562D63"/>
    <w:rsid w:val="00565553"/>
    <w:rsid w:val="00570A1B"/>
    <w:rsid w:val="00570E41"/>
    <w:rsid w:val="00576638"/>
    <w:rsid w:val="005849E6"/>
    <w:rsid w:val="00585F8E"/>
    <w:rsid w:val="005871D9"/>
    <w:rsid w:val="00590218"/>
    <w:rsid w:val="005957ED"/>
    <w:rsid w:val="005A5A1D"/>
    <w:rsid w:val="005A5C51"/>
    <w:rsid w:val="005A7133"/>
    <w:rsid w:val="005B1546"/>
    <w:rsid w:val="005B284C"/>
    <w:rsid w:val="005B744E"/>
    <w:rsid w:val="005C677D"/>
    <w:rsid w:val="005D622D"/>
    <w:rsid w:val="005E0735"/>
    <w:rsid w:val="005E7C37"/>
    <w:rsid w:val="005F07F9"/>
    <w:rsid w:val="005F283E"/>
    <w:rsid w:val="0060068B"/>
    <w:rsid w:val="0060785C"/>
    <w:rsid w:val="00627A52"/>
    <w:rsid w:val="0063240F"/>
    <w:rsid w:val="00635102"/>
    <w:rsid w:val="00636BD7"/>
    <w:rsid w:val="006375A5"/>
    <w:rsid w:val="006412EA"/>
    <w:rsid w:val="00645695"/>
    <w:rsid w:val="00650CD4"/>
    <w:rsid w:val="0065295E"/>
    <w:rsid w:val="006532CA"/>
    <w:rsid w:val="006605E5"/>
    <w:rsid w:val="00660EDA"/>
    <w:rsid w:val="006617A4"/>
    <w:rsid w:val="00662154"/>
    <w:rsid w:val="00667227"/>
    <w:rsid w:val="006749F6"/>
    <w:rsid w:val="00682D26"/>
    <w:rsid w:val="00682DDB"/>
    <w:rsid w:val="006834E4"/>
    <w:rsid w:val="00683D25"/>
    <w:rsid w:val="00687E4F"/>
    <w:rsid w:val="006924CF"/>
    <w:rsid w:val="00695D3E"/>
    <w:rsid w:val="006A07AD"/>
    <w:rsid w:val="006A24C5"/>
    <w:rsid w:val="006A701B"/>
    <w:rsid w:val="006A7352"/>
    <w:rsid w:val="006B2E55"/>
    <w:rsid w:val="006B5A71"/>
    <w:rsid w:val="006D0D94"/>
    <w:rsid w:val="006D37D7"/>
    <w:rsid w:val="006D5B97"/>
    <w:rsid w:val="006E6CC3"/>
    <w:rsid w:val="006F4B15"/>
    <w:rsid w:val="006F55DE"/>
    <w:rsid w:val="006F790C"/>
    <w:rsid w:val="007114F8"/>
    <w:rsid w:val="00711F29"/>
    <w:rsid w:val="00712363"/>
    <w:rsid w:val="00712EFD"/>
    <w:rsid w:val="00716886"/>
    <w:rsid w:val="00716D30"/>
    <w:rsid w:val="007210F6"/>
    <w:rsid w:val="00723438"/>
    <w:rsid w:val="00733660"/>
    <w:rsid w:val="00741EBC"/>
    <w:rsid w:val="007432E5"/>
    <w:rsid w:val="007450A7"/>
    <w:rsid w:val="007450E8"/>
    <w:rsid w:val="00756E9B"/>
    <w:rsid w:val="007625BA"/>
    <w:rsid w:val="00772118"/>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16AC"/>
    <w:rsid w:val="007F7DA3"/>
    <w:rsid w:val="00807D4D"/>
    <w:rsid w:val="0081788D"/>
    <w:rsid w:val="008328CD"/>
    <w:rsid w:val="00842120"/>
    <w:rsid w:val="00842220"/>
    <w:rsid w:val="008427AA"/>
    <w:rsid w:val="00845B20"/>
    <w:rsid w:val="00845C19"/>
    <w:rsid w:val="00846B4A"/>
    <w:rsid w:val="00851B7C"/>
    <w:rsid w:val="008553DE"/>
    <w:rsid w:val="008568EA"/>
    <w:rsid w:val="00863357"/>
    <w:rsid w:val="008656FA"/>
    <w:rsid w:val="0086736C"/>
    <w:rsid w:val="00874280"/>
    <w:rsid w:val="008774E3"/>
    <w:rsid w:val="00892477"/>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07C5C"/>
    <w:rsid w:val="009240B2"/>
    <w:rsid w:val="00925A9D"/>
    <w:rsid w:val="00926704"/>
    <w:rsid w:val="009337F5"/>
    <w:rsid w:val="009358CD"/>
    <w:rsid w:val="009367AB"/>
    <w:rsid w:val="00944040"/>
    <w:rsid w:val="00944E25"/>
    <w:rsid w:val="00945265"/>
    <w:rsid w:val="009469B5"/>
    <w:rsid w:val="00946B6F"/>
    <w:rsid w:val="00951601"/>
    <w:rsid w:val="00961DF9"/>
    <w:rsid w:val="009658A9"/>
    <w:rsid w:val="0096673B"/>
    <w:rsid w:val="00977C96"/>
    <w:rsid w:val="00982FCF"/>
    <w:rsid w:val="00983FB8"/>
    <w:rsid w:val="0098565E"/>
    <w:rsid w:val="00986237"/>
    <w:rsid w:val="00987912"/>
    <w:rsid w:val="00997618"/>
    <w:rsid w:val="009A2849"/>
    <w:rsid w:val="009B459A"/>
    <w:rsid w:val="009C72D8"/>
    <w:rsid w:val="009C7A2B"/>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7296C"/>
    <w:rsid w:val="00A86B19"/>
    <w:rsid w:val="00A86E08"/>
    <w:rsid w:val="00A9048E"/>
    <w:rsid w:val="00A92159"/>
    <w:rsid w:val="00AA1AE0"/>
    <w:rsid w:val="00AA2691"/>
    <w:rsid w:val="00AA3895"/>
    <w:rsid w:val="00AB3535"/>
    <w:rsid w:val="00AB763F"/>
    <w:rsid w:val="00AC015D"/>
    <w:rsid w:val="00AC152C"/>
    <w:rsid w:val="00AC30DF"/>
    <w:rsid w:val="00AC50E4"/>
    <w:rsid w:val="00AD1796"/>
    <w:rsid w:val="00AD22F1"/>
    <w:rsid w:val="00AD4CA9"/>
    <w:rsid w:val="00AD75DC"/>
    <w:rsid w:val="00AE2231"/>
    <w:rsid w:val="00AE3819"/>
    <w:rsid w:val="00AE69A2"/>
    <w:rsid w:val="00AE796C"/>
    <w:rsid w:val="00AF291B"/>
    <w:rsid w:val="00AF3626"/>
    <w:rsid w:val="00AF73D0"/>
    <w:rsid w:val="00B04529"/>
    <w:rsid w:val="00B059FC"/>
    <w:rsid w:val="00B10799"/>
    <w:rsid w:val="00B13589"/>
    <w:rsid w:val="00B14752"/>
    <w:rsid w:val="00B234F6"/>
    <w:rsid w:val="00B246B4"/>
    <w:rsid w:val="00B2618C"/>
    <w:rsid w:val="00B30EA6"/>
    <w:rsid w:val="00B31236"/>
    <w:rsid w:val="00B33B85"/>
    <w:rsid w:val="00B41AEA"/>
    <w:rsid w:val="00B42B30"/>
    <w:rsid w:val="00B43D96"/>
    <w:rsid w:val="00B4534B"/>
    <w:rsid w:val="00B458F6"/>
    <w:rsid w:val="00B54DD5"/>
    <w:rsid w:val="00B61545"/>
    <w:rsid w:val="00B73FA8"/>
    <w:rsid w:val="00B73FD1"/>
    <w:rsid w:val="00B7425B"/>
    <w:rsid w:val="00B81625"/>
    <w:rsid w:val="00B84F46"/>
    <w:rsid w:val="00BB5492"/>
    <w:rsid w:val="00BC009B"/>
    <w:rsid w:val="00BC0B2D"/>
    <w:rsid w:val="00BD2C78"/>
    <w:rsid w:val="00BD6119"/>
    <w:rsid w:val="00BF539E"/>
    <w:rsid w:val="00BF69D2"/>
    <w:rsid w:val="00C0166E"/>
    <w:rsid w:val="00C02DDB"/>
    <w:rsid w:val="00C07B5F"/>
    <w:rsid w:val="00C1056E"/>
    <w:rsid w:val="00C10B70"/>
    <w:rsid w:val="00C12BED"/>
    <w:rsid w:val="00C162CD"/>
    <w:rsid w:val="00C17B65"/>
    <w:rsid w:val="00C203AD"/>
    <w:rsid w:val="00C234D8"/>
    <w:rsid w:val="00C23DDD"/>
    <w:rsid w:val="00C30506"/>
    <w:rsid w:val="00C333C5"/>
    <w:rsid w:val="00C35851"/>
    <w:rsid w:val="00C427D7"/>
    <w:rsid w:val="00C50365"/>
    <w:rsid w:val="00C517E7"/>
    <w:rsid w:val="00C56B9F"/>
    <w:rsid w:val="00C6141D"/>
    <w:rsid w:val="00C64254"/>
    <w:rsid w:val="00C64F0D"/>
    <w:rsid w:val="00C707EA"/>
    <w:rsid w:val="00C73CD7"/>
    <w:rsid w:val="00C74811"/>
    <w:rsid w:val="00C772EF"/>
    <w:rsid w:val="00C82CCE"/>
    <w:rsid w:val="00C91085"/>
    <w:rsid w:val="00CA65D2"/>
    <w:rsid w:val="00CB1C6E"/>
    <w:rsid w:val="00CB643F"/>
    <w:rsid w:val="00CC5BEF"/>
    <w:rsid w:val="00CD148E"/>
    <w:rsid w:val="00CD67FB"/>
    <w:rsid w:val="00CE3298"/>
    <w:rsid w:val="00CE6A0E"/>
    <w:rsid w:val="00D00DDC"/>
    <w:rsid w:val="00D018B1"/>
    <w:rsid w:val="00D02F61"/>
    <w:rsid w:val="00D03653"/>
    <w:rsid w:val="00D075E5"/>
    <w:rsid w:val="00D1125E"/>
    <w:rsid w:val="00D115F7"/>
    <w:rsid w:val="00D129FA"/>
    <w:rsid w:val="00D16D56"/>
    <w:rsid w:val="00D230B7"/>
    <w:rsid w:val="00D32E5B"/>
    <w:rsid w:val="00D337A9"/>
    <w:rsid w:val="00D3608E"/>
    <w:rsid w:val="00D36635"/>
    <w:rsid w:val="00D4007B"/>
    <w:rsid w:val="00D450CA"/>
    <w:rsid w:val="00D458A1"/>
    <w:rsid w:val="00D4635B"/>
    <w:rsid w:val="00D5082F"/>
    <w:rsid w:val="00D67524"/>
    <w:rsid w:val="00D70178"/>
    <w:rsid w:val="00D82BE4"/>
    <w:rsid w:val="00D84C7E"/>
    <w:rsid w:val="00D86786"/>
    <w:rsid w:val="00D963DD"/>
    <w:rsid w:val="00D968C8"/>
    <w:rsid w:val="00D97F07"/>
    <w:rsid w:val="00D97FEA"/>
    <w:rsid w:val="00DA53AA"/>
    <w:rsid w:val="00DA5FC2"/>
    <w:rsid w:val="00DB007B"/>
    <w:rsid w:val="00DB33A4"/>
    <w:rsid w:val="00DB415F"/>
    <w:rsid w:val="00DB5055"/>
    <w:rsid w:val="00DB5616"/>
    <w:rsid w:val="00DB6C64"/>
    <w:rsid w:val="00DC0CA6"/>
    <w:rsid w:val="00DD402E"/>
    <w:rsid w:val="00DD4909"/>
    <w:rsid w:val="00DE0B44"/>
    <w:rsid w:val="00DE5C84"/>
    <w:rsid w:val="00E11B36"/>
    <w:rsid w:val="00E14B3F"/>
    <w:rsid w:val="00E15347"/>
    <w:rsid w:val="00E22392"/>
    <w:rsid w:val="00E243EC"/>
    <w:rsid w:val="00E30296"/>
    <w:rsid w:val="00E40C21"/>
    <w:rsid w:val="00E4367D"/>
    <w:rsid w:val="00E47F1B"/>
    <w:rsid w:val="00E53239"/>
    <w:rsid w:val="00E56372"/>
    <w:rsid w:val="00E60057"/>
    <w:rsid w:val="00E6747D"/>
    <w:rsid w:val="00E679E8"/>
    <w:rsid w:val="00E70975"/>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EF3958"/>
    <w:rsid w:val="00F006B5"/>
    <w:rsid w:val="00F0710E"/>
    <w:rsid w:val="00F07C8F"/>
    <w:rsid w:val="00F130B3"/>
    <w:rsid w:val="00F14740"/>
    <w:rsid w:val="00F161EC"/>
    <w:rsid w:val="00F266F4"/>
    <w:rsid w:val="00F44EA7"/>
    <w:rsid w:val="00F47B64"/>
    <w:rsid w:val="00F611C6"/>
    <w:rsid w:val="00F62027"/>
    <w:rsid w:val="00F6733B"/>
    <w:rsid w:val="00F80A14"/>
    <w:rsid w:val="00F80D28"/>
    <w:rsid w:val="00F927D4"/>
    <w:rsid w:val="00F9730F"/>
    <w:rsid w:val="00FA17D1"/>
    <w:rsid w:val="00FA61F7"/>
    <w:rsid w:val="00FB1650"/>
    <w:rsid w:val="00FB32FB"/>
    <w:rsid w:val="00FB365F"/>
    <w:rsid w:val="00FB41B6"/>
    <w:rsid w:val="00FC0B84"/>
    <w:rsid w:val="00FC1DDB"/>
    <w:rsid w:val="00FD41D3"/>
    <w:rsid w:val="00FD659F"/>
    <w:rsid w:val="00FD68BA"/>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NoSpacing">
    <w:name w:val="No Spacing"/>
    <w:link w:val="NoSpacingChar"/>
    <w:uiPriority w:val="1"/>
    <w:qFormat/>
    <w:rsid w:val="00D450CA"/>
    <w:rPr>
      <w:rFonts w:ascii="Calibri" w:eastAsia="Calibri" w:hAnsi="Calibri"/>
      <w:sz w:val="22"/>
      <w:szCs w:val="22"/>
      <w:lang w:val="en-US" w:eastAsia="en-US"/>
    </w:rPr>
  </w:style>
  <w:style w:type="character" w:customStyle="1" w:styleId="NoSpacingChar">
    <w:name w:val="No Spacing Char"/>
    <w:link w:val="NoSpacing"/>
    <w:rsid w:val="00D450CA"/>
    <w:rPr>
      <w:rFonts w:ascii="Calibri" w:eastAsia="Calibri" w:hAnsi="Calibri"/>
      <w:sz w:val="22"/>
      <w:szCs w:val="22"/>
      <w:lang w:val="en-US" w:eastAsia="en-US"/>
    </w:rPr>
  </w:style>
  <w:style w:type="paragraph" w:styleId="FootnoteText">
    <w:name w:val="footnote text"/>
    <w:basedOn w:val="Normal"/>
    <w:link w:val="FootnoteTextChar"/>
    <w:rsid w:val="00DB6C64"/>
    <w:rPr>
      <w:lang w:val="en-US"/>
    </w:rPr>
  </w:style>
  <w:style w:type="character" w:customStyle="1" w:styleId="FootnoteTextChar">
    <w:name w:val="Footnote Text Char"/>
    <w:basedOn w:val="DefaultParagraphFont"/>
    <w:link w:val="FootnoteText"/>
    <w:rsid w:val="00DB6C64"/>
    <w:rPr>
      <w:lang w:val="en-US" w:eastAsia="en-US"/>
    </w:rPr>
  </w:style>
  <w:style w:type="paragraph" w:styleId="Title">
    <w:name w:val="Title"/>
    <w:basedOn w:val="Normal"/>
    <w:link w:val="TitleChar"/>
    <w:qFormat/>
    <w:rsid w:val="00DB6C64"/>
    <w:pPr>
      <w:spacing w:line="480" w:lineRule="auto"/>
      <w:jc w:val="center"/>
    </w:pPr>
    <w:rPr>
      <w:rFonts w:ascii="Bookman Old Style" w:hAnsi="Bookman Old Style"/>
      <w:sz w:val="48"/>
      <w:szCs w:val="24"/>
      <w:u w:val="single"/>
      <w:lang w:val="en-US"/>
    </w:rPr>
  </w:style>
  <w:style w:type="character" w:customStyle="1" w:styleId="TitleChar">
    <w:name w:val="Title Char"/>
    <w:basedOn w:val="DefaultParagraphFont"/>
    <w:link w:val="Title"/>
    <w:rsid w:val="00DB6C64"/>
    <w:rPr>
      <w:rFonts w:ascii="Bookman Old Style" w:hAnsi="Bookman Old Style"/>
      <w:sz w:val="48"/>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Kwadwo Appiagyei-Atua</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9c2e4527-2efa-4ade-b3d6-b2418af14986"/>
    <ds:schemaRef ds:uri="d42e65b2-cf21-49c1-b27d-d23f90380c0e"/>
    <ds:schemaRef ds:uri="http://www.w3.org/XML/1998/namespace"/>
  </ds:schemaRefs>
</ds:datastoreItem>
</file>

<file path=customXml/itemProps2.xml><?xml version="1.0" encoding="utf-8"?>
<ds:datastoreItem xmlns:ds="http://schemas.openxmlformats.org/officeDocument/2006/customXml" ds:itemID="{D384FB8E-650A-4C59-BF0B-F8721EB01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9424</Characters>
  <Application>Microsoft Office Word</Application>
  <DocSecurity>0</DocSecurity>
  <Lines>78</Lines>
  <Paragraphs>22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2024-02-02T09:38:00Z</dcterms:created>
  <dcterms:modified xsi:type="dcterms:W3CDTF">2024-05-01T06:45:00Z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