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6DD9C" w14:textId="77777777" w:rsidR="0031548B" w:rsidRDefault="0031548B" w:rsidP="00104500">
      <w:pPr>
        <w:spacing w:after="0" w:line="240" w:lineRule="auto"/>
        <w:jc w:val="center"/>
        <w:rPr>
          <w:rFonts w:ascii="Arial" w:hAnsi="Arial" w:cs="Arial"/>
          <w:b/>
          <w:sz w:val="24"/>
          <w:szCs w:val="24"/>
          <w:lang w:val="en-GB"/>
        </w:rPr>
      </w:pPr>
    </w:p>
    <w:p w14:paraId="4EFAE291" w14:textId="352CBF8B" w:rsidR="00CD692B" w:rsidRPr="0031548B" w:rsidRDefault="001E36D0" w:rsidP="00CD692B">
      <w:pPr>
        <w:spacing w:after="0" w:line="240" w:lineRule="auto"/>
        <w:jc w:val="center"/>
        <w:rPr>
          <w:rFonts w:ascii="Arial" w:hAnsi="Arial" w:cs="Arial"/>
          <w:b/>
          <w:sz w:val="24"/>
          <w:szCs w:val="24"/>
          <w:lang w:val="en-GB"/>
        </w:rPr>
      </w:pPr>
      <w:r w:rsidRPr="001E36D0">
        <w:rPr>
          <w:rFonts w:ascii="Arial" w:hAnsi="Arial" w:cs="Arial"/>
          <w:b/>
          <w:sz w:val="24"/>
          <w:szCs w:val="24"/>
          <w:lang w:val="en-GB"/>
        </w:rPr>
        <w:t xml:space="preserve">Request for inputs for the thematic report </w:t>
      </w:r>
      <w:r w:rsidR="00CD692B" w:rsidRPr="00CD692B">
        <w:rPr>
          <w:rFonts w:ascii="Arial" w:hAnsi="Arial" w:cs="Arial"/>
          <w:b/>
          <w:sz w:val="24"/>
          <w:szCs w:val="24"/>
          <w:lang w:val="en-GB"/>
        </w:rPr>
        <w:t xml:space="preserve">UN Special Rapporteur on the right to education </w:t>
      </w:r>
    </w:p>
    <w:p w14:paraId="2F92D15C" w14:textId="2E7685C6" w:rsidR="0031548B" w:rsidRDefault="0031548B" w:rsidP="00104500">
      <w:pPr>
        <w:spacing w:after="0" w:line="240" w:lineRule="auto"/>
        <w:jc w:val="center"/>
        <w:rPr>
          <w:rFonts w:ascii="Arial" w:hAnsi="Arial" w:cs="Arial"/>
          <w:b/>
          <w:color w:val="002060"/>
          <w:sz w:val="24"/>
          <w:szCs w:val="24"/>
        </w:rPr>
      </w:pPr>
    </w:p>
    <w:p w14:paraId="40A17015" w14:textId="26874F6E" w:rsidR="00B61E63" w:rsidRDefault="00861941" w:rsidP="00861941">
      <w:pPr>
        <w:spacing w:after="0" w:line="240" w:lineRule="auto"/>
        <w:jc w:val="center"/>
        <w:rPr>
          <w:rFonts w:ascii="Arial" w:hAnsi="Arial" w:cs="Arial"/>
          <w:b/>
          <w:color w:val="002060"/>
          <w:sz w:val="24"/>
          <w:szCs w:val="24"/>
        </w:rPr>
      </w:pPr>
      <w:r w:rsidRPr="00861941">
        <w:t xml:space="preserve"> </w:t>
      </w:r>
      <w:r w:rsidR="00CD692B" w:rsidRPr="00CD692B">
        <w:rPr>
          <w:rFonts w:ascii="Arial" w:hAnsi="Arial" w:cs="Arial"/>
          <w:b/>
          <w:color w:val="002060"/>
          <w:sz w:val="24"/>
          <w:szCs w:val="24"/>
        </w:rPr>
        <w:t>‘Artificial intelligence (AI) in education and its human rights - based use at the service of the advancement of the right to education</w:t>
      </w:r>
      <w:r w:rsidR="000039C8">
        <w:rPr>
          <w:rFonts w:ascii="Arial" w:hAnsi="Arial" w:cs="Arial"/>
          <w:b/>
          <w:color w:val="002060"/>
          <w:sz w:val="24"/>
          <w:szCs w:val="24"/>
        </w:rPr>
        <w:t>’</w:t>
      </w:r>
    </w:p>
    <w:p w14:paraId="69D6C95D" w14:textId="7B945E9D" w:rsidR="00167EE3" w:rsidRDefault="00167EE3" w:rsidP="00104500">
      <w:pPr>
        <w:spacing w:after="0" w:line="240" w:lineRule="auto"/>
        <w:rPr>
          <w:rFonts w:ascii="Arial" w:hAnsi="Arial" w:cs="Arial"/>
          <w:bCs/>
          <w:color w:val="FF0000"/>
          <w:sz w:val="24"/>
          <w:szCs w:val="24"/>
        </w:rPr>
      </w:pPr>
    </w:p>
    <w:p w14:paraId="05FEA54D" w14:textId="77777777" w:rsidR="00CF5136" w:rsidRPr="00DB054F" w:rsidRDefault="00CF5136" w:rsidP="00104500">
      <w:pPr>
        <w:spacing w:after="0" w:line="240" w:lineRule="auto"/>
        <w:rPr>
          <w:rFonts w:ascii="Arial" w:hAnsi="Arial" w:cs="Arial"/>
          <w:b/>
          <w:sz w:val="24"/>
          <w:szCs w:val="24"/>
        </w:rPr>
      </w:pPr>
    </w:p>
    <w:tbl>
      <w:tblPr>
        <w:tblStyle w:val="TableGrid"/>
        <w:tblW w:w="5000" w:type="pct"/>
        <w:tblInd w:w="-95" w:type="dxa"/>
        <w:tblLook w:val="04A0" w:firstRow="1" w:lastRow="0" w:firstColumn="1" w:lastColumn="0" w:noHBand="0" w:noVBand="1"/>
      </w:tblPr>
      <w:tblGrid>
        <w:gridCol w:w="711"/>
        <w:gridCol w:w="6182"/>
        <w:gridCol w:w="7055"/>
      </w:tblGrid>
      <w:tr w:rsidR="00167EE3" w:rsidRPr="00DB054F" w14:paraId="3C332F27" w14:textId="77777777" w:rsidTr="00246546">
        <w:trPr>
          <w:tblHeader/>
        </w:trPr>
        <w:tc>
          <w:tcPr>
            <w:tcW w:w="255" w:type="pct"/>
            <w:shd w:val="clear" w:color="auto" w:fill="FBE4D5" w:themeFill="accent2" w:themeFillTint="33"/>
          </w:tcPr>
          <w:p w14:paraId="10DF4281" w14:textId="77777777" w:rsidR="00167EE3" w:rsidRPr="00DB054F" w:rsidRDefault="00167EE3" w:rsidP="00104500">
            <w:pPr>
              <w:spacing w:after="0" w:line="240" w:lineRule="auto"/>
              <w:jc w:val="center"/>
              <w:rPr>
                <w:rFonts w:ascii="Arial" w:hAnsi="Arial" w:cs="Arial"/>
                <w:b/>
                <w:sz w:val="24"/>
                <w:szCs w:val="24"/>
              </w:rPr>
            </w:pPr>
            <w:r w:rsidRPr="00DB054F">
              <w:rPr>
                <w:rFonts w:ascii="Arial" w:hAnsi="Arial" w:cs="Arial"/>
                <w:b/>
                <w:sz w:val="24"/>
                <w:szCs w:val="24"/>
              </w:rPr>
              <w:t>NO.</w:t>
            </w:r>
          </w:p>
          <w:p w14:paraId="60071405" w14:textId="77777777" w:rsidR="00167EE3" w:rsidRPr="00DB054F" w:rsidRDefault="00167EE3" w:rsidP="00104500">
            <w:pPr>
              <w:spacing w:after="0" w:line="240" w:lineRule="auto"/>
              <w:jc w:val="center"/>
              <w:rPr>
                <w:rFonts w:ascii="Arial" w:hAnsi="Arial" w:cs="Arial"/>
                <w:b/>
                <w:sz w:val="24"/>
                <w:szCs w:val="24"/>
              </w:rPr>
            </w:pPr>
          </w:p>
        </w:tc>
        <w:tc>
          <w:tcPr>
            <w:tcW w:w="2216" w:type="pct"/>
            <w:shd w:val="clear" w:color="auto" w:fill="FBE4D5" w:themeFill="accent2" w:themeFillTint="33"/>
          </w:tcPr>
          <w:p w14:paraId="0A97F6C3" w14:textId="514DB2FC" w:rsidR="00167EE3" w:rsidRPr="00DB054F" w:rsidRDefault="00C05ACB" w:rsidP="00104500">
            <w:pPr>
              <w:spacing w:after="0" w:line="240" w:lineRule="auto"/>
              <w:jc w:val="center"/>
              <w:rPr>
                <w:rFonts w:ascii="Arial" w:hAnsi="Arial" w:cs="Arial"/>
                <w:b/>
                <w:sz w:val="24"/>
                <w:szCs w:val="24"/>
              </w:rPr>
            </w:pPr>
            <w:r w:rsidRPr="00C05ACB">
              <w:rPr>
                <w:rFonts w:ascii="Arial" w:hAnsi="Arial" w:cs="Arial"/>
                <w:b/>
                <w:sz w:val="24"/>
                <w:szCs w:val="24"/>
              </w:rPr>
              <w:t>KEY QUESTIONS AND INPUTS SOUGHT</w:t>
            </w:r>
          </w:p>
        </w:tc>
        <w:tc>
          <w:tcPr>
            <w:tcW w:w="2529" w:type="pct"/>
            <w:shd w:val="clear" w:color="auto" w:fill="FBE4D5" w:themeFill="accent2" w:themeFillTint="33"/>
          </w:tcPr>
          <w:p w14:paraId="02E23C62" w14:textId="77809562" w:rsidR="00167EE3" w:rsidRPr="00DB054F" w:rsidRDefault="00C05ACB" w:rsidP="00104500">
            <w:pPr>
              <w:spacing w:after="0" w:line="240" w:lineRule="auto"/>
              <w:jc w:val="center"/>
              <w:rPr>
                <w:rFonts w:ascii="Arial" w:hAnsi="Arial" w:cs="Arial"/>
                <w:b/>
                <w:sz w:val="24"/>
                <w:szCs w:val="24"/>
              </w:rPr>
            </w:pPr>
            <w:r>
              <w:rPr>
                <w:rFonts w:ascii="Arial" w:hAnsi="Arial" w:cs="Arial"/>
                <w:b/>
                <w:sz w:val="24"/>
                <w:szCs w:val="24"/>
              </w:rPr>
              <w:t xml:space="preserve">INPUTS BY </w:t>
            </w:r>
            <w:r w:rsidR="00FB5320">
              <w:rPr>
                <w:rFonts w:ascii="Arial" w:hAnsi="Arial" w:cs="Arial"/>
                <w:b/>
                <w:sz w:val="24"/>
                <w:szCs w:val="24"/>
              </w:rPr>
              <w:t>MALAYSIA</w:t>
            </w:r>
          </w:p>
        </w:tc>
      </w:tr>
      <w:tr w:rsidR="00167EE3" w:rsidRPr="00DB054F" w14:paraId="40A3CBAE" w14:textId="77777777" w:rsidTr="00246546">
        <w:tc>
          <w:tcPr>
            <w:tcW w:w="255" w:type="pct"/>
          </w:tcPr>
          <w:p w14:paraId="766DE7C8" w14:textId="77777777" w:rsidR="00167EE3" w:rsidRPr="00F219D4"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216" w:type="pct"/>
          </w:tcPr>
          <w:p w14:paraId="3891C7C4" w14:textId="6BA13B9D" w:rsidR="00861941" w:rsidRDefault="00CD692B" w:rsidP="00CD692B">
            <w:pPr>
              <w:spacing w:after="0" w:line="240" w:lineRule="auto"/>
              <w:jc w:val="both"/>
              <w:rPr>
                <w:rFonts w:ascii="Arial" w:hAnsi="Arial" w:cs="Arial"/>
                <w:iCs/>
                <w:sz w:val="24"/>
                <w:szCs w:val="24"/>
              </w:rPr>
            </w:pPr>
            <w:r w:rsidRPr="00CD692B">
              <w:rPr>
                <w:rFonts w:ascii="Arial" w:hAnsi="Arial" w:cs="Arial"/>
                <w:iCs/>
                <w:sz w:val="24"/>
                <w:szCs w:val="24"/>
              </w:rPr>
              <w:t xml:space="preserve">Please provide examples of </w:t>
            </w:r>
            <w:r w:rsidRPr="00CD692B">
              <w:rPr>
                <w:rFonts w:ascii="Arial" w:hAnsi="Arial" w:cs="Arial"/>
                <w:b/>
                <w:iCs/>
                <w:sz w:val="24"/>
                <w:szCs w:val="24"/>
              </w:rPr>
              <w:t>how AI tools and systems, including generative AI, are used in education process and related decision making</w:t>
            </w:r>
            <w:r w:rsidRPr="00CD692B">
              <w:rPr>
                <w:rFonts w:ascii="Arial" w:hAnsi="Arial" w:cs="Arial"/>
                <w:iCs/>
                <w:sz w:val="24"/>
                <w:szCs w:val="24"/>
              </w:rPr>
              <w:t xml:space="preserve"> in your country, organization or educational institution, with examples of specific software where relevant</w:t>
            </w:r>
            <w:r>
              <w:rPr>
                <w:rFonts w:ascii="Arial" w:hAnsi="Arial" w:cs="Arial"/>
                <w:iCs/>
                <w:sz w:val="24"/>
                <w:szCs w:val="24"/>
              </w:rPr>
              <w:t>.</w:t>
            </w:r>
          </w:p>
          <w:p w14:paraId="49A56852" w14:textId="77777777" w:rsidR="00CD692B" w:rsidRDefault="00CD692B" w:rsidP="00CD692B">
            <w:pPr>
              <w:spacing w:after="0" w:line="240" w:lineRule="auto"/>
              <w:jc w:val="both"/>
              <w:rPr>
                <w:rFonts w:ascii="Arial" w:hAnsi="Arial" w:cs="Arial"/>
                <w:iCs/>
                <w:sz w:val="24"/>
                <w:szCs w:val="24"/>
              </w:rPr>
            </w:pPr>
          </w:p>
          <w:p w14:paraId="52B748F2" w14:textId="4B842255" w:rsidR="00AE33FC" w:rsidRPr="000C152A" w:rsidRDefault="00AE33FC" w:rsidP="00CD692B">
            <w:pPr>
              <w:spacing w:after="0" w:line="240" w:lineRule="auto"/>
              <w:jc w:val="both"/>
              <w:rPr>
                <w:rFonts w:ascii="Arial" w:hAnsi="Arial" w:cs="Arial"/>
                <w:iCs/>
                <w:sz w:val="24"/>
                <w:szCs w:val="24"/>
              </w:rPr>
            </w:pPr>
          </w:p>
        </w:tc>
        <w:tc>
          <w:tcPr>
            <w:tcW w:w="2529" w:type="pct"/>
          </w:tcPr>
          <w:p w14:paraId="575EDFEC" w14:textId="0EF09A68" w:rsidR="003278D5" w:rsidRPr="00436BE6" w:rsidRDefault="00A24EA8" w:rsidP="000C152A">
            <w:pPr>
              <w:spacing w:after="0" w:line="240" w:lineRule="auto"/>
              <w:jc w:val="both"/>
              <w:rPr>
                <w:rFonts w:ascii="Arial" w:eastAsia="Times New Roman" w:hAnsi="Arial" w:cs="Arial"/>
                <w:bCs/>
                <w:sz w:val="24"/>
                <w:szCs w:val="24"/>
              </w:rPr>
            </w:pPr>
            <w:r w:rsidRPr="00436BE6">
              <w:rPr>
                <w:rFonts w:ascii="Arial" w:eastAsia="Times New Roman" w:hAnsi="Arial" w:cs="Arial"/>
                <w:bCs/>
                <w:sz w:val="24"/>
                <w:szCs w:val="24"/>
              </w:rPr>
              <w:t xml:space="preserve">AI's </w:t>
            </w:r>
            <w:r w:rsidR="003278D5" w:rsidRPr="00436BE6">
              <w:rPr>
                <w:rFonts w:ascii="Arial" w:eastAsia="Times New Roman" w:hAnsi="Arial" w:cs="Arial"/>
                <w:bCs/>
                <w:sz w:val="24"/>
                <w:szCs w:val="24"/>
              </w:rPr>
              <w:t>utilization</w:t>
            </w:r>
            <w:r w:rsidRPr="00436BE6">
              <w:rPr>
                <w:rFonts w:ascii="Arial" w:eastAsia="Times New Roman" w:hAnsi="Arial" w:cs="Arial"/>
                <w:bCs/>
                <w:sz w:val="24"/>
                <w:szCs w:val="24"/>
              </w:rPr>
              <w:t xml:space="preserve"> in</w:t>
            </w:r>
            <w:r w:rsidR="003278D5" w:rsidRPr="00436BE6">
              <w:rPr>
                <w:rFonts w:ascii="Arial" w:eastAsia="Times New Roman" w:hAnsi="Arial" w:cs="Arial"/>
                <w:bCs/>
                <w:sz w:val="24"/>
                <w:szCs w:val="24"/>
              </w:rPr>
              <w:t xml:space="preserve"> Malaysia </w:t>
            </w:r>
            <w:r w:rsidRPr="00436BE6">
              <w:rPr>
                <w:rFonts w:ascii="Arial" w:eastAsia="Times New Roman" w:hAnsi="Arial" w:cs="Arial"/>
                <w:bCs/>
                <w:sz w:val="24"/>
                <w:szCs w:val="24"/>
              </w:rPr>
              <w:t>higher education is becoming increasingly prevalent</w:t>
            </w:r>
            <w:r w:rsidR="00EC2803">
              <w:rPr>
                <w:rFonts w:ascii="Arial" w:eastAsia="Times New Roman" w:hAnsi="Arial" w:cs="Arial"/>
                <w:bCs/>
                <w:sz w:val="24"/>
                <w:szCs w:val="24"/>
              </w:rPr>
              <w:t>,</w:t>
            </w:r>
            <w:r w:rsidR="003278D5" w:rsidRPr="00436BE6">
              <w:rPr>
                <w:rFonts w:ascii="Arial" w:eastAsia="Times New Roman" w:hAnsi="Arial" w:cs="Arial"/>
                <w:bCs/>
                <w:sz w:val="24"/>
                <w:szCs w:val="24"/>
              </w:rPr>
              <w:t xml:space="preserve"> however the usage </w:t>
            </w:r>
            <w:r w:rsidR="00A239B7" w:rsidRPr="00436BE6">
              <w:rPr>
                <w:rFonts w:ascii="Arial" w:eastAsia="Times New Roman" w:hAnsi="Arial" w:cs="Arial"/>
                <w:bCs/>
                <w:sz w:val="24"/>
                <w:szCs w:val="24"/>
              </w:rPr>
              <w:t xml:space="preserve">still at the voluntary stage. </w:t>
            </w:r>
            <w:r w:rsidR="002129B1" w:rsidRPr="00436BE6">
              <w:rPr>
                <w:rFonts w:ascii="Arial" w:eastAsia="Times New Roman" w:hAnsi="Arial" w:cs="Arial"/>
                <w:bCs/>
                <w:sz w:val="24"/>
                <w:szCs w:val="24"/>
              </w:rPr>
              <w:t>The Malaysian Artificial Intelligence (AI) Roadmap Survey con</w:t>
            </w:r>
            <w:r w:rsidR="00325477" w:rsidRPr="00436BE6">
              <w:rPr>
                <w:rFonts w:ascii="Arial" w:eastAsia="Times New Roman" w:hAnsi="Arial" w:cs="Arial"/>
                <w:bCs/>
                <w:sz w:val="24"/>
                <w:szCs w:val="24"/>
              </w:rPr>
              <w:t xml:space="preserve">ducted </w:t>
            </w:r>
            <w:r w:rsidR="00D1569F" w:rsidRPr="00436BE6">
              <w:rPr>
                <w:rFonts w:ascii="Arial" w:eastAsia="Times New Roman" w:hAnsi="Arial" w:cs="Arial"/>
                <w:bCs/>
                <w:sz w:val="24"/>
                <w:szCs w:val="24"/>
              </w:rPr>
              <w:t xml:space="preserve">in 2021 </w:t>
            </w:r>
            <w:r w:rsidR="00DB656C" w:rsidRPr="00436BE6">
              <w:rPr>
                <w:rFonts w:ascii="Arial" w:eastAsia="Times New Roman" w:hAnsi="Arial" w:cs="Arial"/>
                <w:bCs/>
                <w:sz w:val="24"/>
                <w:szCs w:val="24"/>
              </w:rPr>
              <w:t xml:space="preserve">reported that AI </w:t>
            </w:r>
            <w:r w:rsidR="00A971DE" w:rsidRPr="00436BE6">
              <w:rPr>
                <w:rFonts w:ascii="Arial" w:eastAsia="Times New Roman" w:hAnsi="Arial" w:cs="Arial"/>
                <w:bCs/>
                <w:sz w:val="24"/>
                <w:szCs w:val="24"/>
              </w:rPr>
              <w:t xml:space="preserve">adoption </w:t>
            </w:r>
            <w:r w:rsidR="00C74CBA" w:rsidRPr="00436BE6">
              <w:rPr>
                <w:rFonts w:ascii="Arial" w:eastAsia="Times New Roman" w:hAnsi="Arial" w:cs="Arial"/>
                <w:bCs/>
                <w:sz w:val="24"/>
                <w:szCs w:val="24"/>
              </w:rPr>
              <w:t xml:space="preserve">and development </w:t>
            </w:r>
            <w:r w:rsidR="00A971DE" w:rsidRPr="00436BE6">
              <w:rPr>
                <w:rFonts w:ascii="Arial" w:eastAsia="Times New Roman" w:hAnsi="Arial" w:cs="Arial"/>
                <w:bCs/>
                <w:sz w:val="24"/>
                <w:szCs w:val="24"/>
              </w:rPr>
              <w:t xml:space="preserve">among academia </w:t>
            </w:r>
            <w:r w:rsidR="00FE6AE8" w:rsidRPr="00436BE6">
              <w:rPr>
                <w:rFonts w:ascii="Arial" w:eastAsia="Times New Roman" w:hAnsi="Arial" w:cs="Arial"/>
                <w:bCs/>
                <w:sz w:val="24"/>
                <w:szCs w:val="24"/>
              </w:rPr>
              <w:t>is</w:t>
            </w:r>
            <w:r w:rsidR="00A971DE" w:rsidRPr="00436BE6">
              <w:rPr>
                <w:rFonts w:ascii="Arial" w:eastAsia="Times New Roman" w:hAnsi="Arial" w:cs="Arial"/>
                <w:bCs/>
                <w:sz w:val="24"/>
                <w:szCs w:val="24"/>
              </w:rPr>
              <w:t xml:space="preserve"> relatively low which </w:t>
            </w:r>
            <w:r w:rsidR="00AE33FC" w:rsidRPr="00436BE6">
              <w:rPr>
                <w:rFonts w:ascii="Arial" w:eastAsia="Times New Roman" w:hAnsi="Arial" w:cs="Arial"/>
                <w:bCs/>
                <w:sz w:val="24"/>
                <w:szCs w:val="24"/>
              </w:rPr>
              <w:t xml:space="preserve">is </w:t>
            </w:r>
            <w:r w:rsidR="00250ED9" w:rsidRPr="00436BE6">
              <w:rPr>
                <w:rFonts w:ascii="Arial" w:eastAsia="Times New Roman" w:hAnsi="Arial" w:cs="Arial"/>
                <w:bCs/>
                <w:sz w:val="24"/>
                <w:szCs w:val="24"/>
              </w:rPr>
              <w:t xml:space="preserve">at 14%. </w:t>
            </w:r>
          </w:p>
          <w:p w14:paraId="0CEF8898" w14:textId="77777777" w:rsidR="008871D5" w:rsidRDefault="008871D5" w:rsidP="000C152A">
            <w:pPr>
              <w:spacing w:after="0" w:line="240" w:lineRule="auto"/>
              <w:jc w:val="both"/>
              <w:rPr>
                <w:rFonts w:ascii="Arial" w:eastAsia="Times New Roman" w:hAnsi="Arial" w:cs="Arial"/>
                <w:bCs/>
                <w:sz w:val="24"/>
                <w:szCs w:val="24"/>
              </w:rPr>
            </w:pPr>
          </w:p>
          <w:p w14:paraId="6ED7495F" w14:textId="3AB22578" w:rsidR="00222488" w:rsidRPr="00436BE6" w:rsidRDefault="005B5C40" w:rsidP="000C152A">
            <w:pPr>
              <w:spacing w:after="0" w:line="240" w:lineRule="auto"/>
              <w:jc w:val="both"/>
              <w:rPr>
                <w:rFonts w:ascii="Arial" w:eastAsia="Times New Roman" w:hAnsi="Arial" w:cs="Arial"/>
                <w:bCs/>
                <w:sz w:val="24"/>
                <w:szCs w:val="24"/>
              </w:rPr>
            </w:pPr>
            <w:r w:rsidRPr="00436BE6">
              <w:rPr>
                <w:rFonts w:ascii="Arial" w:eastAsia="Times New Roman" w:hAnsi="Arial" w:cs="Arial"/>
                <w:bCs/>
                <w:sz w:val="24"/>
                <w:szCs w:val="24"/>
              </w:rPr>
              <w:t xml:space="preserve">AI tools </w:t>
            </w:r>
            <w:r w:rsidR="00436BE6" w:rsidRPr="00436BE6">
              <w:rPr>
                <w:rFonts w:ascii="Arial" w:eastAsia="Times New Roman" w:hAnsi="Arial" w:cs="Arial"/>
                <w:bCs/>
                <w:sz w:val="24"/>
                <w:szCs w:val="24"/>
              </w:rPr>
              <w:t>offer</w:t>
            </w:r>
            <w:r w:rsidRPr="00436BE6">
              <w:rPr>
                <w:rFonts w:ascii="Arial" w:eastAsia="Times New Roman" w:hAnsi="Arial" w:cs="Arial"/>
                <w:bCs/>
                <w:sz w:val="24"/>
                <w:szCs w:val="24"/>
              </w:rPr>
              <w:t xml:space="preserve"> innovative ways to enhance teaching and learning experiences. </w:t>
            </w:r>
            <w:r w:rsidR="004C1D1C" w:rsidRPr="00436BE6">
              <w:rPr>
                <w:rFonts w:ascii="Arial" w:eastAsia="Times New Roman" w:hAnsi="Arial" w:cs="Arial"/>
                <w:bCs/>
                <w:sz w:val="24"/>
                <w:szCs w:val="24"/>
              </w:rPr>
              <w:t>The common</w:t>
            </w:r>
            <w:r w:rsidRPr="00436BE6">
              <w:rPr>
                <w:rFonts w:ascii="Arial" w:eastAsia="Times New Roman" w:hAnsi="Arial" w:cs="Arial"/>
                <w:bCs/>
                <w:sz w:val="24"/>
                <w:szCs w:val="24"/>
              </w:rPr>
              <w:t xml:space="preserve"> AI tools used in</w:t>
            </w:r>
            <w:r w:rsidR="00436BE6" w:rsidRPr="00436BE6">
              <w:rPr>
                <w:rFonts w:ascii="Arial" w:eastAsia="Times New Roman" w:hAnsi="Arial" w:cs="Arial"/>
                <w:bCs/>
                <w:sz w:val="24"/>
                <w:szCs w:val="24"/>
              </w:rPr>
              <w:t xml:space="preserve"> education process</w:t>
            </w:r>
            <w:r w:rsidRPr="00436BE6">
              <w:rPr>
                <w:rFonts w:ascii="Arial" w:eastAsia="Times New Roman" w:hAnsi="Arial" w:cs="Arial"/>
                <w:bCs/>
                <w:sz w:val="24"/>
                <w:szCs w:val="24"/>
              </w:rPr>
              <w:t xml:space="preserve"> </w:t>
            </w:r>
            <w:r w:rsidR="00864D87" w:rsidRPr="00436BE6">
              <w:rPr>
                <w:rFonts w:ascii="Arial" w:eastAsia="Times New Roman" w:hAnsi="Arial" w:cs="Arial"/>
                <w:bCs/>
                <w:sz w:val="24"/>
                <w:szCs w:val="24"/>
              </w:rPr>
              <w:t xml:space="preserve">such as ChatGPT, </w:t>
            </w:r>
            <w:r w:rsidR="00436BE6" w:rsidRPr="00436BE6">
              <w:rPr>
                <w:rFonts w:ascii="Arial" w:eastAsia="Times New Roman" w:hAnsi="Arial" w:cs="Arial"/>
                <w:bCs/>
                <w:sz w:val="24"/>
                <w:szCs w:val="24"/>
              </w:rPr>
              <w:t xml:space="preserve">GPTZero, Writefull X, GPT Detector, </w:t>
            </w:r>
            <w:r w:rsidR="00946883" w:rsidRPr="00436BE6">
              <w:rPr>
                <w:rFonts w:ascii="Arial" w:eastAsia="Times New Roman" w:hAnsi="Arial" w:cs="Arial"/>
                <w:bCs/>
                <w:sz w:val="24"/>
                <w:szCs w:val="24"/>
              </w:rPr>
              <w:t>Pretzi</w:t>
            </w:r>
            <w:r w:rsidR="002B0A64" w:rsidRPr="00436BE6">
              <w:rPr>
                <w:rFonts w:ascii="Arial" w:eastAsia="Times New Roman" w:hAnsi="Arial" w:cs="Arial"/>
                <w:bCs/>
                <w:sz w:val="24"/>
                <w:szCs w:val="24"/>
              </w:rPr>
              <w:t xml:space="preserve">, Gamma AI to automize the writing content, </w:t>
            </w:r>
            <w:r w:rsidR="007D37E6" w:rsidRPr="00436BE6">
              <w:rPr>
                <w:rFonts w:ascii="Arial" w:eastAsia="Times New Roman" w:hAnsi="Arial" w:cs="Arial"/>
                <w:bCs/>
                <w:sz w:val="24"/>
                <w:szCs w:val="24"/>
              </w:rPr>
              <w:t xml:space="preserve">power point </w:t>
            </w:r>
            <w:r w:rsidR="00436BE6" w:rsidRPr="00436BE6">
              <w:rPr>
                <w:rFonts w:ascii="Arial" w:eastAsia="Times New Roman" w:hAnsi="Arial" w:cs="Arial"/>
                <w:bCs/>
                <w:sz w:val="24"/>
                <w:szCs w:val="24"/>
              </w:rPr>
              <w:t xml:space="preserve">presentation </w:t>
            </w:r>
            <w:r w:rsidR="007D37E6" w:rsidRPr="00436BE6">
              <w:rPr>
                <w:rFonts w:ascii="Arial" w:eastAsia="Times New Roman" w:hAnsi="Arial" w:cs="Arial"/>
                <w:bCs/>
                <w:sz w:val="24"/>
                <w:szCs w:val="24"/>
              </w:rPr>
              <w:t xml:space="preserve">and any other teaching and learning materials. </w:t>
            </w:r>
            <w:r w:rsidR="005F7260" w:rsidRPr="00436BE6">
              <w:rPr>
                <w:rFonts w:ascii="Arial" w:eastAsia="Times New Roman" w:hAnsi="Arial" w:cs="Arial"/>
                <w:bCs/>
                <w:sz w:val="24"/>
                <w:szCs w:val="24"/>
              </w:rPr>
              <w:t xml:space="preserve">Other tools such as Grammarly are </w:t>
            </w:r>
            <w:r w:rsidR="003720D3" w:rsidRPr="00436BE6">
              <w:rPr>
                <w:rFonts w:ascii="Arial" w:eastAsia="Times New Roman" w:hAnsi="Arial" w:cs="Arial"/>
                <w:bCs/>
                <w:sz w:val="24"/>
                <w:szCs w:val="24"/>
              </w:rPr>
              <w:t>used</w:t>
            </w:r>
            <w:r w:rsidR="005F7260" w:rsidRPr="00436BE6">
              <w:rPr>
                <w:rFonts w:ascii="Arial" w:eastAsia="Times New Roman" w:hAnsi="Arial" w:cs="Arial"/>
                <w:bCs/>
                <w:sz w:val="24"/>
                <w:szCs w:val="24"/>
              </w:rPr>
              <w:t xml:space="preserve"> for proofreading and</w:t>
            </w:r>
            <w:r w:rsidR="00F93EB4" w:rsidRPr="00436BE6">
              <w:rPr>
                <w:rFonts w:ascii="Arial" w:eastAsia="Times New Roman" w:hAnsi="Arial" w:cs="Arial"/>
                <w:bCs/>
                <w:sz w:val="24"/>
                <w:szCs w:val="24"/>
              </w:rPr>
              <w:t xml:space="preserve"> </w:t>
            </w:r>
            <w:r w:rsidR="00FF67EA" w:rsidRPr="00436BE6">
              <w:rPr>
                <w:rFonts w:ascii="Arial" w:eastAsia="Times New Roman" w:hAnsi="Arial" w:cs="Arial"/>
                <w:bCs/>
                <w:sz w:val="24"/>
                <w:szCs w:val="24"/>
              </w:rPr>
              <w:t>Scispace</w:t>
            </w:r>
            <w:r w:rsidR="009E69F1" w:rsidRPr="00436BE6">
              <w:rPr>
                <w:rFonts w:ascii="Arial" w:eastAsia="Times New Roman" w:hAnsi="Arial" w:cs="Arial"/>
                <w:bCs/>
                <w:sz w:val="24"/>
                <w:szCs w:val="24"/>
              </w:rPr>
              <w:t xml:space="preserve"> to </w:t>
            </w:r>
            <w:r w:rsidR="00FF67EA" w:rsidRPr="00436BE6">
              <w:rPr>
                <w:rFonts w:ascii="Arial" w:eastAsia="Times New Roman" w:hAnsi="Arial" w:cs="Arial"/>
                <w:bCs/>
                <w:sz w:val="24"/>
                <w:szCs w:val="24"/>
              </w:rPr>
              <w:t xml:space="preserve">auto </w:t>
            </w:r>
            <w:r w:rsidR="009E69F1" w:rsidRPr="00436BE6">
              <w:rPr>
                <w:rFonts w:ascii="Arial" w:eastAsia="Times New Roman" w:hAnsi="Arial" w:cs="Arial"/>
                <w:bCs/>
                <w:sz w:val="24"/>
                <w:szCs w:val="24"/>
              </w:rPr>
              <w:t xml:space="preserve">summarize and </w:t>
            </w:r>
            <w:r w:rsidR="00FF67EA" w:rsidRPr="00436BE6">
              <w:rPr>
                <w:rFonts w:ascii="Arial" w:eastAsia="Times New Roman" w:hAnsi="Arial" w:cs="Arial"/>
                <w:bCs/>
                <w:sz w:val="24"/>
                <w:szCs w:val="24"/>
              </w:rPr>
              <w:t xml:space="preserve">Mendeley for </w:t>
            </w:r>
            <w:r w:rsidR="003720D3" w:rsidRPr="00436BE6">
              <w:rPr>
                <w:rFonts w:ascii="Arial" w:eastAsia="Times New Roman" w:hAnsi="Arial" w:cs="Arial"/>
                <w:bCs/>
                <w:sz w:val="24"/>
                <w:szCs w:val="24"/>
              </w:rPr>
              <w:t>filing’s</w:t>
            </w:r>
            <w:r w:rsidR="009E69F1" w:rsidRPr="00436BE6">
              <w:rPr>
                <w:rFonts w:ascii="Arial" w:eastAsia="Times New Roman" w:hAnsi="Arial" w:cs="Arial"/>
                <w:bCs/>
                <w:sz w:val="24"/>
                <w:szCs w:val="24"/>
              </w:rPr>
              <w:t xml:space="preserve"> purpose. </w:t>
            </w:r>
          </w:p>
          <w:p w14:paraId="6A78828A" w14:textId="77777777" w:rsidR="00222488" w:rsidRPr="00436BE6" w:rsidRDefault="00222488" w:rsidP="000C152A">
            <w:pPr>
              <w:spacing w:after="0" w:line="240" w:lineRule="auto"/>
              <w:jc w:val="both"/>
              <w:rPr>
                <w:rFonts w:ascii="Arial" w:eastAsia="Times New Roman" w:hAnsi="Arial" w:cs="Arial"/>
                <w:bCs/>
                <w:sz w:val="24"/>
                <w:szCs w:val="24"/>
              </w:rPr>
            </w:pPr>
          </w:p>
          <w:p w14:paraId="6337034B" w14:textId="77777777" w:rsidR="00A52238" w:rsidRDefault="0005436E" w:rsidP="00BE7CA5">
            <w:pPr>
              <w:spacing w:after="0" w:line="240" w:lineRule="auto"/>
              <w:jc w:val="both"/>
              <w:rPr>
                <w:rFonts w:ascii="Arial" w:eastAsia="Times New Roman" w:hAnsi="Arial" w:cs="Arial"/>
                <w:bCs/>
                <w:sz w:val="24"/>
                <w:szCs w:val="24"/>
              </w:rPr>
            </w:pPr>
            <w:r w:rsidRPr="00436BE6">
              <w:rPr>
                <w:rFonts w:ascii="Arial" w:eastAsia="Times New Roman" w:hAnsi="Arial" w:cs="Arial"/>
                <w:bCs/>
                <w:sz w:val="24"/>
                <w:szCs w:val="24"/>
              </w:rPr>
              <w:t>The use of Virtual Reality (VR) and Augmented Reality (AR) applications</w:t>
            </w:r>
            <w:r w:rsidR="00F65B8C" w:rsidRPr="00436BE6">
              <w:rPr>
                <w:rFonts w:ascii="Arial" w:eastAsia="Times New Roman" w:hAnsi="Arial" w:cs="Arial"/>
                <w:bCs/>
                <w:sz w:val="24"/>
                <w:szCs w:val="24"/>
              </w:rPr>
              <w:t>, an interactive three-dimension (3D) experience</w:t>
            </w:r>
            <w:r w:rsidRPr="00436BE6">
              <w:rPr>
                <w:rFonts w:ascii="Arial" w:eastAsia="Times New Roman" w:hAnsi="Arial" w:cs="Arial"/>
                <w:bCs/>
                <w:sz w:val="24"/>
                <w:szCs w:val="24"/>
              </w:rPr>
              <w:t xml:space="preserve"> create immersive learning experiences that engage students and enhance comprehension of complex concepts. These technologies can simulate real-world scenarios and environments, making learning more interactive and experientia</w:t>
            </w:r>
            <w:r w:rsidR="00CE0B22" w:rsidRPr="00436BE6">
              <w:rPr>
                <w:rFonts w:ascii="Arial" w:eastAsia="Times New Roman" w:hAnsi="Arial" w:cs="Arial"/>
                <w:bCs/>
                <w:sz w:val="24"/>
                <w:szCs w:val="24"/>
              </w:rPr>
              <w:t>l. AR and VR are among the alternatives for remote learning for medical and dental students</w:t>
            </w:r>
            <w:r w:rsidR="003434D6" w:rsidRPr="00436BE6">
              <w:rPr>
                <w:rFonts w:ascii="Arial" w:eastAsia="Times New Roman" w:hAnsi="Arial" w:cs="Arial"/>
                <w:bCs/>
                <w:sz w:val="24"/>
                <w:szCs w:val="24"/>
              </w:rPr>
              <w:t>.</w:t>
            </w:r>
            <w:r w:rsidR="008871D5" w:rsidRPr="00436BE6">
              <w:rPr>
                <w:rFonts w:ascii="Arial" w:eastAsia="Times New Roman" w:hAnsi="Arial" w:cs="Arial"/>
                <w:bCs/>
                <w:sz w:val="24"/>
                <w:szCs w:val="24"/>
              </w:rPr>
              <w:t xml:space="preserve"> </w:t>
            </w:r>
          </w:p>
          <w:p w14:paraId="4BF5565D" w14:textId="77777777" w:rsidR="00AE7D73" w:rsidRDefault="00AE7D73" w:rsidP="00BE7CA5">
            <w:pPr>
              <w:spacing w:after="0" w:line="240" w:lineRule="auto"/>
              <w:jc w:val="both"/>
              <w:rPr>
                <w:rFonts w:ascii="Arial" w:eastAsia="Times New Roman" w:hAnsi="Arial" w:cs="Arial"/>
                <w:b/>
                <w:color w:val="3333FF"/>
                <w:sz w:val="24"/>
                <w:szCs w:val="24"/>
              </w:rPr>
            </w:pPr>
          </w:p>
          <w:p w14:paraId="015A8EED" w14:textId="7516B2A8" w:rsidR="00AE7D73" w:rsidRPr="00AE7D73" w:rsidRDefault="00AE7D73" w:rsidP="00BE7CA5">
            <w:pPr>
              <w:spacing w:after="0" w:line="240" w:lineRule="auto"/>
              <w:jc w:val="both"/>
              <w:rPr>
                <w:rFonts w:ascii="Arial" w:eastAsia="Times New Roman" w:hAnsi="Arial" w:cs="Arial"/>
                <w:sz w:val="24"/>
                <w:szCs w:val="24"/>
              </w:rPr>
            </w:pPr>
            <w:r w:rsidRPr="00AE7D73">
              <w:rPr>
                <w:rFonts w:ascii="Arial" w:eastAsia="Times New Roman" w:hAnsi="Arial" w:cs="Arial"/>
                <w:sz w:val="24"/>
                <w:szCs w:val="24"/>
              </w:rPr>
              <w:lastRenderedPageBreak/>
              <w:t>Recognition of the importance of AI literacy, which involves understanding the basic concepts of AI, its applications, and implications for teachers and students has become a crucial agenda for Ministries of Education</w:t>
            </w:r>
            <w:r w:rsidR="00EC2803">
              <w:rPr>
                <w:rFonts w:ascii="Arial" w:eastAsia="Times New Roman" w:hAnsi="Arial" w:cs="Arial"/>
                <w:sz w:val="24"/>
                <w:szCs w:val="24"/>
              </w:rPr>
              <w:t xml:space="preserve"> (MoE)</w:t>
            </w:r>
            <w:r w:rsidRPr="00AE7D73">
              <w:rPr>
                <w:rFonts w:ascii="Arial" w:eastAsia="Times New Roman" w:hAnsi="Arial" w:cs="Arial"/>
                <w:sz w:val="24"/>
                <w:szCs w:val="24"/>
              </w:rPr>
              <w:t xml:space="preserve"> in many regions. MoE Malaysia’s </w:t>
            </w:r>
            <w:r w:rsidR="00EC2803" w:rsidRPr="00EC2803">
              <w:rPr>
                <w:rFonts w:ascii="Arial" w:eastAsia="Times New Roman" w:hAnsi="Arial" w:cs="Arial"/>
                <w:sz w:val="24"/>
                <w:szCs w:val="24"/>
              </w:rPr>
              <w:t xml:space="preserve">Digital Educational Learning Initiative Malaysia (DELIMa) </w:t>
            </w:r>
            <w:r w:rsidRPr="00AE7D73">
              <w:rPr>
                <w:rFonts w:ascii="Arial" w:eastAsia="Times New Roman" w:hAnsi="Arial" w:cs="Arial"/>
                <w:sz w:val="24"/>
                <w:szCs w:val="24"/>
              </w:rPr>
              <w:t xml:space="preserve">platform currently offers 14 AI applications such as Gemini, ChatGPT, Bing AI and Bing Image Creator to facilitate teaching and learning. In addition, resources from Khan Academy: AI for Teachers, AI 101 for Teachers by Code.org and ISTE: AI for Teachers help teachers to enhance their AI literacy skills.  </w:t>
            </w:r>
          </w:p>
          <w:p w14:paraId="5C76478D" w14:textId="35F489E3" w:rsidR="00AE7D73" w:rsidRPr="00246546" w:rsidRDefault="00AE7D73" w:rsidP="00BE7CA5">
            <w:pPr>
              <w:spacing w:after="0" w:line="240" w:lineRule="auto"/>
              <w:jc w:val="both"/>
              <w:rPr>
                <w:rFonts w:ascii="Arial" w:eastAsia="Times New Roman" w:hAnsi="Arial" w:cs="Arial"/>
                <w:b/>
                <w:color w:val="3333FF"/>
                <w:sz w:val="24"/>
                <w:szCs w:val="24"/>
              </w:rPr>
            </w:pPr>
          </w:p>
        </w:tc>
      </w:tr>
      <w:tr w:rsidR="00167EE3" w:rsidRPr="00DB054F" w14:paraId="205FC7DB" w14:textId="77777777" w:rsidTr="00246546">
        <w:trPr>
          <w:trHeight w:val="863"/>
        </w:trPr>
        <w:tc>
          <w:tcPr>
            <w:tcW w:w="255" w:type="pct"/>
          </w:tcPr>
          <w:p w14:paraId="7B2D5824" w14:textId="77777777" w:rsidR="00167EE3" w:rsidRPr="00DB054F"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44FB446A" w14:textId="77777777" w:rsidR="00CF5136" w:rsidRDefault="00CD692B" w:rsidP="00CD692B">
            <w:pPr>
              <w:spacing w:after="0" w:line="240" w:lineRule="auto"/>
              <w:jc w:val="both"/>
              <w:rPr>
                <w:rFonts w:ascii="Arial" w:hAnsi="Arial" w:cs="Arial"/>
                <w:iCs/>
                <w:sz w:val="24"/>
                <w:szCs w:val="24"/>
                <w:lang w:val="en-US"/>
              </w:rPr>
            </w:pPr>
            <w:r w:rsidRPr="00CD692B">
              <w:rPr>
                <w:rFonts w:ascii="Arial" w:hAnsi="Arial" w:cs="Arial"/>
                <w:iCs/>
                <w:sz w:val="24"/>
                <w:szCs w:val="24"/>
                <w:lang w:val="en-US"/>
              </w:rPr>
              <w:t xml:space="preserve">Please provide </w:t>
            </w:r>
            <w:r w:rsidRPr="00CD692B">
              <w:rPr>
                <w:rFonts w:ascii="Arial" w:hAnsi="Arial" w:cs="Arial"/>
                <w:b/>
                <w:iCs/>
                <w:sz w:val="24"/>
                <w:szCs w:val="24"/>
                <w:lang w:val="en-US"/>
              </w:rPr>
              <w:t>specific evidence of the known impact</w:t>
            </w:r>
            <w:r w:rsidRPr="00CD692B">
              <w:rPr>
                <w:rFonts w:ascii="Arial" w:hAnsi="Arial" w:cs="Arial"/>
                <w:iCs/>
                <w:sz w:val="24"/>
                <w:szCs w:val="24"/>
                <w:lang w:val="en-US"/>
              </w:rPr>
              <w:t xml:space="preserve"> of AI tools and systems on learners and teachers and on education systems in general, both positive and negative and explain how the impact is monitored. For example, how does the use of AI affect: </w:t>
            </w:r>
          </w:p>
          <w:p w14:paraId="7CC4F694" w14:textId="77777777" w:rsidR="00CD692B" w:rsidRDefault="00CD692B" w:rsidP="00CD692B">
            <w:pPr>
              <w:spacing w:after="0" w:line="240" w:lineRule="auto"/>
              <w:jc w:val="both"/>
              <w:rPr>
                <w:rFonts w:ascii="Arial" w:hAnsi="Arial" w:cs="Arial"/>
                <w:iCs/>
                <w:sz w:val="24"/>
                <w:szCs w:val="24"/>
                <w:lang w:val="en-US"/>
              </w:rPr>
            </w:pPr>
          </w:p>
          <w:p w14:paraId="03C98B52" w14:textId="33CA7197" w:rsidR="00AE33FC" w:rsidRPr="000C152A" w:rsidRDefault="00AE33FC" w:rsidP="00CD692B">
            <w:pPr>
              <w:spacing w:after="0" w:line="240" w:lineRule="auto"/>
              <w:jc w:val="both"/>
              <w:rPr>
                <w:rFonts w:ascii="Arial" w:hAnsi="Arial" w:cs="Arial"/>
                <w:iCs/>
                <w:sz w:val="24"/>
                <w:szCs w:val="24"/>
                <w:lang w:val="en-US"/>
              </w:rPr>
            </w:pPr>
          </w:p>
        </w:tc>
        <w:tc>
          <w:tcPr>
            <w:tcW w:w="2529" w:type="pct"/>
          </w:tcPr>
          <w:p w14:paraId="3CD63F0E" w14:textId="5DF84EA4" w:rsidR="00021D28" w:rsidRDefault="003B0C5B" w:rsidP="00D05EF7">
            <w:pPr>
              <w:spacing w:after="0" w:line="240" w:lineRule="auto"/>
              <w:jc w:val="both"/>
              <w:rPr>
                <w:rFonts w:ascii="Arial" w:hAnsi="Arial" w:cs="Arial"/>
                <w:bCs/>
                <w:sz w:val="24"/>
                <w:szCs w:val="24"/>
              </w:rPr>
            </w:pPr>
            <w:r>
              <w:rPr>
                <w:rFonts w:ascii="Arial" w:hAnsi="Arial" w:cs="Arial"/>
                <w:bCs/>
                <w:sz w:val="24"/>
                <w:szCs w:val="24"/>
              </w:rPr>
              <w:t xml:space="preserve">According to a </w:t>
            </w:r>
            <w:r w:rsidR="00021D28">
              <w:rPr>
                <w:rFonts w:ascii="Arial" w:hAnsi="Arial" w:cs="Arial"/>
                <w:bCs/>
                <w:sz w:val="24"/>
                <w:szCs w:val="24"/>
              </w:rPr>
              <w:t xml:space="preserve">recent study regarding the effectiveness of AI in  Teaching and Learning </w:t>
            </w:r>
            <w:r>
              <w:rPr>
                <w:rFonts w:ascii="Arial" w:hAnsi="Arial" w:cs="Arial"/>
                <w:bCs/>
                <w:sz w:val="24"/>
                <w:szCs w:val="24"/>
              </w:rPr>
              <w:t xml:space="preserve">conducted by </w:t>
            </w:r>
            <w:r w:rsidR="00021D28">
              <w:rPr>
                <w:rFonts w:ascii="Arial" w:hAnsi="Arial" w:cs="Arial"/>
                <w:bCs/>
                <w:sz w:val="24"/>
                <w:szCs w:val="24"/>
              </w:rPr>
              <w:t xml:space="preserve">the </w:t>
            </w:r>
            <w:r>
              <w:rPr>
                <w:rFonts w:ascii="Arial" w:hAnsi="Arial" w:cs="Arial"/>
                <w:bCs/>
                <w:sz w:val="24"/>
                <w:szCs w:val="24"/>
              </w:rPr>
              <w:t xml:space="preserve">National </w:t>
            </w:r>
            <w:r w:rsidR="00021D28">
              <w:rPr>
                <w:rFonts w:ascii="Arial" w:hAnsi="Arial" w:cs="Arial"/>
                <w:bCs/>
                <w:sz w:val="24"/>
                <w:szCs w:val="24"/>
              </w:rPr>
              <w:t xml:space="preserve">Council of </w:t>
            </w:r>
            <w:r>
              <w:rPr>
                <w:rFonts w:ascii="Arial" w:hAnsi="Arial" w:cs="Arial"/>
                <w:bCs/>
                <w:sz w:val="24"/>
                <w:szCs w:val="24"/>
              </w:rPr>
              <w:t>Professor</w:t>
            </w:r>
            <w:r w:rsidR="00021D28">
              <w:rPr>
                <w:rFonts w:ascii="Arial" w:hAnsi="Arial" w:cs="Arial"/>
                <w:bCs/>
                <w:sz w:val="24"/>
                <w:szCs w:val="24"/>
              </w:rPr>
              <w:t xml:space="preserve">s in 2023, they uncovered that the usage of AI able to increase the effectiveness of all ten domains in Teaching and Learning for both students and lecturers. They highlighted the dimensions of assessments, collaborative activities, tutorial, lab </w:t>
            </w:r>
            <w:r w:rsidR="00085A55">
              <w:rPr>
                <w:rFonts w:ascii="Arial" w:hAnsi="Arial" w:cs="Arial"/>
                <w:bCs/>
                <w:sz w:val="24"/>
                <w:szCs w:val="24"/>
              </w:rPr>
              <w:t>activities</w:t>
            </w:r>
            <w:r w:rsidR="00021D28">
              <w:rPr>
                <w:rFonts w:ascii="Arial" w:hAnsi="Arial" w:cs="Arial"/>
                <w:bCs/>
                <w:sz w:val="24"/>
                <w:szCs w:val="24"/>
              </w:rPr>
              <w:t>, instructional design, write lab modules, write programming codes, write authentic problems and learning new, lates and advance topics were positively increased in the context of Malaysia higher education.</w:t>
            </w:r>
          </w:p>
          <w:p w14:paraId="1A6429D7" w14:textId="77777777" w:rsidR="00021D28" w:rsidRDefault="00021D28" w:rsidP="00D05EF7">
            <w:pPr>
              <w:spacing w:after="0" w:line="240" w:lineRule="auto"/>
              <w:jc w:val="both"/>
              <w:rPr>
                <w:rFonts w:ascii="Arial" w:hAnsi="Arial" w:cs="Arial"/>
                <w:bCs/>
                <w:sz w:val="24"/>
                <w:szCs w:val="24"/>
              </w:rPr>
            </w:pPr>
          </w:p>
          <w:p w14:paraId="29BD26E1" w14:textId="0A9C6B2A" w:rsidR="00510E2B" w:rsidRDefault="00510E2B" w:rsidP="00D05EF7">
            <w:pPr>
              <w:spacing w:after="0" w:line="240" w:lineRule="auto"/>
              <w:jc w:val="both"/>
              <w:rPr>
                <w:rFonts w:ascii="Arial" w:hAnsi="Arial" w:cs="Arial"/>
                <w:bCs/>
                <w:sz w:val="24"/>
                <w:szCs w:val="24"/>
              </w:rPr>
            </w:pPr>
            <w:r>
              <w:rPr>
                <w:rFonts w:ascii="Arial" w:hAnsi="Arial" w:cs="Arial"/>
                <w:bCs/>
                <w:sz w:val="24"/>
                <w:szCs w:val="24"/>
              </w:rPr>
              <w:t>Ministry of Higher Education</w:t>
            </w:r>
            <w:r w:rsidR="00E94636">
              <w:rPr>
                <w:rFonts w:ascii="Arial" w:hAnsi="Arial" w:cs="Arial"/>
                <w:bCs/>
                <w:sz w:val="24"/>
                <w:szCs w:val="24"/>
              </w:rPr>
              <w:t xml:space="preserve"> (MoHE)</w:t>
            </w:r>
            <w:r>
              <w:rPr>
                <w:rFonts w:ascii="Arial" w:hAnsi="Arial" w:cs="Arial"/>
                <w:bCs/>
                <w:sz w:val="24"/>
                <w:szCs w:val="24"/>
              </w:rPr>
              <w:t xml:space="preserve"> will establish a Malaysia Artificial Intelligence Consortium (MAIC) </w:t>
            </w:r>
            <w:r w:rsidR="00CB207B">
              <w:rPr>
                <w:rFonts w:ascii="Arial" w:hAnsi="Arial" w:cs="Arial"/>
                <w:bCs/>
                <w:sz w:val="24"/>
                <w:szCs w:val="24"/>
              </w:rPr>
              <w:t>which involves higher education institutions, industry and government agencies to plan, execute and monitor AI agenda in higher education sectors.</w:t>
            </w:r>
          </w:p>
          <w:p w14:paraId="2DC7EAEC" w14:textId="698C3035" w:rsidR="00AE7D73" w:rsidRDefault="00AE7D73" w:rsidP="00D05EF7">
            <w:pPr>
              <w:spacing w:after="0" w:line="240" w:lineRule="auto"/>
              <w:jc w:val="both"/>
              <w:rPr>
                <w:rFonts w:ascii="Arial" w:hAnsi="Arial" w:cs="Arial"/>
                <w:bCs/>
                <w:sz w:val="24"/>
                <w:szCs w:val="24"/>
              </w:rPr>
            </w:pPr>
          </w:p>
          <w:p w14:paraId="42223E3D" w14:textId="03FEBDB9" w:rsidR="00AE7D73" w:rsidRDefault="00AE7D73" w:rsidP="00D05EF7">
            <w:pPr>
              <w:spacing w:after="0" w:line="240" w:lineRule="auto"/>
              <w:jc w:val="both"/>
              <w:rPr>
                <w:rFonts w:ascii="Arial" w:hAnsi="Arial" w:cs="Arial"/>
                <w:bCs/>
                <w:sz w:val="24"/>
                <w:szCs w:val="24"/>
              </w:rPr>
            </w:pPr>
            <w:r w:rsidRPr="00AE7D73">
              <w:rPr>
                <w:rFonts w:ascii="Arial" w:hAnsi="Arial" w:cs="Arial"/>
                <w:bCs/>
                <w:sz w:val="24"/>
                <w:szCs w:val="24"/>
              </w:rPr>
              <w:t xml:space="preserve">Governments and regulatory bodies are increasingly recognising the importance of digital accessibility. MoE Malaysia’s Digital Education Policy (DEP) is a manifestation of the Ministry’s efforts </w:t>
            </w:r>
            <w:r w:rsidRPr="00AE7D73">
              <w:rPr>
                <w:rFonts w:ascii="Arial" w:hAnsi="Arial" w:cs="Arial"/>
                <w:bCs/>
                <w:sz w:val="24"/>
                <w:szCs w:val="24"/>
              </w:rPr>
              <w:lastRenderedPageBreak/>
              <w:t>to make digital learning accessible to all students. The DEP aims to create a digitally fluent generation that is competitive by enhancing the knowledge, skills, and values of students, educators, and educational leaders, providing quality infrastructure, infostructure, and content as well as actively involving strategic partners in an integrated and comprehensive manner. The DEP outlines four objectives, six thrusts, 18 strategies, and 41 initiatives that set out the goals for achieving transformation in digital education.</w:t>
            </w:r>
          </w:p>
          <w:p w14:paraId="65F26D80" w14:textId="696C066A" w:rsidR="00223772" w:rsidRPr="002B6031" w:rsidRDefault="00223772" w:rsidP="00D05EF7">
            <w:pPr>
              <w:spacing w:after="0" w:line="240" w:lineRule="auto"/>
              <w:jc w:val="both"/>
              <w:rPr>
                <w:rFonts w:ascii="Arial" w:hAnsi="Arial" w:cs="Arial"/>
                <w:bCs/>
                <w:sz w:val="24"/>
                <w:szCs w:val="24"/>
              </w:rPr>
            </w:pPr>
          </w:p>
        </w:tc>
      </w:tr>
      <w:tr w:rsidR="00CD692B" w:rsidRPr="00DB054F" w14:paraId="7F06ED23" w14:textId="77777777" w:rsidTr="00246546">
        <w:trPr>
          <w:trHeight w:val="863"/>
        </w:trPr>
        <w:tc>
          <w:tcPr>
            <w:tcW w:w="255" w:type="pct"/>
          </w:tcPr>
          <w:p w14:paraId="17FC1CC0" w14:textId="77777777" w:rsidR="00CD692B" w:rsidRPr="00CD692B" w:rsidRDefault="00CD692B" w:rsidP="00CD692B">
            <w:pPr>
              <w:spacing w:after="0" w:line="240" w:lineRule="auto"/>
              <w:ind w:right="42"/>
              <w:jc w:val="both"/>
              <w:rPr>
                <w:rFonts w:ascii="Arial" w:hAnsi="Arial" w:cs="Arial"/>
                <w:sz w:val="24"/>
                <w:szCs w:val="24"/>
              </w:rPr>
            </w:pPr>
          </w:p>
        </w:tc>
        <w:tc>
          <w:tcPr>
            <w:tcW w:w="2216" w:type="pct"/>
          </w:tcPr>
          <w:p w14:paraId="2F9D6B80" w14:textId="77777777" w:rsidR="00CD692B" w:rsidRDefault="00CD692B" w:rsidP="003E4B53">
            <w:pPr>
              <w:pStyle w:val="ListParagraph"/>
              <w:numPr>
                <w:ilvl w:val="1"/>
                <w:numId w:val="3"/>
              </w:numPr>
              <w:spacing w:after="0" w:line="240" w:lineRule="auto"/>
              <w:ind w:left="398"/>
              <w:jc w:val="both"/>
              <w:rPr>
                <w:rFonts w:ascii="Arial" w:hAnsi="Arial" w:cs="Arial"/>
                <w:iCs/>
                <w:sz w:val="24"/>
                <w:szCs w:val="24"/>
                <w:lang w:val="en-US"/>
              </w:rPr>
            </w:pPr>
            <w:r w:rsidRPr="00CD692B">
              <w:rPr>
                <w:rFonts w:ascii="Arial" w:hAnsi="Arial" w:cs="Arial"/>
                <w:iCs/>
                <w:sz w:val="24"/>
                <w:szCs w:val="24"/>
                <w:lang w:val="en-US"/>
              </w:rPr>
              <w:t>persons with special learning needs, learners with different linguistic and cultural backgrounds, women and girls</w:t>
            </w:r>
            <w:r>
              <w:rPr>
                <w:rFonts w:ascii="Arial" w:hAnsi="Arial" w:cs="Arial"/>
                <w:iCs/>
                <w:sz w:val="24"/>
                <w:szCs w:val="24"/>
                <w:lang w:val="en-US"/>
              </w:rPr>
              <w:t>;</w:t>
            </w:r>
          </w:p>
          <w:p w14:paraId="3DE7B5DC" w14:textId="6FFBF2C5" w:rsidR="003E4B53" w:rsidRPr="00CD692B" w:rsidRDefault="003E4B53" w:rsidP="003E4B53">
            <w:pPr>
              <w:pStyle w:val="ListParagraph"/>
              <w:spacing w:after="0" w:line="240" w:lineRule="auto"/>
              <w:ind w:left="398"/>
              <w:jc w:val="both"/>
              <w:rPr>
                <w:rFonts w:ascii="Arial" w:hAnsi="Arial" w:cs="Arial"/>
                <w:iCs/>
                <w:sz w:val="24"/>
                <w:szCs w:val="24"/>
                <w:lang w:val="en-US"/>
              </w:rPr>
            </w:pPr>
          </w:p>
        </w:tc>
        <w:tc>
          <w:tcPr>
            <w:tcW w:w="2529" w:type="pct"/>
          </w:tcPr>
          <w:p w14:paraId="499F8A4D" w14:textId="5BF19139" w:rsidR="00085A55" w:rsidRPr="00085A55" w:rsidRDefault="00085A55" w:rsidP="00085A55">
            <w:pPr>
              <w:spacing w:after="0" w:line="240" w:lineRule="auto"/>
              <w:jc w:val="both"/>
              <w:rPr>
                <w:rFonts w:ascii="Arial" w:eastAsia="Times New Roman" w:hAnsi="Arial" w:cs="Arial"/>
                <w:bCs/>
                <w:sz w:val="24"/>
                <w:szCs w:val="24"/>
              </w:rPr>
            </w:pPr>
            <w:r w:rsidRPr="00085A55">
              <w:rPr>
                <w:rFonts w:ascii="Arial" w:eastAsia="Times New Roman" w:hAnsi="Arial" w:cs="Arial"/>
                <w:bCs/>
                <w:sz w:val="24"/>
                <w:szCs w:val="24"/>
              </w:rPr>
              <w:t>AI technologies help make learning materials more accessible to students with disabilities by providing features such as text-to-speech, speech recognition, and alternative formats for content presentation.</w:t>
            </w:r>
          </w:p>
          <w:p w14:paraId="7D389707" w14:textId="77777777" w:rsidR="00CD692B" w:rsidRPr="00085A55" w:rsidRDefault="00CD692B" w:rsidP="000C152A">
            <w:pPr>
              <w:spacing w:after="0" w:line="240" w:lineRule="auto"/>
              <w:jc w:val="both"/>
              <w:rPr>
                <w:rFonts w:ascii="Arial" w:eastAsia="Times New Roman" w:hAnsi="Arial" w:cs="Arial"/>
                <w:bCs/>
                <w:sz w:val="24"/>
                <w:szCs w:val="24"/>
              </w:rPr>
            </w:pPr>
          </w:p>
        </w:tc>
      </w:tr>
      <w:tr w:rsidR="00CD692B" w:rsidRPr="00DB054F" w14:paraId="2A64A74B" w14:textId="77777777" w:rsidTr="00246546">
        <w:trPr>
          <w:trHeight w:val="863"/>
        </w:trPr>
        <w:tc>
          <w:tcPr>
            <w:tcW w:w="255" w:type="pct"/>
          </w:tcPr>
          <w:p w14:paraId="47C452D2" w14:textId="77777777" w:rsidR="00CD692B" w:rsidRPr="00DB054F" w:rsidRDefault="00CD692B" w:rsidP="00CD692B">
            <w:pPr>
              <w:pStyle w:val="ListParagraph"/>
              <w:spacing w:after="0" w:line="240" w:lineRule="auto"/>
              <w:ind w:left="360" w:right="42"/>
              <w:jc w:val="both"/>
              <w:rPr>
                <w:rFonts w:ascii="Arial" w:hAnsi="Arial" w:cs="Arial"/>
                <w:sz w:val="24"/>
                <w:szCs w:val="24"/>
              </w:rPr>
            </w:pPr>
          </w:p>
        </w:tc>
        <w:tc>
          <w:tcPr>
            <w:tcW w:w="2216" w:type="pct"/>
          </w:tcPr>
          <w:p w14:paraId="2348EB86" w14:textId="37BD7DE7" w:rsidR="00CD692B" w:rsidRDefault="00CD692B" w:rsidP="003E4B53">
            <w:pPr>
              <w:pStyle w:val="ListParagraph"/>
              <w:numPr>
                <w:ilvl w:val="1"/>
                <w:numId w:val="3"/>
              </w:numPr>
              <w:spacing w:after="0" w:line="240" w:lineRule="auto"/>
              <w:ind w:left="398"/>
              <w:jc w:val="both"/>
              <w:rPr>
                <w:rFonts w:ascii="Arial" w:hAnsi="Arial" w:cs="Arial"/>
                <w:iCs/>
                <w:sz w:val="24"/>
                <w:szCs w:val="24"/>
                <w:lang w:val="en-US"/>
              </w:rPr>
            </w:pPr>
            <w:r w:rsidRPr="00CD692B">
              <w:rPr>
                <w:rFonts w:ascii="Arial" w:hAnsi="Arial" w:cs="Arial"/>
                <w:iCs/>
                <w:sz w:val="24"/>
                <w:szCs w:val="24"/>
                <w:lang w:val="en-US"/>
              </w:rPr>
              <w:t xml:space="preserve">access to education of populations marginalized or underserved due to </w:t>
            </w:r>
            <w:r w:rsidR="003E4B53">
              <w:rPr>
                <w:rFonts w:ascii="Arial" w:hAnsi="Arial" w:cs="Arial"/>
                <w:iCs/>
                <w:sz w:val="24"/>
                <w:szCs w:val="24"/>
                <w:lang w:val="en-US"/>
              </w:rPr>
              <w:t>ethnicity</w:t>
            </w:r>
            <w:r w:rsidRPr="00CD692B">
              <w:rPr>
                <w:rFonts w:ascii="Arial" w:hAnsi="Arial" w:cs="Arial"/>
                <w:iCs/>
                <w:sz w:val="24"/>
                <w:szCs w:val="24"/>
                <w:lang w:val="en-US"/>
              </w:rPr>
              <w:t>, socio-economic status, displacement and other factors;</w:t>
            </w:r>
          </w:p>
          <w:p w14:paraId="51AA2CE9" w14:textId="4531D1C2" w:rsidR="003E4B53" w:rsidRPr="003E4B53" w:rsidRDefault="003E4B53" w:rsidP="003E4B53">
            <w:pPr>
              <w:spacing w:after="0" w:line="240" w:lineRule="auto"/>
              <w:ind w:left="38"/>
              <w:jc w:val="both"/>
              <w:rPr>
                <w:rFonts w:ascii="Arial" w:hAnsi="Arial" w:cs="Arial"/>
                <w:iCs/>
                <w:sz w:val="24"/>
                <w:szCs w:val="24"/>
                <w:lang w:val="en-US"/>
              </w:rPr>
            </w:pPr>
          </w:p>
        </w:tc>
        <w:tc>
          <w:tcPr>
            <w:tcW w:w="2529" w:type="pct"/>
          </w:tcPr>
          <w:p w14:paraId="0889D2B2" w14:textId="50018AEB" w:rsidR="00CD692B" w:rsidRPr="006A5C95" w:rsidRDefault="006A5C95" w:rsidP="000C152A">
            <w:pPr>
              <w:spacing w:after="0" w:line="240" w:lineRule="auto"/>
              <w:jc w:val="both"/>
              <w:rPr>
                <w:rFonts w:ascii="Arial" w:eastAsia="Times New Roman" w:hAnsi="Arial" w:cs="Arial"/>
                <w:sz w:val="24"/>
                <w:szCs w:val="24"/>
              </w:rPr>
            </w:pPr>
            <w:r w:rsidRPr="006A5C95">
              <w:rPr>
                <w:rFonts w:ascii="Arial" w:eastAsia="Times New Roman" w:hAnsi="Arial" w:cs="Arial"/>
                <w:sz w:val="24"/>
                <w:szCs w:val="24"/>
              </w:rPr>
              <w:t>NIL</w:t>
            </w:r>
          </w:p>
        </w:tc>
      </w:tr>
      <w:tr w:rsidR="00CD692B" w:rsidRPr="00DB054F" w14:paraId="3101FCC6" w14:textId="77777777" w:rsidTr="00246546">
        <w:trPr>
          <w:trHeight w:val="863"/>
        </w:trPr>
        <w:tc>
          <w:tcPr>
            <w:tcW w:w="255" w:type="pct"/>
          </w:tcPr>
          <w:p w14:paraId="2206197C" w14:textId="77777777" w:rsidR="00CD692B" w:rsidRPr="00DB054F" w:rsidRDefault="00CD692B" w:rsidP="00CD692B">
            <w:pPr>
              <w:pStyle w:val="ListParagraph"/>
              <w:spacing w:after="0" w:line="240" w:lineRule="auto"/>
              <w:ind w:left="360" w:right="42"/>
              <w:jc w:val="both"/>
              <w:rPr>
                <w:rFonts w:ascii="Arial" w:hAnsi="Arial" w:cs="Arial"/>
                <w:sz w:val="24"/>
                <w:szCs w:val="24"/>
              </w:rPr>
            </w:pPr>
          </w:p>
        </w:tc>
        <w:tc>
          <w:tcPr>
            <w:tcW w:w="2216" w:type="pct"/>
          </w:tcPr>
          <w:p w14:paraId="5F0C7A85" w14:textId="15B414AE" w:rsidR="00CD692B" w:rsidRPr="00CD692B" w:rsidRDefault="00CD692B" w:rsidP="003E4B53">
            <w:pPr>
              <w:pStyle w:val="ListParagraph"/>
              <w:numPr>
                <w:ilvl w:val="1"/>
                <w:numId w:val="3"/>
              </w:numPr>
              <w:spacing w:after="0" w:line="240" w:lineRule="auto"/>
              <w:ind w:left="398"/>
              <w:jc w:val="both"/>
              <w:rPr>
                <w:rFonts w:ascii="Arial" w:hAnsi="Arial" w:cs="Arial"/>
                <w:iCs/>
                <w:sz w:val="24"/>
                <w:szCs w:val="24"/>
                <w:lang w:val="en-US"/>
              </w:rPr>
            </w:pPr>
            <w:r w:rsidRPr="00CD692B">
              <w:rPr>
                <w:rFonts w:ascii="Arial" w:hAnsi="Arial" w:cs="Arial"/>
                <w:iCs/>
                <w:sz w:val="24"/>
                <w:szCs w:val="24"/>
                <w:lang w:val="en-US"/>
              </w:rPr>
              <w:t>human interaction between teachers and students;</w:t>
            </w:r>
          </w:p>
        </w:tc>
        <w:tc>
          <w:tcPr>
            <w:tcW w:w="2529" w:type="pct"/>
          </w:tcPr>
          <w:p w14:paraId="7CC51D4D" w14:textId="26091A73" w:rsidR="00CD692B" w:rsidRPr="006A5C95" w:rsidRDefault="006A5C95" w:rsidP="000C152A">
            <w:pPr>
              <w:spacing w:after="0" w:line="240" w:lineRule="auto"/>
              <w:jc w:val="both"/>
              <w:rPr>
                <w:rFonts w:ascii="Arial" w:eastAsia="Times New Roman" w:hAnsi="Arial" w:cs="Arial"/>
                <w:sz w:val="24"/>
                <w:szCs w:val="24"/>
              </w:rPr>
            </w:pPr>
            <w:r w:rsidRPr="006A5C95">
              <w:rPr>
                <w:rFonts w:ascii="Arial" w:eastAsia="Times New Roman" w:hAnsi="Arial" w:cs="Arial"/>
                <w:sz w:val="24"/>
                <w:szCs w:val="24"/>
              </w:rPr>
              <w:t>NIL</w:t>
            </w:r>
          </w:p>
        </w:tc>
      </w:tr>
      <w:tr w:rsidR="003E4B53" w:rsidRPr="00DB054F" w14:paraId="5C4B508D" w14:textId="77777777" w:rsidTr="00246546">
        <w:trPr>
          <w:trHeight w:val="863"/>
        </w:trPr>
        <w:tc>
          <w:tcPr>
            <w:tcW w:w="255" w:type="pct"/>
          </w:tcPr>
          <w:p w14:paraId="035E81C6" w14:textId="77777777" w:rsidR="003E4B53" w:rsidRPr="00DB054F" w:rsidRDefault="003E4B53" w:rsidP="00CD692B">
            <w:pPr>
              <w:pStyle w:val="ListParagraph"/>
              <w:spacing w:after="0" w:line="240" w:lineRule="auto"/>
              <w:ind w:left="360" w:right="42"/>
              <w:jc w:val="both"/>
              <w:rPr>
                <w:rFonts w:ascii="Arial" w:hAnsi="Arial" w:cs="Arial"/>
                <w:sz w:val="24"/>
                <w:szCs w:val="24"/>
              </w:rPr>
            </w:pPr>
          </w:p>
        </w:tc>
        <w:tc>
          <w:tcPr>
            <w:tcW w:w="2216" w:type="pct"/>
          </w:tcPr>
          <w:p w14:paraId="13A38231" w14:textId="77777777" w:rsidR="003E4B53" w:rsidRDefault="003E4B53" w:rsidP="003E4B53">
            <w:pPr>
              <w:pStyle w:val="ListParagraph"/>
              <w:numPr>
                <w:ilvl w:val="1"/>
                <w:numId w:val="3"/>
              </w:numPr>
              <w:spacing w:after="0" w:line="240" w:lineRule="auto"/>
              <w:ind w:left="398"/>
              <w:jc w:val="both"/>
              <w:rPr>
                <w:rFonts w:ascii="Arial" w:hAnsi="Arial" w:cs="Arial"/>
                <w:iCs/>
                <w:sz w:val="24"/>
                <w:szCs w:val="24"/>
                <w:lang w:val="en-US"/>
              </w:rPr>
            </w:pPr>
            <w:r w:rsidRPr="003E4B53">
              <w:rPr>
                <w:rFonts w:ascii="Arial" w:hAnsi="Arial" w:cs="Arial"/>
                <w:iCs/>
                <w:sz w:val="24"/>
                <w:szCs w:val="24"/>
                <w:lang w:val="en-US"/>
              </w:rPr>
              <w:t>students’ and teachers’ human rights, privacy, safety, engagement, agency and critical thinking;</w:t>
            </w:r>
          </w:p>
          <w:p w14:paraId="5BA52A92" w14:textId="44372C19" w:rsidR="003E4B53" w:rsidRPr="003E4B53" w:rsidRDefault="003E4B53" w:rsidP="003E4B53">
            <w:pPr>
              <w:pStyle w:val="ListParagraph"/>
              <w:spacing w:after="0" w:line="240" w:lineRule="auto"/>
              <w:ind w:left="398"/>
              <w:jc w:val="both"/>
              <w:rPr>
                <w:rFonts w:ascii="Arial" w:hAnsi="Arial" w:cs="Arial"/>
                <w:iCs/>
                <w:sz w:val="24"/>
                <w:szCs w:val="24"/>
                <w:lang w:val="en-US"/>
              </w:rPr>
            </w:pPr>
          </w:p>
        </w:tc>
        <w:tc>
          <w:tcPr>
            <w:tcW w:w="2529" w:type="pct"/>
          </w:tcPr>
          <w:p w14:paraId="6A5F123B" w14:textId="66752BB8" w:rsidR="003E4B53" w:rsidRPr="006A5C95" w:rsidRDefault="006A5C95" w:rsidP="000C152A">
            <w:pPr>
              <w:spacing w:after="0" w:line="240" w:lineRule="auto"/>
              <w:jc w:val="both"/>
              <w:rPr>
                <w:rFonts w:ascii="Arial" w:eastAsia="Times New Roman" w:hAnsi="Arial" w:cs="Arial"/>
                <w:sz w:val="24"/>
                <w:szCs w:val="24"/>
              </w:rPr>
            </w:pPr>
            <w:r w:rsidRPr="006A5C95">
              <w:rPr>
                <w:rFonts w:ascii="Arial" w:eastAsia="Times New Roman" w:hAnsi="Arial" w:cs="Arial"/>
                <w:sz w:val="24"/>
                <w:szCs w:val="24"/>
              </w:rPr>
              <w:t>NIL</w:t>
            </w:r>
          </w:p>
        </w:tc>
      </w:tr>
      <w:tr w:rsidR="00CD692B" w:rsidRPr="00DB054F" w14:paraId="6F01861B" w14:textId="77777777" w:rsidTr="00246546">
        <w:trPr>
          <w:trHeight w:val="863"/>
        </w:trPr>
        <w:tc>
          <w:tcPr>
            <w:tcW w:w="255" w:type="pct"/>
          </w:tcPr>
          <w:p w14:paraId="344AFDB0" w14:textId="77777777" w:rsidR="00CD692B" w:rsidRPr="00DB054F" w:rsidRDefault="00CD692B" w:rsidP="00CD692B">
            <w:pPr>
              <w:pStyle w:val="ListParagraph"/>
              <w:spacing w:after="0" w:line="240" w:lineRule="auto"/>
              <w:ind w:left="360" w:right="42"/>
              <w:jc w:val="both"/>
              <w:rPr>
                <w:rFonts w:ascii="Arial" w:hAnsi="Arial" w:cs="Arial"/>
                <w:sz w:val="24"/>
                <w:szCs w:val="24"/>
              </w:rPr>
            </w:pPr>
          </w:p>
        </w:tc>
        <w:tc>
          <w:tcPr>
            <w:tcW w:w="2216" w:type="pct"/>
          </w:tcPr>
          <w:p w14:paraId="3BF326E6" w14:textId="561200C4" w:rsidR="00CD692B" w:rsidRPr="00CD692B" w:rsidRDefault="003E4B53" w:rsidP="003E4B53">
            <w:pPr>
              <w:pStyle w:val="ListParagraph"/>
              <w:numPr>
                <w:ilvl w:val="1"/>
                <w:numId w:val="3"/>
              </w:numPr>
              <w:spacing w:after="0" w:line="240" w:lineRule="auto"/>
              <w:ind w:left="398"/>
              <w:jc w:val="both"/>
              <w:rPr>
                <w:rFonts w:ascii="Arial" w:hAnsi="Arial" w:cs="Arial"/>
                <w:iCs/>
                <w:sz w:val="24"/>
                <w:szCs w:val="24"/>
                <w:lang w:val="en-US"/>
              </w:rPr>
            </w:pPr>
            <w:r w:rsidRPr="003E4B53">
              <w:rPr>
                <w:rFonts w:ascii="Arial" w:hAnsi="Arial" w:cs="Arial"/>
                <w:iCs/>
                <w:sz w:val="24"/>
                <w:szCs w:val="24"/>
                <w:lang w:val="en-US"/>
              </w:rPr>
              <w:t>perpetuation of stereotypes and inequalities;</w:t>
            </w:r>
          </w:p>
        </w:tc>
        <w:tc>
          <w:tcPr>
            <w:tcW w:w="2529" w:type="pct"/>
          </w:tcPr>
          <w:p w14:paraId="7A2816D9" w14:textId="58F4F44F" w:rsidR="00CD692B" w:rsidRPr="006A5C95" w:rsidRDefault="006A5C95" w:rsidP="000C152A">
            <w:pPr>
              <w:spacing w:after="0" w:line="240" w:lineRule="auto"/>
              <w:jc w:val="both"/>
              <w:rPr>
                <w:rFonts w:ascii="Arial" w:eastAsia="Times New Roman" w:hAnsi="Arial" w:cs="Arial"/>
                <w:sz w:val="24"/>
                <w:szCs w:val="24"/>
              </w:rPr>
            </w:pPr>
            <w:r w:rsidRPr="006A5C95">
              <w:rPr>
                <w:rFonts w:ascii="Arial" w:eastAsia="Times New Roman" w:hAnsi="Arial" w:cs="Arial"/>
                <w:sz w:val="24"/>
                <w:szCs w:val="24"/>
              </w:rPr>
              <w:t>NIL</w:t>
            </w:r>
          </w:p>
        </w:tc>
      </w:tr>
      <w:tr w:rsidR="003E4B53" w:rsidRPr="00DB054F" w14:paraId="05E361F5" w14:textId="77777777" w:rsidTr="00246546">
        <w:trPr>
          <w:trHeight w:val="863"/>
        </w:trPr>
        <w:tc>
          <w:tcPr>
            <w:tcW w:w="255" w:type="pct"/>
          </w:tcPr>
          <w:p w14:paraId="4720B978" w14:textId="77777777" w:rsidR="003E4B53" w:rsidRPr="00DB054F" w:rsidRDefault="003E4B53" w:rsidP="00CD692B">
            <w:pPr>
              <w:pStyle w:val="ListParagraph"/>
              <w:spacing w:after="0" w:line="240" w:lineRule="auto"/>
              <w:ind w:left="360" w:right="42"/>
              <w:jc w:val="both"/>
              <w:rPr>
                <w:rFonts w:ascii="Arial" w:hAnsi="Arial" w:cs="Arial"/>
                <w:sz w:val="24"/>
                <w:szCs w:val="24"/>
              </w:rPr>
            </w:pPr>
          </w:p>
        </w:tc>
        <w:tc>
          <w:tcPr>
            <w:tcW w:w="2216" w:type="pct"/>
          </w:tcPr>
          <w:p w14:paraId="4D77F959" w14:textId="2BAEE3BD" w:rsidR="003E4B53" w:rsidRPr="003E4B53" w:rsidRDefault="003E4B53" w:rsidP="003E4B53">
            <w:pPr>
              <w:pStyle w:val="ListParagraph"/>
              <w:numPr>
                <w:ilvl w:val="1"/>
                <w:numId w:val="3"/>
              </w:numPr>
              <w:spacing w:after="0" w:line="240" w:lineRule="auto"/>
              <w:ind w:left="398"/>
              <w:jc w:val="both"/>
              <w:rPr>
                <w:rFonts w:ascii="Arial" w:hAnsi="Arial" w:cs="Arial"/>
                <w:iCs/>
                <w:sz w:val="24"/>
                <w:szCs w:val="24"/>
                <w:lang w:val="en-US"/>
              </w:rPr>
            </w:pPr>
            <w:r w:rsidRPr="003E4B53">
              <w:rPr>
                <w:rFonts w:ascii="Arial" w:hAnsi="Arial" w:cs="Arial"/>
                <w:iCs/>
                <w:sz w:val="24"/>
                <w:szCs w:val="24"/>
                <w:lang w:val="en-US"/>
              </w:rPr>
              <w:t>the type of information or disinformation that learners and educators are exposed to;</w:t>
            </w:r>
          </w:p>
        </w:tc>
        <w:tc>
          <w:tcPr>
            <w:tcW w:w="2529" w:type="pct"/>
          </w:tcPr>
          <w:p w14:paraId="0EA5B37C" w14:textId="4979BA42" w:rsidR="003E4B53" w:rsidRPr="006A5C95" w:rsidRDefault="006A5C95" w:rsidP="000C152A">
            <w:pPr>
              <w:spacing w:after="0" w:line="240" w:lineRule="auto"/>
              <w:jc w:val="both"/>
              <w:rPr>
                <w:rFonts w:ascii="Arial" w:eastAsia="Times New Roman" w:hAnsi="Arial" w:cs="Arial"/>
                <w:sz w:val="24"/>
                <w:szCs w:val="24"/>
              </w:rPr>
            </w:pPr>
            <w:r w:rsidRPr="006A5C95">
              <w:rPr>
                <w:rFonts w:ascii="Arial" w:eastAsia="Times New Roman" w:hAnsi="Arial" w:cs="Arial"/>
                <w:sz w:val="24"/>
                <w:szCs w:val="24"/>
              </w:rPr>
              <w:t>NIL</w:t>
            </w:r>
          </w:p>
        </w:tc>
      </w:tr>
      <w:tr w:rsidR="003E4B53" w:rsidRPr="00DB054F" w14:paraId="0638F9BE" w14:textId="77777777" w:rsidTr="00246546">
        <w:trPr>
          <w:trHeight w:val="863"/>
        </w:trPr>
        <w:tc>
          <w:tcPr>
            <w:tcW w:w="255" w:type="pct"/>
          </w:tcPr>
          <w:p w14:paraId="7F31B989" w14:textId="77777777" w:rsidR="003E4B53" w:rsidRPr="00DB054F" w:rsidRDefault="003E4B53" w:rsidP="00CD692B">
            <w:pPr>
              <w:pStyle w:val="ListParagraph"/>
              <w:spacing w:after="0" w:line="240" w:lineRule="auto"/>
              <w:ind w:left="360" w:right="42"/>
              <w:jc w:val="both"/>
              <w:rPr>
                <w:rFonts w:ascii="Arial" w:hAnsi="Arial" w:cs="Arial"/>
                <w:sz w:val="24"/>
                <w:szCs w:val="24"/>
              </w:rPr>
            </w:pPr>
          </w:p>
        </w:tc>
        <w:tc>
          <w:tcPr>
            <w:tcW w:w="2216" w:type="pct"/>
          </w:tcPr>
          <w:p w14:paraId="31A7AC30" w14:textId="537486EE" w:rsidR="003E4B53" w:rsidRPr="00CD692B" w:rsidRDefault="003E4B53" w:rsidP="003E4B53">
            <w:pPr>
              <w:pStyle w:val="ListParagraph"/>
              <w:numPr>
                <w:ilvl w:val="1"/>
                <w:numId w:val="3"/>
              </w:numPr>
              <w:spacing w:after="0" w:line="240" w:lineRule="auto"/>
              <w:ind w:left="398"/>
              <w:jc w:val="both"/>
              <w:rPr>
                <w:rFonts w:ascii="Arial" w:hAnsi="Arial" w:cs="Arial"/>
                <w:iCs/>
                <w:sz w:val="24"/>
                <w:szCs w:val="24"/>
                <w:lang w:val="en-US"/>
              </w:rPr>
            </w:pPr>
            <w:r w:rsidRPr="003E4B53">
              <w:rPr>
                <w:rFonts w:ascii="Arial" w:hAnsi="Arial" w:cs="Arial"/>
                <w:iCs/>
                <w:sz w:val="24"/>
                <w:szCs w:val="24"/>
                <w:lang w:val="en-US"/>
              </w:rPr>
              <w:t>assessment of learning;</w:t>
            </w:r>
          </w:p>
        </w:tc>
        <w:tc>
          <w:tcPr>
            <w:tcW w:w="2529" w:type="pct"/>
          </w:tcPr>
          <w:p w14:paraId="08858B2D" w14:textId="4795FF17" w:rsidR="003E4B53" w:rsidRPr="006A5C95" w:rsidRDefault="006A5C95" w:rsidP="000C152A">
            <w:pPr>
              <w:spacing w:after="0" w:line="240" w:lineRule="auto"/>
              <w:jc w:val="both"/>
              <w:rPr>
                <w:rFonts w:ascii="Arial" w:eastAsia="Times New Roman" w:hAnsi="Arial" w:cs="Arial"/>
                <w:color w:val="3333FF"/>
                <w:sz w:val="24"/>
                <w:szCs w:val="24"/>
              </w:rPr>
            </w:pPr>
            <w:r w:rsidRPr="006A5C95">
              <w:rPr>
                <w:rFonts w:ascii="Arial" w:eastAsia="Times New Roman" w:hAnsi="Arial" w:cs="Arial"/>
                <w:sz w:val="24"/>
                <w:szCs w:val="24"/>
              </w:rPr>
              <w:t>NIL</w:t>
            </w:r>
          </w:p>
        </w:tc>
      </w:tr>
      <w:tr w:rsidR="003E4B53" w:rsidRPr="00DB054F" w14:paraId="7E59ECDE" w14:textId="77777777" w:rsidTr="00246546">
        <w:trPr>
          <w:trHeight w:val="863"/>
        </w:trPr>
        <w:tc>
          <w:tcPr>
            <w:tcW w:w="255" w:type="pct"/>
          </w:tcPr>
          <w:p w14:paraId="52D1B0EF" w14:textId="77777777" w:rsidR="003E4B53" w:rsidRPr="00DB054F" w:rsidRDefault="003E4B53" w:rsidP="00CD692B">
            <w:pPr>
              <w:pStyle w:val="ListParagraph"/>
              <w:spacing w:after="0" w:line="240" w:lineRule="auto"/>
              <w:ind w:left="360" w:right="42"/>
              <w:jc w:val="both"/>
              <w:rPr>
                <w:rFonts w:ascii="Arial" w:hAnsi="Arial" w:cs="Arial"/>
                <w:sz w:val="24"/>
                <w:szCs w:val="24"/>
              </w:rPr>
            </w:pPr>
          </w:p>
        </w:tc>
        <w:tc>
          <w:tcPr>
            <w:tcW w:w="2216" w:type="pct"/>
          </w:tcPr>
          <w:p w14:paraId="517DA288" w14:textId="3EA20A93" w:rsidR="003E4B53" w:rsidRPr="00CD692B" w:rsidRDefault="003E4B53" w:rsidP="003E4B53">
            <w:pPr>
              <w:pStyle w:val="ListParagraph"/>
              <w:numPr>
                <w:ilvl w:val="1"/>
                <w:numId w:val="3"/>
              </w:numPr>
              <w:spacing w:after="0" w:line="240" w:lineRule="auto"/>
              <w:ind w:left="398"/>
              <w:jc w:val="both"/>
              <w:rPr>
                <w:rFonts w:ascii="Arial" w:hAnsi="Arial" w:cs="Arial"/>
                <w:iCs/>
                <w:sz w:val="24"/>
                <w:szCs w:val="24"/>
                <w:lang w:val="en-US"/>
              </w:rPr>
            </w:pPr>
            <w:r w:rsidRPr="003E4B53">
              <w:rPr>
                <w:rFonts w:ascii="Arial" w:hAnsi="Arial" w:cs="Arial"/>
                <w:iCs/>
                <w:sz w:val="24"/>
                <w:szCs w:val="24"/>
                <w:lang w:val="en-US"/>
              </w:rPr>
              <w:t>education management.</w:t>
            </w:r>
          </w:p>
        </w:tc>
        <w:tc>
          <w:tcPr>
            <w:tcW w:w="2529" w:type="pct"/>
          </w:tcPr>
          <w:p w14:paraId="2BF44314" w14:textId="0DBCFAA4" w:rsidR="00A64FBC" w:rsidRDefault="006A5C95" w:rsidP="00A64FBC">
            <w:pPr>
              <w:jc w:val="both"/>
              <w:rPr>
                <w:rFonts w:ascii="Arial" w:eastAsia="Arial" w:hAnsi="Arial" w:cs="Arial"/>
                <w:sz w:val="24"/>
                <w:szCs w:val="24"/>
              </w:rPr>
            </w:pPr>
            <w:r>
              <w:rPr>
                <w:rFonts w:ascii="Arial" w:eastAsia="Arial" w:hAnsi="Arial" w:cs="Arial"/>
                <w:sz w:val="24"/>
                <w:szCs w:val="24"/>
              </w:rPr>
              <w:t>NIL</w:t>
            </w:r>
          </w:p>
          <w:p w14:paraId="5BD10FD9" w14:textId="77777777" w:rsidR="003E4B53" w:rsidRPr="00246546" w:rsidRDefault="003E4B53" w:rsidP="00A05A60">
            <w:pPr>
              <w:spacing w:after="0" w:line="240" w:lineRule="auto"/>
              <w:jc w:val="both"/>
              <w:rPr>
                <w:rFonts w:ascii="Arial" w:eastAsia="Times New Roman" w:hAnsi="Arial" w:cs="Arial"/>
                <w:b/>
                <w:color w:val="3333FF"/>
                <w:sz w:val="24"/>
                <w:szCs w:val="24"/>
              </w:rPr>
            </w:pPr>
          </w:p>
        </w:tc>
      </w:tr>
      <w:tr w:rsidR="00CF5136" w:rsidRPr="00DB054F" w14:paraId="71E71BC5" w14:textId="77777777" w:rsidTr="00246546">
        <w:trPr>
          <w:trHeight w:val="863"/>
        </w:trPr>
        <w:tc>
          <w:tcPr>
            <w:tcW w:w="255" w:type="pct"/>
          </w:tcPr>
          <w:p w14:paraId="593A7E91" w14:textId="77777777" w:rsidR="00CF5136" w:rsidRPr="003E4B53"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446DA5CD" w14:textId="54B8F858" w:rsidR="00861941" w:rsidRPr="003E4B53" w:rsidRDefault="003E4B53" w:rsidP="003E4B53">
            <w:pPr>
              <w:spacing w:after="0" w:line="240" w:lineRule="auto"/>
              <w:jc w:val="both"/>
              <w:rPr>
                <w:rFonts w:ascii="Arial" w:hAnsi="Arial" w:cs="Arial"/>
                <w:iCs/>
                <w:sz w:val="24"/>
                <w:szCs w:val="24"/>
                <w:lang w:val="en-US"/>
              </w:rPr>
            </w:pPr>
            <w:r w:rsidRPr="003E4B53">
              <w:rPr>
                <w:rFonts w:ascii="Arial" w:hAnsi="Arial" w:cs="Arial"/>
                <w:iCs/>
                <w:sz w:val="24"/>
                <w:szCs w:val="24"/>
                <w:lang w:val="en-US"/>
              </w:rPr>
              <w:t xml:space="preserve">Please provide examples of </w:t>
            </w:r>
            <w:r w:rsidRPr="003E4B53">
              <w:rPr>
                <w:rFonts w:ascii="Arial" w:hAnsi="Arial" w:cs="Arial"/>
                <w:b/>
                <w:iCs/>
                <w:sz w:val="24"/>
                <w:szCs w:val="24"/>
                <w:lang w:val="en-US"/>
              </w:rPr>
              <w:t>legislation, regulations</w:t>
            </w:r>
            <w:r w:rsidRPr="003E4B53">
              <w:rPr>
                <w:rFonts w:ascii="Arial" w:hAnsi="Arial" w:cs="Arial"/>
                <w:iCs/>
                <w:sz w:val="24"/>
                <w:szCs w:val="24"/>
                <w:lang w:val="en-US"/>
              </w:rPr>
              <w:t xml:space="preserve"> (including codes of conduct or institutional rules) or </w:t>
            </w:r>
            <w:r w:rsidRPr="003E4B53">
              <w:rPr>
                <w:rFonts w:ascii="Arial" w:hAnsi="Arial" w:cs="Arial"/>
                <w:b/>
                <w:iCs/>
                <w:sz w:val="24"/>
                <w:szCs w:val="24"/>
                <w:lang w:val="en-US"/>
              </w:rPr>
              <w:t>policies</w:t>
            </w:r>
            <w:r w:rsidRPr="003E4B53">
              <w:rPr>
                <w:rFonts w:ascii="Arial" w:hAnsi="Arial" w:cs="Arial"/>
                <w:iCs/>
                <w:sz w:val="24"/>
                <w:szCs w:val="24"/>
                <w:lang w:val="en-US"/>
              </w:rPr>
              <w:t xml:space="preserve"> addressing or covering the use of AI in educational context, including </w:t>
            </w:r>
            <w:r w:rsidRPr="003E4B53">
              <w:rPr>
                <w:rFonts w:ascii="Arial" w:hAnsi="Arial" w:cs="Arial"/>
                <w:b/>
                <w:iCs/>
                <w:sz w:val="24"/>
                <w:szCs w:val="24"/>
                <w:lang w:val="en-US"/>
              </w:rPr>
              <w:t>ethical or human rights concerns</w:t>
            </w:r>
            <w:r w:rsidRPr="003E4B53">
              <w:rPr>
                <w:rFonts w:ascii="Arial" w:hAnsi="Arial" w:cs="Arial"/>
                <w:iCs/>
                <w:sz w:val="24"/>
                <w:szCs w:val="24"/>
                <w:lang w:val="en-US"/>
              </w:rPr>
              <w:t xml:space="preserve"> around AI development and use, data privacy, bias mitigation, transparency, academic integrity, plagiarism and proper attribution. Is due diligence mandated for </w:t>
            </w:r>
            <w:r w:rsidR="00C71B0E" w:rsidRPr="003E4B53">
              <w:rPr>
                <w:rFonts w:ascii="Arial" w:hAnsi="Arial" w:cs="Arial"/>
                <w:iCs/>
                <w:sz w:val="24"/>
                <w:szCs w:val="24"/>
                <w:lang w:val="en-US"/>
              </w:rPr>
              <w:t>the use</w:t>
            </w:r>
            <w:r w:rsidRPr="003E4B53">
              <w:rPr>
                <w:rFonts w:ascii="Arial" w:hAnsi="Arial" w:cs="Arial"/>
                <w:iCs/>
                <w:sz w:val="24"/>
                <w:szCs w:val="24"/>
                <w:lang w:val="en-US"/>
              </w:rPr>
              <w:t xml:space="preserve"> of AI in educational context? Do students have clear guidance for citing AI usage?</w:t>
            </w:r>
          </w:p>
          <w:p w14:paraId="510FE4D0" w14:textId="77777777" w:rsidR="00AE33FC" w:rsidRDefault="00AE33FC" w:rsidP="003E4B53">
            <w:pPr>
              <w:spacing w:after="0" w:line="240" w:lineRule="auto"/>
              <w:jc w:val="both"/>
              <w:rPr>
                <w:rFonts w:ascii="Arial" w:hAnsi="Arial" w:cs="Arial"/>
                <w:iCs/>
                <w:sz w:val="24"/>
                <w:szCs w:val="24"/>
                <w:lang w:val="en-US"/>
              </w:rPr>
            </w:pPr>
          </w:p>
          <w:p w14:paraId="34166A1A" w14:textId="7F19EE18" w:rsidR="003E4B53" w:rsidRPr="00AE33FC" w:rsidRDefault="003E4B53" w:rsidP="003E4B53">
            <w:pPr>
              <w:spacing w:after="0" w:line="240" w:lineRule="auto"/>
              <w:jc w:val="both"/>
              <w:rPr>
                <w:rFonts w:ascii="Arial" w:hAnsi="Arial" w:cs="Arial"/>
                <w:iCs/>
                <w:sz w:val="24"/>
                <w:szCs w:val="24"/>
                <w:lang w:val="fi-FI"/>
              </w:rPr>
            </w:pPr>
          </w:p>
        </w:tc>
        <w:tc>
          <w:tcPr>
            <w:tcW w:w="2529" w:type="pct"/>
          </w:tcPr>
          <w:p w14:paraId="364F5442" w14:textId="5908C150" w:rsidR="00CB35C2" w:rsidRDefault="00C71B0E" w:rsidP="00C71B0E">
            <w:pPr>
              <w:spacing w:after="0" w:line="240" w:lineRule="auto"/>
              <w:jc w:val="both"/>
              <w:rPr>
                <w:rFonts w:ascii="Arial" w:eastAsia="Times New Roman" w:hAnsi="Arial" w:cs="Arial"/>
                <w:bCs/>
                <w:sz w:val="24"/>
                <w:szCs w:val="24"/>
              </w:rPr>
            </w:pPr>
            <w:r w:rsidRPr="00C71B0E">
              <w:rPr>
                <w:rFonts w:ascii="Arial" w:eastAsia="Times New Roman" w:hAnsi="Arial" w:cs="Arial"/>
                <w:bCs/>
                <w:sz w:val="24"/>
                <w:szCs w:val="24"/>
              </w:rPr>
              <w:t>Higher education digital education policy which is Shift 9: Globalised Online Learning in the Malaysia Education Blueprint 2015-2025 (Higher Education) have focused on planning aspects to make online learning that leverages technology advancement such as AI becomes important component in higher education. This policy intends to create sufficient digital infrastructure to strengthen the capacity of the academic community in improving the delivery of online teaching and learning. This policy focuses on the conducive digital learning ecosystem that subsequently benefitted the higher education sector over technological revolution through expanding access, improving the quality of content, teaching and learning, reducing delivery costs and offering Malaysian expertise to the global community.</w:t>
            </w:r>
          </w:p>
          <w:p w14:paraId="3FECFD31" w14:textId="01BA268F" w:rsidR="00AE7D73" w:rsidRDefault="00AE7D73" w:rsidP="00C71B0E">
            <w:pPr>
              <w:spacing w:after="0" w:line="240" w:lineRule="auto"/>
              <w:jc w:val="both"/>
              <w:rPr>
                <w:rFonts w:ascii="Arial" w:eastAsia="Times New Roman" w:hAnsi="Arial" w:cs="Arial"/>
                <w:bCs/>
                <w:sz w:val="24"/>
                <w:szCs w:val="24"/>
              </w:rPr>
            </w:pPr>
          </w:p>
          <w:p w14:paraId="3916A4BA" w14:textId="77777777" w:rsidR="00AE7D73" w:rsidRPr="00AE7D73" w:rsidRDefault="00AE7D73" w:rsidP="00AE7D73">
            <w:pPr>
              <w:spacing w:after="0" w:line="240" w:lineRule="auto"/>
              <w:jc w:val="both"/>
              <w:rPr>
                <w:rFonts w:ascii="Arial" w:eastAsia="Times New Roman" w:hAnsi="Arial" w:cs="Arial"/>
                <w:bCs/>
                <w:sz w:val="24"/>
                <w:szCs w:val="24"/>
              </w:rPr>
            </w:pPr>
            <w:r w:rsidRPr="00AE7D73">
              <w:rPr>
                <w:rFonts w:ascii="Arial" w:eastAsia="Times New Roman" w:hAnsi="Arial" w:cs="Arial"/>
                <w:bCs/>
                <w:sz w:val="24"/>
                <w:szCs w:val="24"/>
              </w:rPr>
              <w:t xml:space="preserve">Governments and regulatory bodies are increasingly recognising the importance of digital accessibility. MoE Malaysia’s Digital Education Policy (DEP) is a manifestation of the Ministry’s efforts to make digital learning accessible to all students including those with special needs. The DEP aims to create a digitally fluent generation that is competitive by enhancing the knowledge, skills, and values of students, educators, and educational leaders, </w:t>
            </w:r>
            <w:r w:rsidRPr="00AE7D73">
              <w:rPr>
                <w:rFonts w:ascii="Arial" w:eastAsia="Times New Roman" w:hAnsi="Arial" w:cs="Arial"/>
                <w:bCs/>
                <w:sz w:val="24"/>
                <w:szCs w:val="24"/>
              </w:rPr>
              <w:lastRenderedPageBreak/>
              <w:t>providing quality infrastructure, infostructure, and content as well as actively involving strategic partners in an integrated and comprehensive manner. The DEP outlines four objectives, six thrusts, 18 strategies, and 41 initiatives that set out the goals for achieving transformation in digital education. The Special Education Division of the MoE Malaysia acts as a DEP Thrust Member responsible to facilitate digital education transformations for students with disabilities.</w:t>
            </w:r>
          </w:p>
          <w:p w14:paraId="34BA41A6" w14:textId="77777777" w:rsidR="00AE7D73" w:rsidRPr="00AE7D73" w:rsidRDefault="00AE7D73" w:rsidP="00AE7D73">
            <w:pPr>
              <w:spacing w:after="0" w:line="240" w:lineRule="auto"/>
              <w:jc w:val="both"/>
              <w:rPr>
                <w:rFonts w:ascii="Arial" w:eastAsia="Times New Roman" w:hAnsi="Arial" w:cs="Arial"/>
                <w:bCs/>
                <w:sz w:val="24"/>
                <w:szCs w:val="24"/>
              </w:rPr>
            </w:pPr>
          </w:p>
          <w:p w14:paraId="5D65E2B0" w14:textId="68753B1E" w:rsidR="00AE7D73" w:rsidRPr="00C71B0E" w:rsidRDefault="00AE7D73" w:rsidP="00AE7D73">
            <w:pPr>
              <w:spacing w:after="0" w:line="240" w:lineRule="auto"/>
              <w:jc w:val="both"/>
              <w:rPr>
                <w:rFonts w:ascii="Arial" w:eastAsia="Times New Roman" w:hAnsi="Arial" w:cs="Arial"/>
                <w:bCs/>
                <w:sz w:val="24"/>
                <w:szCs w:val="24"/>
              </w:rPr>
            </w:pPr>
            <w:r w:rsidRPr="00AE7D73">
              <w:rPr>
                <w:rFonts w:ascii="Arial" w:eastAsia="Times New Roman" w:hAnsi="Arial" w:cs="Arial"/>
                <w:bCs/>
                <w:sz w:val="24"/>
                <w:szCs w:val="24"/>
              </w:rPr>
              <w:t>The DEP was approved by the Government on 26 May 2023 and is currently in the implementation period.  All six thrusts in DEP are implementing digital literacy programs aimed to improve teaching and learning and enhance digital skills amongst teachers and students. These programs often cover basic computer proficiency, online safety, and developing or utilising digital resources.</w:t>
            </w:r>
          </w:p>
          <w:p w14:paraId="54D90CD9" w14:textId="77777777" w:rsidR="00C71B0E" w:rsidRDefault="00C71B0E" w:rsidP="000C152A">
            <w:pPr>
              <w:spacing w:after="0" w:line="240" w:lineRule="auto"/>
              <w:jc w:val="both"/>
              <w:rPr>
                <w:rFonts w:ascii="Arial" w:hAnsi="Arial" w:cs="Arial"/>
                <w:b/>
                <w:bCs/>
                <w:color w:val="3333FF"/>
                <w:sz w:val="24"/>
                <w:szCs w:val="24"/>
              </w:rPr>
            </w:pPr>
          </w:p>
          <w:p w14:paraId="5AF130B9" w14:textId="2DA027B9" w:rsidR="000E6585" w:rsidRDefault="000E6585" w:rsidP="000C152A">
            <w:pPr>
              <w:spacing w:after="0" w:line="240" w:lineRule="auto"/>
              <w:jc w:val="both"/>
              <w:rPr>
                <w:rFonts w:ascii="Arial" w:hAnsi="Arial" w:cs="Arial"/>
                <w:b/>
                <w:bCs/>
                <w:color w:val="3333FF"/>
                <w:sz w:val="24"/>
                <w:szCs w:val="24"/>
              </w:rPr>
            </w:pPr>
          </w:p>
        </w:tc>
      </w:tr>
      <w:tr w:rsidR="00CF5136" w:rsidRPr="00DB054F" w14:paraId="22FD3F6A" w14:textId="77777777" w:rsidTr="00246546">
        <w:trPr>
          <w:trHeight w:val="863"/>
        </w:trPr>
        <w:tc>
          <w:tcPr>
            <w:tcW w:w="255" w:type="pct"/>
          </w:tcPr>
          <w:p w14:paraId="4A214A5A" w14:textId="77777777" w:rsidR="00CF5136" w:rsidRPr="00DB054F"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6AF214B5" w14:textId="77777777" w:rsidR="00861941" w:rsidRDefault="003E4B53" w:rsidP="003E4B53">
            <w:pPr>
              <w:spacing w:after="0" w:line="240" w:lineRule="auto"/>
              <w:jc w:val="both"/>
              <w:rPr>
                <w:rFonts w:ascii="Arial" w:hAnsi="Arial" w:cs="Arial"/>
                <w:iCs/>
                <w:sz w:val="24"/>
                <w:szCs w:val="24"/>
                <w:lang w:val="en-US"/>
              </w:rPr>
            </w:pPr>
            <w:r w:rsidRPr="003E4B53">
              <w:rPr>
                <w:rFonts w:ascii="Arial" w:hAnsi="Arial" w:cs="Arial"/>
                <w:iCs/>
                <w:sz w:val="24"/>
                <w:szCs w:val="24"/>
                <w:lang w:val="en-US"/>
              </w:rPr>
              <w:t xml:space="preserve">Please provide examples of </w:t>
            </w:r>
            <w:r w:rsidRPr="003E4B53">
              <w:rPr>
                <w:rFonts w:ascii="Arial" w:hAnsi="Arial" w:cs="Arial"/>
                <w:b/>
                <w:iCs/>
                <w:sz w:val="24"/>
                <w:szCs w:val="24"/>
                <w:lang w:val="en-US"/>
              </w:rPr>
              <w:t>participation</w:t>
            </w:r>
            <w:r w:rsidRPr="003E4B53">
              <w:rPr>
                <w:rFonts w:ascii="Arial" w:hAnsi="Arial" w:cs="Arial"/>
                <w:iCs/>
                <w:sz w:val="24"/>
                <w:szCs w:val="24"/>
                <w:lang w:val="en-US"/>
              </w:rPr>
              <w:t xml:space="preserve"> of teachers, parents, students or communities in the development of nationwide or internal regulations</w:t>
            </w:r>
            <w:r>
              <w:rPr>
                <w:rFonts w:ascii="Arial" w:hAnsi="Arial" w:cs="Arial"/>
                <w:iCs/>
                <w:sz w:val="24"/>
                <w:szCs w:val="24"/>
                <w:lang w:val="en-US"/>
              </w:rPr>
              <w:t xml:space="preserve"> </w:t>
            </w:r>
            <w:r w:rsidRPr="003E4B53">
              <w:rPr>
                <w:rFonts w:ascii="Arial" w:hAnsi="Arial" w:cs="Arial"/>
                <w:iCs/>
                <w:sz w:val="24"/>
                <w:szCs w:val="24"/>
                <w:lang w:val="en-US"/>
              </w:rPr>
              <w:t>addressing the use of AI in education. What has been the</w:t>
            </w:r>
            <w:r>
              <w:rPr>
                <w:rFonts w:ascii="Arial" w:hAnsi="Arial" w:cs="Arial"/>
                <w:iCs/>
                <w:sz w:val="24"/>
                <w:szCs w:val="24"/>
                <w:lang w:val="en-US"/>
              </w:rPr>
              <w:t xml:space="preserve"> </w:t>
            </w:r>
            <w:r w:rsidRPr="003E4B53">
              <w:rPr>
                <w:rFonts w:ascii="Arial" w:hAnsi="Arial" w:cs="Arial"/>
                <w:iCs/>
                <w:sz w:val="24"/>
                <w:szCs w:val="24"/>
                <w:lang w:val="en-US"/>
              </w:rPr>
              <w:t xml:space="preserve">feedback from </w:t>
            </w:r>
            <w:r>
              <w:rPr>
                <w:rFonts w:ascii="Arial" w:hAnsi="Arial" w:cs="Arial"/>
                <w:iCs/>
                <w:sz w:val="24"/>
                <w:szCs w:val="24"/>
                <w:lang w:val="en-US"/>
              </w:rPr>
              <w:t>t</w:t>
            </w:r>
            <w:r w:rsidRPr="003E4B53">
              <w:rPr>
                <w:rFonts w:ascii="Arial" w:hAnsi="Arial" w:cs="Arial"/>
                <w:iCs/>
                <w:sz w:val="24"/>
                <w:szCs w:val="24"/>
                <w:lang w:val="en-US"/>
              </w:rPr>
              <w:t>eachers, students and parents? Are there mechanisms</w:t>
            </w:r>
            <w:r>
              <w:rPr>
                <w:rFonts w:ascii="Arial" w:hAnsi="Arial" w:cs="Arial"/>
                <w:iCs/>
                <w:sz w:val="24"/>
                <w:szCs w:val="24"/>
                <w:lang w:val="en-US"/>
              </w:rPr>
              <w:t xml:space="preserve"> </w:t>
            </w:r>
            <w:r w:rsidRPr="003E4B53">
              <w:rPr>
                <w:rFonts w:ascii="Arial" w:hAnsi="Arial" w:cs="Arial"/>
                <w:iCs/>
                <w:sz w:val="24"/>
                <w:szCs w:val="24"/>
                <w:lang w:val="en-US"/>
              </w:rPr>
              <w:t>in place to solicit such</w:t>
            </w:r>
            <w:r>
              <w:rPr>
                <w:rFonts w:ascii="Arial" w:hAnsi="Arial" w:cs="Arial"/>
                <w:iCs/>
                <w:sz w:val="24"/>
                <w:szCs w:val="24"/>
                <w:lang w:val="en-US"/>
              </w:rPr>
              <w:t xml:space="preserve"> </w:t>
            </w:r>
            <w:r w:rsidRPr="003E4B53">
              <w:rPr>
                <w:rFonts w:ascii="Arial" w:hAnsi="Arial" w:cs="Arial"/>
                <w:iCs/>
                <w:sz w:val="24"/>
                <w:szCs w:val="24"/>
                <w:lang w:val="en-US"/>
              </w:rPr>
              <w:t>feedback?</w:t>
            </w:r>
          </w:p>
          <w:p w14:paraId="7A2E4D36" w14:textId="25D79868" w:rsidR="00AE33FC" w:rsidRPr="000C152A" w:rsidRDefault="00AE33FC" w:rsidP="00C71B0E">
            <w:pPr>
              <w:spacing w:after="0" w:line="240" w:lineRule="auto"/>
              <w:jc w:val="both"/>
              <w:rPr>
                <w:rFonts w:ascii="Arial" w:hAnsi="Arial" w:cs="Arial"/>
                <w:iCs/>
                <w:sz w:val="24"/>
                <w:szCs w:val="24"/>
                <w:lang w:val="en-US"/>
              </w:rPr>
            </w:pPr>
          </w:p>
        </w:tc>
        <w:tc>
          <w:tcPr>
            <w:tcW w:w="2529" w:type="pct"/>
          </w:tcPr>
          <w:p w14:paraId="09F215E2" w14:textId="77777777" w:rsidR="00824C34" w:rsidRPr="006A5C95" w:rsidRDefault="00824C34" w:rsidP="00824C34">
            <w:pPr>
              <w:spacing w:after="0" w:line="240" w:lineRule="auto"/>
              <w:jc w:val="both"/>
              <w:rPr>
                <w:rFonts w:ascii="Arial" w:eastAsia="Times New Roman" w:hAnsi="Arial" w:cs="Arial"/>
                <w:sz w:val="24"/>
                <w:szCs w:val="24"/>
              </w:rPr>
            </w:pPr>
            <w:r w:rsidRPr="006A5C95">
              <w:rPr>
                <w:rFonts w:ascii="Arial" w:eastAsia="Times New Roman" w:hAnsi="Arial" w:cs="Arial"/>
                <w:sz w:val="24"/>
                <w:szCs w:val="24"/>
              </w:rPr>
              <w:t>NIL</w:t>
            </w:r>
          </w:p>
          <w:p w14:paraId="5D550DBF" w14:textId="01698949" w:rsidR="00CF5136" w:rsidRPr="006A5C95" w:rsidRDefault="00CF5136" w:rsidP="000C152A">
            <w:pPr>
              <w:spacing w:after="0" w:line="240" w:lineRule="auto"/>
              <w:jc w:val="both"/>
              <w:rPr>
                <w:rFonts w:ascii="Arial" w:hAnsi="Arial" w:cs="Arial"/>
                <w:bCs/>
                <w:sz w:val="24"/>
                <w:szCs w:val="24"/>
              </w:rPr>
            </w:pPr>
          </w:p>
        </w:tc>
      </w:tr>
      <w:tr w:rsidR="00CF5136" w:rsidRPr="00DB054F" w14:paraId="7313B6FD" w14:textId="77777777" w:rsidTr="00246546">
        <w:trPr>
          <w:trHeight w:val="863"/>
        </w:trPr>
        <w:tc>
          <w:tcPr>
            <w:tcW w:w="255" w:type="pct"/>
          </w:tcPr>
          <w:p w14:paraId="687695FB" w14:textId="77777777" w:rsidR="00CF5136" w:rsidRPr="00DB054F"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79F59B4F" w14:textId="6FDBA2AB" w:rsidR="003E4B53" w:rsidRPr="003E4B53" w:rsidRDefault="003E4B53" w:rsidP="003E4B53">
            <w:pPr>
              <w:spacing w:after="0" w:line="240" w:lineRule="auto"/>
              <w:jc w:val="both"/>
              <w:rPr>
                <w:rFonts w:ascii="Arial" w:hAnsi="Arial" w:cs="Arial"/>
                <w:iCs/>
                <w:sz w:val="24"/>
                <w:szCs w:val="24"/>
                <w:lang w:val="en-US"/>
              </w:rPr>
            </w:pPr>
            <w:r w:rsidRPr="003E4B53">
              <w:rPr>
                <w:rFonts w:ascii="Arial" w:hAnsi="Arial" w:cs="Arial"/>
                <w:iCs/>
                <w:sz w:val="24"/>
                <w:szCs w:val="24"/>
                <w:lang w:val="en-US"/>
              </w:rPr>
              <w:t>How does the education system support management staff, teachers and students in understanding how to use</w:t>
            </w:r>
            <w:r>
              <w:rPr>
                <w:rFonts w:ascii="Arial" w:hAnsi="Arial" w:cs="Arial"/>
                <w:iCs/>
                <w:sz w:val="24"/>
                <w:szCs w:val="24"/>
                <w:lang w:val="en-US"/>
              </w:rPr>
              <w:t xml:space="preserve"> </w:t>
            </w:r>
            <w:r w:rsidRPr="003E4B53">
              <w:rPr>
                <w:rFonts w:ascii="Arial" w:hAnsi="Arial" w:cs="Arial"/>
                <w:iCs/>
                <w:sz w:val="24"/>
                <w:szCs w:val="24"/>
                <w:lang w:val="en-US"/>
              </w:rPr>
              <w:t>AI and how AI works? Please provide</w:t>
            </w:r>
            <w:r>
              <w:rPr>
                <w:rFonts w:ascii="Arial" w:hAnsi="Arial" w:cs="Arial"/>
                <w:iCs/>
                <w:sz w:val="24"/>
                <w:szCs w:val="24"/>
                <w:lang w:val="en-US"/>
              </w:rPr>
              <w:t xml:space="preserve"> </w:t>
            </w:r>
            <w:r w:rsidRPr="003E4B53">
              <w:rPr>
                <w:rFonts w:ascii="Arial" w:hAnsi="Arial" w:cs="Arial"/>
                <w:iCs/>
                <w:sz w:val="24"/>
                <w:szCs w:val="24"/>
                <w:lang w:val="en-US"/>
              </w:rPr>
              <w:t xml:space="preserve">examples and /or texts of curricula that address both the technological and </w:t>
            </w:r>
          </w:p>
          <w:p w14:paraId="76C08DFA" w14:textId="77777777" w:rsidR="00861941" w:rsidRDefault="003E4B53" w:rsidP="003E4B53">
            <w:pPr>
              <w:spacing w:after="0" w:line="240" w:lineRule="auto"/>
              <w:jc w:val="both"/>
              <w:rPr>
                <w:rFonts w:ascii="Arial" w:hAnsi="Arial" w:cs="Arial"/>
                <w:iCs/>
                <w:sz w:val="24"/>
                <w:szCs w:val="24"/>
                <w:lang w:val="en-US"/>
              </w:rPr>
            </w:pPr>
            <w:r w:rsidRPr="003E4B53">
              <w:rPr>
                <w:rFonts w:ascii="Arial" w:hAnsi="Arial" w:cs="Arial"/>
                <w:b/>
                <w:iCs/>
                <w:sz w:val="24"/>
                <w:szCs w:val="24"/>
                <w:lang w:val="en-US"/>
              </w:rPr>
              <w:t>human dimensions of AI competency</w:t>
            </w:r>
            <w:r w:rsidRPr="003E4B53">
              <w:rPr>
                <w:rFonts w:ascii="Arial" w:hAnsi="Arial" w:cs="Arial"/>
                <w:iCs/>
                <w:sz w:val="24"/>
                <w:szCs w:val="24"/>
                <w:lang w:val="en-US"/>
              </w:rPr>
              <w:t xml:space="preserve"> (both how it works</w:t>
            </w:r>
            <w:r>
              <w:rPr>
                <w:rFonts w:ascii="Arial" w:hAnsi="Arial" w:cs="Arial"/>
                <w:iCs/>
                <w:sz w:val="24"/>
                <w:szCs w:val="24"/>
                <w:lang w:val="en-US"/>
              </w:rPr>
              <w:t xml:space="preserve"> </w:t>
            </w:r>
            <w:r w:rsidRPr="003E4B53">
              <w:rPr>
                <w:rFonts w:ascii="Arial" w:hAnsi="Arial" w:cs="Arial"/>
                <w:iCs/>
                <w:sz w:val="24"/>
                <w:szCs w:val="24"/>
                <w:lang w:val="en-US"/>
              </w:rPr>
              <w:t>(the techniques and</w:t>
            </w:r>
            <w:r>
              <w:rPr>
                <w:rFonts w:ascii="Arial" w:hAnsi="Arial" w:cs="Arial"/>
                <w:iCs/>
                <w:sz w:val="24"/>
                <w:szCs w:val="24"/>
                <w:lang w:val="en-US"/>
              </w:rPr>
              <w:t xml:space="preserve"> </w:t>
            </w:r>
            <w:r w:rsidRPr="003E4B53">
              <w:rPr>
                <w:rFonts w:ascii="Arial" w:hAnsi="Arial" w:cs="Arial"/>
                <w:iCs/>
                <w:sz w:val="24"/>
                <w:szCs w:val="24"/>
                <w:lang w:val="en-US"/>
              </w:rPr>
              <w:t xml:space="preserve">the technologies) and what its </w:t>
            </w:r>
            <w:r w:rsidRPr="003E4B53">
              <w:rPr>
                <w:rFonts w:ascii="Arial" w:hAnsi="Arial" w:cs="Arial"/>
                <w:iCs/>
                <w:sz w:val="24"/>
                <w:szCs w:val="24"/>
                <w:lang w:val="en-US"/>
              </w:rPr>
              <w:lastRenderedPageBreak/>
              <w:t>impact is on people (on human cognition, privacy, agency).</w:t>
            </w:r>
          </w:p>
          <w:p w14:paraId="6A602662" w14:textId="77777777" w:rsidR="003E4B53" w:rsidRDefault="003E4B53" w:rsidP="003E4B53">
            <w:pPr>
              <w:spacing w:after="0" w:line="240" w:lineRule="auto"/>
              <w:jc w:val="both"/>
              <w:rPr>
                <w:rFonts w:ascii="Arial" w:hAnsi="Arial" w:cs="Arial"/>
                <w:iCs/>
                <w:sz w:val="24"/>
                <w:szCs w:val="24"/>
                <w:lang w:val="en-US"/>
              </w:rPr>
            </w:pPr>
          </w:p>
          <w:p w14:paraId="28649B2C" w14:textId="1E25AB4F" w:rsidR="00CE7A7F" w:rsidRPr="00035A37" w:rsidRDefault="00CE7A7F" w:rsidP="00C71B0E">
            <w:pPr>
              <w:spacing w:after="0" w:line="240" w:lineRule="auto"/>
              <w:jc w:val="both"/>
              <w:rPr>
                <w:rFonts w:ascii="Arial" w:hAnsi="Arial" w:cs="Arial"/>
                <w:iCs/>
                <w:sz w:val="24"/>
                <w:szCs w:val="24"/>
              </w:rPr>
            </w:pPr>
          </w:p>
        </w:tc>
        <w:tc>
          <w:tcPr>
            <w:tcW w:w="2529" w:type="pct"/>
          </w:tcPr>
          <w:p w14:paraId="5FBD9068" w14:textId="293EEB9E" w:rsidR="00CF5136" w:rsidRPr="006A5C95" w:rsidRDefault="00824C34" w:rsidP="000C152A">
            <w:pPr>
              <w:spacing w:after="0" w:line="240" w:lineRule="auto"/>
              <w:jc w:val="both"/>
              <w:rPr>
                <w:rFonts w:ascii="Arial" w:eastAsia="Times New Roman" w:hAnsi="Arial" w:cs="Arial"/>
                <w:sz w:val="24"/>
                <w:szCs w:val="24"/>
              </w:rPr>
            </w:pPr>
            <w:r w:rsidRPr="006A5C95">
              <w:rPr>
                <w:rFonts w:ascii="Arial" w:eastAsia="Times New Roman" w:hAnsi="Arial" w:cs="Arial"/>
                <w:sz w:val="24"/>
                <w:szCs w:val="24"/>
              </w:rPr>
              <w:lastRenderedPageBreak/>
              <w:t>NIL</w:t>
            </w:r>
          </w:p>
          <w:p w14:paraId="4032393B" w14:textId="77777777" w:rsidR="00341C6B" w:rsidRPr="006A5C95" w:rsidRDefault="00341C6B" w:rsidP="000C152A">
            <w:pPr>
              <w:spacing w:after="0" w:line="240" w:lineRule="auto"/>
              <w:jc w:val="both"/>
              <w:rPr>
                <w:rFonts w:ascii="Arial" w:hAnsi="Arial" w:cs="Arial"/>
                <w:bCs/>
                <w:sz w:val="24"/>
                <w:szCs w:val="24"/>
              </w:rPr>
            </w:pPr>
          </w:p>
          <w:p w14:paraId="29251130" w14:textId="77777777" w:rsidR="000E6585" w:rsidRPr="006A5C95" w:rsidRDefault="000E6585" w:rsidP="00341C6B">
            <w:pPr>
              <w:spacing w:after="0" w:line="240" w:lineRule="auto"/>
              <w:jc w:val="both"/>
              <w:rPr>
                <w:rFonts w:ascii="Arial" w:hAnsi="Arial" w:cs="Arial"/>
                <w:bCs/>
                <w:sz w:val="24"/>
                <w:szCs w:val="24"/>
              </w:rPr>
            </w:pPr>
          </w:p>
          <w:p w14:paraId="36A1AA6C" w14:textId="17C85547" w:rsidR="000E6585" w:rsidRPr="006A5C95" w:rsidRDefault="000E6585" w:rsidP="00341C6B">
            <w:pPr>
              <w:spacing w:after="0" w:line="240" w:lineRule="auto"/>
              <w:jc w:val="both"/>
              <w:rPr>
                <w:rFonts w:ascii="Arial" w:hAnsi="Arial" w:cs="Arial"/>
                <w:bCs/>
                <w:sz w:val="24"/>
                <w:szCs w:val="24"/>
              </w:rPr>
            </w:pPr>
          </w:p>
        </w:tc>
      </w:tr>
      <w:tr w:rsidR="00CF5136" w:rsidRPr="00DB054F" w14:paraId="2A3D1B1A" w14:textId="77777777" w:rsidTr="00246546">
        <w:trPr>
          <w:trHeight w:val="863"/>
        </w:trPr>
        <w:tc>
          <w:tcPr>
            <w:tcW w:w="255" w:type="pct"/>
          </w:tcPr>
          <w:p w14:paraId="56600C3C" w14:textId="77777777" w:rsidR="00CF5136" w:rsidRPr="00DB054F"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3B7068AC" w14:textId="01C2F531" w:rsidR="00861941" w:rsidRDefault="003E4B53" w:rsidP="003E4B53">
            <w:pPr>
              <w:spacing w:after="0" w:line="240" w:lineRule="auto"/>
              <w:jc w:val="both"/>
              <w:rPr>
                <w:rFonts w:ascii="Arial" w:hAnsi="Arial" w:cs="Arial"/>
                <w:iCs/>
                <w:sz w:val="24"/>
                <w:szCs w:val="24"/>
                <w:lang w:val="en-US"/>
              </w:rPr>
            </w:pPr>
            <w:r w:rsidRPr="003E4B53">
              <w:rPr>
                <w:rFonts w:ascii="Arial" w:hAnsi="Arial" w:cs="Arial"/>
                <w:iCs/>
                <w:sz w:val="24"/>
                <w:szCs w:val="24"/>
                <w:lang w:val="en-US"/>
              </w:rPr>
              <w:t xml:space="preserve">Please provide examples of existing </w:t>
            </w:r>
            <w:r w:rsidRPr="003E4B53">
              <w:rPr>
                <w:rFonts w:ascii="Arial" w:hAnsi="Arial" w:cs="Arial"/>
                <w:b/>
                <w:iCs/>
                <w:sz w:val="24"/>
                <w:szCs w:val="24"/>
                <w:lang w:val="en-US"/>
              </w:rPr>
              <w:t>professional development</w:t>
            </w:r>
            <w:r w:rsidRPr="003E4B53">
              <w:rPr>
                <w:rFonts w:ascii="Arial" w:hAnsi="Arial" w:cs="Arial"/>
                <w:iCs/>
                <w:sz w:val="24"/>
                <w:szCs w:val="24"/>
                <w:lang w:val="en-US"/>
              </w:rPr>
              <w:t xml:space="preserve"> programmes for teachers to use AI</w:t>
            </w:r>
            <w:r>
              <w:rPr>
                <w:rFonts w:ascii="Arial" w:hAnsi="Arial" w:cs="Arial"/>
                <w:iCs/>
                <w:sz w:val="24"/>
                <w:szCs w:val="24"/>
                <w:lang w:val="en-US"/>
              </w:rPr>
              <w:t xml:space="preserve"> </w:t>
            </w:r>
            <w:r w:rsidRPr="003E4B53">
              <w:rPr>
                <w:rFonts w:ascii="Arial" w:hAnsi="Arial" w:cs="Arial"/>
                <w:iCs/>
                <w:sz w:val="24"/>
                <w:szCs w:val="24"/>
                <w:lang w:val="en-US"/>
              </w:rPr>
              <w:t>technologies. What training and support are provided to</w:t>
            </w:r>
            <w:r>
              <w:rPr>
                <w:rFonts w:ascii="Arial" w:hAnsi="Arial" w:cs="Arial"/>
                <w:iCs/>
                <w:sz w:val="24"/>
                <w:szCs w:val="24"/>
                <w:lang w:val="en-US"/>
              </w:rPr>
              <w:t xml:space="preserve"> </w:t>
            </w:r>
            <w:r w:rsidRPr="003E4B53">
              <w:rPr>
                <w:rFonts w:ascii="Arial" w:hAnsi="Arial" w:cs="Arial"/>
                <w:iCs/>
                <w:sz w:val="24"/>
                <w:szCs w:val="24"/>
                <w:lang w:val="en-US"/>
              </w:rPr>
              <w:t xml:space="preserve">educators to effectively utilize AI tools in their daily work? </w:t>
            </w:r>
          </w:p>
          <w:p w14:paraId="22383B24" w14:textId="77777777" w:rsidR="00CE7A7F" w:rsidRDefault="00CE7A7F" w:rsidP="003E4B53">
            <w:pPr>
              <w:spacing w:after="0" w:line="240" w:lineRule="auto"/>
              <w:jc w:val="both"/>
              <w:rPr>
                <w:rFonts w:ascii="Arial" w:hAnsi="Arial" w:cs="Arial"/>
                <w:iCs/>
                <w:sz w:val="24"/>
                <w:szCs w:val="24"/>
                <w:lang w:val="en-US"/>
              </w:rPr>
            </w:pPr>
          </w:p>
          <w:p w14:paraId="3DC22B3F" w14:textId="1557271C" w:rsidR="003E4B53" w:rsidRPr="000C152A" w:rsidRDefault="003E4B53" w:rsidP="003E4B53">
            <w:pPr>
              <w:spacing w:after="0" w:line="240" w:lineRule="auto"/>
              <w:jc w:val="both"/>
              <w:rPr>
                <w:rFonts w:ascii="Arial" w:hAnsi="Arial" w:cs="Arial"/>
                <w:iCs/>
                <w:sz w:val="24"/>
                <w:szCs w:val="24"/>
                <w:lang w:val="en-US"/>
              </w:rPr>
            </w:pPr>
          </w:p>
        </w:tc>
        <w:tc>
          <w:tcPr>
            <w:tcW w:w="2529" w:type="pct"/>
          </w:tcPr>
          <w:p w14:paraId="6D809908" w14:textId="4A76E03E" w:rsidR="00764294" w:rsidRDefault="00D05EF7" w:rsidP="00AD3767">
            <w:pPr>
              <w:spacing w:after="0" w:line="240" w:lineRule="auto"/>
              <w:jc w:val="both"/>
              <w:rPr>
                <w:rFonts w:ascii="Arial" w:hAnsi="Arial" w:cs="Arial"/>
                <w:sz w:val="24"/>
                <w:szCs w:val="24"/>
              </w:rPr>
            </w:pPr>
            <w:r w:rsidRPr="00D10917">
              <w:rPr>
                <w:rFonts w:ascii="Arial" w:eastAsia="Times New Roman" w:hAnsi="Arial" w:cs="Arial"/>
                <w:sz w:val="24"/>
                <w:szCs w:val="24"/>
              </w:rPr>
              <w:t xml:space="preserve">Currently, there are two main </w:t>
            </w:r>
            <w:r w:rsidR="00D10917" w:rsidRPr="00D10917">
              <w:rPr>
                <w:rFonts w:ascii="Arial" w:eastAsia="Times New Roman" w:hAnsi="Arial" w:cs="Arial"/>
                <w:sz w:val="24"/>
                <w:szCs w:val="24"/>
              </w:rPr>
              <w:t>centres</w:t>
            </w:r>
            <w:r w:rsidRPr="00D10917">
              <w:rPr>
                <w:rFonts w:ascii="Arial" w:eastAsia="Times New Roman" w:hAnsi="Arial" w:cs="Arial"/>
                <w:sz w:val="24"/>
                <w:szCs w:val="24"/>
              </w:rPr>
              <w:t xml:space="preserve"> of excellence for AI namely </w:t>
            </w:r>
            <w:r w:rsidR="00F84D9D" w:rsidRPr="00D10917">
              <w:rPr>
                <w:rFonts w:ascii="Arial" w:hAnsi="Arial" w:cs="Arial"/>
                <w:sz w:val="24"/>
                <w:szCs w:val="24"/>
              </w:rPr>
              <w:t xml:space="preserve">Centre for AI </w:t>
            </w:r>
            <w:r w:rsidR="00764294" w:rsidRPr="00D10917">
              <w:rPr>
                <w:rFonts w:ascii="Arial" w:hAnsi="Arial" w:cs="Arial"/>
                <w:sz w:val="24"/>
                <w:szCs w:val="24"/>
              </w:rPr>
              <w:t>&amp; Robotics UTM</w:t>
            </w:r>
            <w:r w:rsidR="00B270C6" w:rsidRPr="00D10917">
              <w:rPr>
                <w:rFonts w:ascii="Arial" w:hAnsi="Arial" w:cs="Arial"/>
                <w:sz w:val="24"/>
                <w:szCs w:val="24"/>
              </w:rPr>
              <w:t>, CAIRO</w:t>
            </w:r>
            <w:r w:rsidR="006C0280" w:rsidRPr="00D10917">
              <w:rPr>
                <w:rFonts w:ascii="Arial" w:hAnsi="Arial" w:cs="Arial"/>
                <w:sz w:val="24"/>
                <w:szCs w:val="24"/>
              </w:rPr>
              <w:t xml:space="preserve"> and</w:t>
            </w:r>
            <w:r w:rsidR="00D10917">
              <w:rPr>
                <w:rFonts w:ascii="Arial" w:eastAsia="Times New Roman" w:hAnsi="Arial" w:cs="Arial"/>
                <w:sz w:val="24"/>
                <w:szCs w:val="24"/>
              </w:rPr>
              <w:t xml:space="preserve"> </w:t>
            </w:r>
            <w:r w:rsidR="00764294" w:rsidRPr="00D10917">
              <w:rPr>
                <w:rFonts w:ascii="Arial" w:hAnsi="Arial" w:cs="Arial"/>
                <w:sz w:val="24"/>
                <w:szCs w:val="24"/>
              </w:rPr>
              <w:t xml:space="preserve">Centre for AI </w:t>
            </w:r>
            <w:r w:rsidR="00E45576" w:rsidRPr="00D10917">
              <w:rPr>
                <w:rFonts w:ascii="Arial" w:hAnsi="Arial" w:cs="Arial"/>
                <w:sz w:val="24"/>
                <w:szCs w:val="24"/>
              </w:rPr>
              <w:t>Technology (CAIT), UKM</w:t>
            </w:r>
            <w:r w:rsidR="006C0280" w:rsidRPr="00D10917">
              <w:rPr>
                <w:rFonts w:ascii="Arial" w:hAnsi="Arial" w:cs="Arial"/>
                <w:sz w:val="24"/>
                <w:szCs w:val="24"/>
              </w:rPr>
              <w:t xml:space="preserve"> which focus on the R&amp;D. MDEC are the prominent institution that provide trainings and capacity building for the academicians under MD Workforce Training Programme.</w:t>
            </w:r>
          </w:p>
          <w:p w14:paraId="584FF353" w14:textId="77777777" w:rsidR="00AE7D73" w:rsidRDefault="00AE7D73" w:rsidP="00AE7D73">
            <w:pPr>
              <w:spacing w:after="0" w:line="240" w:lineRule="auto"/>
              <w:jc w:val="both"/>
              <w:rPr>
                <w:rFonts w:ascii="Arial" w:eastAsia="Times New Roman" w:hAnsi="Arial" w:cs="Arial"/>
                <w:sz w:val="24"/>
                <w:szCs w:val="24"/>
              </w:rPr>
            </w:pPr>
          </w:p>
          <w:p w14:paraId="2CAAE5C2" w14:textId="144FE6A5" w:rsidR="00AE7D73" w:rsidRPr="00AE7D73" w:rsidRDefault="00AE7D73" w:rsidP="00AE7D73">
            <w:pPr>
              <w:spacing w:after="0" w:line="240" w:lineRule="auto"/>
              <w:jc w:val="both"/>
              <w:rPr>
                <w:rFonts w:ascii="Arial" w:eastAsia="Times New Roman" w:hAnsi="Arial" w:cs="Arial"/>
                <w:sz w:val="24"/>
                <w:szCs w:val="24"/>
              </w:rPr>
            </w:pPr>
            <w:r w:rsidRPr="00AE7D73">
              <w:rPr>
                <w:rFonts w:ascii="Arial" w:eastAsia="Times New Roman" w:hAnsi="Arial" w:cs="Arial"/>
                <w:sz w:val="24"/>
                <w:szCs w:val="24"/>
              </w:rPr>
              <w:t xml:space="preserve">DELIMa also provides a variety of AI applications and tools such as Gemini, ChatGPT, Bing, Conker, Perplexity and Claude that can be utilised to assist teachers in creating educational content. Apart from that, tools such as Content Creation Assistance, Automated Grading and Feedback, Personalised Learning Platforms and Professional Development, and Self-Learning can be optimised to facilitate teachers in enhancing their professional practice. </w:t>
            </w:r>
          </w:p>
          <w:p w14:paraId="333D1659" w14:textId="77777777" w:rsidR="00AE7D73" w:rsidRPr="00AE7D73" w:rsidRDefault="00AE7D73" w:rsidP="00AE7D73">
            <w:pPr>
              <w:spacing w:after="0" w:line="240" w:lineRule="auto"/>
              <w:jc w:val="both"/>
              <w:rPr>
                <w:rFonts w:ascii="Arial" w:eastAsia="Times New Roman" w:hAnsi="Arial" w:cs="Arial"/>
                <w:sz w:val="24"/>
                <w:szCs w:val="24"/>
              </w:rPr>
            </w:pPr>
          </w:p>
          <w:p w14:paraId="5D01D45F" w14:textId="560B629D" w:rsidR="00D05EF7" w:rsidRPr="00AE7D73" w:rsidRDefault="00AE7D73" w:rsidP="00AD3767">
            <w:pPr>
              <w:spacing w:after="0" w:line="240" w:lineRule="auto"/>
              <w:jc w:val="both"/>
              <w:rPr>
                <w:rFonts w:ascii="Arial" w:eastAsia="Times New Roman" w:hAnsi="Arial" w:cs="Arial"/>
                <w:sz w:val="24"/>
                <w:szCs w:val="24"/>
              </w:rPr>
            </w:pPr>
            <w:r w:rsidRPr="00AE7D73">
              <w:rPr>
                <w:rFonts w:ascii="Arial" w:eastAsia="Times New Roman" w:hAnsi="Arial" w:cs="Arial"/>
                <w:sz w:val="24"/>
                <w:szCs w:val="24"/>
              </w:rPr>
              <w:t xml:space="preserve">To date, besides participation from Google, </w:t>
            </w:r>
            <w:r w:rsidR="006A5C95">
              <w:rPr>
                <w:rFonts w:ascii="Arial" w:eastAsia="Times New Roman" w:hAnsi="Arial" w:cs="Arial"/>
                <w:sz w:val="24"/>
                <w:szCs w:val="24"/>
              </w:rPr>
              <w:t>MoE</w:t>
            </w:r>
            <w:r w:rsidRPr="00AE7D73">
              <w:rPr>
                <w:rFonts w:ascii="Arial" w:eastAsia="Times New Roman" w:hAnsi="Arial" w:cs="Arial"/>
                <w:sz w:val="24"/>
                <w:szCs w:val="24"/>
              </w:rPr>
              <w:t xml:space="preserve"> has also collaborated with other large information technology companies (Tech Giants) including Apple and Microsoft to provide access to teachers’ digital upskilling programmes. Digital competency programmes such as Google Certified Educator (GCE) Level 1 and Level 2, Apple Teacher Journey, and Microsoft Innovative Educator Expert are among the initiatives tailored for the collaboration between MoE Malaysia and the Tech Giants. In addition, among the ongoing collaborative programmes for students are Microsoft Funtastic School Break Programme, Digital Skills Application Programme by Google, Apple School </w:t>
            </w:r>
            <w:r w:rsidRPr="00AE7D73">
              <w:rPr>
                <w:rFonts w:ascii="Arial" w:eastAsia="Times New Roman" w:hAnsi="Arial" w:cs="Arial"/>
                <w:sz w:val="24"/>
                <w:szCs w:val="24"/>
              </w:rPr>
              <w:lastRenderedPageBreak/>
              <w:t>Holiday Programme and competitions such as iOS Ideation, and Imagine Cup Junior (A Challenge to Understand AI Better).</w:t>
            </w:r>
          </w:p>
        </w:tc>
      </w:tr>
      <w:tr w:rsidR="00CF5136" w:rsidRPr="00DB054F" w14:paraId="0F574BF5" w14:textId="77777777" w:rsidTr="00246546">
        <w:trPr>
          <w:trHeight w:val="863"/>
        </w:trPr>
        <w:tc>
          <w:tcPr>
            <w:tcW w:w="255" w:type="pct"/>
          </w:tcPr>
          <w:p w14:paraId="6B027C06" w14:textId="77777777" w:rsidR="00CF5136" w:rsidRPr="00DB054F" w:rsidRDefault="00CF5136" w:rsidP="00104500">
            <w:pPr>
              <w:pStyle w:val="ListParagraph"/>
              <w:numPr>
                <w:ilvl w:val="0"/>
                <w:numId w:val="3"/>
              </w:numPr>
              <w:spacing w:after="0" w:line="240" w:lineRule="auto"/>
              <w:ind w:right="42"/>
              <w:jc w:val="both"/>
              <w:rPr>
                <w:rFonts w:ascii="Arial" w:hAnsi="Arial" w:cs="Arial"/>
                <w:sz w:val="24"/>
                <w:szCs w:val="24"/>
              </w:rPr>
            </w:pPr>
          </w:p>
        </w:tc>
        <w:tc>
          <w:tcPr>
            <w:tcW w:w="2216" w:type="pct"/>
          </w:tcPr>
          <w:p w14:paraId="4D60312F" w14:textId="77777777" w:rsidR="00CF5136" w:rsidRDefault="003E4B53" w:rsidP="003E4B53">
            <w:pPr>
              <w:spacing w:after="0" w:line="240" w:lineRule="auto"/>
              <w:jc w:val="both"/>
              <w:rPr>
                <w:rFonts w:ascii="Arial" w:hAnsi="Arial" w:cs="Arial"/>
                <w:iCs/>
                <w:sz w:val="24"/>
                <w:szCs w:val="24"/>
                <w:lang w:val="en-US"/>
              </w:rPr>
            </w:pPr>
            <w:r w:rsidRPr="003E4B53">
              <w:rPr>
                <w:rFonts w:ascii="Arial" w:hAnsi="Arial" w:cs="Arial"/>
                <w:iCs/>
                <w:sz w:val="24"/>
                <w:szCs w:val="24"/>
                <w:lang w:val="en-US"/>
              </w:rPr>
              <w:t xml:space="preserve">Please provide examples of policies addressing </w:t>
            </w:r>
            <w:r w:rsidRPr="003E4B53">
              <w:rPr>
                <w:rFonts w:ascii="Arial" w:hAnsi="Arial" w:cs="Arial"/>
                <w:b/>
                <w:iCs/>
                <w:sz w:val="24"/>
                <w:szCs w:val="24"/>
                <w:lang w:val="en-US"/>
              </w:rPr>
              <w:t>gaps and inequalities</w:t>
            </w:r>
            <w:r w:rsidRPr="003E4B53">
              <w:rPr>
                <w:rFonts w:ascii="Arial" w:hAnsi="Arial" w:cs="Arial"/>
                <w:iCs/>
                <w:sz w:val="24"/>
                <w:szCs w:val="24"/>
                <w:lang w:val="en-US"/>
              </w:rPr>
              <w:t xml:space="preserve"> in access to necessary conditions for the use of AI in teaching and learning, for instance</w:t>
            </w:r>
            <w:r>
              <w:rPr>
                <w:rFonts w:ascii="Arial" w:hAnsi="Arial" w:cs="Arial"/>
                <w:iCs/>
                <w:sz w:val="24"/>
                <w:szCs w:val="24"/>
                <w:lang w:val="en-US"/>
              </w:rPr>
              <w:t xml:space="preserve"> </w:t>
            </w:r>
            <w:r w:rsidRPr="003E4B53">
              <w:rPr>
                <w:rFonts w:ascii="Arial" w:hAnsi="Arial" w:cs="Arial"/>
                <w:iCs/>
                <w:sz w:val="24"/>
                <w:szCs w:val="24"/>
                <w:lang w:val="en-US"/>
              </w:rPr>
              <w:t>aimed at reducing the digital divide between students with easy access to AI</w:t>
            </w:r>
            <w:r>
              <w:rPr>
                <w:rFonts w:ascii="Arial" w:hAnsi="Arial" w:cs="Arial"/>
                <w:iCs/>
                <w:sz w:val="24"/>
                <w:szCs w:val="24"/>
                <w:lang w:val="en-US"/>
              </w:rPr>
              <w:t xml:space="preserve"> </w:t>
            </w:r>
            <w:r w:rsidRPr="003E4B53">
              <w:rPr>
                <w:rFonts w:ascii="Arial" w:hAnsi="Arial" w:cs="Arial"/>
                <w:iCs/>
                <w:sz w:val="24"/>
                <w:szCs w:val="24"/>
                <w:lang w:val="en-US"/>
              </w:rPr>
              <w:t>tools at home and those dependent on school resources. What measures are in</w:t>
            </w:r>
            <w:r>
              <w:rPr>
                <w:rFonts w:ascii="Arial" w:hAnsi="Arial" w:cs="Arial"/>
                <w:iCs/>
                <w:sz w:val="24"/>
                <w:szCs w:val="24"/>
                <w:lang w:val="en-US"/>
              </w:rPr>
              <w:t xml:space="preserve"> </w:t>
            </w:r>
            <w:r w:rsidRPr="003E4B53">
              <w:rPr>
                <w:rFonts w:ascii="Arial" w:hAnsi="Arial" w:cs="Arial"/>
                <w:iCs/>
                <w:sz w:val="24"/>
                <w:szCs w:val="24"/>
                <w:lang w:val="en-US"/>
              </w:rPr>
              <w:t>place to ensure that trustworthy and pedagogically appropriate AI tools and</w:t>
            </w:r>
            <w:r>
              <w:rPr>
                <w:rFonts w:ascii="Arial" w:hAnsi="Arial" w:cs="Arial"/>
                <w:iCs/>
                <w:sz w:val="24"/>
                <w:szCs w:val="24"/>
                <w:lang w:val="en-US"/>
              </w:rPr>
              <w:t xml:space="preserve"> </w:t>
            </w:r>
            <w:r w:rsidRPr="003E4B53">
              <w:rPr>
                <w:rFonts w:ascii="Arial" w:hAnsi="Arial" w:cs="Arial"/>
                <w:iCs/>
                <w:sz w:val="24"/>
                <w:szCs w:val="24"/>
                <w:lang w:val="en-US"/>
              </w:rPr>
              <w:t>resources are accessible to all students, regardless of their socio-economic</w:t>
            </w:r>
            <w:r>
              <w:rPr>
                <w:rFonts w:ascii="Arial" w:hAnsi="Arial" w:cs="Arial"/>
                <w:iCs/>
                <w:sz w:val="24"/>
                <w:szCs w:val="24"/>
                <w:lang w:val="en-US"/>
              </w:rPr>
              <w:t xml:space="preserve"> </w:t>
            </w:r>
            <w:r w:rsidRPr="003E4B53">
              <w:rPr>
                <w:rFonts w:ascii="Arial" w:hAnsi="Arial" w:cs="Arial"/>
                <w:iCs/>
                <w:sz w:val="24"/>
                <w:szCs w:val="24"/>
                <w:lang w:val="en-US"/>
              </w:rPr>
              <w:t>background or geographical location?</w:t>
            </w:r>
          </w:p>
          <w:p w14:paraId="5DB6CA6B" w14:textId="77777777" w:rsidR="00CE7A7F" w:rsidRDefault="00CE7A7F" w:rsidP="003E4B53">
            <w:pPr>
              <w:spacing w:after="0" w:line="240" w:lineRule="auto"/>
              <w:jc w:val="both"/>
              <w:rPr>
                <w:rFonts w:ascii="Arial" w:hAnsi="Arial" w:cs="Arial"/>
                <w:iCs/>
                <w:sz w:val="24"/>
                <w:szCs w:val="24"/>
                <w:lang w:val="en-US"/>
              </w:rPr>
            </w:pPr>
          </w:p>
          <w:p w14:paraId="54CDEDDA" w14:textId="77777777" w:rsidR="003E4B53" w:rsidRDefault="003E4B53" w:rsidP="003E4B53">
            <w:pPr>
              <w:spacing w:after="0" w:line="240" w:lineRule="auto"/>
              <w:jc w:val="both"/>
              <w:rPr>
                <w:rFonts w:ascii="Arial" w:hAnsi="Arial" w:cs="Arial"/>
                <w:iCs/>
                <w:sz w:val="24"/>
                <w:szCs w:val="24"/>
                <w:lang w:val="en-US"/>
              </w:rPr>
            </w:pPr>
          </w:p>
          <w:p w14:paraId="2CF4F155" w14:textId="77777777" w:rsidR="0063333A" w:rsidRDefault="0063333A" w:rsidP="003E4B53">
            <w:pPr>
              <w:spacing w:after="0" w:line="240" w:lineRule="auto"/>
              <w:jc w:val="both"/>
              <w:rPr>
                <w:rFonts w:ascii="Arial" w:hAnsi="Arial" w:cs="Arial"/>
                <w:iCs/>
                <w:sz w:val="24"/>
                <w:szCs w:val="24"/>
                <w:lang w:val="en-US"/>
              </w:rPr>
            </w:pPr>
          </w:p>
          <w:p w14:paraId="2D02490A" w14:textId="77777777" w:rsidR="0063333A" w:rsidRDefault="0063333A" w:rsidP="003E4B53">
            <w:pPr>
              <w:spacing w:after="0" w:line="240" w:lineRule="auto"/>
              <w:jc w:val="both"/>
              <w:rPr>
                <w:rFonts w:ascii="Arial" w:hAnsi="Arial" w:cs="Arial"/>
                <w:iCs/>
                <w:sz w:val="24"/>
                <w:szCs w:val="24"/>
                <w:lang w:val="en-US"/>
              </w:rPr>
            </w:pPr>
          </w:p>
          <w:p w14:paraId="0D1666D3" w14:textId="77777777" w:rsidR="0063333A" w:rsidRDefault="0063333A" w:rsidP="003E4B53">
            <w:pPr>
              <w:spacing w:after="0" w:line="240" w:lineRule="auto"/>
              <w:jc w:val="both"/>
              <w:rPr>
                <w:rFonts w:ascii="Arial" w:hAnsi="Arial" w:cs="Arial"/>
                <w:iCs/>
                <w:sz w:val="24"/>
                <w:szCs w:val="24"/>
                <w:lang w:val="en-US"/>
              </w:rPr>
            </w:pPr>
          </w:p>
          <w:p w14:paraId="77EB2747" w14:textId="77777777" w:rsidR="0063333A" w:rsidRDefault="0063333A" w:rsidP="003E4B53">
            <w:pPr>
              <w:spacing w:after="0" w:line="240" w:lineRule="auto"/>
              <w:jc w:val="both"/>
              <w:rPr>
                <w:rFonts w:ascii="Arial" w:hAnsi="Arial" w:cs="Arial"/>
                <w:iCs/>
                <w:sz w:val="24"/>
                <w:szCs w:val="24"/>
                <w:lang w:val="en-US"/>
              </w:rPr>
            </w:pPr>
          </w:p>
          <w:p w14:paraId="51621EA4" w14:textId="77777777" w:rsidR="0063333A" w:rsidRDefault="0063333A" w:rsidP="003E4B53">
            <w:pPr>
              <w:spacing w:after="0" w:line="240" w:lineRule="auto"/>
              <w:jc w:val="both"/>
              <w:rPr>
                <w:rFonts w:ascii="Arial" w:hAnsi="Arial" w:cs="Arial"/>
                <w:iCs/>
                <w:sz w:val="24"/>
                <w:szCs w:val="24"/>
                <w:lang w:val="en-US"/>
              </w:rPr>
            </w:pPr>
          </w:p>
          <w:p w14:paraId="40494811" w14:textId="77777777" w:rsidR="0063333A" w:rsidRDefault="0063333A" w:rsidP="003E4B53">
            <w:pPr>
              <w:spacing w:after="0" w:line="240" w:lineRule="auto"/>
              <w:jc w:val="both"/>
              <w:rPr>
                <w:rFonts w:ascii="Arial" w:hAnsi="Arial" w:cs="Arial"/>
                <w:iCs/>
                <w:sz w:val="24"/>
                <w:szCs w:val="24"/>
                <w:lang w:val="en-US"/>
              </w:rPr>
            </w:pPr>
          </w:p>
          <w:p w14:paraId="037B2CA4" w14:textId="77777777" w:rsidR="0063333A" w:rsidRDefault="0063333A" w:rsidP="003E4B53">
            <w:pPr>
              <w:spacing w:after="0" w:line="240" w:lineRule="auto"/>
              <w:jc w:val="both"/>
              <w:rPr>
                <w:rFonts w:ascii="Arial" w:hAnsi="Arial" w:cs="Arial"/>
                <w:iCs/>
                <w:sz w:val="24"/>
                <w:szCs w:val="24"/>
                <w:lang w:val="en-US"/>
              </w:rPr>
            </w:pPr>
          </w:p>
          <w:p w14:paraId="7CBD3FA1" w14:textId="77777777" w:rsidR="0063333A" w:rsidRDefault="0063333A" w:rsidP="003E4B53">
            <w:pPr>
              <w:spacing w:after="0" w:line="240" w:lineRule="auto"/>
              <w:jc w:val="both"/>
              <w:rPr>
                <w:rFonts w:ascii="Arial" w:hAnsi="Arial" w:cs="Arial"/>
                <w:iCs/>
                <w:sz w:val="24"/>
                <w:szCs w:val="24"/>
                <w:lang w:val="en-US"/>
              </w:rPr>
            </w:pPr>
          </w:p>
          <w:p w14:paraId="225B1C30" w14:textId="77777777" w:rsidR="0063333A" w:rsidRDefault="0063333A" w:rsidP="003E4B53">
            <w:pPr>
              <w:spacing w:after="0" w:line="240" w:lineRule="auto"/>
              <w:jc w:val="both"/>
              <w:rPr>
                <w:rFonts w:ascii="Arial" w:hAnsi="Arial" w:cs="Arial"/>
                <w:iCs/>
                <w:sz w:val="24"/>
                <w:szCs w:val="24"/>
                <w:lang w:val="en-US"/>
              </w:rPr>
            </w:pPr>
          </w:p>
          <w:p w14:paraId="079EDC5E" w14:textId="77777777" w:rsidR="0063333A" w:rsidRDefault="0063333A" w:rsidP="003E4B53">
            <w:pPr>
              <w:spacing w:after="0" w:line="240" w:lineRule="auto"/>
              <w:jc w:val="both"/>
              <w:rPr>
                <w:rFonts w:ascii="Arial" w:hAnsi="Arial" w:cs="Arial"/>
                <w:iCs/>
                <w:sz w:val="24"/>
                <w:szCs w:val="24"/>
                <w:lang w:val="en-US"/>
              </w:rPr>
            </w:pPr>
          </w:p>
          <w:p w14:paraId="5410A17D" w14:textId="77777777" w:rsidR="0063333A" w:rsidRDefault="0063333A" w:rsidP="003E4B53">
            <w:pPr>
              <w:spacing w:after="0" w:line="240" w:lineRule="auto"/>
              <w:jc w:val="both"/>
              <w:rPr>
                <w:rFonts w:ascii="Arial" w:hAnsi="Arial" w:cs="Arial"/>
                <w:iCs/>
                <w:sz w:val="24"/>
                <w:szCs w:val="24"/>
                <w:lang w:val="en-US"/>
              </w:rPr>
            </w:pPr>
          </w:p>
          <w:p w14:paraId="0DA16707" w14:textId="77777777" w:rsidR="0063333A" w:rsidRDefault="0063333A" w:rsidP="003E4B53">
            <w:pPr>
              <w:spacing w:after="0" w:line="240" w:lineRule="auto"/>
              <w:jc w:val="both"/>
              <w:rPr>
                <w:rFonts w:ascii="Arial" w:hAnsi="Arial" w:cs="Arial"/>
                <w:iCs/>
                <w:sz w:val="24"/>
                <w:szCs w:val="24"/>
                <w:lang w:val="en-US"/>
              </w:rPr>
            </w:pPr>
          </w:p>
          <w:p w14:paraId="2FEC6982" w14:textId="77777777" w:rsidR="0063333A" w:rsidRDefault="0063333A" w:rsidP="003E4B53">
            <w:pPr>
              <w:spacing w:after="0" w:line="240" w:lineRule="auto"/>
              <w:jc w:val="both"/>
              <w:rPr>
                <w:rFonts w:ascii="Arial" w:hAnsi="Arial" w:cs="Arial"/>
                <w:iCs/>
                <w:sz w:val="24"/>
                <w:szCs w:val="24"/>
                <w:lang w:val="en-US"/>
              </w:rPr>
            </w:pPr>
          </w:p>
          <w:p w14:paraId="3EE3E5A6" w14:textId="77777777" w:rsidR="0063333A" w:rsidRDefault="0063333A" w:rsidP="003E4B53">
            <w:pPr>
              <w:spacing w:after="0" w:line="240" w:lineRule="auto"/>
              <w:jc w:val="both"/>
              <w:rPr>
                <w:rFonts w:ascii="Arial" w:hAnsi="Arial" w:cs="Arial"/>
                <w:iCs/>
                <w:sz w:val="24"/>
                <w:szCs w:val="24"/>
                <w:lang w:val="en-US"/>
              </w:rPr>
            </w:pPr>
          </w:p>
          <w:p w14:paraId="0B859196" w14:textId="77777777" w:rsidR="0063333A" w:rsidRDefault="0063333A" w:rsidP="003E4B53">
            <w:pPr>
              <w:spacing w:after="0" w:line="240" w:lineRule="auto"/>
              <w:jc w:val="both"/>
              <w:rPr>
                <w:rFonts w:ascii="Arial" w:hAnsi="Arial" w:cs="Arial"/>
                <w:iCs/>
                <w:sz w:val="24"/>
                <w:szCs w:val="24"/>
                <w:lang w:val="en-US"/>
              </w:rPr>
            </w:pPr>
          </w:p>
          <w:p w14:paraId="058AB9AB" w14:textId="77777777" w:rsidR="0063333A" w:rsidRDefault="0063333A" w:rsidP="003E4B53">
            <w:pPr>
              <w:spacing w:after="0" w:line="240" w:lineRule="auto"/>
              <w:jc w:val="both"/>
              <w:rPr>
                <w:rFonts w:ascii="Arial" w:hAnsi="Arial" w:cs="Arial"/>
                <w:iCs/>
                <w:sz w:val="24"/>
                <w:szCs w:val="24"/>
                <w:lang w:val="en-US"/>
              </w:rPr>
            </w:pPr>
          </w:p>
          <w:p w14:paraId="73246FC9" w14:textId="77777777" w:rsidR="0063333A" w:rsidRDefault="0063333A" w:rsidP="003E4B53">
            <w:pPr>
              <w:spacing w:after="0" w:line="240" w:lineRule="auto"/>
              <w:jc w:val="both"/>
              <w:rPr>
                <w:rFonts w:ascii="Arial" w:hAnsi="Arial" w:cs="Arial"/>
                <w:iCs/>
                <w:sz w:val="24"/>
                <w:szCs w:val="24"/>
                <w:lang w:val="en-US"/>
              </w:rPr>
            </w:pPr>
          </w:p>
          <w:p w14:paraId="7F5AC147" w14:textId="77777777" w:rsidR="0063333A" w:rsidRDefault="0063333A" w:rsidP="003E4B53">
            <w:pPr>
              <w:spacing w:after="0" w:line="240" w:lineRule="auto"/>
              <w:jc w:val="both"/>
              <w:rPr>
                <w:rFonts w:ascii="Arial" w:hAnsi="Arial" w:cs="Arial"/>
                <w:iCs/>
                <w:sz w:val="24"/>
                <w:szCs w:val="24"/>
                <w:lang w:val="en-US"/>
              </w:rPr>
            </w:pPr>
          </w:p>
          <w:p w14:paraId="71FEF0DD" w14:textId="77777777" w:rsidR="0063333A" w:rsidRDefault="0063333A" w:rsidP="003E4B53">
            <w:pPr>
              <w:spacing w:after="0" w:line="240" w:lineRule="auto"/>
              <w:jc w:val="both"/>
              <w:rPr>
                <w:rFonts w:ascii="Arial" w:hAnsi="Arial" w:cs="Arial"/>
                <w:iCs/>
                <w:sz w:val="24"/>
                <w:szCs w:val="24"/>
                <w:lang w:val="en-US"/>
              </w:rPr>
            </w:pPr>
          </w:p>
          <w:p w14:paraId="17DAAF56" w14:textId="77777777" w:rsidR="0063333A" w:rsidRDefault="0063333A" w:rsidP="003E4B53">
            <w:pPr>
              <w:spacing w:after="0" w:line="240" w:lineRule="auto"/>
              <w:jc w:val="both"/>
              <w:rPr>
                <w:rFonts w:ascii="Arial" w:hAnsi="Arial" w:cs="Arial"/>
                <w:iCs/>
                <w:sz w:val="24"/>
                <w:szCs w:val="24"/>
                <w:lang w:val="en-US"/>
              </w:rPr>
            </w:pPr>
          </w:p>
          <w:p w14:paraId="7E846AAD" w14:textId="77777777" w:rsidR="0063333A" w:rsidRDefault="0063333A" w:rsidP="003E4B53">
            <w:pPr>
              <w:spacing w:after="0" w:line="240" w:lineRule="auto"/>
              <w:jc w:val="both"/>
              <w:rPr>
                <w:rFonts w:ascii="Arial" w:hAnsi="Arial" w:cs="Arial"/>
                <w:iCs/>
                <w:sz w:val="24"/>
                <w:szCs w:val="24"/>
                <w:lang w:val="en-US"/>
              </w:rPr>
            </w:pPr>
          </w:p>
          <w:p w14:paraId="6D57FA5E" w14:textId="77777777" w:rsidR="0063333A" w:rsidRDefault="0063333A" w:rsidP="003E4B53">
            <w:pPr>
              <w:spacing w:after="0" w:line="240" w:lineRule="auto"/>
              <w:jc w:val="both"/>
              <w:rPr>
                <w:rFonts w:ascii="Arial" w:hAnsi="Arial" w:cs="Arial"/>
                <w:iCs/>
                <w:sz w:val="24"/>
                <w:szCs w:val="24"/>
                <w:lang w:val="en-US"/>
              </w:rPr>
            </w:pPr>
          </w:p>
          <w:p w14:paraId="49BE5A57" w14:textId="77777777" w:rsidR="0063333A" w:rsidRDefault="0063333A" w:rsidP="003E4B53">
            <w:pPr>
              <w:spacing w:after="0" w:line="240" w:lineRule="auto"/>
              <w:jc w:val="both"/>
              <w:rPr>
                <w:rFonts w:ascii="Arial" w:hAnsi="Arial" w:cs="Arial"/>
                <w:iCs/>
                <w:sz w:val="24"/>
                <w:szCs w:val="24"/>
                <w:lang w:val="en-US"/>
              </w:rPr>
            </w:pPr>
          </w:p>
          <w:p w14:paraId="60BC20F9" w14:textId="77777777" w:rsidR="0063333A" w:rsidRDefault="0063333A" w:rsidP="003E4B53">
            <w:pPr>
              <w:spacing w:after="0" w:line="240" w:lineRule="auto"/>
              <w:jc w:val="both"/>
              <w:rPr>
                <w:rFonts w:ascii="Arial" w:hAnsi="Arial" w:cs="Arial"/>
                <w:iCs/>
                <w:sz w:val="24"/>
                <w:szCs w:val="24"/>
                <w:lang w:val="en-US"/>
              </w:rPr>
            </w:pPr>
          </w:p>
          <w:p w14:paraId="595CEA10" w14:textId="679C1D35" w:rsidR="0063333A" w:rsidRPr="000C152A" w:rsidRDefault="0063333A" w:rsidP="003E4B53">
            <w:pPr>
              <w:spacing w:after="0" w:line="240" w:lineRule="auto"/>
              <w:jc w:val="both"/>
              <w:rPr>
                <w:rFonts w:ascii="Arial" w:hAnsi="Arial" w:cs="Arial"/>
                <w:iCs/>
                <w:sz w:val="24"/>
                <w:szCs w:val="24"/>
                <w:lang w:val="en-US"/>
              </w:rPr>
            </w:pPr>
          </w:p>
        </w:tc>
        <w:tc>
          <w:tcPr>
            <w:tcW w:w="2529" w:type="pct"/>
          </w:tcPr>
          <w:p w14:paraId="2E6A4221" w14:textId="6FD49719" w:rsidR="00B939A9" w:rsidRPr="00FA1AC6" w:rsidRDefault="00FB6525" w:rsidP="00B939A9">
            <w:pPr>
              <w:spacing w:after="0" w:line="240" w:lineRule="auto"/>
              <w:jc w:val="both"/>
              <w:rPr>
                <w:rFonts w:ascii="Arial" w:hAnsi="Arial" w:cs="Arial"/>
                <w:sz w:val="24"/>
                <w:szCs w:val="24"/>
              </w:rPr>
            </w:pPr>
            <w:r w:rsidRPr="00FA1AC6">
              <w:rPr>
                <w:rFonts w:ascii="Arial" w:hAnsi="Arial" w:cs="Arial"/>
                <w:sz w:val="24"/>
                <w:szCs w:val="24"/>
              </w:rPr>
              <w:lastRenderedPageBreak/>
              <w:t xml:space="preserve">In </w:t>
            </w:r>
            <w:r w:rsidR="00B04B36" w:rsidRPr="00FA1AC6">
              <w:rPr>
                <w:rFonts w:ascii="Arial" w:hAnsi="Arial" w:cs="Arial"/>
                <w:sz w:val="24"/>
                <w:szCs w:val="24"/>
              </w:rPr>
              <w:t>relation to</w:t>
            </w:r>
            <w:r w:rsidRPr="00FA1AC6">
              <w:rPr>
                <w:rFonts w:ascii="Arial" w:hAnsi="Arial" w:cs="Arial"/>
                <w:sz w:val="24"/>
                <w:szCs w:val="24"/>
              </w:rPr>
              <w:t xml:space="preserve"> </w:t>
            </w:r>
            <w:r w:rsidR="00B04B36" w:rsidRPr="00FA1AC6">
              <w:rPr>
                <w:rFonts w:ascii="Arial" w:hAnsi="Arial" w:cs="Arial"/>
                <w:sz w:val="24"/>
                <w:szCs w:val="24"/>
              </w:rPr>
              <w:t>policy</w:t>
            </w:r>
            <w:r w:rsidRPr="00FA1AC6">
              <w:rPr>
                <w:rFonts w:ascii="Arial" w:hAnsi="Arial" w:cs="Arial"/>
                <w:sz w:val="24"/>
                <w:szCs w:val="24"/>
              </w:rPr>
              <w:t xml:space="preserve"> to address the gaps and inequalities, </w:t>
            </w:r>
            <w:r w:rsidR="00B939A9" w:rsidRPr="00FA1AC6">
              <w:rPr>
                <w:rFonts w:ascii="Arial" w:hAnsi="Arial" w:cs="Arial"/>
                <w:sz w:val="24"/>
                <w:szCs w:val="24"/>
              </w:rPr>
              <w:t>Malaysia Education Blueprint 2015-2025 (Higher Education) set out five aspirations</w:t>
            </w:r>
            <w:r w:rsidR="004F49C8" w:rsidRPr="00FA1AC6">
              <w:rPr>
                <w:rFonts w:ascii="Arial" w:hAnsi="Arial" w:cs="Arial"/>
                <w:sz w:val="24"/>
                <w:szCs w:val="24"/>
              </w:rPr>
              <w:t xml:space="preserve"> which covers </w:t>
            </w:r>
            <w:r w:rsidR="00B939A9" w:rsidRPr="00FA1AC6">
              <w:rPr>
                <w:rFonts w:ascii="Arial" w:hAnsi="Arial" w:cs="Arial"/>
                <w:sz w:val="24"/>
                <w:szCs w:val="24"/>
              </w:rPr>
              <w:t>access, quality, equity, unity, and efficiency. To effectively assess equity in the system, the Ministry aims to ensure that all Malaysians can fulfil their potential regardless of background. For example, the Ministry is committed to improving the enrolment rate and completion rate of students</w:t>
            </w:r>
            <w:r w:rsidR="004F49C8" w:rsidRPr="00FA1AC6">
              <w:rPr>
                <w:rFonts w:ascii="Arial" w:hAnsi="Arial" w:cs="Arial"/>
                <w:sz w:val="24"/>
                <w:szCs w:val="24"/>
              </w:rPr>
              <w:t xml:space="preserve"> regardless of their</w:t>
            </w:r>
            <w:r w:rsidR="00B939A9" w:rsidRPr="00FA1AC6">
              <w:rPr>
                <w:rFonts w:ascii="Arial" w:hAnsi="Arial" w:cs="Arial"/>
                <w:sz w:val="24"/>
                <w:szCs w:val="24"/>
              </w:rPr>
              <w:t xml:space="preserve"> socio-economic background</w:t>
            </w:r>
            <w:r w:rsidR="004F49C8" w:rsidRPr="00FA1AC6">
              <w:rPr>
                <w:rFonts w:ascii="Arial" w:hAnsi="Arial" w:cs="Arial"/>
                <w:sz w:val="24"/>
                <w:szCs w:val="24"/>
              </w:rPr>
              <w:t xml:space="preserve"> or geographical location</w:t>
            </w:r>
            <w:r w:rsidR="00B939A9" w:rsidRPr="00FA1AC6">
              <w:rPr>
                <w:rFonts w:ascii="Arial" w:hAnsi="Arial" w:cs="Arial"/>
                <w:sz w:val="24"/>
                <w:szCs w:val="24"/>
              </w:rPr>
              <w:t>.</w:t>
            </w:r>
          </w:p>
          <w:p w14:paraId="30DBA423" w14:textId="77777777" w:rsidR="00B939A9" w:rsidRPr="00FA1AC6" w:rsidRDefault="00B939A9" w:rsidP="00B939A9">
            <w:pPr>
              <w:spacing w:after="0" w:line="240" w:lineRule="auto"/>
              <w:jc w:val="both"/>
              <w:rPr>
                <w:rFonts w:ascii="Arial" w:hAnsi="Arial" w:cs="Arial"/>
                <w:sz w:val="24"/>
                <w:szCs w:val="24"/>
              </w:rPr>
            </w:pPr>
          </w:p>
          <w:p w14:paraId="780788D9" w14:textId="52903FAB" w:rsidR="00B939A9" w:rsidRPr="00FA1AC6" w:rsidRDefault="00B939A9" w:rsidP="00FA1AC6">
            <w:pPr>
              <w:spacing w:after="0" w:line="240" w:lineRule="auto"/>
              <w:jc w:val="both"/>
              <w:rPr>
                <w:rFonts w:ascii="Arial" w:hAnsi="Arial" w:cs="Arial"/>
                <w:sz w:val="24"/>
                <w:szCs w:val="24"/>
              </w:rPr>
            </w:pPr>
            <w:r w:rsidRPr="00FA1AC6">
              <w:rPr>
                <w:rFonts w:ascii="Arial" w:hAnsi="Arial" w:cs="Arial"/>
                <w:sz w:val="24"/>
                <w:szCs w:val="24"/>
              </w:rPr>
              <w:t>The Malaysian Government has taken several steps to promote inclusivity in higher education, including:</w:t>
            </w:r>
          </w:p>
          <w:p w14:paraId="7F9EFB7F" w14:textId="513F9D7C" w:rsidR="00B939A9" w:rsidRPr="00FA1AC6" w:rsidRDefault="00B939A9" w:rsidP="00FA1AC6">
            <w:pPr>
              <w:pStyle w:val="ListParagraph"/>
              <w:numPr>
                <w:ilvl w:val="0"/>
                <w:numId w:val="26"/>
              </w:numPr>
              <w:spacing w:after="0" w:line="240" w:lineRule="auto"/>
              <w:ind w:left="887" w:hanging="527"/>
              <w:jc w:val="both"/>
              <w:rPr>
                <w:rFonts w:ascii="Arial" w:hAnsi="Arial" w:cs="Arial"/>
                <w:sz w:val="24"/>
                <w:szCs w:val="24"/>
              </w:rPr>
            </w:pPr>
            <w:r w:rsidRPr="00FA1AC6">
              <w:rPr>
                <w:rFonts w:ascii="Arial" w:hAnsi="Arial" w:cs="Arial"/>
                <w:sz w:val="24"/>
                <w:szCs w:val="24"/>
              </w:rPr>
              <w:t>Increasing access to higher education for underrepresented groups through a special application lane for the admission of low-income students (B40) and students with disabilities to public universities (IPTA) and public vocational training institutions (ILKA)</w:t>
            </w:r>
            <w:r w:rsidR="00FA1AC6" w:rsidRPr="00FA1AC6">
              <w:rPr>
                <w:rFonts w:ascii="Arial" w:hAnsi="Arial" w:cs="Arial"/>
                <w:sz w:val="24"/>
                <w:szCs w:val="24"/>
              </w:rPr>
              <w:t xml:space="preserve">; </w:t>
            </w:r>
          </w:p>
          <w:p w14:paraId="1B274336" w14:textId="3133F808" w:rsidR="00B939A9" w:rsidRPr="00FA1AC6" w:rsidRDefault="00B939A9" w:rsidP="00FA1AC6">
            <w:pPr>
              <w:pStyle w:val="ListParagraph"/>
              <w:numPr>
                <w:ilvl w:val="0"/>
                <w:numId w:val="26"/>
              </w:numPr>
              <w:spacing w:after="0" w:line="240" w:lineRule="auto"/>
              <w:ind w:left="887" w:hanging="527"/>
              <w:jc w:val="both"/>
              <w:rPr>
                <w:rFonts w:ascii="Arial" w:hAnsi="Arial" w:cs="Arial"/>
                <w:sz w:val="24"/>
                <w:szCs w:val="24"/>
              </w:rPr>
            </w:pPr>
            <w:r w:rsidRPr="00FA1AC6">
              <w:rPr>
                <w:rFonts w:ascii="Arial" w:hAnsi="Arial" w:cs="Arial"/>
                <w:sz w:val="24"/>
                <w:szCs w:val="24"/>
              </w:rPr>
              <w:t xml:space="preserve">Providing financial assistance and scholarships to help students overcome financial barriers to higher education. The government provides financial support through scholarships and grants to students from low-income families to pursue higher education. Examples are the First Child Student Development Programme or known as “SULUNG” and TVET Scholarship Programme or known as “Dermasiswa TVET”. For example, the success of SULUNG hinges on the ability of these students to have good careers and lift their families out of poverty. It is hoped that the SULUNG students will be </w:t>
            </w:r>
            <w:r w:rsidRPr="00FA1AC6">
              <w:rPr>
                <w:rFonts w:ascii="Arial" w:hAnsi="Arial" w:cs="Arial"/>
                <w:sz w:val="24"/>
                <w:szCs w:val="24"/>
              </w:rPr>
              <w:lastRenderedPageBreak/>
              <w:t xml:space="preserve">independent after graduation and break the cycle of poverty. </w:t>
            </w:r>
            <w:r w:rsidR="004F49C8" w:rsidRPr="00FA1AC6">
              <w:rPr>
                <w:rFonts w:ascii="Arial" w:hAnsi="Arial" w:cs="Arial"/>
                <w:sz w:val="24"/>
                <w:szCs w:val="24"/>
              </w:rPr>
              <w:t>Ministry</w:t>
            </w:r>
            <w:r w:rsidRPr="00FA1AC6">
              <w:rPr>
                <w:rFonts w:ascii="Arial" w:hAnsi="Arial" w:cs="Arial"/>
                <w:sz w:val="24"/>
                <w:szCs w:val="24"/>
              </w:rPr>
              <w:t xml:space="preserve"> also hope</w:t>
            </w:r>
            <w:r w:rsidR="004F49C8" w:rsidRPr="00FA1AC6">
              <w:rPr>
                <w:rFonts w:ascii="Arial" w:hAnsi="Arial" w:cs="Arial"/>
                <w:sz w:val="24"/>
                <w:szCs w:val="24"/>
              </w:rPr>
              <w:t>s</w:t>
            </w:r>
            <w:r w:rsidRPr="00FA1AC6">
              <w:rPr>
                <w:rFonts w:ascii="Arial" w:hAnsi="Arial" w:cs="Arial"/>
                <w:sz w:val="24"/>
                <w:szCs w:val="24"/>
              </w:rPr>
              <w:t xml:space="preserve"> that their success will motivate their other family members and also the local community to strive for success. </w:t>
            </w:r>
          </w:p>
          <w:p w14:paraId="6AEEE148" w14:textId="5B6E329B" w:rsidR="00FB6525" w:rsidRPr="00FA1AC6" w:rsidRDefault="00B939A9" w:rsidP="00FA1AC6">
            <w:pPr>
              <w:pStyle w:val="ListParagraph"/>
              <w:numPr>
                <w:ilvl w:val="0"/>
                <w:numId w:val="26"/>
              </w:numPr>
              <w:spacing w:after="0" w:line="240" w:lineRule="auto"/>
              <w:ind w:left="887" w:hanging="527"/>
              <w:jc w:val="both"/>
              <w:rPr>
                <w:rFonts w:ascii="Arial" w:hAnsi="Arial" w:cs="Arial"/>
                <w:sz w:val="24"/>
                <w:szCs w:val="24"/>
              </w:rPr>
            </w:pPr>
            <w:r w:rsidRPr="00FA1AC6">
              <w:rPr>
                <w:rFonts w:ascii="Arial" w:hAnsi="Arial" w:cs="Arial"/>
                <w:sz w:val="24"/>
                <w:szCs w:val="24"/>
              </w:rPr>
              <w:t xml:space="preserve">Implementing policies and practices that promote diversity and inclusion and offering support services and resources to help students succeed academically, such as tutoring, mentoring, and </w:t>
            </w:r>
            <w:r w:rsidR="004F49C8" w:rsidRPr="00FA1AC6">
              <w:rPr>
                <w:rFonts w:ascii="Arial" w:hAnsi="Arial" w:cs="Arial"/>
                <w:sz w:val="24"/>
                <w:szCs w:val="24"/>
              </w:rPr>
              <w:t>counselling</w:t>
            </w:r>
            <w:r w:rsidRPr="00FA1AC6">
              <w:rPr>
                <w:rFonts w:ascii="Arial" w:hAnsi="Arial" w:cs="Arial"/>
                <w:sz w:val="24"/>
                <w:szCs w:val="24"/>
              </w:rPr>
              <w:t>. For example, the inclusive Open Educational Resources (iOER) has been produced as a national policy statement to provide direction in the design, development and use of iOER. It drives to increase access and support quality T&amp;L in Malaysia’s higher education under a creative commons license which involves content, activities and resources that fit and can be adapted to everyone’s unique needs, with no or minimal barriers.</w:t>
            </w:r>
          </w:p>
          <w:p w14:paraId="0BF19BD6" w14:textId="6B1F7811" w:rsidR="0063333A" w:rsidRPr="00FA1AC6" w:rsidRDefault="0063333A" w:rsidP="00FA1AC6">
            <w:pPr>
              <w:pStyle w:val="ListParagraph"/>
              <w:numPr>
                <w:ilvl w:val="0"/>
                <w:numId w:val="26"/>
              </w:numPr>
              <w:spacing w:after="0" w:line="240" w:lineRule="auto"/>
              <w:ind w:left="887" w:hanging="527"/>
              <w:jc w:val="both"/>
              <w:rPr>
                <w:rFonts w:ascii="Arial" w:hAnsi="Arial" w:cs="Arial"/>
                <w:sz w:val="24"/>
                <w:szCs w:val="24"/>
              </w:rPr>
            </w:pPr>
            <w:r w:rsidRPr="00FA1AC6">
              <w:rPr>
                <w:rFonts w:ascii="Arial" w:hAnsi="Arial" w:cs="Arial"/>
                <w:sz w:val="24"/>
                <w:szCs w:val="24"/>
              </w:rPr>
              <w:t xml:space="preserve">MoHE </w:t>
            </w:r>
            <w:r w:rsidR="0020760E" w:rsidRPr="00FA1AC6">
              <w:rPr>
                <w:rFonts w:ascii="Arial" w:hAnsi="Arial" w:cs="Arial"/>
                <w:sz w:val="24"/>
                <w:szCs w:val="24"/>
              </w:rPr>
              <w:t xml:space="preserve">has </w:t>
            </w:r>
            <w:r w:rsidRPr="00FA1AC6">
              <w:rPr>
                <w:rFonts w:ascii="Arial" w:hAnsi="Arial" w:cs="Arial"/>
                <w:sz w:val="24"/>
                <w:szCs w:val="24"/>
              </w:rPr>
              <w:t>introduces Bantuan Perantisiswa to assist students from B40 family to receive their own tablet device</w:t>
            </w:r>
            <w:r w:rsidR="0020760E" w:rsidRPr="00FA1AC6">
              <w:rPr>
                <w:rFonts w:ascii="Arial" w:hAnsi="Arial" w:cs="Arial"/>
                <w:sz w:val="24"/>
                <w:szCs w:val="24"/>
              </w:rPr>
              <w:t>s</w:t>
            </w:r>
            <w:r w:rsidRPr="00FA1AC6">
              <w:rPr>
                <w:rFonts w:ascii="Arial" w:hAnsi="Arial" w:cs="Arial"/>
                <w:sz w:val="24"/>
                <w:szCs w:val="24"/>
              </w:rPr>
              <w:t xml:space="preserve"> and broadband.</w:t>
            </w:r>
            <w:r w:rsidR="00D20A28" w:rsidRPr="00FA1AC6">
              <w:rPr>
                <w:rFonts w:ascii="Arial" w:hAnsi="Arial" w:cs="Arial"/>
                <w:sz w:val="24"/>
                <w:szCs w:val="24"/>
              </w:rPr>
              <w:t xml:space="preserve"> </w:t>
            </w:r>
            <w:r w:rsidR="0020760E" w:rsidRPr="00FA1AC6">
              <w:rPr>
                <w:rFonts w:ascii="Arial" w:hAnsi="Arial" w:cs="Arial"/>
                <w:sz w:val="24"/>
                <w:szCs w:val="24"/>
              </w:rPr>
              <w:t xml:space="preserve">In 2023, more than three hundred thousand students </w:t>
            </w:r>
            <w:r w:rsidR="00EC2803" w:rsidRPr="00FA1AC6">
              <w:rPr>
                <w:rFonts w:ascii="Arial" w:hAnsi="Arial" w:cs="Arial"/>
                <w:sz w:val="24"/>
                <w:szCs w:val="24"/>
              </w:rPr>
              <w:t>have</w:t>
            </w:r>
            <w:r w:rsidR="0020760E" w:rsidRPr="00FA1AC6">
              <w:rPr>
                <w:rFonts w:ascii="Arial" w:hAnsi="Arial" w:cs="Arial"/>
                <w:sz w:val="24"/>
                <w:szCs w:val="24"/>
              </w:rPr>
              <w:t xml:space="preserve"> been benefited from this programme.</w:t>
            </w:r>
          </w:p>
          <w:p w14:paraId="497828BA" w14:textId="01325352" w:rsidR="00FB6525" w:rsidRPr="00FA1AC6" w:rsidRDefault="004F49C8" w:rsidP="00FB6525">
            <w:pPr>
              <w:pStyle w:val="ListParagraph"/>
              <w:numPr>
                <w:ilvl w:val="0"/>
                <w:numId w:val="26"/>
              </w:numPr>
              <w:spacing w:after="0" w:line="240" w:lineRule="auto"/>
              <w:ind w:left="887" w:hanging="527"/>
              <w:jc w:val="both"/>
              <w:rPr>
                <w:rFonts w:ascii="Arial" w:hAnsi="Arial" w:cs="Arial"/>
                <w:sz w:val="24"/>
                <w:szCs w:val="24"/>
              </w:rPr>
            </w:pPr>
            <w:r w:rsidRPr="00FA1AC6">
              <w:rPr>
                <w:rFonts w:ascii="Arial" w:hAnsi="Arial" w:cs="Arial"/>
                <w:sz w:val="24"/>
                <w:szCs w:val="24"/>
              </w:rPr>
              <w:t>Life Long</w:t>
            </w:r>
            <w:r w:rsidR="00FB6525" w:rsidRPr="00FA1AC6">
              <w:rPr>
                <w:rFonts w:ascii="Arial" w:hAnsi="Arial" w:cs="Arial"/>
                <w:sz w:val="24"/>
                <w:szCs w:val="24"/>
              </w:rPr>
              <w:t xml:space="preserve"> Learning (LLL) policy also provide avenue to widen the access to higher education to all level of students regardless of their economic background, digital competencies and previous education achievements. Under Shift 3: Nation of Lifelong Learners in Malaysia Education Blueprint 20215-2025 (Higher Education), Ministry of Higher Education emphasises the importance of LLL for the purpose of obtaining academic of skills qualifications through distance learning, e-learning and workplace learning. Participants enrolled in </w:t>
            </w:r>
            <w:r w:rsidR="00FB6525" w:rsidRPr="00FA1AC6">
              <w:rPr>
                <w:rFonts w:ascii="Arial" w:hAnsi="Arial" w:cs="Arial"/>
                <w:sz w:val="24"/>
                <w:szCs w:val="24"/>
              </w:rPr>
              <w:lastRenderedPageBreak/>
              <w:t>LLL through face to face and digital platforms such as Malaysia MOOCs that can be browsed via https://www.openlearning.com/malaysiamoocs.</w:t>
            </w:r>
          </w:p>
          <w:p w14:paraId="5C8C59A1" w14:textId="7A6EE229" w:rsidR="000E6585" w:rsidRPr="00FA1AC6" w:rsidRDefault="000E6585" w:rsidP="00EB6B15">
            <w:pPr>
              <w:spacing w:after="0" w:line="240" w:lineRule="auto"/>
              <w:jc w:val="both"/>
              <w:rPr>
                <w:rFonts w:ascii="Arial" w:hAnsi="Arial" w:cs="Arial"/>
                <w:b/>
                <w:bCs/>
                <w:color w:val="3333FF"/>
                <w:sz w:val="24"/>
                <w:szCs w:val="24"/>
              </w:rPr>
            </w:pPr>
          </w:p>
        </w:tc>
      </w:tr>
      <w:tr w:rsidR="00167EE3" w:rsidRPr="00DB054F" w14:paraId="2DD48C76" w14:textId="77777777" w:rsidTr="00246546">
        <w:tc>
          <w:tcPr>
            <w:tcW w:w="255" w:type="pct"/>
          </w:tcPr>
          <w:p w14:paraId="1582D5CF" w14:textId="77777777" w:rsidR="00167EE3" w:rsidRPr="00F219D4"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216" w:type="pct"/>
          </w:tcPr>
          <w:p w14:paraId="22279D17" w14:textId="5149B745" w:rsidR="00861941" w:rsidRDefault="003E4B53" w:rsidP="003E4B53">
            <w:pPr>
              <w:spacing w:after="0" w:line="240" w:lineRule="auto"/>
              <w:jc w:val="both"/>
              <w:rPr>
                <w:rFonts w:ascii="Arial" w:hAnsi="Arial" w:cs="Arial"/>
                <w:iCs/>
                <w:sz w:val="24"/>
                <w:szCs w:val="24"/>
              </w:rPr>
            </w:pPr>
            <w:r w:rsidRPr="003E4B53">
              <w:rPr>
                <w:rFonts w:ascii="Arial" w:hAnsi="Arial" w:cs="Arial"/>
                <w:iCs/>
                <w:sz w:val="24"/>
                <w:szCs w:val="24"/>
              </w:rPr>
              <w:t xml:space="preserve">Please provide examples of state-supported </w:t>
            </w:r>
            <w:r w:rsidRPr="003E4B53">
              <w:rPr>
                <w:rFonts w:ascii="Arial" w:hAnsi="Arial" w:cs="Arial"/>
                <w:b/>
                <w:iCs/>
                <w:sz w:val="24"/>
                <w:szCs w:val="24"/>
              </w:rPr>
              <w:t>collaboration or partnership</w:t>
            </w:r>
            <w:r>
              <w:rPr>
                <w:rFonts w:ascii="Arial" w:hAnsi="Arial" w:cs="Arial"/>
                <w:iCs/>
                <w:sz w:val="24"/>
                <w:szCs w:val="24"/>
              </w:rPr>
              <w:t xml:space="preserve"> </w:t>
            </w:r>
            <w:r w:rsidRPr="003E4B53">
              <w:rPr>
                <w:rFonts w:ascii="Arial" w:hAnsi="Arial" w:cs="Arial"/>
                <w:iCs/>
                <w:sz w:val="24"/>
                <w:szCs w:val="24"/>
              </w:rPr>
              <w:t>between public educational institutions and corporations producing AI tools for education. Does the education system enforce contracts</w:t>
            </w:r>
            <w:r>
              <w:rPr>
                <w:rFonts w:ascii="Arial" w:hAnsi="Arial" w:cs="Arial"/>
                <w:iCs/>
                <w:sz w:val="24"/>
                <w:szCs w:val="24"/>
              </w:rPr>
              <w:t xml:space="preserve"> </w:t>
            </w:r>
            <w:r w:rsidRPr="003E4B53">
              <w:rPr>
                <w:rFonts w:ascii="Arial" w:hAnsi="Arial" w:cs="Arial"/>
                <w:iCs/>
                <w:sz w:val="24"/>
                <w:szCs w:val="24"/>
              </w:rPr>
              <w:t>with specific software</w:t>
            </w:r>
            <w:r>
              <w:rPr>
                <w:rFonts w:ascii="Arial" w:hAnsi="Arial" w:cs="Arial"/>
                <w:iCs/>
                <w:sz w:val="24"/>
                <w:szCs w:val="24"/>
              </w:rPr>
              <w:t xml:space="preserve"> </w:t>
            </w:r>
            <w:r w:rsidRPr="003E4B53">
              <w:rPr>
                <w:rFonts w:ascii="Arial" w:hAnsi="Arial" w:cs="Arial"/>
                <w:iCs/>
                <w:sz w:val="24"/>
                <w:szCs w:val="24"/>
              </w:rPr>
              <w:t>providers or is there a choice, at</w:t>
            </w:r>
            <w:r>
              <w:rPr>
                <w:rFonts w:ascii="Arial" w:hAnsi="Arial" w:cs="Arial"/>
                <w:iCs/>
                <w:sz w:val="24"/>
                <w:szCs w:val="24"/>
              </w:rPr>
              <w:t xml:space="preserve"> </w:t>
            </w:r>
            <w:r w:rsidRPr="003E4B53">
              <w:rPr>
                <w:rFonts w:ascii="Arial" w:hAnsi="Arial" w:cs="Arial"/>
                <w:iCs/>
                <w:sz w:val="24"/>
                <w:szCs w:val="24"/>
              </w:rPr>
              <w:t xml:space="preserve">which level and is it informed by feedback from </w:t>
            </w:r>
            <w:r>
              <w:rPr>
                <w:rFonts w:ascii="Arial" w:hAnsi="Arial" w:cs="Arial"/>
                <w:iCs/>
                <w:sz w:val="24"/>
                <w:szCs w:val="24"/>
              </w:rPr>
              <w:t xml:space="preserve"> </w:t>
            </w:r>
            <w:r w:rsidRPr="003E4B53">
              <w:rPr>
                <w:rFonts w:ascii="Arial" w:hAnsi="Arial" w:cs="Arial"/>
                <w:iCs/>
                <w:sz w:val="24"/>
                <w:szCs w:val="24"/>
              </w:rPr>
              <w:t>teachers, parents and students, as appropriate? How are data</w:t>
            </w:r>
            <w:r>
              <w:rPr>
                <w:rFonts w:ascii="Arial" w:hAnsi="Arial" w:cs="Arial"/>
                <w:iCs/>
                <w:sz w:val="24"/>
                <w:szCs w:val="24"/>
              </w:rPr>
              <w:t xml:space="preserve"> </w:t>
            </w:r>
            <w:r w:rsidRPr="003E4B53">
              <w:rPr>
                <w:rFonts w:ascii="Arial" w:hAnsi="Arial" w:cs="Arial"/>
                <w:iCs/>
                <w:sz w:val="24"/>
                <w:szCs w:val="24"/>
              </w:rPr>
              <w:t>sovereignty and</w:t>
            </w:r>
            <w:r>
              <w:rPr>
                <w:rFonts w:ascii="Arial" w:hAnsi="Arial" w:cs="Arial"/>
                <w:iCs/>
                <w:sz w:val="24"/>
                <w:szCs w:val="24"/>
              </w:rPr>
              <w:t xml:space="preserve"> </w:t>
            </w:r>
            <w:r w:rsidRPr="003E4B53">
              <w:rPr>
                <w:rFonts w:ascii="Arial" w:hAnsi="Arial" w:cs="Arial"/>
                <w:iCs/>
                <w:sz w:val="24"/>
                <w:szCs w:val="24"/>
              </w:rPr>
              <w:t>localization being addressed in the</w:t>
            </w:r>
            <w:r>
              <w:rPr>
                <w:rFonts w:ascii="Arial" w:hAnsi="Arial" w:cs="Arial"/>
                <w:iCs/>
                <w:sz w:val="24"/>
                <w:szCs w:val="24"/>
              </w:rPr>
              <w:t xml:space="preserve"> </w:t>
            </w:r>
            <w:r w:rsidRPr="003E4B53">
              <w:rPr>
                <w:rFonts w:ascii="Arial" w:hAnsi="Arial" w:cs="Arial"/>
                <w:iCs/>
                <w:sz w:val="24"/>
                <w:szCs w:val="24"/>
              </w:rPr>
              <w:t>context of using international or foreign</w:t>
            </w:r>
            <w:r w:rsidR="00792D4B">
              <w:rPr>
                <w:rFonts w:ascii="Arial" w:hAnsi="Arial" w:cs="Arial"/>
                <w:iCs/>
                <w:sz w:val="24"/>
                <w:szCs w:val="24"/>
              </w:rPr>
              <w:t xml:space="preserve"> </w:t>
            </w:r>
            <w:r w:rsidRPr="003E4B53">
              <w:rPr>
                <w:rFonts w:ascii="Arial" w:hAnsi="Arial" w:cs="Arial"/>
                <w:iCs/>
                <w:sz w:val="24"/>
                <w:szCs w:val="24"/>
              </w:rPr>
              <w:t>developed AI</w:t>
            </w:r>
            <w:r>
              <w:rPr>
                <w:rFonts w:ascii="Arial" w:hAnsi="Arial" w:cs="Arial"/>
                <w:iCs/>
                <w:sz w:val="24"/>
                <w:szCs w:val="24"/>
              </w:rPr>
              <w:t xml:space="preserve"> </w:t>
            </w:r>
            <w:r w:rsidRPr="003E4B53">
              <w:rPr>
                <w:rFonts w:ascii="Arial" w:hAnsi="Arial" w:cs="Arial"/>
                <w:iCs/>
                <w:sz w:val="24"/>
                <w:szCs w:val="24"/>
              </w:rPr>
              <w:t>tools in education</w:t>
            </w:r>
            <w:r>
              <w:rPr>
                <w:rFonts w:ascii="Arial" w:hAnsi="Arial" w:cs="Arial"/>
                <w:iCs/>
                <w:sz w:val="24"/>
                <w:szCs w:val="24"/>
              </w:rPr>
              <w:t>.</w:t>
            </w:r>
          </w:p>
          <w:p w14:paraId="51373E5D" w14:textId="77777777" w:rsidR="003E4B53" w:rsidRDefault="003E4B53" w:rsidP="003E4B53">
            <w:pPr>
              <w:spacing w:after="0" w:line="240" w:lineRule="auto"/>
              <w:jc w:val="both"/>
              <w:rPr>
                <w:rFonts w:ascii="Arial" w:hAnsi="Arial" w:cs="Arial"/>
                <w:iCs/>
                <w:sz w:val="24"/>
                <w:szCs w:val="24"/>
              </w:rPr>
            </w:pPr>
          </w:p>
          <w:p w14:paraId="5C056285" w14:textId="65F1BD6D" w:rsidR="00CE7A7F" w:rsidRPr="000C152A" w:rsidRDefault="00CE7A7F" w:rsidP="005F7092">
            <w:pPr>
              <w:spacing w:after="0" w:line="240" w:lineRule="auto"/>
              <w:jc w:val="both"/>
              <w:rPr>
                <w:rFonts w:ascii="Arial" w:hAnsi="Arial" w:cs="Arial"/>
                <w:iCs/>
                <w:sz w:val="24"/>
                <w:szCs w:val="24"/>
              </w:rPr>
            </w:pPr>
          </w:p>
        </w:tc>
        <w:tc>
          <w:tcPr>
            <w:tcW w:w="2529" w:type="pct"/>
          </w:tcPr>
          <w:p w14:paraId="42AC0D2F" w14:textId="77777777" w:rsidR="00D61695" w:rsidRPr="00AE7D73" w:rsidRDefault="00AE7D73" w:rsidP="005F7092">
            <w:pPr>
              <w:spacing w:after="0" w:line="240" w:lineRule="auto"/>
              <w:jc w:val="both"/>
              <w:rPr>
                <w:rFonts w:ascii="Arial" w:hAnsi="Arial" w:cs="Arial"/>
                <w:bCs/>
                <w:sz w:val="24"/>
                <w:szCs w:val="24"/>
              </w:rPr>
            </w:pPr>
            <w:r w:rsidRPr="00AE7D73">
              <w:rPr>
                <w:rFonts w:ascii="Arial" w:hAnsi="Arial" w:cs="Arial"/>
                <w:bCs/>
                <w:sz w:val="24"/>
                <w:szCs w:val="24"/>
              </w:rPr>
              <w:t>MoE Malaysia has established numerous partnerships and collaborations with education stakeholders to foster adaptability and innovation, as well as expedite the culture of digital technology integration in teaching and learning. Among others, the Ministry has collaborated with Google to establish a digital learning platform named DELIMa, or Digital Educational Learning Initiative Malaysia since July 2019. To date, besides participation from Google, the Ministry has also collaborated with other large information technology companies (Tech Giants) including Apple and Microsoft to provide access to teachers’ digital upskilling programmes.</w:t>
            </w:r>
          </w:p>
          <w:p w14:paraId="55A17363" w14:textId="2478A058" w:rsidR="00AE7D73" w:rsidRPr="005F7092" w:rsidRDefault="00AE7D73" w:rsidP="005F7092">
            <w:pPr>
              <w:spacing w:after="0" w:line="240" w:lineRule="auto"/>
              <w:jc w:val="both"/>
              <w:rPr>
                <w:rFonts w:ascii="Arial" w:hAnsi="Arial" w:cs="Arial"/>
                <w:b/>
                <w:bCs/>
                <w:sz w:val="24"/>
                <w:szCs w:val="24"/>
              </w:rPr>
            </w:pPr>
          </w:p>
        </w:tc>
      </w:tr>
      <w:tr w:rsidR="003C21EC" w:rsidRPr="00DB054F" w14:paraId="22CCF189" w14:textId="77777777" w:rsidTr="00246546">
        <w:tc>
          <w:tcPr>
            <w:tcW w:w="255" w:type="pct"/>
          </w:tcPr>
          <w:p w14:paraId="35B709A9" w14:textId="77777777" w:rsidR="003C21EC" w:rsidRPr="00DD4195" w:rsidRDefault="003C21EC" w:rsidP="00104500">
            <w:pPr>
              <w:pStyle w:val="ListParagraph"/>
              <w:numPr>
                <w:ilvl w:val="0"/>
                <w:numId w:val="3"/>
              </w:numPr>
              <w:spacing w:after="0" w:line="240" w:lineRule="auto"/>
              <w:ind w:right="42"/>
              <w:jc w:val="both"/>
              <w:rPr>
                <w:rFonts w:ascii="Arial" w:hAnsi="Arial" w:cs="Arial"/>
                <w:color w:val="7030A0"/>
                <w:sz w:val="24"/>
                <w:szCs w:val="24"/>
              </w:rPr>
            </w:pPr>
          </w:p>
        </w:tc>
        <w:tc>
          <w:tcPr>
            <w:tcW w:w="2216" w:type="pct"/>
          </w:tcPr>
          <w:p w14:paraId="4EEF68C8" w14:textId="42C13B58" w:rsidR="00861941" w:rsidRDefault="003E4B53" w:rsidP="003E4B53">
            <w:pPr>
              <w:spacing w:after="0" w:line="240" w:lineRule="auto"/>
              <w:jc w:val="both"/>
              <w:rPr>
                <w:rFonts w:ascii="Arial" w:hAnsi="Arial" w:cs="Arial"/>
                <w:iCs/>
                <w:sz w:val="24"/>
                <w:szCs w:val="24"/>
              </w:rPr>
            </w:pPr>
            <w:r>
              <w:rPr>
                <w:rFonts w:ascii="Arial" w:hAnsi="Arial" w:cs="Arial"/>
                <w:iCs/>
                <w:sz w:val="24"/>
                <w:szCs w:val="24"/>
              </w:rPr>
              <w:t>W</w:t>
            </w:r>
            <w:r w:rsidRPr="003E4B53">
              <w:rPr>
                <w:rFonts w:ascii="Arial" w:hAnsi="Arial" w:cs="Arial"/>
                <w:iCs/>
                <w:sz w:val="24"/>
                <w:szCs w:val="24"/>
              </w:rPr>
              <w:t xml:space="preserve">hat are the main </w:t>
            </w:r>
            <w:r w:rsidRPr="003E4B53">
              <w:rPr>
                <w:rFonts w:ascii="Arial" w:hAnsi="Arial" w:cs="Arial"/>
                <w:b/>
                <w:iCs/>
                <w:sz w:val="24"/>
                <w:szCs w:val="24"/>
              </w:rPr>
              <w:t>challenges</w:t>
            </w:r>
            <w:r w:rsidRPr="003E4B53">
              <w:rPr>
                <w:rFonts w:ascii="Arial" w:hAnsi="Arial" w:cs="Arial"/>
                <w:iCs/>
                <w:sz w:val="24"/>
                <w:szCs w:val="24"/>
              </w:rPr>
              <w:t xml:space="preserve"> encountered during the</w:t>
            </w:r>
            <w:r>
              <w:rPr>
                <w:rFonts w:ascii="Arial" w:hAnsi="Arial" w:cs="Arial"/>
                <w:iCs/>
                <w:sz w:val="24"/>
                <w:szCs w:val="24"/>
              </w:rPr>
              <w:t xml:space="preserve"> </w:t>
            </w:r>
            <w:r w:rsidRPr="003E4B53">
              <w:rPr>
                <w:rFonts w:ascii="Arial" w:hAnsi="Arial" w:cs="Arial"/>
                <w:iCs/>
                <w:sz w:val="24"/>
                <w:szCs w:val="24"/>
              </w:rPr>
              <w:t>implementation of AI in education? Have there been any</w:t>
            </w:r>
            <w:r>
              <w:rPr>
                <w:rFonts w:ascii="Arial" w:hAnsi="Arial" w:cs="Arial"/>
                <w:iCs/>
                <w:sz w:val="24"/>
                <w:szCs w:val="24"/>
              </w:rPr>
              <w:t xml:space="preserve"> </w:t>
            </w:r>
            <w:r w:rsidRPr="003E4B53">
              <w:rPr>
                <w:rFonts w:ascii="Arial" w:hAnsi="Arial" w:cs="Arial"/>
                <w:iCs/>
                <w:sz w:val="24"/>
                <w:szCs w:val="24"/>
              </w:rPr>
              <w:t>technical, ethical, financial or regulatory</w:t>
            </w:r>
            <w:r>
              <w:rPr>
                <w:rFonts w:ascii="Arial" w:hAnsi="Arial" w:cs="Arial"/>
                <w:iCs/>
                <w:sz w:val="24"/>
                <w:szCs w:val="24"/>
              </w:rPr>
              <w:t xml:space="preserve"> </w:t>
            </w:r>
            <w:r w:rsidRPr="003E4B53">
              <w:rPr>
                <w:rFonts w:ascii="Arial" w:hAnsi="Arial" w:cs="Arial"/>
                <w:iCs/>
                <w:sz w:val="24"/>
                <w:szCs w:val="24"/>
              </w:rPr>
              <w:t>hurdles in deploying AI solutions in the educational context?</w:t>
            </w:r>
          </w:p>
          <w:p w14:paraId="4B0DED03" w14:textId="77777777" w:rsidR="003E4B53" w:rsidRDefault="003E4B53" w:rsidP="003E4B53">
            <w:pPr>
              <w:spacing w:after="0" w:line="240" w:lineRule="auto"/>
              <w:jc w:val="both"/>
              <w:rPr>
                <w:rFonts w:ascii="Arial" w:hAnsi="Arial" w:cs="Arial"/>
                <w:iCs/>
                <w:sz w:val="24"/>
                <w:szCs w:val="24"/>
              </w:rPr>
            </w:pPr>
          </w:p>
          <w:p w14:paraId="49FA76A7" w14:textId="53DB32FE" w:rsidR="00CE7A7F" w:rsidRPr="00CE7A7F" w:rsidRDefault="00CE7A7F" w:rsidP="003E4B53">
            <w:pPr>
              <w:spacing w:after="0" w:line="240" w:lineRule="auto"/>
              <w:jc w:val="both"/>
              <w:rPr>
                <w:rFonts w:ascii="Arial" w:hAnsi="Arial" w:cs="Arial"/>
                <w:iCs/>
                <w:sz w:val="24"/>
                <w:szCs w:val="24"/>
                <w:lang w:val="fi-FI"/>
              </w:rPr>
            </w:pPr>
          </w:p>
        </w:tc>
        <w:tc>
          <w:tcPr>
            <w:tcW w:w="2529" w:type="pct"/>
          </w:tcPr>
          <w:p w14:paraId="1D130342" w14:textId="7B064B50" w:rsidR="00FA1AC6" w:rsidRDefault="00FA1AC6" w:rsidP="00C15F99">
            <w:pPr>
              <w:spacing w:after="0" w:line="240" w:lineRule="auto"/>
              <w:jc w:val="both"/>
              <w:rPr>
                <w:rFonts w:ascii="Arial" w:hAnsi="Arial" w:cs="Arial"/>
                <w:bCs/>
                <w:sz w:val="24"/>
                <w:szCs w:val="24"/>
              </w:rPr>
            </w:pPr>
            <w:r>
              <w:rPr>
                <w:rFonts w:ascii="Arial" w:hAnsi="Arial" w:cs="Arial"/>
                <w:bCs/>
                <w:sz w:val="24"/>
                <w:szCs w:val="24"/>
              </w:rPr>
              <w:t xml:space="preserve">Main challenges for implementation of AI in education: </w:t>
            </w:r>
          </w:p>
          <w:p w14:paraId="578AD698" w14:textId="77777777" w:rsidR="00FA1AC6" w:rsidRPr="00976B5B" w:rsidRDefault="00FA1AC6" w:rsidP="00C15F99">
            <w:pPr>
              <w:spacing w:after="0" w:line="240" w:lineRule="auto"/>
              <w:jc w:val="both"/>
              <w:rPr>
                <w:rFonts w:ascii="Arial" w:hAnsi="Arial" w:cs="Arial"/>
                <w:bCs/>
                <w:sz w:val="24"/>
                <w:szCs w:val="24"/>
              </w:rPr>
            </w:pPr>
          </w:p>
          <w:p w14:paraId="032B2F8C" w14:textId="2DB9E3BF" w:rsidR="00EF41BA" w:rsidRPr="00135B2F" w:rsidRDefault="00EF41BA" w:rsidP="00135B2F">
            <w:pPr>
              <w:pStyle w:val="ListParagraph"/>
              <w:numPr>
                <w:ilvl w:val="0"/>
                <w:numId w:val="27"/>
              </w:numPr>
              <w:spacing w:after="0" w:line="240" w:lineRule="auto"/>
              <w:ind w:left="747" w:hanging="747"/>
              <w:jc w:val="both"/>
              <w:rPr>
                <w:rFonts w:ascii="Arial" w:hAnsi="Arial" w:cs="Arial"/>
                <w:b/>
                <w:sz w:val="24"/>
                <w:szCs w:val="24"/>
              </w:rPr>
            </w:pPr>
            <w:r w:rsidRPr="00135B2F">
              <w:rPr>
                <w:rFonts w:ascii="Arial" w:hAnsi="Arial" w:cs="Arial"/>
                <w:b/>
                <w:sz w:val="24"/>
                <w:szCs w:val="24"/>
              </w:rPr>
              <w:t>Shortage of AI Talent</w:t>
            </w:r>
          </w:p>
          <w:p w14:paraId="083B1142" w14:textId="65275D2C" w:rsidR="003434D6" w:rsidRPr="00976B5B" w:rsidRDefault="003434D6" w:rsidP="00135B2F">
            <w:pPr>
              <w:pStyle w:val="ListParagraph"/>
              <w:spacing w:after="0" w:line="240" w:lineRule="auto"/>
              <w:ind w:left="747"/>
              <w:jc w:val="both"/>
              <w:rPr>
                <w:rFonts w:ascii="Arial" w:hAnsi="Arial" w:cs="Arial"/>
                <w:bCs/>
                <w:sz w:val="24"/>
                <w:szCs w:val="24"/>
              </w:rPr>
            </w:pPr>
            <w:r w:rsidRPr="00976B5B">
              <w:rPr>
                <w:rFonts w:ascii="Arial" w:hAnsi="Arial" w:cs="Arial"/>
                <w:bCs/>
                <w:sz w:val="24"/>
                <w:szCs w:val="24"/>
              </w:rPr>
              <w:t>The pool of fresh AI Talents in Malaysia can be measured primarily by the number of computer science graduates and electrical engineering graduates.</w:t>
            </w:r>
            <w:r w:rsidR="00135B2F">
              <w:rPr>
                <w:rFonts w:ascii="Arial" w:hAnsi="Arial" w:cs="Arial"/>
                <w:bCs/>
                <w:sz w:val="24"/>
                <w:szCs w:val="24"/>
              </w:rPr>
              <w:t xml:space="preserve"> </w:t>
            </w:r>
            <w:r w:rsidRPr="00976B5B">
              <w:rPr>
                <w:rFonts w:ascii="Arial" w:hAnsi="Arial" w:cs="Arial"/>
                <w:bCs/>
                <w:sz w:val="24"/>
                <w:szCs w:val="24"/>
              </w:rPr>
              <w:t>Since engineering and data science are the foundation of AI, these talents possess the basics for AI and are suitable for further upskilling and specialization in the area of AI. The nationwide AI-</w:t>
            </w:r>
            <w:r w:rsidR="00035A37" w:rsidRPr="00976B5B">
              <w:rPr>
                <w:rFonts w:ascii="Arial" w:hAnsi="Arial" w:cs="Arial"/>
                <w:bCs/>
                <w:sz w:val="24"/>
                <w:szCs w:val="24"/>
              </w:rPr>
              <w:t xml:space="preserve">RMAP </w:t>
            </w:r>
            <w:r w:rsidRPr="00976B5B">
              <w:rPr>
                <w:rFonts w:ascii="Arial" w:hAnsi="Arial" w:cs="Arial"/>
                <w:bCs/>
                <w:sz w:val="24"/>
                <w:szCs w:val="24"/>
              </w:rPr>
              <w:t>2021 survey shows that AI Talents in Malaysia are mainly sourced by upskilling current employees, industry-university partnership, and advertisements.</w:t>
            </w:r>
          </w:p>
          <w:p w14:paraId="66042611" w14:textId="77777777" w:rsidR="00EF41BA" w:rsidRPr="00976B5B" w:rsidRDefault="00EF41BA" w:rsidP="00C15F99">
            <w:pPr>
              <w:spacing w:after="0" w:line="240" w:lineRule="auto"/>
              <w:jc w:val="both"/>
              <w:rPr>
                <w:rFonts w:ascii="Arial" w:hAnsi="Arial" w:cs="Arial"/>
                <w:bCs/>
                <w:sz w:val="24"/>
                <w:szCs w:val="24"/>
              </w:rPr>
            </w:pPr>
          </w:p>
          <w:p w14:paraId="3D302295" w14:textId="0B3E4ED3" w:rsidR="00EF41BA" w:rsidRPr="00135B2F" w:rsidRDefault="00EF41BA" w:rsidP="00135B2F">
            <w:pPr>
              <w:pStyle w:val="ListParagraph"/>
              <w:numPr>
                <w:ilvl w:val="0"/>
                <w:numId w:val="27"/>
              </w:numPr>
              <w:spacing w:after="0" w:line="240" w:lineRule="auto"/>
              <w:ind w:left="747" w:hanging="747"/>
              <w:jc w:val="both"/>
              <w:rPr>
                <w:rFonts w:ascii="Arial" w:hAnsi="Arial" w:cs="Arial"/>
                <w:b/>
                <w:sz w:val="24"/>
                <w:szCs w:val="24"/>
              </w:rPr>
            </w:pPr>
            <w:r w:rsidRPr="00135B2F">
              <w:rPr>
                <w:rFonts w:ascii="Arial" w:hAnsi="Arial" w:cs="Arial"/>
                <w:b/>
                <w:sz w:val="24"/>
                <w:szCs w:val="24"/>
              </w:rPr>
              <w:lastRenderedPageBreak/>
              <w:t xml:space="preserve">Low rate of </w:t>
            </w:r>
            <w:r w:rsidR="00EC2803" w:rsidRPr="00EC2803">
              <w:rPr>
                <w:rFonts w:ascii="Arial" w:hAnsi="Arial" w:cs="Arial"/>
                <w:b/>
                <w:sz w:val="24"/>
                <w:szCs w:val="24"/>
              </w:rPr>
              <w:t>Research, Development, Commercialisation, and Innovation (</w:t>
            </w:r>
            <w:r w:rsidR="00EC2803" w:rsidRPr="00EC2803">
              <w:rPr>
                <w:rFonts w:ascii="Arial" w:hAnsi="Arial" w:cs="Arial"/>
                <w:b/>
                <w:bCs/>
                <w:sz w:val="24"/>
                <w:szCs w:val="24"/>
              </w:rPr>
              <w:t>RDCI</w:t>
            </w:r>
            <w:r w:rsidR="00EC2803" w:rsidRPr="00EC2803">
              <w:rPr>
                <w:rFonts w:ascii="Arial" w:hAnsi="Arial" w:cs="Arial"/>
                <w:b/>
                <w:sz w:val="24"/>
                <w:szCs w:val="24"/>
              </w:rPr>
              <w:t xml:space="preserve">) </w:t>
            </w:r>
            <w:r w:rsidRPr="00135B2F">
              <w:rPr>
                <w:rFonts w:ascii="Arial" w:hAnsi="Arial" w:cs="Arial"/>
                <w:b/>
                <w:sz w:val="24"/>
                <w:szCs w:val="24"/>
              </w:rPr>
              <w:t>initiative</w:t>
            </w:r>
          </w:p>
          <w:p w14:paraId="25DEDE2C" w14:textId="77777777" w:rsidR="00EF41BA" w:rsidRDefault="003434D6" w:rsidP="00135B2F">
            <w:pPr>
              <w:pStyle w:val="ListParagraph"/>
              <w:spacing w:after="0" w:line="240" w:lineRule="auto"/>
              <w:ind w:left="747"/>
              <w:jc w:val="both"/>
              <w:rPr>
                <w:rFonts w:ascii="Arial" w:hAnsi="Arial" w:cs="Arial"/>
                <w:bCs/>
                <w:sz w:val="24"/>
                <w:szCs w:val="24"/>
              </w:rPr>
            </w:pPr>
            <w:r w:rsidRPr="00976B5B">
              <w:rPr>
                <w:rFonts w:ascii="Arial" w:hAnsi="Arial" w:cs="Arial"/>
                <w:bCs/>
                <w:sz w:val="24"/>
                <w:szCs w:val="24"/>
              </w:rPr>
              <w:t>RDCI plays a crucial role in increasing economic complexity and high-skilled talent development. This seamless connection between research, commercialisation and innovation processes promotes the introduction of new products and services that drive job creation and economic expansion. However, Malaysia faces challenges in achieving high value-added manufacturing due to its relatively low innovation performance. The RDCI ecosystem is a network of organisations and individuals that work together to promote research, development, commercialisation and innovation. The ecosystem includes universities, research institutes, businesses, Government Agencies and financial institutions.</w:t>
            </w:r>
          </w:p>
          <w:p w14:paraId="1D0EABD8" w14:textId="77777777" w:rsidR="00135B2F" w:rsidRDefault="00135B2F" w:rsidP="00135B2F">
            <w:pPr>
              <w:spacing w:after="0" w:line="240" w:lineRule="auto"/>
              <w:jc w:val="both"/>
              <w:rPr>
                <w:rFonts w:ascii="Arial" w:hAnsi="Arial" w:cs="Arial"/>
                <w:bCs/>
                <w:sz w:val="24"/>
                <w:szCs w:val="24"/>
              </w:rPr>
            </w:pPr>
          </w:p>
          <w:p w14:paraId="7769AADB" w14:textId="77777777" w:rsidR="00135B2F" w:rsidRPr="00135B2F" w:rsidRDefault="00135B2F" w:rsidP="00135B2F">
            <w:pPr>
              <w:pStyle w:val="ListParagraph"/>
              <w:numPr>
                <w:ilvl w:val="0"/>
                <w:numId w:val="27"/>
              </w:numPr>
              <w:spacing w:after="0" w:line="240" w:lineRule="auto"/>
              <w:ind w:left="747" w:hanging="747"/>
              <w:jc w:val="both"/>
              <w:rPr>
                <w:rFonts w:ascii="Arial" w:hAnsi="Arial" w:cs="Arial"/>
                <w:b/>
                <w:sz w:val="24"/>
                <w:szCs w:val="24"/>
              </w:rPr>
            </w:pPr>
            <w:r w:rsidRPr="00135B2F">
              <w:rPr>
                <w:rFonts w:ascii="Arial" w:hAnsi="Arial" w:cs="Arial"/>
                <w:b/>
                <w:sz w:val="24"/>
                <w:szCs w:val="24"/>
              </w:rPr>
              <w:t>Infrastructure and Access</w:t>
            </w:r>
          </w:p>
          <w:p w14:paraId="06E49945" w14:textId="23F7E06E" w:rsidR="00135B2F" w:rsidRPr="00135B2F" w:rsidRDefault="00135B2F" w:rsidP="00135B2F">
            <w:pPr>
              <w:pStyle w:val="ListParagraph"/>
              <w:spacing w:after="0" w:line="240" w:lineRule="auto"/>
              <w:ind w:left="747"/>
              <w:jc w:val="both"/>
              <w:rPr>
                <w:rFonts w:ascii="Arial" w:hAnsi="Arial" w:cs="Arial"/>
                <w:bCs/>
                <w:sz w:val="24"/>
                <w:szCs w:val="24"/>
              </w:rPr>
            </w:pPr>
            <w:r w:rsidRPr="00135B2F">
              <w:rPr>
                <w:rFonts w:ascii="Arial" w:hAnsi="Arial" w:cs="Arial"/>
                <w:bCs/>
                <w:sz w:val="24"/>
                <w:szCs w:val="24"/>
              </w:rPr>
              <w:t>Limited access to technology and reliable internet connectivity in some areas of Malaysia can hinder the effective implementation of AI in education. Ensuring equitable access to AI tools and resources for students and educators across urban and rural areas is essential to prevent furthering the digital divide.</w:t>
            </w:r>
          </w:p>
          <w:p w14:paraId="0AD89E7F" w14:textId="77777777" w:rsidR="00135B2F" w:rsidRPr="00135B2F" w:rsidRDefault="00135B2F" w:rsidP="00135B2F">
            <w:pPr>
              <w:spacing w:after="0" w:line="240" w:lineRule="auto"/>
              <w:jc w:val="both"/>
              <w:rPr>
                <w:rFonts w:ascii="Arial" w:hAnsi="Arial" w:cs="Arial"/>
                <w:bCs/>
                <w:sz w:val="24"/>
                <w:szCs w:val="24"/>
              </w:rPr>
            </w:pPr>
          </w:p>
          <w:p w14:paraId="0D510E69" w14:textId="0AB39BB1" w:rsidR="00135B2F" w:rsidRPr="00135B2F" w:rsidRDefault="00135B2F" w:rsidP="00135B2F">
            <w:pPr>
              <w:pStyle w:val="ListParagraph"/>
              <w:numPr>
                <w:ilvl w:val="0"/>
                <w:numId w:val="27"/>
              </w:numPr>
              <w:spacing w:after="0" w:line="240" w:lineRule="auto"/>
              <w:ind w:left="747" w:hanging="747"/>
              <w:jc w:val="both"/>
              <w:rPr>
                <w:rFonts w:ascii="Arial" w:hAnsi="Arial" w:cs="Arial"/>
                <w:b/>
                <w:sz w:val="24"/>
                <w:szCs w:val="24"/>
              </w:rPr>
            </w:pPr>
            <w:r w:rsidRPr="00135B2F">
              <w:rPr>
                <w:rFonts w:ascii="Arial" w:hAnsi="Arial" w:cs="Arial"/>
                <w:b/>
                <w:sz w:val="24"/>
                <w:szCs w:val="24"/>
              </w:rPr>
              <w:t>Resource Allocation and Funding</w:t>
            </w:r>
          </w:p>
          <w:p w14:paraId="33452AFB" w14:textId="29C88989" w:rsidR="00135B2F" w:rsidRPr="00135B2F" w:rsidRDefault="00135B2F" w:rsidP="00135B2F">
            <w:pPr>
              <w:pStyle w:val="ListParagraph"/>
              <w:spacing w:after="0" w:line="240" w:lineRule="auto"/>
              <w:ind w:left="747"/>
              <w:jc w:val="both"/>
              <w:rPr>
                <w:rFonts w:ascii="Arial" w:hAnsi="Arial" w:cs="Arial"/>
                <w:bCs/>
                <w:sz w:val="24"/>
                <w:szCs w:val="24"/>
              </w:rPr>
            </w:pPr>
            <w:r w:rsidRPr="00135B2F">
              <w:rPr>
                <w:rFonts w:ascii="Arial" w:hAnsi="Arial" w:cs="Arial"/>
                <w:bCs/>
                <w:sz w:val="24"/>
                <w:szCs w:val="24"/>
              </w:rPr>
              <w:t xml:space="preserve">Adequate funding and resources are necessary to invest in AI technologies, infrastructure upgrades, training programs for educators, and ongoing support for implementation. Limited financial resources or competing </w:t>
            </w:r>
            <w:r w:rsidRPr="00135B2F">
              <w:rPr>
                <w:rFonts w:ascii="Arial" w:hAnsi="Arial" w:cs="Arial"/>
                <w:bCs/>
                <w:sz w:val="24"/>
                <w:szCs w:val="24"/>
              </w:rPr>
              <w:lastRenderedPageBreak/>
              <w:t>priorities may pose challenges to scaling up AI initiatives in education.</w:t>
            </w:r>
          </w:p>
          <w:p w14:paraId="7F8EA58A" w14:textId="77777777" w:rsidR="00135B2F" w:rsidRPr="00135B2F" w:rsidRDefault="00135B2F" w:rsidP="00135B2F">
            <w:pPr>
              <w:spacing w:after="0" w:line="240" w:lineRule="auto"/>
              <w:jc w:val="both"/>
              <w:rPr>
                <w:rFonts w:ascii="Arial" w:hAnsi="Arial" w:cs="Arial"/>
                <w:bCs/>
                <w:sz w:val="24"/>
                <w:szCs w:val="24"/>
              </w:rPr>
            </w:pPr>
          </w:p>
          <w:p w14:paraId="5C30A6AD" w14:textId="77777777" w:rsidR="00135B2F" w:rsidRPr="00135B2F" w:rsidRDefault="00135B2F" w:rsidP="00135B2F">
            <w:pPr>
              <w:pStyle w:val="ListParagraph"/>
              <w:numPr>
                <w:ilvl w:val="0"/>
                <w:numId w:val="27"/>
              </w:numPr>
              <w:spacing w:after="0" w:line="240" w:lineRule="auto"/>
              <w:ind w:left="747" w:hanging="747"/>
              <w:jc w:val="both"/>
              <w:rPr>
                <w:rFonts w:ascii="Arial" w:hAnsi="Arial" w:cs="Arial"/>
                <w:b/>
                <w:sz w:val="24"/>
                <w:szCs w:val="24"/>
              </w:rPr>
            </w:pPr>
            <w:r w:rsidRPr="00135B2F">
              <w:rPr>
                <w:rFonts w:ascii="Arial" w:hAnsi="Arial" w:cs="Arial"/>
                <w:b/>
                <w:sz w:val="24"/>
                <w:szCs w:val="24"/>
              </w:rPr>
              <w:t>Skills Gap and Training</w:t>
            </w:r>
          </w:p>
          <w:p w14:paraId="1E718E7B" w14:textId="76775CD1" w:rsidR="00135B2F" w:rsidRPr="00135B2F" w:rsidRDefault="00135B2F" w:rsidP="00135B2F">
            <w:pPr>
              <w:pStyle w:val="ListParagraph"/>
              <w:spacing w:after="0" w:line="240" w:lineRule="auto"/>
              <w:ind w:left="747"/>
              <w:jc w:val="both"/>
              <w:rPr>
                <w:rFonts w:ascii="Arial" w:hAnsi="Arial" w:cs="Arial"/>
                <w:bCs/>
                <w:sz w:val="24"/>
                <w:szCs w:val="24"/>
              </w:rPr>
            </w:pPr>
            <w:r w:rsidRPr="00135B2F">
              <w:rPr>
                <w:rFonts w:ascii="Arial" w:hAnsi="Arial" w:cs="Arial"/>
                <w:bCs/>
                <w:sz w:val="24"/>
                <w:szCs w:val="24"/>
              </w:rPr>
              <w:t>Many educators may lack the necessary skills and training to effectively integrate AI into teaching practices. Providing comprehensive training and professional development opportunities for teachers and educational staff is crucial to build capacity and confidence in using AI tools and methodologies.</w:t>
            </w:r>
          </w:p>
          <w:p w14:paraId="0573B52B" w14:textId="77777777" w:rsidR="00135B2F" w:rsidRPr="00135B2F" w:rsidRDefault="00135B2F" w:rsidP="00135B2F">
            <w:pPr>
              <w:spacing w:after="0" w:line="240" w:lineRule="auto"/>
              <w:jc w:val="both"/>
              <w:rPr>
                <w:rFonts w:ascii="Arial" w:hAnsi="Arial" w:cs="Arial"/>
                <w:bCs/>
                <w:sz w:val="24"/>
                <w:szCs w:val="24"/>
              </w:rPr>
            </w:pPr>
          </w:p>
          <w:p w14:paraId="72C850CA" w14:textId="77777777" w:rsidR="00135B2F" w:rsidRPr="00135B2F" w:rsidRDefault="00135B2F" w:rsidP="00135B2F">
            <w:pPr>
              <w:pStyle w:val="ListParagraph"/>
              <w:numPr>
                <w:ilvl w:val="0"/>
                <w:numId w:val="27"/>
              </w:numPr>
              <w:spacing w:after="0" w:line="240" w:lineRule="auto"/>
              <w:ind w:left="747" w:hanging="747"/>
              <w:jc w:val="both"/>
              <w:rPr>
                <w:rFonts w:ascii="Arial" w:hAnsi="Arial" w:cs="Arial"/>
                <w:b/>
                <w:sz w:val="24"/>
                <w:szCs w:val="24"/>
              </w:rPr>
            </w:pPr>
            <w:r w:rsidRPr="00135B2F">
              <w:rPr>
                <w:rFonts w:ascii="Arial" w:hAnsi="Arial" w:cs="Arial"/>
                <w:b/>
                <w:sz w:val="24"/>
                <w:szCs w:val="24"/>
              </w:rPr>
              <w:t>Data Privacy and Security</w:t>
            </w:r>
          </w:p>
          <w:p w14:paraId="42F9D3BD" w14:textId="33EBA93D" w:rsidR="00135B2F" w:rsidRPr="00135B2F" w:rsidRDefault="00135B2F" w:rsidP="00135B2F">
            <w:pPr>
              <w:pStyle w:val="ListParagraph"/>
              <w:spacing w:after="0" w:line="240" w:lineRule="auto"/>
              <w:ind w:left="747"/>
              <w:jc w:val="both"/>
              <w:rPr>
                <w:rFonts w:ascii="Arial" w:hAnsi="Arial" w:cs="Arial"/>
                <w:bCs/>
                <w:sz w:val="24"/>
                <w:szCs w:val="24"/>
              </w:rPr>
            </w:pPr>
            <w:r w:rsidRPr="00135B2F">
              <w:rPr>
                <w:rFonts w:ascii="Arial" w:hAnsi="Arial" w:cs="Arial"/>
                <w:bCs/>
                <w:sz w:val="24"/>
                <w:szCs w:val="24"/>
              </w:rPr>
              <w:t>AI applications in education often involve the collection and analysis of sensitive student data. Ensuring compliance with data protection regulations, maintaining data privacy and security standards, and implementing robust cybersecurity measures are essential to protect student privacy and prevent data breaches.</w:t>
            </w:r>
          </w:p>
          <w:p w14:paraId="053CDE71" w14:textId="77777777" w:rsidR="00135B2F" w:rsidRPr="00135B2F" w:rsidRDefault="00135B2F" w:rsidP="00135B2F">
            <w:pPr>
              <w:spacing w:after="0" w:line="240" w:lineRule="auto"/>
              <w:jc w:val="both"/>
              <w:rPr>
                <w:rFonts w:ascii="Arial" w:hAnsi="Arial" w:cs="Arial"/>
                <w:bCs/>
                <w:sz w:val="24"/>
                <w:szCs w:val="24"/>
              </w:rPr>
            </w:pPr>
          </w:p>
          <w:p w14:paraId="4324FECE" w14:textId="77777777" w:rsidR="00135B2F" w:rsidRPr="00135B2F" w:rsidRDefault="00135B2F" w:rsidP="00135B2F">
            <w:pPr>
              <w:pStyle w:val="ListParagraph"/>
              <w:numPr>
                <w:ilvl w:val="0"/>
                <w:numId w:val="27"/>
              </w:numPr>
              <w:spacing w:after="0" w:line="240" w:lineRule="auto"/>
              <w:ind w:left="747" w:hanging="747"/>
              <w:jc w:val="both"/>
              <w:rPr>
                <w:rFonts w:ascii="Arial" w:hAnsi="Arial" w:cs="Arial"/>
                <w:b/>
                <w:sz w:val="24"/>
                <w:szCs w:val="24"/>
              </w:rPr>
            </w:pPr>
            <w:r w:rsidRPr="00135B2F">
              <w:rPr>
                <w:rFonts w:ascii="Arial" w:hAnsi="Arial" w:cs="Arial"/>
                <w:b/>
                <w:sz w:val="24"/>
                <w:szCs w:val="24"/>
              </w:rPr>
              <w:t>Ethical and Bias Concerns</w:t>
            </w:r>
          </w:p>
          <w:p w14:paraId="0B2E544B" w14:textId="516C4F24" w:rsidR="00135B2F" w:rsidRPr="00135B2F" w:rsidRDefault="00135B2F" w:rsidP="00135B2F">
            <w:pPr>
              <w:pStyle w:val="ListParagraph"/>
              <w:spacing w:after="0" w:line="240" w:lineRule="auto"/>
              <w:ind w:left="747"/>
              <w:jc w:val="both"/>
              <w:rPr>
                <w:rFonts w:ascii="Arial" w:hAnsi="Arial" w:cs="Arial"/>
                <w:bCs/>
                <w:sz w:val="24"/>
                <w:szCs w:val="24"/>
              </w:rPr>
            </w:pPr>
            <w:r w:rsidRPr="00135B2F">
              <w:rPr>
                <w:rFonts w:ascii="Arial" w:hAnsi="Arial" w:cs="Arial"/>
                <w:bCs/>
                <w:sz w:val="24"/>
                <w:szCs w:val="24"/>
              </w:rPr>
              <w:t>AI algorithms may perpetuate biases or discriminatory practices if not properly designed or monitored. Ensuring fairness, transparency, and accountability in AI systems used in education is essential to mitigate risks of bias and discrimination and promote ethical AI practices.</w:t>
            </w:r>
          </w:p>
          <w:p w14:paraId="0B64806A" w14:textId="77777777" w:rsidR="00135B2F" w:rsidRPr="00135B2F" w:rsidRDefault="00135B2F" w:rsidP="00135B2F">
            <w:pPr>
              <w:spacing w:after="0" w:line="240" w:lineRule="auto"/>
              <w:jc w:val="both"/>
              <w:rPr>
                <w:rFonts w:ascii="Arial" w:hAnsi="Arial" w:cs="Arial"/>
                <w:bCs/>
                <w:sz w:val="24"/>
                <w:szCs w:val="24"/>
              </w:rPr>
            </w:pPr>
          </w:p>
          <w:p w14:paraId="1F1919A5" w14:textId="77777777" w:rsidR="00135B2F" w:rsidRPr="00135B2F" w:rsidRDefault="00135B2F" w:rsidP="00135B2F">
            <w:pPr>
              <w:pStyle w:val="ListParagraph"/>
              <w:numPr>
                <w:ilvl w:val="0"/>
                <w:numId w:val="27"/>
              </w:numPr>
              <w:spacing w:after="0" w:line="240" w:lineRule="auto"/>
              <w:ind w:left="747" w:hanging="747"/>
              <w:jc w:val="both"/>
              <w:rPr>
                <w:rFonts w:ascii="Arial" w:hAnsi="Arial" w:cs="Arial"/>
                <w:b/>
                <w:sz w:val="24"/>
                <w:szCs w:val="24"/>
              </w:rPr>
            </w:pPr>
            <w:r w:rsidRPr="00135B2F">
              <w:rPr>
                <w:rFonts w:ascii="Arial" w:hAnsi="Arial" w:cs="Arial"/>
                <w:b/>
                <w:sz w:val="24"/>
                <w:szCs w:val="24"/>
              </w:rPr>
              <w:t>Cultural and Linguistic Diversity</w:t>
            </w:r>
          </w:p>
          <w:p w14:paraId="299F1AB5" w14:textId="2DC95044" w:rsidR="00135B2F" w:rsidRPr="00135B2F" w:rsidRDefault="00135B2F" w:rsidP="00135B2F">
            <w:pPr>
              <w:pStyle w:val="ListParagraph"/>
              <w:spacing w:after="0" w:line="240" w:lineRule="auto"/>
              <w:ind w:left="747"/>
              <w:jc w:val="both"/>
              <w:rPr>
                <w:rFonts w:ascii="Arial" w:hAnsi="Arial" w:cs="Arial"/>
                <w:bCs/>
                <w:sz w:val="24"/>
                <w:szCs w:val="24"/>
              </w:rPr>
            </w:pPr>
            <w:r w:rsidRPr="00135B2F">
              <w:rPr>
                <w:rFonts w:ascii="Arial" w:hAnsi="Arial" w:cs="Arial"/>
                <w:bCs/>
                <w:sz w:val="24"/>
                <w:szCs w:val="24"/>
              </w:rPr>
              <w:t xml:space="preserve">Malaysia is culturally and linguistically diverse, with multiple ethnicities and languages spoken across the country. AI technologies should be sensitive to cultural </w:t>
            </w:r>
            <w:r w:rsidRPr="00135B2F">
              <w:rPr>
                <w:rFonts w:ascii="Arial" w:hAnsi="Arial" w:cs="Arial"/>
                <w:bCs/>
                <w:sz w:val="24"/>
                <w:szCs w:val="24"/>
              </w:rPr>
              <w:lastRenderedPageBreak/>
              <w:t>differences and support multilingual education to accommodate diverse learning needs and preferences.</w:t>
            </w:r>
          </w:p>
          <w:p w14:paraId="57D04E12" w14:textId="77777777" w:rsidR="00135B2F" w:rsidRPr="00135B2F" w:rsidRDefault="00135B2F" w:rsidP="00135B2F">
            <w:pPr>
              <w:spacing w:after="0" w:line="240" w:lineRule="auto"/>
              <w:jc w:val="both"/>
              <w:rPr>
                <w:rFonts w:ascii="Arial" w:hAnsi="Arial" w:cs="Arial"/>
                <w:bCs/>
                <w:sz w:val="24"/>
                <w:szCs w:val="24"/>
              </w:rPr>
            </w:pPr>
          </w:p>
          <w:p w14:paraId="3A5DC60A" w14:textId="720FDDF8" w:rsidR="00135B2F" w:rsidRDefault="00135B2F" w:rsidP="00135B2F">
            <w:pPr>
              <w:spacing w:after="0" w:line="240" w:lineRule="auto"/>
              <w:jc w:val="both"/>
              <w:rPr>
                <w:rFonts w:ascii="Arial" w:hAnsi="Arial" w:cs="Arial"/>
                <w:bCs/>
                <w:sz w:val="24"/>
                <w:szCs w:val="24"/>
              </w:rPr>
            </w:pPr>
            <w:r>
              <w:rPr>
                <w:rFonts w:ascii="Arial" w:hAnsi="Arial" w:cs="Arial"/>
                <w:bCs/>
                <w:sz w:val="24"/>
                <w:szCs w:val="24"/>
              </w:rPr>
              <w:t xml:space="preserve">Thus, </w:t>
            </w:r>
            <w:r w:rsidRPr="00135B2F">
              <w:rPr>
                <w:rFonts w:ascii="Arial" w:hAnsi="Arial" w:cs="Arial"/>
                <w:bCs/>
                <w:sz w:val="24"/>
                <w:szCs w:val="24"/>
              </w:rPr>
              <w:t>a coordinated effort involving government agencies, educational institutions, industry partners, and other stakeholders</w:t>
            </w:r>
            <w:r>
              <w:rPr>
                <w:rFonts w:ascii="Arial" w:hAnsi="Arial" w:cs="Arial"/>
                <w:bCs/>
                <w:sz w:val="24"/>
                <w:szCs w:val="24"/>
              </w:rPr>
              <w:t xml:space="preserve"> is crucial</w:t>
            </w:r>
            <w:r w:rsidRPr="00135B2F">
              <w:rPr>
                <w:rFonts w:ascii="Arial" w:hAnsi="Arial" w:cs="Arial"/>
                <w:bCs/>
                <w:sz w:val="24"/>
                <w:szCs w:val="24"/>
              </w:rPr>
              <w:t xml:space="preserve"> to create an enabling environment for the successful implementation of AI in education in Malaysia.</w:t>
            </w:r>
          </w:p>
          <w:p w14:paraId="28A6D1D7" w14:textId="7153D40B" w:rsidR="00135B2F" w:rsidRPr="00976B5B" w:rsidRDefault="00135B2F" w:rsidP="00135B2F">
            <w:pPr>
              <w:spacing w:after="0" w:line="240" w:lineRule="auto"/>
              <w:jc w:val="both"/>
              <w:rPr>
                <w:rFonts w:ascii="Arial" w:hAnsi="Arial" w:cs="Arial"/>
                <w:bCs/>
                <w:sz w:val="24"/>
                <w:szCs w:val="24"/>
              </w:rPr>
            </w:pPr>
          </w:p>
        </w:tc>
      </w:tr>
      <w:tr w:rsidR="003E4B53" w:rsidRPr="00DB054F" w14:paraId="502D627B" w14:textId="77777777" w:rsidTr="00246546">
        <w:tc>
          <w:tcPr>
            <w:tcW w:w="255" w:type="pct"/>
          </w:tcPr>
          <w:p w14:paraId="45BA87DA" w14:textId="77777777" w:rsidR="003E4B53" w:rsidRPr="00DD4195" w:rsidRDefault="003E4B53" w:rsidP="00104500">
            <w:pPr>
              <w:pStyle w:val="ListParagraph"/>
              <w:numPr>
                <w:ilvl w:val="0"/>
                <w:numId w:val="3"/>
              </w:numPr>
              <w:spacing w:after="0" w:line="240" w:lineRule="auto"/>
              <w:ind w:right="42"/>
              <w:jc w:val="both"/>
              <w:rPr>
                <w:rFonts w:ascii="Arial" w:hAnsi="Arial" w:cs="Arial"/>
                <w:color w:val="7030A0"/>
                <w:sz w:val="24"/>
                <w:szCs w:val="24"/>
              </w:rPr>
            </w:pPr>
          </w:p>
        </w:tc>
        <w:tc>
          <w:tcPr>
            <w:tcW w:w="2216" w:type="pct"/>
          </w:tcPr>
          <w:p w14:paraId="672C7827" w14:textId="77777777" w:rsidR="003E4B53" w:rsidRDefault="003E4B53" w:rsidP="003E4B53">
            <w:pPr>
              <w:spacing w:after="0" w:line="240" w:lineRule="auto"/>
              <w:jc w:val="both"/>
              <w:rPr>
                <w:rFonts w:ascii="Arial" w:hAnsi="Arial" w:cs="Arial"/>
                <w:iCs/>
                <w:sz w:val="24"/>
                <w:szCs w:val="24"/>
              </w:rPr>
            </w:pPr>
            <w:r>
              <w:rPr>
                <w:rFonts w:ascii="Arial" w:hAnsi="Arial" w:cs="Arial"/>
                <w:iCs/>
                <w:sz w:val="24"/>
                <w:szCs w:val="24"/>
              </w:rPr>
              <w:t>Are t</w:t>
            </w:r>
            <w:r w:rsidRPr="003E4B53">
              <w:rPr>
                <w:rFonts w:ascii="Arial" w:hAnsi="Arial" w:cs="Arial"/>
                <w:iCs/>
                <w:sz w:val="24"/>
                <w:szCs w:val="24"/>
              </w:rPr>
              <w:t>here any specific areas within education where you see significant potential</w:t>
            </w:r>
            <w:r>
              <w:rPr>
                <w:rFonts w:ascii="Arial" w:hAnsi="Arial" w:cs="Arial"/>
                <w:iCs/>
                <w:sz w:val="24"/>
                <w:szCs w:val="24"/>
              </w:rPr>
              <w:t xml:space="preserve"> </w:t>
            </w:r>
            <w:r w:rsidRPr="003E4B53">
              <w:rPr>
                <w:rFonts w:ascii="Arial" w:hAnsi="Arial" w:cs="Arial"/>
                <w:iCs/>
                <w:sz w:val="24"/>
                <w:szCs w:val="24"/>
              </w:rPr>
              <w:t xml:space="preserve">for AI integration in the </w:t>
            </w:r>
            <w:r w:rsidRPr="003E4B53">
              <w:rPr>
                <w:rFonts w:ascii="Arial" w:hAnsi="Arial" w:cs="Arial"/>
                <w:b/>
                <w:iCs/>
                <w:sz w:val="24"/>
                <w:szCs w:val="24"/>
              </w:rPr>
              <w:t>future</w:t>
            </w:r>
            <w:r w:rsidRPr="003E4B53">
              <w:rPr>
                <w:rFonts w:ascii="Arial" w:hAnsi="Arial" w:cs="Arial"/>
                <w:iCs/>
                <w:sz w:val="24"/>
                <w:szCs w:val="24"/>
              </w:rPr>
              <w:t>?</w:t>
            </w:r>
          </w:p>
          <w:p w14:paraId="6ECB39B3" w14:textId="77777777" w:rsidR="00CE7A7F" w:rsidRDefault="00CE7A7F" w:rsidP="003E4B53">
            <w:pPr>
              <w:spacing w:after="0" w:line="240" w:lineRule="auto"/>
              <w:jc w:val="both"/>
              <w:rPr>
                <w:rFonts w:ascii="Arial" w:hAnsi="Arial" w:cs="Arial"/>
                <w:iCs/>
                <w:sz w:val="24"/>
                <w:szCs w:val="24"/>
              </w:rPr>
            </w:pPr>
          </w:p>
          <w:p w14:paraId="1FFAA22B" w14:textId="1B401D1B" w:rsidR="003E4B53" w:rsidRPr="00CE7A7F" w:rsidRDefault="003E4B53" w:rsidP="003E4B53">
            <w:pPr>
              <w:spacing w:after="0" w:line="240" w:lineRule="auto"/>
              <w:jc w:val="both"/>
              <w:rPr>
                <w:rFonts w:ascii="Arial" w:hAnsi="Arial" w:cs="Arial"/>
                <w:iCs/>
                <w:sz w:val="24"/>
                <w:szCs w:val="24"/>
                <w:lang w:val="fi-FI"/>
              </w:rPr>
            </w:pPr>
          </w:p>
        </w:tc>
        <w:tc>
          <w:tcPr>
            <w:tcW w:w="2529" w:type="pct"/>
          </w:tcPr>
          <w:p w14:paraId="79A5DFAD" w14:textId="4DA26386" w:rsidR="00E061C9" w:rsidRPr="00E2504E" w:rsidRDefault="00937D7A" w:rsidP="00EF41BA">
            <w:pPr>
              <w:spacing w:after="0" w:line="240" w:lineRule="auto"/>
              <w:jc w:val="both"/>
              <w:rPr>
                <w:rFonts w:ascii="Arial" w:hAnsi="Arial" w:cs="Arial"/>
                <w:sz w:val="24"/>
                <w:szCs w:val="24"/>
              </w:rPr>
            </w:pPr>
            <w:r>
              <w:rPr>
                <w:rFonts w:ascii="Arial" w:hAnsi="Arial" w:cs="Arial"/>
                <w:sz w:val="24"/>
                <w:szCs w:val="24"/>
              </w:rPr>
              <w:t>Human centric</w:t>
            </w:r>
            <w:r w:rsidR="00E061C9" w:rsidRPr="00E2504E">
              <w:rPr>
                <w:rFonts w:ascii="Arial" w:hAnsi="Arial" w:cs="Arial"/>
                <w:sz w:val="24"/>
                <w:szCs w:val="24"/>
              </w:rPr>
              <w:t xml:space="preserve"> AI is </w:t>
            </w:r>
            <w:r>
              <w:rPr>
                <w:rFonts w:ascii="Arial" w:hAnsi="Arial" w:cs="Arial"/>
                <w:sz w:val="24"/>
                <w:szCs w:val="24"/>
              </w:rPr>
              <w:t>important</w:t>
            </w:r>
            <w:r w:rsidR="00E061C9" w:rsidRPr="00E2504E">
              <w:rPr>
                <w:rFonts w:ascii="Arial" w:hAnsi="Arial" w:cs="Arial"/>
                <w:sz w:val="24"/>
                <w:szCs w:val="24"/>
              </w:rPr>
              <w:t xml:space="preserve"> for a country like Malaysia, where various distinct cultural, social, and economic variables come into play. Malaysia, a multi-ethnic and multi-cultural nation with a diversified population, confronts unique problems and opportunities in embracing AI technologies while ensuring they meet the requirements and values of its citizens.</w:t>
            </w:r>
            <w:r w:rsidR="00FA1AC6">
              <w:rPr>
                <w:rFonts w:ascii="Arial" w:hAnsi="Arial" w:cs="Arial"/>
                <w:sz w:val="24"/>
                <w:szCs w:val="24"/>
              </w:rPr>
              <w:t xml:space="preserve"> Among the aspects involved are: </w:t>
            </w:r>
          </w:p>
          <w:p w14:paraId="4F6F6BCC" w14:textId="77777777" w:rsidR="00E061C9" w:rsidRPr="00E2504E" w:rsidRDefault="00E061C9" w:rsidP="00EF41BA">
            <w:pPr>
              <w:spacing w:after="0" w:line="240" w:lineRule="auto"/>
              <w:jc w:val="both"/>
              <w:rPr>
                <w:rFonts w:ascii="Arial" w:hAnsi="Arial" w:cs="Arial"/>
                <w:sz w:val="24"/>
                <w:szCs w:val="24"/>
              </w:rPr>
            </w:pPr>
          </w:p>
          <w:p w14:paraId="6BE97B90" w14:textId="76E01B3F" w:rsidR="00FA1AC6" w:rsidRPr="00FA1AC6" w:rsidRDefault="00E061C9" w:rsidP="00FA1AC6">
            <w:pPr>
              <w:pStyle w:val="ListParagraph"/>
              <w:numPr>
                <w:ilvl w:val="0"/>
                <w:numId w:val="29"/>
              </w:numPr>
              <w:spacing w:after="0" w:line="240" w:lineRule="auto"/>
              <w:ind w:left="747" w:hanging="747"/>
              <w:jc w:val="both"/>
              <w:rPr>
                <w:rFonts w:ascii="Arial" w:hAnsi="Arial" w:cs="Arial"/>
                <w:b/>
                <w:bCs/>
                <w:sz w:val="24"/>
                <w:szCs w:val="24"/>
              </w:rPr>
            </w:pPr>
            <w:r w:rsidRPr="00FA1AC6">
              <w:rPr>
                <w:rFonts w:ascii="Arial" w:hAnsi="Arial" w:cs="Arial"/>
                <w:b/>
                <w:bCs/>
                <w:sz w:val="24"/>
                <w:szCs w:val="24"/>
              </w:rPr>
              <w:t>Inclusive Development</w:t>
            </w:r>
          </w:p>
          <w:p w14:paraId="008740B0" w14:textId="69D0E07F" w:rsidR="00E061C9" w:rsidRPr="00E2504E" w:rsidRDefault="00937D7A" w:rsidP="00FA1AC6">
            <w:pPr>
              <w:spacing w:after="0" w:line="240" w:lineRule="auto"/>
              <w:ind w:left="747"/>
              <w:jc w:val="both"/>
              <w:rPr>
                <w:rFonts w:ascii="Arial" w:hAnsi="Arial" w:cs="Arial"/>
                <w:sz w:val="24"/>
                <w:szCs w:val="24"/>
              </w:rPr>
            </w:pPr>
            <w:r>
              <w:rPr>
                <w:rFonts w:ascii="Arial" w:hAnsi="Arial" w:cs="Arial"/>
                <w:sz w:val="24"/>
                <w:szCs w:val="24"/>
              </w:rPr>
              <w:t xml:space="preserve">Human </w:t>
            </w:r>
            <w:r w:rsidR="00E061C9" w:rsidRPr="00E2504E">
              <w:rPr>
                <w:rFonts w:ascii="Arial" w:hAnsi="Arial" w:cs="Arial"/>
                <w:sz w:val="24"/>
                <w:szCs w:val="24"/>
              </w:rPr>
              <w:t>centric AI efforts in Malaysia should prioritise inclusive development to guarantee that the advantages of AI reach all segments of society, particularly marginalised people and rural areas. This could include investing in infrastructure, digital literacy programmes (e.g. AI untuk Rakyat), and affordable technology to help bridge the digital divide and promote digital inclusion.</w:t>
            </w:r>
          </w:p>
          <w:p w14:paraId="5FC94FAA" w14:textId="77777777" w:rsidR="00E061C9" w:rsidRPr="00E2504E" w:rsidRDefault="00E061C9" w:rsidP="00EF41BA">
            <w:pPr>
              <w:spacing w:after="0" w:line="240" w:lineRule="auto"/>
              <w:jc w:val="both"/>
              <w:rPr>
                <w:rFonts w:ascii="Arial" w:hAnsi="Arial" w:cs="Arial"/>
                <w:sz w:val="24"/>
                <w:szCs w:val="24"/>
              </w:rPr>
            </w:pPr>
          </w:p>
          <w:p w14:paraId="48A62694" w14:textId="77777777" w:rsidR="00FA1AC6" w:rsidRPr="00FA1AC6" w:rsidRDefault="00E061C9" w:rsidP="00FA1AC6">
            <w:pPr>
              <w:pStyle w:val="ListParagraph"/>
              <w:numPr>
                <w:ilvl w:val="0"/>
                <w:numId w:val="29"/>
              </w:numPr>
              <w:spacing w:after="0" w:line="240" w:lineRule="auto"/>
              <w:ind w:left="747" w:hanging="747"/>
              <w:jc w:val="both"/>
              <w:rPr>
                <w:rFonts w:ascii="Arial" w:hAnsi="Arial" w:cs="Arial"/>
                <w:b/>
                <w:bCs/>
                <w:sz w:val="24"/>
                <w:szCs w:val="24"/>
              </w:rPr>
            </w:pPr>
            <w:r w:rsidRPr="00FA1AC6">
              <w:rPr>
                <w:rFonts w:ascii="Arial" w:hAnsi="Arial" w:cs="Arial"/>
                <w:b/>
                <w:bCs/>
                <w:sz w:val="24"/>
                <w:szCs w:val="24"/>
              </w:rPr>
              <w:t>Ethical Governance</w:t>
            </w:r>
          </w:p>
          <w:p w14:paraId="490221A6" w14:textId="6386E258" w:rsidR="00E061C9" w:rsidRPr="00E2504E" w:rsidRDefault="00E061C9" w:rsidP="00FA1AC6">
            <w:pPr>
              <w:spacing w:after="0" w:line="240" w:lineRule="auto"/>
              <w:ind w:left="747"/>
              <w:jc w:val="both"/>
              <w:rPr>
                <w:rFonts w:ascii="Arial" w:hAnsi="Arial" w:cs="Arial"/>
                <w:sz w:val="24"/>
                <w:szCs w:val="24"/>
              </w:rPr>
            </w:pPr>
            <w:r w:rsidRPr="00E2504E">
              <w:rPr>
                <w:rFonts w:ascii="Arial" w:hAnsi="Arial" w:cs="Arial"/>
                <w:sz w:val="24"/>
                <w:szCs w:val="24"/>
              </w:rPr>
              <w:t xml:space="preserve">Malaysia has established ethical principles and is building legal frameworks for AI development and deployment in accordance with its cultural values and societal norms. This could include data privacy, transparency, fairness, and accountability standards in AI systems, as well as </w:t>
            </w:r>
            <w:r w:rsidRPr="00E2504E">
              <w:rPr>
                <w:rFonts w:ascii="Arial" w:hAnsi="Arial" w:cs="Arial"/>
                <w:sz w:val="24"/>
                <w:szCs w:val="24"/>
              </w:rPr>
              <w:lastRenderedPageBreak/>
              <w:t>oversight and redress mechanisms in the event of ethical violations.</w:t>
            </w:r>
          </w:p>
          <w:p w14:paraId="71D1AA07" w14:textId="77777777" w:rsidR="00E061C9" w:rsidRPr="00E2504E" w:rsidRDefault="00E061C9" w:rsidP="00EF41BA">
            <w:pPr>
              <w:spacing w:after="0" w:line="240" w:lineRule="auto"/>
              <w:jc w:val="both"/>
              <w:rPr>
                <w:rFonts w:ascii="Arial" w:hAnsi="Arial" w:cs="Arial"/>
                <w:sz w:val="24"/>
                <w:szCs w:val="24"/>
              </w:rPr>
            </w:pPr>
          </w:p>
          <w:p w14:paraId="57423279" w14:textId="77777777" w:rsidR="00FA1AC6" w:rsidRPr="00FA1AC6" w:rsidRDefault="00E061C9" w:rsidP="00FA1AC6">
            <w:pPr>
              <w:pStyle w:val="ListParagraph"/>
              <w:numPr>
                <w:ilvl w:val="0"/>
                <w:numId w:val="29"/>
              </w:numPr>
              <w:spacing w:after="0" w:line="240" w:lineRule="auto"/>
              <w:ind w:left="747" w:hanging="747"/>
              <w:jc w:val="both"/>
              <w:rPr>
                <w:rFonts w:ascii="Arial" w:hAnsi="Arial" w:cs="Arial"/>
                <w:b/>
                <w:bCs/>
                <w:sz w:val="24"/>
                <w:szCs w:val="24"/>
              </w:rPr>
            </w:pPr>
            <w:r w:rsidRPr="00FA1AC6">
              <w:rPr>
                <w:rFonts w:ascii="Arial" w:hAnsi="Arial" w:cs="Arial"/>
                <w:b/>
                <w:bCs/>
                <w:sz w:val="24"/>
                <w:szCs w:val="24"/>
              </w:rPr>
              <w:t>Education and Talent Development</w:t>
            </w:r>
          </w:p>
          <w:p w14:paraId="1374CEC0" w14:textId="5C1CC86F" w:rsidR="00E061C9" w:rsidRPr="00E2504E" w:rsidRDefault="00E061C9" w:rsidP="00FA1AC6">
            <w:pPr>
              <w:spacing w:after="0" w:line="240" w:lineRule="auto"/>
              <w:ind w:left="747"/>
              <w:jc w:val="both"/>
              <w:rPr>
                <w:rFonts w:ascii="Arial" w:hAnsi="Arial" w:cs="Arial"/>
                <w:sz w:val="24"/>
                <w:szCs w:val="24"/>
              </w:rPr>
            </w:pPr>
            <w:r w:rsidRPr="00E2504E">
              <w:rPr>
                <w:rFonts w:ascii="Arial" w:hAnsi="Arial" w:cs="Arial"/>
                <w:sz w:val="24"/>
                <w:szCs w:val="24"/>
              </w:rPr>
              <w:t>Developing a trained talent capable of leveraging AI technology is critical to Malaysia's future competitiveness. Investing in AI education, training programmes, and research efforts can enable Malaysians to participate in the AI-powered economy while also encouraging innovation and entrepreneurship in AI-related disciplines. In accordance with this, the first Faculty of Artificial Intelligence has been assigned to Universiti Teknologi Malaysia to pioneer and pilot the effort.</w:t>
            </w:r>
          </w:p>
          <w:p w14:paraId="032C4723" w14:textId="77777777" w:rsidR="00E061C9" w:rsidRPr="00E2504E" w:rsidRDefault="00E061C9" w:rsidP="00EF41BA">
            <w:pPr>
              <w:spacing w:after="0" w:line="240" w:lineRule="auto"/>
              <w:jc w:val="both"/>
              <w:rPr>
                <w:rFonts w:ascii="Arial" w:hAnsi="Arial" w:cs="Arial"/>
                <w:sz w:val="24"/>
                <w:szCs w:val="24"/>
              </w:rPr>
            </w:pPr>
          </w:p>
          <w:p w14:paraId="76216A76" w14:textId="77777777" w:rsidR="00FA1AC6" w:rsidRPr="00FA1AC6" w:rsidRDefault="00E061C9" w:rsidP="00FA1AC6">
            <w:pPr>
              <w:pStyle w:val="ListParagraph"/>
              <w:numPr>
                <w:ilvl w:val="0"/>
                <w:numId w:val="29"/>
              </w:numPr>
              <w:spacing w:after="0" w:line="240" w:lineRule="auto"/>
              <w:ind w:left="747" w:hanging="747"/>
              <w:jc w:val="both"/>
              <w:rPr>
                <w:rFonts w:ascii="Arial" w:hAnsi="Arial" w:cs="Arial"/>
                <w:b/>
                <w:bCs/>
                <w:sz w:val="24"/>
                <w:szCs w:val="24"/>
              </w:rPr>
            </w:pPr>
            <w:r w:rsidRPr="00FA1AC6">
              <w:rPr>
                <w:rFonts w:ascii="Arial" w:hAnsi="Arial" w:cs="Arial"/>
                <w:b/>
                <w:bCs/>
                <w:sz w:val="24"/>
                <w:szCs w:val="24"/>
              </w:rPr>
              <w:t>AI Startups and Entrepreneurship</w:t>
            </w:r>
          </w:p>
          <w:p w14:paraId="54B1C3B5" w14:textId="73469725" w:rsidR="00E061C9" w:rsidRPr="00EF41BA" w:rsidRDefault="00E061C9" w:rsidP="00FA1AC6">
            <w:pPr>
              <w:spacing w:after="0" w:line="240" w:lineRule="auto"/>
              <w:ind w:left="747"/>
              <w:jc w:val="both"/>
              <w:rPr>
                <w:rFonts w:ascii="Arial" w:hAnsi="Arial" w:cs="Arial"/>
                <w:b/>
                <w:bCs/>
                <w:color w:val="3333FF"/>
                <w:sz w:val="24"/>
                <w:szCs w:val="24"/>
              </w:rPr>
            </w:pPr>
            <w:r w:rsidRPr="00E2504E">
              <w:rPr>
                <w:rFonts w:ascii="Arial" w:hAnsi="Arial" w:cs="Arial"/>
                <w:sz w:val="24"/>
                <w:szCs w:val="24"/>
              </w:rPr>
              <w:t>Create a supporting ecosystem for AI startups and entrepreneurs by offering finance, mentorship, incubation space, and regulatory assistance. Encourage collaboration among startups, established businesses, and government agencies to expedite AI innovation and commercialization.</w:t>
            </w:r>
            <w:r w:rsidRPr="00E2504E">
              <w:rPr>
                <w:rFonts w:ascii="Arial" w:hAnsi="Arial" w:cs="Arial"/>
                <w:b/>
                <w:bCs/>
                <w:sz w:val="24"/>
                <w:szCs w:val="24"/>
              </w:rPr>
              <w:t xml:space="preserve">  </w:t>
            </w:r>
          </w:p>
          <w:p w14:paraId="6D2C1BA4" w14:textId="7A53CDAA" w:rsidR="00E061C9" w:rsidRPr="00246546" w:rsidRDefault="00E061C9" w:rsidP="00C15F99">
            <w:pPr>
              <w:spacing w:after="0" w:line="240" w:lineRule="auto"/>
              <w:jc w:val="both"/>
              <w:rPr>
                <w:rFonts w:ascii="Arial" w:hAnsi="Arial" w:cs="Arial"/>
                <w:b/>
                <w:bCs/>
                <w:color w:val="3333FF"/>
                <w:sz w:val="24"/>
                <w:szCs w:val="24"/>
              </w:rPr>
            </w:pPr>
          </w:p>
        </w:tc>
      </w:tr>
    </w:tbl>
    <w:p w14:paraId="01CC98A6" w14:textId="25E80B0B" w:rsidR="00B61E63" w:rsidRDefault="00B61E63" w:rsidP="006A5C95">
      <w:pPr>
        <w:spacing w:after="0" w:line="240" w:lineRule="auto"/>
        <w:jc w:val="both"/>
        <w:rPr>
          <w:rFonts w:ascii="Arial" w:hAnsi="Arial" w:cs="Arial"/>
          <w:sz w:val="24"/>
          <w:szCs w:val="24"/>
        </w:rPr>
      </w:pPr>
    </w:p>
    <w:p w14:paraId="61402B18" w14:textId="336472E3" w:rsidR="00937D7A" w:rsidRPr="00EC2803" w:rsidRDefault="00937D7A" w:rsidP="006A5C95">
      <w:pPr>
        <w:spacing w:after="0" w:line="240" w:lineRule="auto"/>
        <w:jc w:val="both"/>
        <w:rPr>
          <w:rFonts w:ascii="Arial" w:hAnsi="Arial" w:cs="Arial"/>
          <w:b/>
          <w:sz w:val="24"/>
          <w:szCs w:val="24"/>
        </w:rPr>
      </w:pPr>
      <w:r w:rsidRPr="00EC2803">
        <w:rPr>
          <w:rFonts w:ascii="Arial" w:hAnsi="Arial" w:cs="Arial"/>
          <w:b/>
          <w:sz w:val="24"/>
          <w:szCs w:val="24"/>
        </w:rPr>
        <w:t>Prepared by:</w:t>
      </w:r>
    </w:p>
    <w:p w14:paraId="2F983978" w14:textId="7409CC95" w:rsidR="00937D7A" w:rsidRPr="00EC2803" w:rsidRDefault="0006563A" w:rsidP="006A5C95">
      <w:pPr>
        <w:spacing w:after="0" w:line="240" w:lineRule="auto"/>
        <w:jc w:val="both"/>
        <w:rPr>
          <w:rFonts w:ascii="Arial" w:hAnsi="Arial" w:cs="Arial"/>
          <w:b/>
          <w:sz w:val="24"/>
          <w:szCs w:val="24"/>
        </w:rPr>
      </w:pPr>
      <w:r>
        <w:rPr>
          <w:rFonts w:ascii="Arial" w:hAnsi="Arial" w:cs="Arial"/>
          <w:b/>
          <w:sz w:val="24"/>
          <w:szCs w:val="24"/>
        </w:rPr>
        <w:t xml:space="preserve">The </w:t>
      </w:r>
      <w:r w:rsidR="00937D7A" w:rsidRPr="00EC2803">
        <w:rPr>
          <w:rFonts w:ascii="Arial" w:hAnsi="Arial" w:cs="Arial"/>
          <w:b/>
          <w:sz w:val="24"/>
          <w:szCs w:val="24"/>
        </w:rPr>
        <w:t>Government of Malaysia</w:t>
      </w:r>
    </w:p>
    <w:sectPr w:rsidR="00937D7A" w:rsidRPr="00EC2803" w:rsidSect="001344CA">
      <w:headerReference w:type="default" r:id="rId7"/>
      <w:footerReference w:type="default" r:id="rId8"/>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DFFA8" w14:textId="77777777" w:rsidR="006A03F9" w:rsidRDefault="006A03F9">
      <w:pPr>
        <w:spacing w:line="240" w:lineRule="auto"/>
      </w:pPr>
      <w:r>
        <w:separator/>
      </w:r>
    </w:p>
  </w:endnote>
  <w:endnote w:type="continuationSeparator" w:id="0">
    <w:p w14:paraId="52671DF3" w14:textId="77777777" w:rsidR="006A03F9" w:rsidRDefault="006A0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7511170"/>
      <w:docPartObj>
        <w:docPartGallery w:val="AutoText"/>
      </w:docPartObj>
    </w:sdtPr>
    <w:sdtContent>
      <w:p w14:paraId="17DF1CED" w14:textId="77777777"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937D7A">
          <w:rPr>
            <w:rFonts w:ascii="Arial" w:hAnsi="Arial" w:cs="Arial"/>
            <w:noProof/>
            <w:sz w:val="24"/>
          </w:rPr>
          <w:t>12</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911D6" w14:textId="77777777" w:rsidR="006A03F9" w:rsidRDefault="006A03F9">
      <w:pPr>
        <w:spacing w:after="0"/>
      </w:pPr>
      <w:r>
        <w:separator/>
      </w:r>
    </w:p>
  </w:footnote>
  <w:footnote w:type="continuationSeparator" w:id="0">
    <w:p w14:paraId="4BD6C5E4" w14:textId="77777777" w:rsidR="006A03F9" w:rsidRDefault="006A03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9B796" w14:textId="1D45ABAA" w:rsidR="00505CF3" w:rsidRPr="00505CF3" w:rsidRDefault="00505CF3" w:rsidP="00505CF3">
    <w:pPr>
      <w:pStyle w:val="Header"/>
      <w:jc w:val="right"/>
      <w:rPr>
        <w:rFonts w:ascii="Arial" w:hAnsi="Arial" w:cs="Arial"/>
        <w:b/>
      </w:rPr>
    </w:pPr>
    <w:r w:rsidRPr="00505CF3">
      <w:rPr>
        <w:rFonts w:ascii="Arial" w:hAnsi="Arial" w:cs="Arial"/>
        <w:b/>
      </w:rPr>
      <w:t>ANNEX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D3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C77FFC"/>
    <w:multiLevelType w:val="hybridMultilevel"/>
    <w:tmpl w:val="6A0E08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69D7076"/>
    <w:multiLevelType w:val="hybridMultilevel"/>
    <w:tmpl w:val="B4247872"/>
    <w:lvl w:ilvl="0" w:tplc="4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EA39FB"/>
    <w:multiLevelType w:val="hybridMultilevel"/>
    <w:tmpl w:val="28E8D476"/>
    <w:lvl w:ilvl="0" w:tplc="649AF69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011CD3"/>
    <w:multiLevelType w:val="hybridMultilevel"/>
    <w:tmpl w:val="0B54066E"/>
    <w:lvl w:ilvl="0" w:tplc="2F94C32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4F5207E"/>
    <w:multiLevelType w:val="hybridMultilevel"/>
    <w:tmpl w:val="73285CA2"/>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AB42DF6"/>
    <w:multiLevelType w:val="hybridMultilevel"/>
    <w:tmpl w:val="0B54066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1A3716"/>
    <w:multiLevelType w:val="multilevel"/>
    <w:tmpl w:val="6B46DB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502051"/>
    <w:multiLevelType w:val="hybridMultilevel"/>
    <w:tmpl w:val="EC6200F8"/>
    <w:lvl w:ilvl="0" w:tplc="5E36AA1E">
      <w:start w:val="3"/>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22D86266"/>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E164532"/>
    <w:multiLevelType w:val="hybridMultilevel"/>
    <w:tmpl w:val="9C9CA490"/>
    <w:lvl w:ilvl="0" w:tplc="EFC2666C">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2E3971D6"/>
    <w:multiLevelType w:val="hybridMultilevel"/>
    <w:tmpl w:val="D30281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F3355"/>
    <w:multiLevelType w:val="multilevel"/>
    <w:tmpl w:val="CE46030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73F75B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91E496C"/>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49C12275"/>
    <w:multiLevelType w:val="hybridMultilevel"/>
    <w:tmpl w:val="A7421EE6"/>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BA7143E"/>
    <w:multiLevelType w:val="hybridMultilevel"/>
    <w:tmpl w:val="0E44B1E0"/>
    <w:lvl w:ilvl="0" w:tplc="C4928E56">
      <w:start w:val="1"/>
      <w:numFmt w:val="lowerLetter"/>
      <w:lvlText w:val="%1)"/>
      <w:lvlJc w:val="left"/>
      <w:pPr>
        <w:ind w:left="430" w:hanging="360"/>
      </w:pPr>
      <w:rPr>
        <w:rFonts w:hint="default"/>
      </w:rPr>
    </w:lvl>
    <w:lvl w:ilvl="1" w:tplc="44090019" w:tentative="1">
      <w:start w:val="1"/>
      <w:numFmt w:val="lowerLetter"/>
      <w:lvlText w:val="%2."/>
      <w:lvlJc w:val="left"/>
      <w:pPr>
        <w:ind w:left="1150" w:hanging="360"/>
      </w:pPr>
    </w:lvl>
    <w:lvl w:ilvl="2" w:tplc="4409001B" w:tentative="1">
      <w:start w:val="1"/>
      <w:numFmt w:val="lowerRoman"/>
      <w:lvlText w:val="%3."/>
      <w:lvlJc w:val="right"/>
      <w:pPr>
        <w:ind w:left="1870" w:hanging="180"/>
      </w:pPr>
    </w:lvl>
    <w:lvl w:ilvl="3" w:tplc="4409000F" w:tentative="1">
      <w:start w:val="1"/>
      <w:numFmt w:val="decimal"/>
      <w:lvlText w:val="%4."/>
      <w:lvlJc w:val="left"/>
      <w:pPr>
        <w:ind w:left="2590" w:hanging="360"/>
      </w:pPr>
    </w:lvl>
    <w:lvl w:ilvl="4" w:tplc="44090019" w:tentative="1">
      <w:start w:val="1"/>
      <w:numFmt w:val="lowerLetter"/>
      <w:lvlText w:val="%5."/>
      <w:lvlJc w:val="left"/>
      <w:pPr>
        <w:ind w:left="3310" w:hanging="360"/>
      </w:pPr>
    </w:lvl>
    <w:lvl w:ilvl="5" w:tplc="4409001B" w:tentative="1">
      <w:start w:val="1"/>
      <w:numFmt w:val="lowerRoman"/>
      <w:lvlText w:val="%6."/>
      <w:lvlJc w:val="right"/>
      <w:pPr>
        <w:ind w:left="4030" w:hanging="180"/>
      </w:pPr>
    </w:lvl>
    <w:lvl w:ilvl="6" w:tplc="4409000F" w:tentative="1">
      <w:start w:val="1"/>
      <w:numFmt w:val="decimal"/>
      <w:lvlText w:val="%7."/>
      <w:lvlJc w:val="left"/>
      <w:pPr>
        <w:ind w:left="4750" w:hanging="360"/>
      </w:pPr>
    </w:lvl>
    <w:lvl w:ilvl="7" w:tplc="44090019" w:tentative="1">
      <w:start w:val="1"/>
      <w:numFmt w:val="lowerLetter"/>
      <w:lvlText w:val="%8."/>
      <w:lvlJc w:val="left"/>
      <w:pPr>
        <w:ind w:left="5470" w:hanging="360"/>
      </w:pPr>
    </w:lvl>
    <w:lvl w:ilvl="8" w:tplc="4409001B" w:tentative="1">
      <w:start w:val="1"/>
      <w:numFmt w:val="lowerRoman"/>
      <w:lvlText w:val="%9."/>
      <w:lvlJc w:val="right"/>
      <w:pPr>
        <w:ind w:left="6190" w:hanging="180"/>
      </w:pPr>
    </w:lvl>
  </w:abstractNum>
  <w:abstractNum w:abstractNumId="18" w15:restartNumberingAfterBreak="0">
    <w:nsid w:val="4D0C0B71"/>
    <w:multiLevelType w:val="hybridMultilevel"/>
    <w:tmpl w:val="3C2CEE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F71557F"/>
    <w:multiLevelType w:val="multilevel"/>
    <w:tmpl w:val="481CE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0226B0"/>
    <w:multiLevelType w:val="hybridMultilevel"/>
    <w:tmpl w:val="16286DB4"/>
    <w:lvl w:ilvl="0" w:tplc="014AEA0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93B69"/>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61DD1925"/>
    <w:multiLevelType w:val="hybridMultilevel"/>
    <w:tmpl w:val="A1360102"/>
    <w:lvl w:ilvl="0" w:tplc="9CEA38CE">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6BC65DDB"/>
    <w:multiLevelType w:val="hybridMultilevel"/>
    <w:tmpl w:val="850EFA3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DDF5C87"/>
    <w:multiLevelType w:val="hybridMultilevel"/>
    <w:tmpl w:val="C66E069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70C515AB"/>
    <w:multiLevelType w:val="hybridMultilevel"/>
    <w:tmpl w:val="18F61292"/>
    <w:lvl w:ilvl="0" w:tplc="F5CEA128">
      <w:start w:val="5"/>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747A2D85"/>
    <w:multiLevelType w:val="hybridMultilevel"/>
    <w:tmpl w:val="8182D9D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77D97FF4"/>
    <w:multiLevelType w:val="hybridMultilevel"/>
    <w:tmpl w:val="0F78C9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7E427F57"/>
    <w:multiLevelType w:val="hybridMultilevel"/>
    <w:tmpl w:val="CF8CC1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776055662">
    <w:abstractNumId w:val="6"/>
  </w:num>
  <w:num w:numId="2" w16cid:durableId="1725329912">
    <w:abstractNumId w:val="9"/>
  </w:num>
  <w:num w:numId="3" w16cid:durableId="1694722186">
    <w:abstractNumId w:val="13"/>
  </w:num>
  <w:num w:numId="4" w16cid:durableId="2141342852">
    <w:abstractNumId w:val="8"/>
  </w:num>
  <w:num w:numId="5" w16cid:durableId="1464151238">
    <w:abstractNumId w:val="20"/>
  </w:num>
  <w:num w:numId="6" w16cid:durableId="2011447661">
    <w:abstractNumId w:val="10"/>
  </w:num>
  <w:num w:numId="7" w16cid:durableId="1895920100">
    <w:abstractNumId w:val="15"/>
  </w:num>
  <w:num w:numId="8" w16cid:durableId="772748700">
    <w:abstractNumId w:val="23"/>
  </w:num>
  <w:num w:numId="9" w16cid:durableId="1825781734">
    <w:abstractNumId w:val="21"/>
  </w:num>
  <w:num w:numId="10" w16cid:durableId="1461147534">
    <w:abstractNumId w:val="0"/>
  </w:num>
  <w:num w:numId="11" w16cid:durableId="1035813379">
    <w:abstractNumId w:val="14"/>
  </w:num>
  <w:num w:numId="12" w16cid:durableId="2068453118">
    <w:abstractNumId w:val="27"/>
  </w:num>
  <w:num w:numId="13" w16cid:durableId="519897222">
    <w:abstractNumId w:val="11"/>
  </w:num>
  <w:num w:numId="14" w16cid:durableId="1785492949">
    <w:abstractNumId w:val="22"/>
  </w:num>
  <w:num w:numId="15" w16cid:durableId="1917085711">
    <w:abstractNumId w:val="16"/>
  </w:num>
  <w:num w:numId="16" w16cid:durableId="236482682">
    <w:abstractNumId w:val="5"/>
  </w:num>
  <w:num w:numId="17" w16cid:durableId="1899782663">
    <w:abstractNumId w:val="26"/>
  </w:num>
  <w:num w:numId="18" w16cid:durableId="1408113949">
    <w:abstractNumId w:val="1"/>
  </w:num>
  <w:num w:numId="19" w16cid:durableId="2079016548">
    <w:abstractNumId w:val="25"/>
  </w:num>
  <w:num w:numId="20" w16cid:durableId="830607427">
    <w:abstractNumId w:val="17"/>
  </w:num>
  <w:num w:numId="21" w16cid:durableId="1100950842">
    <w:abstractNumId w:val="18"/>
  </w:num>
  <w:num w:numId="22" w16cid:durableId="1452631378">
    <w:abstractNumId w:val="12"/>
  </w:num>
  <w:num w:numId="23" w16cid:durableId="30154131">
    <w:abstractNumId w:val="24"/>
  </w:num>
  <w:num w:numId="24" w16cid:durableId="2048872879">
    <w:abstractNumId w:val="2"/>
  </w:num>
  <w:num w:numId="25" w16cid:durableId="1843351277">
    <w:abstractNumId w:val="28"/>
  </w:num>
  <w:num w:numId="26" w16cid:durableId="15664489">
    <w:abstractNumId w:val="3"/>
  </w:num>
  <w:num w:numId="27" w16cid:durableId="970984328">
    <w:abstractNumId w:val="4"/>
  </w:num>
  <w:num w:numId="28" w16cid:durableId="1039279630">
    <w:abstractNumId w:val="19"/>
  </w:num>
  <w:num w:numId="29" w16cid:durableId="1694957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xMDMwMTAwMTE0MTdR0lEKTi0uzszPAykwMqwFABFuEx8tAAAA"/>
  </w:docVars>
  <w:rsids>
    <w:rsidRoot w:val="00ED43A0"/>
    <w:rsid w:val="00002AF6"/>
    <w:rsid w:val="00003819"/>
    <w:rsid w:val="000039C8"/>
    <w:rsid w:val="000135E3"/>
    <w:rsid w:val="00020C0C"/>
    <w:rsid w:val="0002172A"/>
    <w:rsid w:val="00021D28"/>
    <w:rsid w:val="00023C7E"/>
    <w:rsid w:val="00035A37"/>
    <w:rsid w:val="0005436E"/>
    <w:rsid w:val="0006563A"/>
    <w:rsid w:val="0007538B"/>
    <w:rsid w:val="00085A55"/>
    <w:rsid w:val="00085D8E"/>
    <w:rsid w:val="00097E78"/>
    <w:rsid w:val="000A2A7E"/>
    <w:rsid w:val="000B451F"/>
    <w:rsid w:val="000C0F31"/>
    <w:rsid w:val="000C152A"/>
    <w:rsid w:val="000C572F"/>
    <w:rsid w:val="000D5A2E"/>
    <w:rsid w:val="000E48F2"/>
    <w:rsid w:val="000E6585"/>
    <w:rsid w:val="000F0A86"/>
    <w:rsid w:val="00104500"/>
    <w:rsid w:val="00105A79"/>
    <w:rsid w:val="00107D15"/>
    <w:rsid w:val="00107D25"/>
    <w:rsid w:val="001344CA"/>
    <w:rsid w:val="001354A1"/>
    <w:rsid w:val="00135B2F"/>
    <w:rsid w:val="00136C00"/>
    <w:rsid w:val="00143109"/>
    <w:rsid w:val="00156EC4"/>
    <w:rsid w:val="00157614"/>
    <w:rsid w:val="001576B2"/>
    <w:rsid w:val="00161A1F"/>
    <w:rsid w:val="00161ED9"/>
    <w:rsid w:val="00162584"/>
    <w:rsid w:val="00167EE3"/>
    <w:rsid w:val="00172437"/>
    <w:rsid w:val="001800B5"/>
    <w:rsid w:val="00182183"/>
    <w:rsid w:val="0018419C"/>
    <w:rsid w:val="00186859"/>
    <w:rsid w:val="001934A6"/>
    <w:rsid w:val="001A15D2"/>
    <w:rsid w:val="001A44B7"/>
    <w:rsid w:val="001B19BD"/>
    <w:rsid w:val="001B5CA5"/>
    <w:rsid w:val="001C1B4B"/>
    <w:rsid w:val="001C4ACB"/>
    <w:rsid w:val="001D23E8"/>
    <w:rsid w:val="001E07DB"/>
    <w:rsid w:val="001E36D0"/>
    <w:rsid w:val="001E5581"/>
    <w:rsid w:val="001F5FAC"/>
    <w:rsid w:val="001F76BA"/>
    <w:rsid w:val="0020760E"/>
    <w:rsid w:val="002129B1"/>
    <w:rsid w:val="0022102E"/>
    <w:rsid w:val="00222488"/>
    <w:rsid w:val="00223772"/>
    <w:rsid w:val="0023365B"/>
    <w:rsid w:val="00243A2B"/>
    <w:rsid w:val="00246546"/>
    <w:rsid w:val="00250ED9"/>
    <w:rsid w:val="002526EE"/>
    <w:rsid w:val="00253E21"/>
    <w:rsid w:val="002613F2"/>
    <w:rsid w:val="00263AA9"/>
    <w:rsid w:val="002651DF"/>
    <w:rsid w:val="00267534"/>
    <w:rsid w:val="002712AC"/>
    <w:rsid w:val="002B0A64"/>
    <w:rsid w:val="002B12A1"/>
    <w:rsid w:val="002B3916"/>
    <w:rsid w:val="002B6031"/>
    <w:rsid w:val="002B7F60"/>
    <w:rsid w:val="002E3D3F"/>
    <w:rsid w:val="00302BFA"/>
    <w:rsid w:val="00303C1E"/>
    <w:rsid w:val="003136BC"/>
    <w:rsid w:val="0031548B"/>
    <w:rsid w:val="00317098"/>
    <w:rsid w:val="00325477"/>
    <w:rsid w:val="003278D5"/>
    <w:rsid w:val="003360C3"/>
    <w:rsid w:val="00341C6B"/>
    <w:rsid w:val="003423E6"/>
    <w:rsid w:val="003434D6"/>
    <w:rsid w:val="003521D5"/>
    <w:rsid w:val="00353E4C"/>
    <w:rsid w:val="00365CB3"/>
    <w:rsid w:val="003720D3"/>
    <w:rsid w:val="00380BFD"/>
    <w:rsid w:val="00381D42"/>
    <w:rsid w:val="00382E34"/>
    <w:rsid w:val="003A3B7D"/>
    <w:rsid w:val="003A3E31"/>
    <w:rsid w:val="003B0C5B"/>
    <w:rsid w:val="003B61CA"/>
    <w:rsid w:val="003B73C0"/>
    <w:rsid w:val="003B7F95"/>
    <w:rsid w:val="003C21EC"/>
    <w:rsid w:val="003C5844"/>
    <w:rsid w:val="003C617A"/>
    <w:rsid w:val="003C7372"/>
    <w:rsid w:val="003D108F"/>
    <w:rsid w:val="003D26C7"/>
    <w:rsid w:val="003E1EF3"/>
    <w:rsid w:val="003E4B53"/>
    <w:rsid w:val="003F2411"/>
    <w:rsid w:val="00403700"/>
    <w:rsid w:val="00406D2D"/>
    <w:rsid w:val="0042030D"/>
    <w:rsid w:val="00436585"/>
    <w:rsid w:val="00436BE6"/>
    <w:rsid w:val="004546BC"/>
    <w:rsid w:val="00454E7C"/>
    <w:rsid w:val="004567F8"/>
    <w:rsid w:val="004755BA"/>
    <w:rsid w:val="0047646F"/>
    <w:rsid w:val="00496A07"/>
    <w:rsid w:val="00497F42"/>
    <w:rsid w:val="004A2C80"/>
    <w:rsid w:val="004B0115"/>
    <w:rsid w:val="004C1D1C"/>
    <w:rsid w:val="004C740D"/>
    <w:rsid w:val="004E2543"/>
    <w:rsid w:val="004F49C8"/>
    <w:rsid w:val="004F5857"/>
    <w:rsid w:val="004F7F79"/>
    <w:rsid w:val="00500D10"/>
    <w:rsid w:val="00503426"/>
    <w:rsid w:val="00505CF3"/>
    <w:rsid w:val="005062B9"/>
    <w:rsid w:val="00510268"/>
    <w:rsid w:val="00510E2B"/>
    <w:rsid w:val="00512A4A"/>
    <w:rsid w:val="00531B32"/>
    <w:rsid w:val="00537872"/>
    <w:rsid w:val="005609E2"/>
    <w:rsid w:val="00597D2C"/>
    <w:rsid w:val="005A09BF"/>
    <w:rsid w:val="005A0A0A"/>
    <w:rsid w:val="005A1FA0"/>
    <w:rsid w:val="005A5A4D"/>
    <w:rsid w:val="005B0E2C"/>
    <w:rsid w:val="005B2134"/>
    <w:rsid w:val="005B5C40"/>
    <w:rsid w:val="005D0DA1"/>
    <w:rsid w:val="005D7129"/>
    <w:rsid w:val="005F036C"/>
    <w:rsid w:val="005F7092"/>
    <w:rsid w:val="005F7260"/>
    <w:rsid w:val="00621E68"/>
    <w:rsid w:val="0063333A"/>
    <w:rsid w:val="00636D5B"/>
    <w:rsid w:val="00641E11"/>
    <w:rsid w:val="00647C21"/>
    <w:rsid w:val="006612D6"/>
    <w:rsid w:val="00666656"/>
    <w:rsid w:val="00686C73"/>
    <w:rsid w:val="0068703D"/>
    <w:rsid w:val="006964AB"/>
    <w:rsid w:val="006A03F9"/>
    <w:rsid w:val="006A5C95"/>
    <w:rsid w:val="006B3B79"/>
    <w:rsid w:val="006B4916"/>
    <w:rsid w:val="006B6730"/>
    <w:rsid w:val="006B7592"/>
    <w:rsid w:val="006C0280"/>
    <w:rsid w:val="006C553B"/>
    <w:rsid w:val="006D25D3"/>
    <w:rsid w:val="006D4C05"/>
    <w:rsid w:val="006D675C"/>
    <w:rsid w:val="006E19AE"/>
    <w:rsid w:val="006F7F63"/>
    <w:rsid w:val="00705526"/>
    <w:rsid w:val="00707E07"/>
    <w:rsid w:val="00710669"/>
    <w:rsid w:val="00713745"/>
    <w:rsid w:val="007139C6"/>
    <w:rsid w:val="00716FC0"/>
    <w:rsid w:val="00724B79"/>
    <w:rsid w:val="00730F1D"/>
    <w:rsid w:val="007354DA"/>
    <w:rsid w:val="00736A9B"/>
    <w:rsid w:val="00743BA6"/>
    <w:rsid w:val="007457AC"/>
    <w:rsid w:val="00753E66"/>
    <w:rsid w:val="00756C5A"/>
    <w:rsid w:val="0075730C"/>
    <w:rsid w:val="00764294"/>
    <w:rsid w:val="0076505E"/>
    <w:rsid w:val="007719A3"/>
    <w:rsid w:val="00776AE7"/>
    <w:rsid w:val="0078508C"/>
    <w:rsid w:val="007919E5"/>
    <w:rsid w:val="00792D4B"/>
    <w:rsid w:val="00792FC5"/>
    <w:rsid w:val="007A5241"/>
    <w:rsid w:val="007C3A61"/>
    <w:rsid w:val="007C3BDE"/>
    <w:rsid w:val="007C3F2D"/>
    <w:rsid w:val="007D37E6"/>
    <w:rsid w:val="007D66CF"/>
    <w:rsid w:val="007E1C71"/>
    <w:rsid w:val="007E315A"/>
    <w:rsid w:val="007E3BF0"/>
    <w:rsid w:val="007E5D8C"/>
    <w:rsid w:val="007E7C5C"/>
    <w:rsid w:val="007E7ECF"/>
    <w:rsid w:val="007F04C8"/>
    <w:rsid w:val="00802223"/>
    <w:rsid w:val="008059D9"/>
    <w:rsid w:val="00817A9A"/>
    <w:rsid w:val="00824C34"/>
    <w:rsid w:val="008354D7"/>
    <w:rsid w:val="008411FF"/>
    <w:rsid w:val="00845081"/>
    <w:rsid w:val="00845B63"/>
    <w:rsid w:val="008512FC"/>
    <w:rsid w:val="00855BE1"/>
    <w:rsid w:val="00861941"/>
    <w:rsid w:val="00864D87"/>
    <w:rsid w:val="00866747"/>
    <w:rsid w:val="00877571"/>
    <w:rsid w:val="00882CFB"/>
    <w:rsid w:val="0088375C"/>
    <w:rsid w:val="008871D5"/>
    <w:rsid w:val="00890F4D"/>
    <w:rsid w:val="00891A9C"/>
    <w:rsid w:val="008954DA"/>
    <w:rsid w:val="008A0231"/>
    <w:rsid w:val="008A28F7"/>
    <w:rsid w:val="008A3B76"/>
    <w:rsid w:val="008C3CE9"/>
    <w:rsid w:val="008C5199"/>
    <w:rsid w:val="008E0D39"/>
    <w:rsid w:val="008E6F50"/>
    <w:rsid w:val="008F4E19"/>
    <w:rsid w:val="00902890"/>
    <w:rsid w:val="0090322F"/>
    <w:rsid w:val="00923CE7"/>
    <w:rsid w:val="00937D7A"/>
    <w:rsid w:val="00940B08"/>
    <w:rsid w:val="00945D22"/>
    <w:rsid w:val="00946883"/>
    <w:rsid w:val="0095523D"/>
    <w:rsid w:val="009708F7"/>
    <w:rsid w:val="009737D6"/>
    <w:rsid w:val="00976B5B"/>
    <w:rsid w:val="009778C8"/>
    <w:rsid w:val="009915E5"/>
    <w:rsid w:val="00991E76"/>
    <w:rsid w:val="009A0D0E"/>
    <w:rsid w:val="009A1EAF"/>
    <w:rsid w:val="009A7058"/>
    <w:rsid w:val="009B0A09"/>
    <w:rsid w:val="009B1971"/>
    <w:rsid w:val="009C4135"/>
    <w:rsid w:val="009C5CC0"/>
    <w:rsid w:val="009D1987"/>
    <w:rsid w:val="009E0EFE"/>
    <w:rsid w:val="009E2469"/>
    <w:rsid w:val="009E69F1"/>
    <w:rsid w:val="009F1891"/>
    <w:rsid w:val="00A05A60"/>
    <w:rsid w:val="00A1396B"/>
    <w:rsid w:val="00A13BEA"/>
    <w:rsid w:val="00A2317A"/>
    <w:rsid w:val="00A239B7"/>
    <w:rsid w:val="00A24EA8"/>
    <w:rsid w:val="00A26477"/>
    <w:rsid w:val="00A3003F"/>
    <w:rsid w:val="00A368AB"/>
    <w:rsid w:val="00A41656"/>
    <w:rsid w:val="00A50F89"/>
    <w:rsid w:val="00A51947"/>
    <w:rsid w:val="00A52238"/>
    <w:rsid w:val="00A64FBC"/>
    <w:rsid w:val="00A65675"/>
    <w:rsid w:val="00A80C79"/>
    <w:rsid w:val="00A82229"/>
    <w:rsid w:val="00A86872"/>
    <w:rsid w:val="00A971DE"/>
    <w:rsid w:val="00A97CC0"/>
    <w:rsid w:val="00AA20D3"/>
    <w:rsid w:val="00AB499E"/>
    <w:rsid w:val="00AC3C07"/>
    <w:rsid w:val="00AC608B"/>
    <w:rsid w:val="00AD3767"/>
    <w:rsid w:val="00AE33FC"/>
    <w:rsid w:val="00AE42CC"/>
    <w:rsid w:val="00AE7D73"/>
    <w:rsid w:val="00B00A94"/>
    <w:rsid w:val="00B048C0"/>
    <w:rsid w:val="00B04B36"/>
    <w:rsid w:val="00B07122"/>
    <w:rsid w:val="00B10619"/>
    <w:rsid w:val="00B229A4"/>
    <w:rsid w:val="00B270C6"/>
    <w:rsid w:val="00B353AE"/>
    <w:rsid w:val="00B400A6"/>
    <w:rsid w:val="00B42895"/>
    <w:rsid w:val="00B55022"/>
    <w:rsid w:val="00B5760F"/>
    <w:rsid w:val="00B61710"/>
    <w:rsid w:val="00B61E63"/>
    <w:rsid w:val="00B748DA"/>
    <w:rsid w:val="00B762F6"/>
    <w:rsid w:val="00B77915"/>
    <w:rsid w:val="00B85BA3"/>
    <w:rsid w:val="00B9109A"/>
    <w:rsid w:val="00B939A9"/>
    <w:rsid w:val="00B95FBB"/>
    <w:rsid w:val="00BA26D1"/>
    <w:rsid w:val="00BB4BB5"/>
    <w:rsid w:val="00BB5CDC"/>
    <w:rsid w:val="00BB64CE"/>
    <w:rsid w:val="00BB7FA3"/>
    <w:rsid w:val="00BC1D55"/>
    <w:rsid w:val="00BC7E1E"/>
    <w:rsid w:val="00BD378C"/>
    <w:rsid w:val="00BD44AB"/>
    <w:rsid w:val="00BD5DB8"/>
    <w:rsid w:val="00BE7CA5"/>
    <w:rsid w:val="00BF5928"/>
    <w:rsid w:val="00C0106C"/>
    <w:rsid w:val="00C05ACB"/>
    <w:rsid w:val="00C10BB0"/>
    <w:rsid w:val="00C11560"/>
    <w:rsid w:val="00C14053"/>
    <w:rsid w:val="00C14949"/>
    <w:rsid w:val="00C149E7"/>
    <w:rsid w:val="00C15F99"/>
    <w:rsid w:val="00C25ED5"/>
    <w:rsid w:val="00C3257E"/>
    <w:rsid w:val="00C371C6"/>
    <w:rsid w:val="00C71B0E"/>
    <w:rsid w:val="00C72115"/>
    <w:rsid w:val="00C72743"/>
    <w:rsid w:val="00C74CBA"/>
    <w:rsid w:val="00C90110"/>
    <w:rsid w:val="00CB207B"/>
    <w:rsid w:val="00CB35C2"/>
    <w:rsid w:val="00CB5ABD"/>
    <w:rsid w:val="00CC0B40"/>
    <w:rsid w:val="00CD36A9"/>
    <w:rsid w:val="00CD692B"/>
    <w:rsid w:val="00CD790E"/>
    <w:rsid w:val="00CE0B22"/>
    <w:rsid w:val="00CE7A7F"/>
    <w:rsid w:val="00CF2D91"/>
    <w:rsid w:val="00CF5136"/>
    <w:rsid w:val="00CF5A8C"/>
    <w:rsid w:val="00D05EF7"/>
    <w:rsid w:val="00D1007F"/>
    <w:rsid w:val="00D10751"/>
    <w:rsid w:val="00D10917"/>
    <w:rsid w:val="00D10DD6"/>
    <w:rsid w:val="00D1364A"/>
    <w:rsid w:val="00D1569F"/>
    <w:rsid w:val="00D20A28"/>
    <w:rsid w:val="00D230BE"/>
    <w:rsid w:val="00D27805"/>
    <w:rsid w:val="00D3293C"/>
    <w:rsid w:val="00D4786A"/>
    <w:rsid w:val="00D61695"/>
    <w:rsid w:val="00D64991"/>
    <w:rsid w:val="00D76C5C"/>
    <w:rsid w:val="00D76E62"/>
    <w:rsid w:val="00D822A6"/>
    <w:rsid w:val="00D84677"/>
    <w:rsid w:val="00DA7879"/>
    <w:rsid w:val="00DB054F"/>
    <w:rsid w:val="00DB656C"/>
    <w:rsid w:val="00DB7BAD"/>
    <w:rsid w:val="00DD0B40"/>
    <w:rsid w:val="00DD4195"/>
    <w:rsid w:val="00DD7B32"/>
    <w:rsid w:val="00DD7E4E"/>
    <w:rsid w:val="00DE5151"/>
    <w:rsid w:val="00DF2BB5"/>
    <w:rsid w:val="00DF6160"/>
    <w:rsid w:val="00E038B8"/>
    <w:rsid w:val="00E061C9"/>
    <w:rsid w:val="00E10922"/>
    <w:rsid w:val="00E12F92"/>
    <w:rsid w:val="00E2504E"/>
    <w:rsid w:val="00E449D4"/>
    <w:rsid w:val="00E45576"/>
    <w:rsid w:val="00E47CDF"/>
    <w:rsid w:val="00E53F16"/>
    <w:rsid w:val="00E756D7"/>
    <w:rsid w:val="00E8505C"/>
    <w:rsid w:val="00E877A3"/>
    <w:rsid w:val="00E94636"/>
    <w:rsid w:val="00EA7D65"/>
    <w:rsid w:val="00EB0F4B"/>
    <w:rsid w:val="00EB6B15"/>
    <w:rsid w:val="00EC2803"/>
    <w:rsid w:val="00EC3FEF"/>
    <w:rsid w:val="00ED43A0"/>
    <w:rsid w:val="00EF41BA"/>
    <w:rsid w:val="00F004DD"/>
    <w:rsid w:val="00F04032"/>
    <w:rsid w:val="00F04192"/>
    <w:rsid w:val="00F04A4E"/>
    <w:rsid w:val="00F07844"/>
    <w:rsid w:val="00F219D4"/>
    <w:rsid w:val="00F23D92"/>
    <w:rsid w:val="00F26A10"/>
    <w:rsid w:val="00F30619"/>
    <w:rsid w:val="00F30950"/>
    <w:rsid w:val="00F35170"/>
    <w:rsid w:val="00F35E81"/>
    <w:rsid w:val="00F403DC"/>
    <w:rsid w:val="00F460CB"/>
    <w:rsid w:val="00F6487F"/>
    <w:rsid w:val="00F65773"/>
    <w:rsid w:val="00F65B8C"/>
    <w:rsid w:val="00F770ED"/>
    <w:rsid w:val="00F84D9D"/>
    <w:rsid w:val="00F850EC"/>
    <w:rsid w:val="00F923D7"/>
    <w:rsid w:val="00F92844"/>
    <w:rsid w:val="00F93EB4"/>
    <w:rsid w:val="00F943AB"/>
    <w:rsid w:val="00FA1AC6"/>
    <w:rsid w:val="00FA1F9C"/>
    <w:rsid w:val="00FB2AAA"/>
    <w:rsid w:val="00FB5320"/>
    <w:rsid w:val="00FB6525"/>
    <w:rsid w:val="00FB7995"/>
    <w:rsid w:val="00FC0868"/>
    <w:rsid w:val="00FC54D0"/>
    <w:rsid w:val="00FD7874"/>
    <w:rsid w:val="00FE1B65"/>
    <w:rsid w:val="00FE6AE8"/>
    <w:rsid w:val="00FE7BB3"/>
    <w:rsid w:val="00FF0E0F"/>
    <w:rsid w:val="00FF67EA"/>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51A9"/>
  <w15:docId w15:val="{71C6B9B9-04A3-4C79-850B-0E4226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character" w:customStyle="1" w:styleId="UnresolvedMention1">
    <w:name w:val="Unresolved Mention1"/>
    <w:basedOn w:val="DefaultParagraphFont"/>
    <w:uiPriority w:val="99"/>
    <w:semiHidden/>
    <w:unhideWhenUsed/>
    <w:rsid w:val="00DD0B40"/>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1F76BA"/>
    <w:rPr>
      <w:sz w:val="22"/>
      <w:szCs w:val="22"/>
      <w:lang w:eastAsia="en-US"/>
    </w:rPr>
  </w:style>
  <w:style w:type="paragraph" w:styleId="Revision">
    <w:name w:val="Revision"/>
    <w:hidden/>
    <w:uiPriority w:val="99"/>
    <w:semiHidden/>
    <w:rsid w:val="00CD36A9"/>
    <w:rPr>
      <w:sz w:val="22"/>
      <w:szCs w:val="22"/>
      <w:lang w:eastAsia="en-US"/>
    </w:rPr>
  </w:style>
  <w:style w:type="paragraph" w:styleId="BalloonText">
    <w:name w:val="Balloon Text"/>
    <w:basedOn w:val="Normal"/>
    <w:link w:val="BalloonTextChar"/>
    <w:uiPriority w:val="99"/>
    <w:semiHidden/>
    <w:unhideWhenUsed/>
    <w:rsid w:val="0010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00"/>
    <w:rPr>
      <w:rFonts w:ascii="Segoe UI" w:hAnsi="Segoe UI" w:cs="Segoe UI"/>
      <w:sz w:val="18"/>
      <w:szCs w:val="18"/>
      <w:lang w:eastAsia="en-US"/>
    </w:rPr>
  </w:style>
  <w:style w:type="character" w:customStyle="1" w:styleId="A5">
    <w:name w:val="A5"/>
    <w:uiPriority w:val="99"/>
    <w:rsid w:val="001A15D2"/>
    <w:rPr>
      <w:rFonts w:cs="Open Sans"/>
      <w:color w:val="000000"/>
      <w:sz w:val="22"/>
      <w:szCs w:val="22"/>
    </w:rPr>
  </w:style>
  <w:style w:type="character" w:styleId="Strong">
    <w:name w:val="Strong"/>
    <w:basedOn w:val="DefaultParagraphFont"/>
    <w:uiPriority w:val="22"/>
    <w:qFormat/>
    <w:rsid w:val="001A15D2"/>
    <w:rPr>
      <w:b/>
      <w:bCs/>
    </w:rPr>
  </w:style>
  <w:style w:type="character" w:styleId="UnresolvedMention">
    <w:name w:val="Unresolved Mention"/>
    <w:basedOn w:val="DefaultParagraphFont"/>
    <w:uiPriority w:val="99"/>
    <w:semiHidden/>
    <w:unhideWhenUsed/>
    <w:rsid w:val="00EC2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02625">
      <w:bodyDiv w:val="1"/>
      <w:marLeft w:val="0"/>
      <w:marRight w:val="0"/>
      <w:marTop w:val="0"/>
      <w:marBottom w:val="0"/>
      <w:divBdr>
        <w:top w:val="none" w:sz="0" w:space="0" w:color="auto"/>
        <w:left w:val="none" w:sz="0" w:space="0" w:color="auto"/>
        <w:bottom w:val="none" w:sz="0" w:space="0" w:color="auto"/>
        <w:right w:val="none" w:sz="0" w:space="0" w:color="auto"/>
      </w:divBdr>
    </w:div>
    <w:div w:id="1482773852">
      <w:bodyDiv w:val="1"/>
      <w:marLeft w:val="0"/>
      <w:marRight w:val="0"/>
      <w:marTop w:val="0"/>
      <w:marBottom w:val="0"/>
      <w:divBdr>
        <w:top w:val="none" w:sz="0" w:space="0" w:color="auto"/>
        <w:left w:val="none" w:sz="0" w:space="0" w:color="auto"/>
        <w:bottom w:val="none" w:sz="0" w:space="0" w:color="auto"/>
        <w:right w:val="none" w:sz="0" w:space="0" w:color="auto"/>
      </w:divBdr>
    </w:div>
    <w:div w:id="2058435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Malaysia</Contributor>
  </documentManagement>
</p:properties>
</file>

<file path=customXml/itemProps1.xml><?xml version="1.0" encoding="utf-8"?>
<ds:datastoreItem xmlns:ds="http://schemas.openxmlformats.org/officeDocument/2006/customXml" ds:itemID="{149C062E-D2BC-45FC-8423-367828B375EF}"/>
</file>

<file path=customXml/itemProps2.xml><?xml version="1.0" encoding="utf-8"?>
<ds:datastoreItem xmlns:ds="http://schemas.openxmlformats.org/officeDocument/2006/customXml" ds:itemID="{26F07B1B-25F6-4CE2-8DE2-9A6A8DEB2A93}"/>
</file>

<file path=customXml/itemProps3.xml><?xml version="1.0" encoding="utf-8"?>
<ds:datastoreItem xmlns:ds="http://schemas.openxmlformats.org/officeDocument/2006/customXml" ds:itemID="{6E17BF30-9F4A-4A57-916B-4558E13A1A17}"/>
</file>

<file path=docProps/app.xml><?xml version="1.0" encoding="utf-8"?>
<Properties xmlns="http://schemas.openxmlformats.org/officeDocument/2006/extended-properties" xmlns:vt="http://schemas.openxmlformats.org/officeDocument/2006/docPropsVTypes">
  <Template>Normal</Template>
  <TotalTime>13</TotalTime>
  <Pages>13</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Izwan Sanusi</dc:creator>
  <cp:lastModifiedBy>Sze Zest Chan</cp:lastModifiedBy>
  <cp:revision>5</cp:revision>
  <cp:lastPrinted>2023-05-25T01:31:00Z</cp:lastPrinted>
  <dcterms:created xsi:type="dcterms:W3CDTF">2024-05-17T13:08:00Z</dcterms:created>
  <dcterms:modified xsi:type="dcterms:W3CDTF">2024-05-18T09:12:00Z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y fmtid="{D5CDD505-2E9C-101B-9397-08002B2CF9AE}" pid="5" name="ContentTypeId">
    <vt:lpwstr>0x0101009D953D6983EF5F4EB0B6A5354F975E96</vt:lpwstr>
  </property>
  <property fmtid="{D5CDD505-2E9C-101B-9397-08002B2CF9AE}" pid="6" name="MediaServiceImageTags">
    <vt:lpwstr/>
  </property>
</Properties>
</file>